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4"/>
          <w:szCs w:val="24"/>
          <w:color w:val="auto"/>
        </w:rPr>
      </w:pPr>
    </w:p>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Filed Pursuant to Rule 424(b)(5)</w:t>
      </w:r>
    </w:p>
    <w:p>
      <w:pPr>
        <w:spacing w:after="0" w:line="27"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Registration No. 333-287087</w:t>
      </w:r>
    </w:p>
    <w:p>
      <w:pPr>
        <w:spacing w:after="0" w:line="200" w:lineRule="exact"/>
        <w:rPr>
          <w:sz w:val="24"/>
          <w:szCs w:val="24"/>
          <w:color w:val="auto"/>
        </w:rPr>
      </w:pPr>
    </w:p>
    <w:p>
      <w:pPr>
        <w:spacing w:after="0" w:line="306"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(To Prospectus dated 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2017395</wp:posOffset>
            </wp:positionH>
            <wp:positionV relativeFrom="paragraph">
              <wp:posOffset>58420</wp:posOffset>
            </wp:positionV>
            <wp:extent cx="1685925" cy="450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5925" cy="450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Viatris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650,000,000 4.250% Senior Notes due 2033</w:t>
      </w:r>
    </w:p>
    <w:p>
      <w:pPr>
        <w:spacing w:after="0" w:line="10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3"/>
          <w:szCs w:val="13"/>
          <w:b w:val="1"/>
          <w:bCs w:val="1"/>
          <w:color w:val="auto"/>
        </w:rPr>
        <w:t>Guaranteed on a senior unsecured basis by Mylan Inc., Mylan II B.V. and Utah Acquisition Sub Inc.</w:t>
      </w:r>
    </w:p>
    <w:p>
      <w:pPr>
        <w:spacing w:after="0" w:line="81" w:lineRule="exact"/>
        <w:rPr>
          <w:sz w:val="24"/>
          <w:szCs w:val="24"/>
          <w:color w:val="auto"/>
        </w:rPr>
      </w:pPr>
    </w:p>
    <w:p>
      <w:pPr>
        <w:ind w:left="280" w:right="339" w:firstLine="320"/>
        <w:spacing w:after="0" w:line="239" w:lineRule="auto"/>
        <w:rPr>
          <w:sz w:val="20"/>
          <w:szCs w:val="20"/>
          <w:color w:val="auto"/>
        </w:rPr>
      </w:pPr>
      <w:r>
        <w:rPr>
          <w:rFonts w:ascii="Times New Roman" w:cs="Times New Roman" w:eastAsia="Times New Roman" w:hAnsi="Times New Roman"/>
          <w:sz w:val="13"/>
          <w:szCs w:val="13"/>
          <w:color w:val="auto"/>
        </w:rPr>
        <w:t>We are offering €650,000,000 aggregate principal amount of 4.250% Senior Notes due 2033 (the “notes”). The notes will bear interest at a rate of 4.250% per year and will mature on June 17, 2033. We will pay interest on the notes annually in arrears on June 17 of each year, beginning on June 17, 2027.</w:t>
      </w:r>
    </w:p>
    <w:p>
      <w:pPr>
        <w:spacing w:after="0" w:line="63" w:lineRule="exact"/>
        <w:rPr>
          <w:sz w:val="24"/>
          <w:szCs w:val="24"/>
          <w:color w:val="auto"/>
        </w:rPr>
      </w:pPr>
    </w:p>
    <w:p>
      <w:pPr>
        <w:ind w:left="280" w:right="379" w:firstLine="320"/>
        <w:spacing w:after="0" w:line="223" w:lineRule="auto"/>
        <w:rPr>
          <w:sz w:val="20"/>
          <w:szCs w:val="20"/>
          <w:color w:val="auto"/>
        </w:rPr>
      </w:pPr>
      <w:r>
        <w:rPr>
          <w:rFonts w:ascii="Times New Roman" w:cs="Times New Roman" w:eastAsia="Times New Roman" w:hAnsi="Times New Roman"/>
          <w:sz w:val="13"/>
          <w:szCs w:val="13"/>
          <w:color w:val="auto"/>
        </w:rPr>
        <w:t>We may redeem the notes in whole or in part at any time at the applicable redemption price set forth in this prospectus supplement under “Description of Notes — Optional Redemption.” If a Change of Control Repurchase Event, as described in this prospectus supplement under the heading “Description of Notes— Purchase of Notes upon a Change of Control Repurchase Event,” occurs, we must offer to purchase the notes from holders at a purchase price equal to 101% of the principal amount thereof, plus accrued and unpaid interest thereon, if any, to, but excluding, the repurchase date, unless we have exercised our right to redeem the notes.</w:t>
      </w:r>
    </w:p>
    <w:p>
      <w:pPr>
        <w:spacing w:after="0" w:line="60" w:lineRule="exact"/>
        <w:rPr>
          <w:sz w:val="24"/>
          <w:szCs w:val="24"/>
          <w:color w:val="auto"/>
        </w:rPr>
      </w:pPr>
    </w:p>
    <w:p>
      <w:pPr>
        <w:ind w:left="280" w:right="359" w:firstLine="320"/>
        <w:spacing w:after="0" w:line="226" w:lineRule="auto"/>
        <w:rPr>
          <w:sz w:val="20"/>
          <w:szCs w:val="20"/>
          <w:color w:val="auto"/>
        </w:rPr>
      </w:pPr>
      <w:r>
        <w:rPr>
          <w:rFonts w:ascii="Times New Roman" w:cs="Times New Roman" w:eastAsia="Times New Roman" w:hAnsi="Times New Roman"/>
          <w:sz w:val="13"/>
          <w:szCs w:val="13"/>
          <w:color w:val="auto"/>
        </w:rPr>
        <w:t xml:space="preserve">The notes will be senior unsecured obligations of the Issuer and will be (i)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 right of payment with all existing and future senior indebtedness of the Issuer, (ii) senior in right of payment to all future indebtedness of the Issuer that is expressly subordinated to the notes, (iii) effectively subordinated to all future secured indebtedness of the Issuer to the extent of the value of the collateral securing such indebtedness and (iv) effectively subordinated to all existing and future indebtedness and other liabilities, including trade payables, of the existing and future subsidiaries of the Issuer that do not guarantee the notes.</w:t>
      </w:r>
    </w:p>
    <w:p>
      <w:pPr>
        <w:spacing w:after="0" w:line="64" w:lineRule="exact"/>
        <w:rPr>
          <w:sz w:val="24"/>
          <w:szCs w:val="24"/>
          <w:color w:val="auto"/>
        </w:rPr>
      </w:pPr>
    </w:p>
    <w:p>
      <w:pPr>
        <w:ind w:left="280" w:right="419" w:firstLine="320"/>
        <w:spacing w:after="0" w:line="217" w:lineRule="auto"/>
        <w:rPr>
          <w:sz w:val="20"/>
          <w:szCs w:val="20"/>
          <w:color w:val="auto"/>
        </w:rPr>
      </w:pPr>
      <w:r>
        <w:rPr>
          <w:rFonts w:ascii="Times New Roman" w:cs="Times New Roman" w:eastAsia="Times New Roman" w:hAnsi="Times New Roman"/>
          <w:sz w:val="13"/>
          <w:szCs w:val="13"/>
          <w:color w:val="auto"/>
        </w:rPr>
        <w:t xml:space="preserve">The notes will initially be fully and unconditionally guaranteed on a senior unsecured basis by Mylan Inc., Mylan II B.V. and Utah Acquisition Sub Inc. The guarantee of each guarantor will be senior unsecured obligations of such guarantor and will be (i)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 right of payment with existing and future senior obligations of such guarantor, (ii) senior in right of payment to all future indebtedness of such guarantor that is expressly subordinated to such guarantee, (iii) effectively subordinated to all future secured indebtedness of such guarantor to the extent of the value of the collateral securing such indebtedness and</w:t>
      </w:r>
    </w:p>
    <w:p>
      <w:pPr>
        <w:spacing w:after="0" w:line="2" w:lineRule="exact"/>
        <w:rPr>
          <w:sz w:val="24"/>
          <w:szCs w:val="24"/>
          <w:color w:val="auto"/>
        </w:rPr>
      </w:pPr>
    </w:p>
    <w:p>
      <w:pPr>
        <w:ind w:left="280" w:right="579" w:hanging="4"/>
        <w:spacing w:after="0" w:line="228" w:lineRule="auto"/>
        <w:tabs>
          <w:tab w:leader="none" w:pos="497"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effectively subordinated to all existing and future indebtedness and other liabilities, including trade payables, of the existing and future subsidiaries of such guarantor that do not guarantee the notes.</w:t>
      </w:r>
    </w:p>
    <w:p>
      <w:pPr>
        <w:spacing w:after="0" w:line="62" w:lineRule="exact"/>
        <w:rPr>
          <w:sz w:val="24"/>
          <w:szCs w:val="24"/>
          <w:color w:val="auto"/>
        </w:rPr>
      </w:pPr>
    </w:p>
    <w:p>
      <w:pPr>
        <w:ind w:left="280" w:right="479" w:firstLine="320"/>
        <w:spacing w:after="0" w:line="225" w:lineRule="auto"/>
        <w:rPr>
          <w:sz w:val="20"/>
          <w:szCs w:val="20"/>
          <w:color w:val="auto"/>
        </w:rPr>
      </w:pPr>
      <w:r>
        <w:rPr>
          <w:rFonts w:ascii="Times New Roman" w:cs="Times New Roman" w:eastAsia="Times New Roman" w:hAnsi="Times New Roman"/>
          <w:sz w:val="13"/>
          <w:szCs w:val="13"/>
          <w:color w:val="auto"/>
        </w:rPr>
        <w:t>We intend to use the net proceeds from this offering to (i) fund the repayment of any amounts borrowed under the Revolving Credit Facility (as defined herein) in June 2026 in connection with the repayment of the 2026 Senior Notes (as defined herein) and (ii) the remainder, if any, to replenish cash that will be utilized in connection with the repayment of the 2026 Senior Notes, with such cash to be used for general corporate purposes. For a more detailed discussion, see “Summary—Recent Developments—Repayment of 2026 Senior Notes” and “Use of Proceeds.”</w:t>
      </w:r>
    </w:p>
    <w:p>
      <w:pPr>
        <w:spacing w:after="0" w:line="62" w:lineRule="exact"/>
        <w:rPr>
          <w:sz w:val="24"/>
          <w:szCs w:val="24"/>
          <w:color w:val="auto"/>
        </w:rPr>
      </w:pPr>
    </w:p>
    <w:p>
      <w:pPr>
        <w:jc w:val="both"/>
        <w:ind w:left="280" w:right="399" w:firstLine="320"/>
        <w:spacing w:after="0" w:line="231" w:lineRule="auto"/>
        <w:rPr>
          <w:sz w:val="20"/>
          <w:szCs w:val="20"/>
          <w:color w:val="auto"/>
        </w:rPr>
      </w:pPr>
      <w:r>
        <w:rPr>
          <w:rFonts w:ascii="Times New Roman" w:cs="Times New Roman" w:eastAsia="Times New Roman" w:hAnsi="Times New Roman"/>
          <w:sz w:val="13"/>
          <w:szCs w:val="13"/>
          <w:b w:val="1"/>
          <w:bCs w:val="1"/>
          <w:color w:val="auto"/>
        </w:rPr>
        <w:t>Investing in the notes involves risks. You should carefully consider the information referred to under the heading “Risk Factors” beginning on page S-</w:t>
      </w:r>
      <w:r>
        <w:rPr>
          <w:rFonts w:ascii="Times New Roman" w:cs="Times New Roman" w:eastAsia="Times New Roman" w:hAnsi="Times New Roman"/>
          <w:sz w:val="13"/>
          <w:szCs w:val="13"/>
          <w:b w:val="1"/>
          <w:bCs w:val="1"/>
          <w:u w:val="single" w:color="auto"/>
          <w:color w:val="0000EE"/>
        </w:rPr>
        <w:t>7</w:t>
      </w:r>
      <w:r>
        <w:rPr>
          <w:rFonts w:ascii="Times New Roman" w:cs="Times New Roman" w:eastAsia="Times New Roman" w:hAnsi="Times New Roman"/>
          <w:sz w:val="13"/>
          <w:szCs w:val="13"/>
          <w:b w:val="1"/>
          <w:bCs w:val="1"/>
          <w:color w:val="auto"/>
        </w:rPr>
        <w:t xml:space="preserve"> of this prospectus supplement and under similar headings in the documents that are incorporated by reference herein for a discussion of certain risks you should consider prior to deciding whether to purchase the notes.</w:t>
      </w:r>
    </w:p>
    <w:p>
      <w:pPr>
        <w:spacing w:after="0" w:line="61" w:lineRule="exact"/>
        <w:rPr>
          <w:sz w:val="24"/>
          <w:szCs w:val="24"/>
          <w:color w:val="auto"/>
        </w:rPr>
      </w:pPr>
    </w:p>
    <w:p>
      <w:pPr>
        <w:ind w:left="280" w:right="459" w:firstLine="320"/>
        <w:spacing w:after="0" w:line="282"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 securities or determined that this prospectus supplement or the accompanying prospectus is accurate or complete. Any representation to the contrary is a criminal offense.</w:t>
      </w:r>
    </w:p>
    <w:p>
      <w:pPr>
        <w:spacing w:after="0" w:line="19" w:lineRule="exact"/>
        <w:rPr>
          <w:sz w:val="24"/>
          <w:szCs w:val="24"/>
          <w:color w:val="auto"/>
        </w:rPr>
      </w:pPr>
    </w:p>
    <w:tbl>
      <w:tblPr>
        <w:tblLayout w:type="fixed"/>
        <w:tblInd w:w="28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86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Public</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Underwriting</w:t>
            </w:r>
          </w:p>
        </w:tc>
        <w:tc>
          <w:tcPr>
            <w:tcW w:w="1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Proceeds to</w:t>
            </w:r>
          </w:p>
        </w:tc>
        <w:tc>
          <w:tcPr>
            <w:tcW w:w="0" w:type="dxa"/>
            <w:vAlign w:val="bottom"/>
          </w:tcPr>
          <w:p>
            <w:pPr>
              <w:spacing w:after="0"/>
              <w:rPr>
                <w:sz w:val="1"/>
                <w:szCs w:val="1"/>
                <w:color w:val="auto"/>
              </w:rPr>
            </w:pPr>
          </w:p>
        </w:tc>
      </w:tr>
      <w:tr>
        <w:trPr>
          <w:trHeight w:val="132"/>
        </w:trPr>
        <w:tc>
          <w:tcPr>
            <w:tcW w:w="56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6"/>
              </w:rPr>
              <w:t>Viatris (Before</w:t>
            </w:r>
          </w:p>
        </w:tc>
        <w:tc>
          <w:tcPr>
            <w:tcW w:w="0" w:type="dxa"/>
            <w:vAlign w:val="bottom"/>
          </w:tcPr>
          <w:p>
            <w:pPr>
              <w:spacing w:after="0"/>
              <w:rPr>
                <w:sz w:val="1"/>
                <w:szCs w:val="1"/>
                <w:color w:val="auto"/>
              </w:rPr>
            </w:pPr>
          </w:p>
        </w:tc>
      </w:tr>
      <w:tr>
        <w:trPr>
          <w:trHeight w:val="166"/>
        </w:trPr>
        <w:tc>
          <w:tcPr>
            <w:tcW w:w="56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Offering Price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0" w:type="dxa"/>
            <w:vAlign w:val="bottom"/>
          </w:tcPr>
          <w:p>
            <w:pPr>
              <w:spacing w:after="0"/>
              <w:rPr>
                <w:sz w:val="1"/>
                <w:szCs w:val="1"/>
                <w:color w:val="auto"/>
              </w:rPr>
            </w:pPr>
          </w:p>
        </w:tc>
      </w:tr>
      <w:tr>
        <w:trPr>
          <w:trHeight w:val="136"/>
        </w:trPr>
        <w:tc>
          <w:tcPr>
            <w:tcW w:w="56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Per note</w:t>
            </w:r>
          </w:p>
        </w:tc>
        <w:tc>
          <w:tcPr>
            <w:tcW w:w="8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99.739%</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0.400%</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99.339%</w:t>
            </w:r>
          </w:p>
        </w:tc>
        <w:tc>
          <w:tcPr>
            <w:tcW w:w="0" w:type="dxa"/>
            <w:vAlign w:val="bottom"/>
          </w:tcPr>
          <w:p>
            <w:pPr>
              <w:spacing w:after="0"/>
              <w:rPr>
                <w:sz w:val="1"/>
                <w:szCs w:val="1"/>
                <w:color w:val="auto"/>
              </w:rPr>
            </w:pPr>
          </w:p>
        </w:tc>
      </w:tr>
      <w:tr>
        <w:trPr>
          <w:trHeight w:val="166"/>
        </w:trPr>
        <w:tc>
          <w:tcPr>
            <w:tcW w:w="562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€648,303,500</w:t>
            </w:r>
          </w:p>
        </w:tc>
        <w:tc>
          <w:tcPr>
            <w:tcW w:w="160" w:type="dxa"/>
            <w:vAlign w:val="bottom"/>
          </w:tcPr>
          <w:p>
            <w:pPr>
              <w:spacing w:after="0"/>
              <w:rPr>
                <w:sz w:val="14"/>
                <w:szCs w:val="14"/>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€2,600,000</w:t>
            </w:r>
          </w:p>
        </w:tc>
        <w:tc>
          <w:tcPr>
            <w:tcW w:w="16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€645,703,500</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280" w:right="559" w:firstLine="320"/>
        <w:spacing w:after="0" w:line="239" w:lineRule="auto"/>
        <w:rPr>
          <w:sz w:val="20"/>
          <w:szCs w:val="20"/>
          <w:color w:val="auto"/>
        </w:rPr>
      </w:pPr>
      <w:r>
        <w:rPr>
          <w:rFonts w:ascii="Times New Roman" w:cs="Times New Roman" w:eastAsia="Times New Roman" w:hAnsi="Times New Roman"/>
          <w:sz w:val="13"/>
          <w:szCs w:val="13"/>
          <w:color w:val="auto"/>
        </w:rPr>
        <w:t>The public offering price and proceeds to Viatris (before expenses) set forth above do not include accrued interest, if any. Interest on the notes will accrue from June 17, 2026 and accrued interest must be paid by the purchaser if the notes are delivered after that date.</w:t>
      </w:r>
    </w:p>
    <w:p>
      <w:pPr>
        <w:spacing w:after="0" w:line="63" w:lineRule="exact"/>
        <w:rPr>
          <w:sz w:val="24"/>
          <w:szCs w:val="24"/>
          <w:color w:val="auto"/>
        </w:rPr>
      </w:pPr>
    </w:p>
    <w:p>
      <w:pPr>
        <w:ind w:left="280" w:right="339" w:firstLine="320"/>
        <w:spacing w:after="0" w:line="219" w:lineRule="auto"/>
        <w:rPr>
          <w:sz w:val="20"/>
          <w:szCs w:val="20"/>
          <w:color w:val="auto"/>
        </w:rPr>
      </w:pPr>
      <w:r>
        <w:rPr>
          <w:rFonts w:ascii="Times New Roman" w:cs="Times New Roman" w:eastAsia="Times New Roman" w:hAnsi="Times New Roman"/>
          <w:sz w:val="13"/>
          <w:szCs w:val="13"/>
          <w:color w:val="auto"/>
        </w:rPr>
        <w:t>The notes are a new issue of securities with no established trading market. Application has been made to the Irish Stock Exchange plc trading as Euronext Dublin (“Euronext Dublin”) for the approval of this document as listing particulars. Application has also been made to Euronext Dublin for the notes to be admitted to the Official List of Euronext Dublin and to trade on the Global Exchange Market, which is the exchange regulated market of Euronext Dublin. The Global Exchange Market is not a regulated market for the purposes of MiFID II and UK MiFIR (as each defined herein). Investors should note that any listing particulars approved by Euronext Dublin would be issued by us solely for the purposes of obtaining a listing of the notes on Euronext Dublin following completion of the offering and issuance of the notes contemplated in this prospectus supplement and such listing particulars should not be relied upon by any person. There can be no assurance that a listing of the notes will be obtained.</w:t>
      </w:r>
    </w:p>
    <w:p>
      <w:pPr>
        <w:spacing w:after="0" w:line="66" w:lineRule="exact"/>
        <w:rPr>
          <w:sz w:val="24"/>
          <w:szCs w:val="24"/>
          <w:color w:val="auto"/>
        </w:rPr>
      </w:pPr>
    </w:p>
    <w:p>
      <w:pPr>
        <w:ind w:left="280" w:right="319" w:firstLine="320"/>
        <w:spacing w:after="0" w:line="230" w:lineRule="auto"/>
        <w:rPr>
          <w:sz w:val="20"/>
          <w:szCs w:val="20"/>
          <w:color w:val="auto"/>
        </w:rPr>
      </w:pPr>
      <w:r>
        <w:rPr>
          <w:rFonts w:ascii="Times New Roman" w:cs="Times New Roman" w:eastAsia="Times New Roman" w:hAnsi="Times New Roman"/>
          <w:sz w:val="13"/>
          <w:szCs w:val="13"/>
          <w:color w:val="auto"/>
        </w:rPr>
        <w:t>The underwriters expect to deliver the notes to purchasers in book-entry form only through the facilities of Euroclear Bank SA/NV, Belgium (“Euroclear”), as operator of the Euroclear securities settlement system (“Euroclear System”), and Clearstream Banking S.A., Luxembourg (“Clearstream”), on or about June 17, 2026.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2375535</wp:posOffset>
            </wp:positionH>
            <wp:positionV relativeFrom="paragraph">
              <wp:posOffset>67945</wp:posOffset>
            </wp:positionV>
            <wp:extent cx="9766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Active Joint Book-Running Managers</w:t>
      </w:r>
    </w:p>
    <w:p>
      <w:pPr>
        <w:spacing w:after="0" w:line="108" w:lineRule="exact"/>
        <w:rPr>
          <w:sz w:val="24"/>
          <w:szCs w:val="24"/>
          <w:color w:val="auto"/>
        </w:rPr>
      </w:pPr>
    </w:p>
    <w:p>
      <w:pPr>
        <w:ind w:left="1000"/>
        <w:spacing w:after="0"/>
        <w:tabs>
          <w:tab w:leader="none" w:pos="4220" w:val="left"/>
          <w:tab w:leader="none" w:pos="6800" w:val="left"/>
        </w:tabs>
        <w:rPr>
          <w:sz w:val="20"/>
          <w:szCs w:val="20"/>
          <w:color w:val="auto"/>
        </w:rPr>
      </w:pPr>
      <w:r>
        <w:rPr>
          <w:rFonts w:ascii="Times New Roman" w:cs="Times New Roman" w:eastAsia="Times New Roman" w:hAnsi="Times New Roman"/>
          <w:sz w:val="13"/>
          <w:szCs w:val="13"/>
          <w:b w:val="1"/>
          <w:bCs w:val="1"/>
          <w:color w:val="auto"/>
        </w:rPr>
        <w:t>BNP PARIBAS</w:t>
      </w:r>
      <w:r>
        <w:rPr>
          <w:sz w:val="20"/>
          <w:szCs w:val="20"/>
          <w:color w:val="auto"/>
        </w:rPr>
        <w:tab/>
      </w:r>
      <w:r>
        <w:rPr>
          <w:rFonts w:ascii="Times New Roman" w:cs="Times New Roman" w:eastAsia="Times New Roman" w:hAnsi="Times New Roman"/>
          <w:sz w:val="13"/>
          <w:szCs w:val="13"/>
          <w:b w:val="1"/>
          <w:bCs w:val="1"/>
          <w:color w:val="auto"/>
        </w:rPr>
        <w:t>Citigroup</w:t>
      </w:r>
      <w:r>
        <w:rPr>
          <w:sz w:val="20"/>
          <w:szCs w:val="20"/>
          <w:color w:val="auto"/>
        </w:rPr>
        <w:tab/>
      </w:r>
      <w:r>
        <w:rPr>
          <w:rFonts w:ascii="Times New Roman" w:cs="Times New Roman" w:eastAsia="Times New Roman" w:hAnsi="Times New Roman"/>
          <w:sz w:val="12"/>
          <w:szCs w:val="12"/>
          <w:b w:val="1"/>
          <w:bCs w:val="1"/>
          <w:color w:val="auto"/>
        </w:rPr>
        <w:t>Goldman Sachs &amp; Co. LLC</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Passive Joint Book-Running Managers</w:t>
      </w:r>
    </w:p>
    <w:p>
      <w:pPr>
        <w:spacing w:after="0" w:line="108" w:lineRule="exact"/>
        <w:rPr>
          <w:sz w:val="24"/>
          <w:szCs w:val="24"/>
          <w:color w:val="auto"/>
        </w:rPr>
      </w:pPr>
    </w:p>
    <w:p>
      <w:pPr>
        <w:ind w:left="1200"/>
        <w:spacing w:after="0"/>
        <w:tabs>
          <w:tab w:leader="none" w:pos="4080" w:val="left"/>
          <w:tab w:leader="none" w:pos="7160" w:val="left"/>
        </w:tabs>
        <w:rPr>
          <w:sz w:val="20"/>
          <w:szCs w:val="20"/>
          <w:color w:val="auto"/>
        </w:rPr>
      </w:pPr>
      <w:r>
        <w:rPr>
          <w:rFonts w:ascii="Times New Roman" w:cs="Times New Roman" w:eastAsia="Times New Roman" w:hAnsi="Times New Roman"/>
          <w:sz w:val="13"/>
          <w:szCs w:val="13"/>
          <w:b w:val="1"/>
          <w:bCs w:val="1"/>
          <w:color w:val="auto"/>
        </w:rPr>
        <w:t>Barclays</w:t>
      </w:r>
      <w:r>
        <w:rPr>
          <w:sz w:val="20"/>
          <w:szCs w:val="20"/>
          <w:color w:val="auto"/>
        </w:rPr>
        <w:tab/>
      </w:r>
      <w:r>
        <w:rPr>
          <w:rFonts w:ascii="Times New Roman" w:cs="Times New Roman" w:eastAsia="Times New Roman" w:hAnsi="Times New Roman"/>
          <w:sz w:val="13"/>
          <w:szCs w:val="13"/>
          <w:b w:val="1"/>
          <w:bCs w:val="1"/>
          <w:color w:val="auto"/>
        </w:rPr>
        <w:t>Deutsche Bank</w:t>
      </w:r>
      <w:r>
        <w:rPr>
          <w:sz w:val="20"/>
          <w:szCs w:val="20"/>
          <w:color w:val="auto"/>
        </w:rPr>
        <w:tab/>
      </w:r>
      <w:r>
        <w:rPr>
          <w:rFonts w:ascii="Times New Roman" w:cs="Times New Roman" w:eastAsia="Times New Roman" w:hAnsi="Times New Roman"/>
          <w:sz w:val="12"/>
          <w:szCs w:val="12"/>
          <w:b w:val="1"/>
          <w:bCs w:val="1"/>
          <w:color w:val="auto"/>
        </w:rPr>
        <w:t>DNB Carnegie</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Co-Managers</w:t>
      </w:r>
    </w:p>
    <w:p>
      <w:pPr>
        <w:spacing w:after="0" w:line="96" w:lineRule="exact"/>
        <w:rPr>
          <w:sz w:val="24"/>
          <w:szCs w:val="24"/>
          <w:color w:val="auto"/>
        </w:rPr>
      </w:pPr>
    </w:p>
    <w:tbl>
      <w:tblPr>
        <w:tblLayout w:type="fixed"/>
        <w:tblInd w:w="500" w:type="dxa"/>
        <w:tblCellMar>
          <w:top w:w="0" w:type="dxa"/>
          <w:left w:w="0" w:type="dxa"/>
          <w:bottom w:w="0" w:type="dxa"/>
          <w:right w:w="0" w:type="dxa"/>
        </w:tblCellMar>
      </w:tblPr>
      <w:tr>
        <w:trPr>
          <w:trHeight w:val="156"/>
        </w:trPr>
        <w:tc>
          <w:tcPr>
            <w:tcW w:w="2180" w:type="dxa"/>
            <w:vAlign w:val="bottom"/>
          </w:tcPr>
          <w:p>
            <w:pPr>
              <w:jc w:val="center"/>
              <w:ind w:right="276"/>
              <w:spacing w:after="0"/>
              <w:rPr>
                <w:sz w:val="20"/>
                <w:szCs w:val="20"/>
                <w:color w:val="auto"/>
              </w:rPr>
            </w:pPr>
            <w:r>
              <w:rPr>
                <w:rFonts w:ascii="Times New Roman" w:cs="Times New Roman" w:eastAsia="Times New Roman" w:hAnsi="Times New Roman"/>
                <w:sz w:val="13"/>
                <w:szCs w:val="13"/>
                <w:b w:val="1"/>
                <w:bCs w:val="1"/>
                <w:color w:val="auto"/>
                <w:w w:val="97"/>
              </w:rPr>
              <w:t>ING</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J.P. Morgan</w:t>
            </w: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BofA Securities</w:t>
            </w:r>
          </w:p>
        </w:tc>
        <w:tc>
          <w:tcPr>
            <w:tcW w:w="1700" w:type="dxa"/>
            <w:vAlign w:val="bottom"/>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8"/>
              </w:rPr>
              <w:t>Mizuho</w:t>
            </w:r>
          </w:p>
        </w:tc>
      </w:tr>
      <w:tr>
        <w:trPr>
          <w:trHeight w:val="156"/>
        </w:trPr>
        <w:tc>
          <w:tcPr>
            <w:tcW w:w="2180" w:type="dxa"/>
            <w:vAlign w:val="bottom"/>
          </w:tcPr>
          <w:p>
            <w:pPr>
              <w:jc w:val="center"/>
              <w:ind w:right="276"/>
              <w:spacing w:after="0"/>
              <w:rPr>
                <w:sz w:val="20"/>
                <w:szCs w:val="20"/>
                <w:color w:val="auto"/>
              </w:rPr>
            </w:pPr>
            <w:r>
              <w:rPr>
                <w:rFonts w:ascii="Times New Roman" w:cs="Times New Roman" w:eastAsia="Times New Roman" w:hAnsi="Times New Roman"/>
                <w:sz w:val="13"/>
                <w:szCs w:val="13"/>
                <w:b w:val="1"/>
                <w:bCs w:val="1"/>
                <w:color w:val="auto"/>
                <w:w w:val="98"/>
              </w:rPr>
              <w:t>Morgan Stanley</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PNC Capital Markets LLC</w:t>
            </w: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SMBC</w:t>
            </w:r>
          </w:p>
        </w:tc>
        <w:tc>
          <w:tcPr>
            <w:tcW w:w="1700" w:type="dxa"/>
            <w:vAlign w:val="bottom"/>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9"/>
              </w:rPr>
              <w:t>Scotiabank</w:t>
            </w:r>
          </w:p>
        </w:tc>
      </w:tr>
      <w:tr>
        <w:trPr>
          <w:trHeight w:val="132"/>
        </w:trPr>
        <w:tc>
          <w:tcPr>
            <w:tcW w:w="2180" w:type="dxa"/>
            <w:vAlign w:val="bottom"/>
          </w:tcPr>
          <w:p>
            <w:pPr>
              <w:jc w:val="center"/>
              <w:ind w:right="296"/>
              <w:spacing w:after="0" w:line="133" w:lineRule="exact"/>
              <w:rPr>
                <w:sz w:val="20"/>
                <w:szCs w:val="20"/>
                <w:color w:val="auto"/>
              </w:rPr>
            </w:pPr>
            <w:r>
              <w:rPr>
                <w:rFonts w:ascii="Times New Roman" w:cs="Times New Roman" w:eastAsia="Times New Roman" w:hAnsi="Times New Roman"/>
                <w:sz w:val="13"/>
                <w:szCs w:val="13"/>
                <w:b w:val="1"/>
                <w:bCs w:val="1"/>
                <w:color w:val="auto"/>
                <w:w w:val="96"/>
              </w:rPr>
              <w:t>Société Générale</w:t>
            </w:r>
          </w:p>
        </w:tc>
        <w:tc>
          <w:tcPr>
            <w:tcW w:w="22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8"/>
              </w:rPr>
              <w:t>Standard Chartered Bank</w:t>
            </w:r>
          </w:p>
        </w:tc>
        <w:tc>
          <w:tcPr>
            <w:tcW w:w="1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8"/>
              </w:rPr>
              <w:t>Academy Securities</w:t>
            </w:r>
          </w:p>
        </w:tc>
        <w:tc>
          <w:tcPr>
            <w:tcW w:w="1700" w:type="dxa"/>
            <w:vAlign w:val="bottom"/>
          </w:tcPr>
          <w:p>
            <w:pPr>
              <w:jc w:val="center"/>
              <w:ind w:left="396"/>
              <w:spacing w:after="0" w:line="133" w:lineRule="exact"/>
              <w:rPr>
                <w:sz w:val="20"/>
                <w:szCs w:val="20"/>
                <w:color w:val="auto"/>
              </w:rPr>
            </w:pPr>
            <w:r>
              <w:rPr>
                <w:rFonts w:ascii="Times New Roman" w:cs="Times New Roman" w:eastAsia="Times New Roman" w:hAnsi="Times New Roman"/>
                <w:sz w:val="13"/>
                <w:szCs w:val="13"/>
                <w:b w:val="1"/>
                <w:bCs w:val="1"/>
                <w:color w:val="auto"/>
                <w:w w:val="97"/>
              </w:rPr>
              <w:t>R. Seelaus &amp; Co., LLC</w:t>
            </w:r>
          </w:p>
        </w:tc>
      </w:tr>
      <w:tr>
        <w:trPr>
          <w:trHeight w:val="168"/>
        </w:trPr>
        <w:tc>
          <w:tcPr>
            <w:tcW w:w="2180" w:type="dxa"/>
            <w:vAlign w:val="bottom"/>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9"/>
              </w:rPr>
              <w:t>Corporate &amp; Investment Banking</w:t>
            </w:r>
          </w:p>
        </w:tc>
        <w:tc>
          <w:tcPr>
            <w:tcW w:w="2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date of this Prospectus Supplement is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-247650</wp:posOffset>
            </wp:positionH>
            <wp:positionV relativeFrom="paragraph">
              <wp:posOffset>127000</wp:posOffset>
            </wp:positionV>
            <wp:extent cx="622427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14" w:right="1440" w:bottom="1440" w:gutter="0" w:footer="0" w:header="0"/>
        </w:sectPr>
      </w:pPr>
    </w:p>
    <w:bookmarkStart w:id="1" w:name="page2"/>
    <w:bookmarkEnd w:id="1"/>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tbl>
      <w:tblPr>
        <w:tblLayout w:type="fixed"/>
        <w:tblInd w:w="7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9"/>
          </w:tcPr>
          <w:p>
            <w:pPr>
              <w:jc w:val="center"/>
              <w:ind w:right="2020"/>
              <w:spacing w:after="0"/>
              <w:rPr>
                <w:sz w:val="20"/>
                <w:szCs w:val="20"/>
                <w:color w:val="auto"/>
              </w:rPr>
            </w:pPr>
            <w:r>
              <w:rPr>
                <w:rFonts w:ascii="Times New Roman" w:cs="Times New Roman" w:eastAsia="Times New Roman" w:hAnsi="Times New Roman"/>
                <w:sz w:val="16"/>
                <w:szCs w:val="16"/>
                <w:b w:val="1"/>
                <w:bCs w:val="1"/>
                <w:color w:val="auto"/>
                <w:w w:val="99"/>
              </w:rPr>
              <w:t>TABLE OF CONTENTS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9"/>
          </w:tcPr>
          <w:p>
            <w:pPr>
              <w:jc w:val="center"/>
              <w:ind w:right="2020"/>
              <w:spacing w:after="0"/>
              <w:rPr>
                <w:sz w:val="20"/>
                <w:szCs w:val="20"/>
                <w:color w:val="auto"/>
              </w:rPr>
            </w:pPr>
            <w:r>
              <w:rPr>
                <w:rFonts w:ascii="Times New Roman" w:cs="Times New Roman" w:eastAsia="Times New Roman" w:hAnsi="Times New Roman"/>
                <w:sz w:val="16"/>
                <w:szCs w:val="16"/>
                <w:b w:val="1"/>
                <w:bCs w:val="1"/>
                <w:color w:val="auto"/>
                <w:w w:val="99"/>
              </w:rPr>
              <w:t>Prospectus Supplement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w w:val="94"/>
              </w:rPr>
              <w:t>SUMMARY</w:t>
            </w:r>
          </w:p>
        </w:tc>
        <w:tc>
          <w:tcPr>
            <w:tcW w:w="6100" w:type="dxa"/>
            <w:vAlign w:val="bottom"/>
            <w:gridSpan w:val="24"/>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5"/>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0000EE"/>
                <w:w w:val="98"/>
              </w:rPr>
              <w:t>S-1</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00" w:type="dxa"/>
            <w:vAlign w:val="bottom"/>
            <w:gridSpan w:val="26"/>
          </w:tcPr>
          <w:p>
            <w:pPr>
              <w:spacing w:after="0" w:line="168" w:lineRule="exact"/>
              <w:rPr>
                <w:sz w:val="20"/>
                <w:szCs w:val="20"/>
                <w:color w:val="auto"/>
              </w:rPr>
            </w:pPr>
            <w:r>
              <w:rPr>
                <w:rFonts w:ascii="Times New Roman" w:cs="Times New Roman" w:eastAsia="Times New Roman" w:hAnsi="Times New Roman"/>
                <w:sz w:val="16"/>
                <w:szCs w:val="16"/>
                <w:color w:val="0000EE"/>
              </w:rPr>
              <w:t>RISK FACTORS</w:t>
            </w:r>
          </w:p>
        </w:tc>
        <w:tc>
          <w:tcPr>
            <w:tcW w:w="260" w:type="dxa"/>
            <w:vAlign w:val="bottom"/>
          </w:tcPr>
          <w:p>
            <w:pPr>
              <w:spacing w:after="0"/>
              <w:rPr>
                <w:sz w:val="14"/>
                <w:szCs w:val="14"/>
                <w:color w:val="auto"/>
              </w:rPr>
            </w:pPr>
          </w:p>
        </w:tc>
        <w:tc>
          <w:tcPr>
            <w:tcW w:w="320" w:type="dxa"/>
            <w:vAlign w:val="bottom"/>
            <w:gridSpan w:val="5"/>
          </w:tcPr>
          <w:p>
            <w:pPr>
              <w:jc w:val="center"/>
              <w:spacing w:after="0" w:line="168" w:lineRule="exact"/>
              <w:rPr>
                <w:sz w:val="20"/>
                <w:szCs w:val="20"/>
                <w:color w:val="auto"/>
              </w:rPr>
            </w:pPr>
            <w:r>
              <w:rPr>
                <w:rFonts w:ascii="Times New Roman" w:cs="Times New Roman" w:eastAsia="Times New Roman" w:hAnsi="Times New Roman"/>
                <w:sz w:val="16"/>
                <w:szCs w:val="16"/>
                <w:color w:val="0000EE"/>
                <w:w w:val="98"/>
              </w:rPr>
              <w:t>S-7</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1920" w:type="dxa"/>
            <w:vAlign w:val="bottom"/>
            <w:gridSpan w:val="1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7"/>
              </w:rPr>
              <w:t>CURRENCY CONVERSION</w:t>
            </w:r>
          </w:p>
        </w:tc>
        <w:tc>
          <w:tcPr>
            <w:tcW w:w="4980" w:type="dxa"/>
            <w:vAlign w:val="bottom"/>
            <w:gridSpan w:val="14"/>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5"/>
            <w:shd w:val="clear" w:color="auto" w:fill="CCEEFF"/>
          </w:tcPr>
          <w:p>
            <w:pPr>
              <w:jc w:val="center"/>
              <w:ind w:right="20"/>
              <w:spacing w:after="0" w:line="168" w:lineRule="exact"/>
              <w:rPr>
                <w:sz w:val="20"/>
                <w:szCs w:val="20"/>
                <w:color w:val="auto"/>
              </w:rPr>
            </w:pPr>
            <w:r>
              <w:rPr>
                <w:rFonts w:ascii="Times New Roman" w:cs="Times New Roman" w:eastAsia="Times New Roman" w:hAnsi="Times New Roman"/>
                <w:sz w:val="16"/>
                <w:szCs w:val="16"/>
                <w:color w:val="0000EE"/>
                <w:w w:val="99"/>
              </w:rPr>
              <w:t>S-16</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1920" w:type="dxa"/>
            <w:vAlign w:val="bottom"/>
            <w:gridSpan w:val="12"/>
          </w:tcPr>
          <w:p>
            <w:pPr>
              <w:spacing w:after="0" w:line="168" w:lineRule="exact"/>
              <w:rPr>
                <w:sz w:val="20"/>
                <w:szCs w:val="20"/>
                <w:color w:val="auto"/>
              </w:rPr>
            </w:pPr>
            <w:r>
              <w:rPr>
                <w:rFonts w:ascii="Times New Roman" w:cs="Times New Roman" w:eastAsia="Times New Roman" w:hAnsi="Times New Roman"/>
                <w:sz w:val="16"/>
                <w:szCs w:val="16"/>
                <w:color w:val="0000EE"/>
              </w:rPr>
              <w:t>USE OF PROCEEDS</w:t>
            </w:r>
          </w:p>
        </w:tc>
        <w:tc>
          <w:tcPr>
            <w:tcW w:w="4980" w:type="dxa"/>
            <w:vAlign w:val="bottom"/>
            <w:gridSpan w:val="14"/>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5"/>
          </w:tcPr>
          <w:p>
            <w:pPr>
              <w:jc w:val="center"/>
              <w:ind w:right="20"/>
              <w:spacing w:after="0" w:line="168" w:lineRule="exact"/>
              <w:rPr>
                <w:sz w:val="20"/>
                <w:szCs w:val="20"/>
                <w:color w:val="auto"/>
              </w:rPr>
            </w:pPr>
            <w:r>
              <w:rPr>
                <w:rFonts w:ascii="Times New Roman" w:cs="Times New Roman" w:eastAsia="Times New Roman" w:hAnsi="Times New Roman"/>
                <w:sz w:val="16"/>
                <w:szCs w:val="16"/>
                <w:color w:val="0000EE"/>
                <w:w w:val="99"/>
              </w:rPr>
              <w:t>S-17</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1280" w:type="dxa"/>
            <w:vAlign w:val="bottom"/>
            <w:gridSpan w:val="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5"/>
              </w:rPr>
              <w:t>CAPITALIZATION</w:t>
            </w:r>
          </w:p>
        </w:tc>
        <w:tc>
          <w:tcPr>
            <w:tcW w:w="5620" w:type="dxa"/>
            <w:vAlign w:val="bottom"/>
            <w:gridSpan w:val="20"/>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5"/>
            <w:shd w:val="clear" w:color="auto" w:fill="CCEEFF"/>
          </w:tcPr>
          <w:p>
            <w:pPr>
              <w:jc w:val="center"/>
              <w:ind w:right="20"/>
              <w:spacing w:after="0" w:line="168" w:lineRule="exact"/>
              <w:rPr>
                <w:sz w:val="20"/>
                <w:szCs w:val="20"/>
                <w:color w:val="auto"/>
              </w:rPr>
            </w:pPr>
            <w:r>
              <w:rPr>
                <w:rFonts w:ascii="Times New Roman" w:cs="Times New Roman" w:eastAsia="Times New Roman" w:hAnsi="Times New Roman"/>
                <w:sz w:val="16"/>
                <w:szCs w:val="16"/>
                <w:color w:val="0000EE"/>
                <w:w w:val="99"/>
              </w:rPr>
              <w:t>S-18</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00" w:type="dxa"/>
            <w:vAlign w:val="bottom"/>
            <w:gridSpan w:val="26"/>
          </w:tcPr>
          <w:p>
            <w:pPr>
              <w:spacing w:after="0" w:line="168" w:lineRule="exact"/>
              <w:rPr>
                <w:sz w:val="20"/>
                <w:szCs w:val="20"/>
                <w:color w:val="auto"/>
              </w:rPr>
            </w:pPr>
            <w:r>
              <w:rPr>
                <w:rFonts w:ascii="Times New Roman" w:cs="Times New Roman" w:eastAsia="Times New Roman" w:hAnsi="Times New Roman"/>
                <w:sz w:val="16"/>
                <w:szCs w:val="16"/>
                <w:color w:val="0000EE"/>
              </w:rPr>
              <w:t>DESCRIPTION OF NOTES</w:t>
            </w:r>
          </w:p>
        </w:tc>
        <w:tc>
          <w:tcPr>
            <w:tcW w:w="260" w:type="dxa"/>
            <w:vAlign w:val="bottom"/>
          </w:tcPr>
          <w:p>
            <w:pPr>
              <w:spacing w:after="0"/>
              <w:rPr>
                <w:sz w:val="14"/>
                <w:szCs w:val="14"/>
                <w:color w:val="auto"/>
              </w:rPr>
            </w:pPr>
          </w:p>
        </w:tc>
        <w:tc>
          <w:tcPr>
            <w:tcW w:w="320" w:type="dxa"/>
            <w:vAlign w:val="bottom"/>
            <w:gridSpan w:val="5"/>
          </w:tcPr>
          <w:p>
            <w:pPr>
              <w:jc w:val="center"/>
              <w:ind w:right="20"/>
              <w:spacing w:after="0" w:line="168" w:lineRule="exact"/>
              <w:rPr>
                <w:sz w:val="20"/>
                <w:szCs w:val="20"/>
                <w:color w:val="auto"/>
              </w:rPr>
            </w:pPr>
            <w:r>
              <w:rPr>
                <w:rFonts w:ascii="Times New Roman" w:cs="Times New Roman" w:eastAsia="Times New Roman" w:hAnsi="Times New Roman"/>
                <w:sz w:val="16"/>
                <w:szCs w:val="16"/>
                <w:color w:val="0000EE"/>
                <w:w w:val="99"/>
              </w:rPr>
              <w:t>S-20</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60" w:type="dxa"/>
            <w:vAlign w:val="bottom"/>
            <w:gridSpan w:val="2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8"/>
              </w:rPr>
              <w:t>U.S. FEDERAL INCOME TAX CONSEQUENCES</w:t>
            </w:r>
          </w:p>
        </w:tc>
        <w:tc>
          <w:tcPr>
            <w:tcW w:w="3540" w:type="dxa"/>
            <w:vAlign w:val="bottom"/>
            <w:gridSpan w:val="6"/>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5"/>
            <w:shd w:val="clear" w:color="auto" w:fill="CCEEFF"/>
          </w:tcPr>
          <w:p>
            <w:pPr>
              <w:jc w:val="center"/>
              <w:ind w:right="20"/>
              <w:spacing w:after="0" w:line="168" w:lineRule="exact"/>
              <w:rPr>
                <w:sz w:val="20"/>
                <w:szCs w:val="20"/>
                <w:color w:val="auto"/>
              </w:rPr>
            </w:pPr>
            <w:r>
              <w:rPr>
                <w:rFonts w:ascii="Times New Roman" w:cs="Times New Roman" w:eastAsia="Times New Roman" w:hAnsi="Times New Roman"/>
                <w:sz w:val="16"/>
                <w:szCs w:val="16"/>
                <w:color w:val="0000EE"/>
                <w:w w:val="99"/>
              </w:rPr>
              <w:t>S-43</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60" w:type="dxa"/>
            <w:vAlign w:val="bottom"/>
            <w:gridSpan w:val="20"/>
          </w:tcPr>
          <w:p>
            <w:pPr>
              <w:spacing w:after="0" w:line="168" w:lineRule="exact"/>
              <w:rPr>
                <w:sz w:val="20"/>
                <w:szCs w:val="20"/>
                <w:color w:val="auto"/>
              </w:rPr>
            </w:pPr>
            <w:r>
              <w:rPr>
                <w:rFonts w:ascii="Times New Roman" w:cs="Times New Roman" w:eastAsia="Times New Roman" w:hAnsi="Times New Roman"/>
                <w:sz w:val="16"/>
                <w:szCs w:val="16"/>
                <w:color w:val="0000EE"/>
              </w:rPr>
              <w:t>CERTAIN DUTCH TAX CONSIDERATIONS</w:t>
            </w:r>
          </w:p>
        </w:tc>
        <w:tc>
          <w:tcPr>
            <w:tcW w:w="3540" w:type="dxa"/>
            <w:vAlign w:val="bottom"/>
            <w:gridSpan w:val="6"/>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5"/>
          </w:tcPr>
          <w:p>
            <w:pPr>
              <w:jc w:val="center"/>
              <w:ind w:right="20"/>
              <w:spacing w:after="0" w:line="168" w:lineRule="exact"/>
              <w:rPr>
                <w:sz w:val="20"/>
                <w:szCs w:val="20"/>
                <w:color w:val="auto"/>
              </w:rPr>
            </w:pPr>
            <w:r>
              <w:rPr>
                <w:rFonts w:ascii="Times New Roman" w:cs="Times New Roman" w:eastAsia="Times New Roman" w:hAnsi="Times New Roman"/>
                <w:sz w:val="16"/>
                <w:szCs w:val="16"/>
                <w:color w:val="0000EE"/>
                <w:w w:val="99"/>
              </w:rPr>
              <w:t>S-49</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560" w:type="dxa"/>
            <w:vAlign w:val="bottom"/>
            <w:gridSpan w:val="17"/>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6"/>
              </w:rPr>
              <w:t>CERTAIN ERISA CONSIDERATIONS</w:t>
            </w:r>
          </w:p>
        </w:tc>
        <w:tc>
          <w:tcPr>
            <w:tcW w:w="4340" w:type="dxa"/>
            <w:vAlign w:val="bottom"/>
            <w:gridSpan w:val="9"/>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5"/>
            <w:shd w:val="clear" w:color="auto" w:fill="CCEEFF"/>
          </w:tcPr>
          <w:p>
            <w:pPr>
              <w:jc w:val="center"/>
              <w:ind w:right="20"/>
              <w:spacing w:after="0" w:line="168" w:lineRule="exact"/>
              <w:rPr>
                <w:sz w:val="20"/>
                <w:szCs w:val="20"/>
                <w:color w:val="auto"/>
              </w:rPr>
            </w:pPr>
            <w:r>
              <w:rPr>
                <w:rFonts w:ascii="Times New Roman" w:cs="Times New Roman" w:eastAsia="Times New Roman" w:hAnsi="Times New Roman"/>
                <w:sz w:val="16"/>
                <w:szCs w:val="16"/>
                <w:color w:val="0000EE"/>
                <w:w w:val="99"/>
              </w:rPr>
              <w:t>S-51</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560" w:type="dxa"/>
            <w:vAlign w:val="bottom"/>
            <w:gridSpan w:val="17"/>
          </w:tcPr>
          <w:p>
            <w:pPr>
              <w:spacing w:after="0" w:line="168" w:lineRule="exact"/>
              <w:rPr>
                <w:sz w:val="20"/>
                <w:szCs w:val="20"/>
                <w:color w:val="auto"/>
              </w:rPr>
            </w:pPr>
            <w:r>
              <w:rPr>
                <w:rFonts w:ascii="Times New Roman" w:cs="Times New Roman" w:eastAsia="Times New Roman" w:hAnsi="Times New Roman"/>
                <w:sz w:val="16"/>
                <w:szCs w:val="16"/>
                <w:color w:val="0000EE"/>
              </w:rPr>
              <w:t>UNDERWRITING</w:t>
            </w:r>
          </w:p>
        </w:tc>
        <w:tc>
          <w:tcPr>
            <w:tcW w:w="4340" w:type="dxa"/>
            <w:vAlign w:val="bottom"/>
            <w:gridSpan w:val="9"/>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5"/>
          </w:tcPr>
          <w:p>
            <w:pPr>
              <w:jc w:val="center"/>
              <w:ind w:right="20"/>
              <w:spacing w:after="0" w:line="168" w:lineRule="exact"/>
              <w:rPr>
                <w:sz w:val="20"/>
                <w:szCs w:val="20"/>
                <w:color w:val="auto"/>
              </w:rPr>
            </w:pPr>
            <w:r>
              <w:rPr>
                <w:rFonts w:ascii="Times New Roman" w:cs="Times New Roman" w:eastAsia="Times New Roman" w:hAnsi="Times New Roman"/>
                <w:sz w:val="16"/>
                <w:szCs w:val="16"/>
                <w:color w:val="0000EE"/>
                <w:w w:val="99"/>
              </w:rPr>
              <w:t>S-53</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720" w:type="dxa"/>
            <w:vAlign w:val="bottom"/>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8"/>
              </w:rPr>
              <w:t>VALIDITY OF THE NOTES AND THE GUARANTEES</w:t>
            </w:r>
          </w:p>
        </w:tc>
        <w:tc>
          <w:tcPr>
            <w:tcW w:w="3180" w:type="dxa"/>
            <w:vAlign w:val="bottom"/>
            <w:gridSpan w:val="4"/>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5"/>
            <w:shd w:val="clear" w:color="auto" w:fill="CCEEFF"/>
          </w:tcPr>
          <w:p>
            <w:pPr>
              <w:jc w:val="center"/>
              <w:ind w:right="20"/>
              <w:spacing w:after="0" w:line="168" w:lineRule="exact"/>
              <w:rPr>
                <w:sz w:val="20"/>
                <w:szCs w:val="20"/>
                <w:color w:val="auto"/>
              </w:rPr>
            </w:pPr>
            <w:r>
              <w:rPr>
                <w:rFonts w:ascii="Times New Roman" w:cs="Times New Roman" w:eastAsia="Times New Roman" w:hAnsi="Times New Roman"/>
                <w:sz w:val="16"/>
                <w:szCs w:val="16"/>
                <w:color w:val="0000EE"/>
                <w:w w:val="99"/>
              </w:rPr>
              <w:t>S-59</w:t>
            </w: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720" w:type="dxa"/>
            <w:vAlign w:val="bottom"/>
            <w:gridSpan w:val="22"/>
          </w:tcPr>
          <w:p>
            <w:pPr>
              <w:spacing w:after="0" w:line="168" w:lineRule="exact"/>
              <w:rPr>
                <w:sz w:val="20"/>
                <w:szCs w:val="20"/>
                <w:color w:val="auto"/>
              </w:rPr>
            </w:pPr>
            <w:r>
              <w:rPr>
                <w:rFonts w:ascii="Times New Roman" w:cs="Times New Roman" w:eastAsia="Times New Roman" w:hAnsi="Times New Roman"/>
                <w:sz w:val="16"/>
                <w:szCs w:val="16"/>
                <w:color w:val="0000EE"/>
              </w:rPr>
              <w:t>EXPERTS</w:t>
            </w:r>
          </w:p>
        </w:tc>
        <w:tc>
          <w:tcPr>
            <w:tcW w:w="3180" w:type="dxa"/>
            <w:vAlign w:val="bottom"/>
            <w:gridSpan w:val="4"/>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gridSpan w:val="5"/>
          </w:tcPr>
          <w:p>
            <w:pPr>
              <w:jc w:val="center"/>
              <w:ind w:right="20"/>
              <w:spacing w:after="0" w:line="168" w:lineRule="exact"/>
              <w:rPr>
                <w:sz w:val="20"/>
                <w:szCs w:val="20"/>
                <w:color w:val="auto"/>
              </w:rPr>
            </w:pPr>
            <w:r>
              <w:rPr>
                <w:rFonts w:ascii="Times New Roman" w:cs="Times New Roman" w:eastAsia="Times New Roman" w:hAnsi="Times New Roman"/>
                <w:sz w:val="16"/>
                <w:szCs w:val="16"/>
                <w:color w:val="0000EE"/>
                <w:w w:val="99"/>
              </w:rPr>
              <w:t>S-59</w:t>
            </w:r>
          </w:p>
        </w:tc>
        <w:tc>
          <w:tcPr>
            <w:tcW w:w="0" w:type="dxa"/>
            <w:vAlign w:val="bottom"/>
          </w:tcPr>
          <w:p>
            <w:pPr>
              <w:spacing w:after="0"/>
              <w:rPr>
                <w:sz w:val="1"/>
                <w:szCs w:val="1"/>
                <w:color w:val="auto"/>
              </w:rPr>
            </w:pPr>
          </w:p>
        </w:tc>
      </w:tr>
      <w:tr>
        <w:trPr>
          <w:trHeight w:val="545"/>
        </w:trPr>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7"/>
          </w:tcPr>
          <w:p>
            <w:pPr>
              <w:jc w:val="center"/>
              <w:ind w:right="2460"/>
              <w:spacing w:after="0"/>
              <w:rPr>
                <w:sz w:val="20"/>
                <w:szCs w:val="20"/>
                <w:color w:val="auto"/>
              </w:rPr>
            </w:pPr>
            <w:r>
              <w:rPr>
                <w:rFonts w:ascii="Times New Roman" w:cs="Times New Roman" w:eastAsia="Times New Roman" w:hAnsi="Times New Roman"/>
                <w:sz w:val="16"/>
                <w:szCs w:val="16"/>
                <w:b w:val="1"/>
                <w:bCs w:val="1"/>
                <w:color w:val="auto"/>
                <w:w w:val="99"/>
              </w:rPr>
              <w:t>Prospectus</w:t>
            </w: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8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EE"/>
                <w:w w:val="97"/>
              </w:rPr>
              <w:t>ABOUT THIS PROSPECTUS</w:t>
            </w:r>
          </w:p>
        </w:tc>
        <w:tc>
          <w:tcPr>
            <w:tcW w:w="4940" w:type="dxa"/>
            <w:vAlign w:val="bottom"/>
            <w:gridSpan w:val="13"/>
            <w:shd w:val="clear" w:color="auto" w:fill="CCEEFF"/>
          </w:tcPr>
          <w:p>
            <w:pPr>
              <w:spacing w:after="0"/>
              <w:rPr>
                <w:sz w:val="21"/>
                <w:szCs w:val="21"/>
                <w:color w:val="auto"/>
              </w:rPr>
            </w:pPr>
          </w:p>
        </w:tc>
        <w:tc>
          <w:tcPr>
            <w:tcW w:w="5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00" w:type="dxa"/>
            <w:vAlign w:val="bottom"/>
            <w:gridSpan w:val="26"/>
          </w:tcPr>
          <w:p>
            <w:pPr>
              <w:spacing w:after="0" w:line="168" w:lineRule="exact"/>
              <w:rPr>
                <w:sz w:val="20"/>
                <w:szCs w:val="20"/>
                <w:color w:val="auto"/>
              </w:rPr>
            </w:pPr>
            <w:r>
              <w:rPr>
                <w:rFonts w:ascii="Times New Roman" w:cs="Times New Roman" w:eastAsia="Times New Roman" w:hAnsi="Times New Roman"/>
                <w:sz w:val="16"/>
                <w:szCs w:val="16"/>
                <w:color w:val="0000EE"/>
              </w:rPr>
              <w:t>WHERE YOU CAN FIND MORE INFORMATION</w:t>
            </w:r>
          </w:p>
        </w:tc>
        <w:tc>
          <w:tcPr>
            <w:tcW w:w="560" w:type="dxa"/>
            <w:vAlign w:val="bottom"/>
            <w:gridSpan w:val="5"/>
          </w:tcPr>
          <w:p>
            <w:pPr>
              <w:jc w:val="right"/>
              <w:spacing w:after="0" w:line="168" w:lineRule="exact"/>
              <w:rPr>
                <w:sz w:val="20"/>
                <w:szCs w:val="20"/>
                <w:color w:val="auto"/>
              </w:rPr>
            </w:pPr>
            <w:r>
              <w:rPr>
                <w:rFonts w:ascii="Times New Roman" w:cs="Times New Roman" w:eastAsia="Times New Roman" w:hAnsi="Times New Roman"/>
                <w:sz w:val="16"/>
                <w:szCs w:val="16"/>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480" w:type="dxa"/>
            <w:vAlign w:val="bottom"/>
            <w:gridSpan w:val="2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8"/>
              </w:rPr>
              <w:t>INCORPORATION OF CERTAIN DOCUMENTS BY REFERENCE</w:t>
            </w:r>
          </w:p>
        </w:tc>
        <w:tc>
          <w:tcPr>
            <w:tcW w:w="2420" w:type="dxa"/>
            <w:vAlign w:val="bottom"/>
            <w:gridSpan w:val="2"/>
            <w:shd w:val="clear" w:color="auto" w:fill="CCEEFF"/>
          </w:tcPr>
          <w:p>
            <w:pPr>
              <w:spacing w:after="0"/>
              <w:rPr>
                <w:sz w:val="14"/>
                <w:szCs w:val="14"/>
                <w:color w:val="auto"/>
              </w:rPr>
            </w:pPr>
          </w:p>
        </w:tc>
        <w:tc>
          <w:tcPr>
            <w:tcW w:w="560" w:type="dxa"/>
            <w:vAlign w:val="bottom"/>
            <w:gridSpan w:val="5"/>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00" w:type="dxa"/>
            <w:vAlign w:val="bottom"/>
            <w:gridSpan w:val="26"/>
          </w:tcPr>
          <w:p>
            <w:pPr>
              <w:spacing w:after="0" w:line="168" w:lineRule="exact"/>
              <w:rPr>
                <w:sz w:val="20"/>
                <w:szCs w:val="20"/>
                <w:color w:val="auto"/>
              </w:rPr>
            </w:pPr>
            <w:r>
              <w:rPr>
                <w:rFonts w:ascii="Times New Roman" w:cs="Times New Roman" w:eastAsia="Times New Roman" w:hAnsi="Times New Roman"/>
                <w:sz w:val="16"/>
                <w:szCs w:val="16"/>
                <w:color w:val="0000EE"/>
              </w:rPr>
              <w:t>CAUTIONARY LANGUAGE REGARDING FORWARD-LOOKING STATEMENTS</w:t>
            </w:r>
          </w:p>
        </w:tc>
        <w:tc>
          <w:tcPr>
            <w:tcW w:w="560" w:type="dxa"/>
            <w:vAlign w:val="bottom"/>
            <w:gridSpan w:val="5"/>
          </w:tcPr>
          <w:p>
            <w:pPr>
              <w:jc w:val="right"/>
              <w:spacing w:after="0" w:line="168" w:lineRule="exact"/>
              <w:rPr>
                <w:sz w:val="20"/>
                <w:szCs w:val="20"/>
                <w:color w:val="auto"/>
              </w:rPr>
            </w:pPr>
            <w:r>
              <w:rPr>
                <w:rFonts w:ascii="Times New Roman" w:cs="Times New Roman" w:eastAsia="Times New Roman" w:hAnsi="Times New Roman"/>
                <w:sz w:val="16"/>
                <w:szCs w:val="16"/>
                <w:color w:val="0000EE"/>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00" w:type="dxa"/>
            <w:vAlign w:val="bottom"/>
            <w:gridSpan w:val="2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OUR COMPANY</w:t>
            </w:r>
          </w:p>
        </w:tc>
        <w:tc>
          <w:tcPr>
            <w:tcW w:w="560" w:type="dxa"/>
            <w:vAlign w:val="bottom"/>
            <w:gridSpan w:val="5"/>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9"/>
              </w:rPr>
              <w:t>RISK FACTORS</w:t>
            </w:r>
          </w:p>
        </w:tc>
        <w:tc>
          <w:tcPr>
            <w:tcW w:w="5760" w:type="dxa"/>
            <w:vAlign w:val="bottom"/>
            <w:gridSpan w:val="22"/>
          </w:tcPr>
          <w:p>
            <w:pPr>
              <w:spacing w:after="0"/>
              <w:rPr>
                <w:sz w:val="14"/>
                <w:szCs w:val="14"/>
                <w:color w:val="auto"/>
              </w:rPr>
            </w:pPr>
          </w:p>
        </w:tc>
        <w:tc>
          <w:tcPr>
            <w:tcW w:w="560" w:type="dxa"/>
            <w:vAlign w:val="bottom"/>
            <w:gridSpan w:val="5"/>
          </w:tcPr>
          <w:p>
            <w:pPr>
              <w:jc w:val="right"/>
              <w:spacing w:after="0" w:line="168" w:lineRule="exact"/>
              <w:rPr>
                <w:sz w:val="20"/>
                <w:szCs w:val="20"/>
                <w:color w:val="auto"/>
              </w:rPr>
            </w:pPr>
            <w:r>
              <w:rPr>
                <w:rFonts w:ascii="Times New Roman" w:cs="Times New Roman" w:eastAsia="Times New Roman" w:hAnsi="Times New Roman"/>
                <w:sz w:val="16"/>
                <w:szCs w:val="16"/>
                <w:color w:val="0000EE"/>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00" w:type="dxa"/>
            <w:vAlign w:val="bottom"/>
            <w:gridSpan w:val="2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SELLING SECURITYHOLDERS</w:t>
            </w:r>
          </w:p>
        </w:tc>
        <w:tc>
          <w:tcPr>
            <w:tcW w:w="560" w:type="dxa"/>
            <w:vAlign w:val="bottom"/>
            <w:gridSpan w:val="5"/>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200" w:type="dxa"/>
            <w:vAlign w:val="bottom"/>
            <w:gridSpan w:val="15"/>
          </w:tcPr>
          <w:p>
            <w:pPr>
              <w:spacing w:after="0" w:line="168" w:lineRule="exact"/>
              <w:rPr>
                <w:sz w:val="20"/>
                <w:szCs w:val="20"/>
                <w:color w:val="auto"/>
              </w:rPr>
            </w:pPr>
            <w:r>
              <w:rPr>
                <w:rFonts w:ascii="Times New Roman" w:cs="Times New Roman" w:eastAsia="Times New Roman" w:hAnsi="Times New Roman"/>
                <w:sz w:val="16"/>
                <w:szCs w:val="16"/>
                <w:color w:val="0000EE"/>
              </w:rPr>
              <w:t>USE OF PROCEEDS</w:t>
            </w:r>
          </w:p>
        </w:tc>
        <w:tc>
          <w:tcPr>
            <w:tcW w:w="4700" w:type="dxa"/>
            <w:vAlign w:val="bottom"/>
            <w:gridSpan w:val="11"/>
          </w:tcPr>
          <w:p>
            <w:pPr>
              <w:spacing w:after="0"/>
              <w:rPr>
                <w:sz w:val="14"/>
                <w:szCs w:val="14"/>
                <w:color w:val="auto"/>
              </w:rPr>
            </w:pPr>
          </w:p>
        </w:tc>
        <w:tc>
          <w:tcPr>
            <w:tcW w:w="560" w:type="dxa"/>
            <w:vAlign w:val="bottom"/>
            <w:gridSpan w:val="5"/>
          </w:tcPr>
          <w:p>
            <w:pPr>
              <w:jc w:val="right"/>
              <w:spacing w:after="0" w:line="168" w:lineRule="exact"/>
              <w:rPr>
                <w:sz w:val="20"/>
                <w:szCs w:val="20"/>
                <w:color w:val="auto"/>
              </w:rPr>
            </w:pPr>
            <w:r>
              <w:rPr>
                <w:rFonts w:ascii="Times New Roman" w:cs="Times New Roman" w:eastAsia="Times New Roman" w:hAnsi="Times New Roman"/>
                <w:sz w:val="16"/>
                <w:szCs w:val="16"/>
                <w:color w:val="0000EE"/>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00" w:type="dxa"/>
            <w:vAlign w:val="bottom"/>
            <w:gridSpan w:val="2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DESCRIPTION OF DEBT SECURITIES AND GUARANTEES</w:t>
            </w:r>
          </w:p>
        </w:tc>
        <w:tc>
          <w:tcPr>
            <w:tcW w:w="560" w:type="dxa"/>
            <w:vAlign w:val="bottom"/>
            <w:gridSpan w:val="5"/>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10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0000EE"/>
            </w:tcBorders>
          </w:tcPr>
          <w:p>
            <w:pPr>
              <w:spacing w:after="0"/>
              <w:rPr>
                <w:sz w:val="14"/>
                <w:szCs w:val="14"/>
                <w:color w:val="auto"/>
              </w:rPr>
            </w:pPr>
          </w:p>
        </w:tc>
        <w:tc>
          <w:tcPr>
            <w:tcW w:w="4160" w:type="dxa"/>
            <w:vAlign w:val="bottom"/>
            <w:tcBorders>
              <w:top w:val="single" w:sz="8" w:color="0000EE"/>
            </w:tcBorders>
            <w:gridSpan w:val="23"/>
          </w:tcPr>
          <w:p>
            <w:pPr>
              <w:spacing w:after="0" w:line="168" w:lineRule="exact"/>
              <w:rPr>
                <w:sz w:val="20"/>
                <w:szCs w:val="20"/>
                <w:color w:val="auto"/>
              </w:rPr>
            </w:pPr>
            <w:r>
              <w:rPr>
                <w:rFonts w:ascii="Times New Roman" w:cs="Times New Roman" w:eastAsia="Times New Roman" w:hAnsi="Times New Roman"/>
                <w:sz w:val="16"/>
                <w:szCs w:val="16"/>
                <w:color w:val="0000EE"/>
              </w:rPr>
              <w:t>DESCRIPTION OF CAPITAL STOCK</w:t>
            </w:r>
          </w:p>
        </w:tc>
        <w:tc>
          <w:tcPr>
            <w:tcW w:w="2740" w:type="dxa"/>
            <w:vAlign w:val="bottom"/>
            <w:tcBorders>
              <w:top w:val="single" w:sz="8" w:color="CCEEFF"/>
            </w:tcBorders>
            <w:gridSpan w:val="3"/>
          </w:tcPr>
          <w:p>
            <w:pPr>
              <w:spacing w:after="0"/>
              <w:rPr>
                <w:sz w:val="14"/>
                <w:szCs w:val="14"/>
                <w:color w:val="auto"/>
              </w:rPr>
            </w:pPr>
          </w:p>
        </w:tc>
        <w:tc>
          <w:tcPr>
            <w:tcW w:w="400" w:type="dxa"/>
            <w:vAlign w:val="bottom"/>
            <w:tcBorders>
              <w:top w:val="single" w:sz="8" w:color="CCEEFF"/>
            </w:tcBorders>
            <w:gridSpan w:val="3"/>
          </w:tcPr>
          <w:p>
            <w:pPr>
              <w:spacing w:after="0"/>
              <w:rPr>
                <w:sz w:val="14"/>
                <w:szCs w:val="14"/>
                <w:color w:val="auto"/>
              </w:rPr>
            </w:pPr>
          </w:p>
        </w:tc>
        <w:tc>
          <w:tcPr>
            <w:tcW w:w="160" w:type="dxa"/>
            <w:vAlign w:val="bottom"/>
            <w:tcBorders>
              <w:top w:val="single" w:sz="8" w:color="0000EE"/>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21</w:t>
            </w:r>
          </w:p>
        </w:tc>
        <w:tc>
          <w:tcPr>
            <w:tcW w:w="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00" w:type="dxa"/>
            <w:vAlign w:val="bottom"/>
            <w:gridSpan w:val="2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DESCRIPTION OF WARRANTS</w:t>
            </w:r>
          </w:p>
        </w:tc>
        <w:tc>
          <w:tcPr>
            <w:tcW w:w="560" w:type="dxa"/>
            <w:vAlign w:val="bottom"/>
            <w:gridSpan w:val="5"/>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0000EE"/>
            </w:tcBorders>
          </w:tcPr>
          <w:p>
            <w:pPr>
              <w:spacing w:after="0"/>
              <w:rPr>
                <w:sz w:val="14"/>
                <w:szCs w:val="14"/>
                <w:color w:val="auto"/>
              </w:rPr>
            </w:pPr>
          </w:p>
        </w:tc>
        <w:tc>
          <w:tcPr>
            <w:tcW w:w="2180" w:type="dxa"/>
            <w:vAlign w:val="bottom"/>
            <w:tcBorders>
              <w:top w:val="single" w:sz="8" w:color="0000EE"/>
            </w:tcBorders>
            <w:gridSpan w:val="14"/>
          </w:tcPr>
          <w:p>
            <w:pPr>
              <w:spacing w:after="0" w:line="168" w:lineRule="exact"/>
              <w:rPr>
                <w:sz w:val="20"/>
                <w:szCs w:val="20"/>
                <w:color w:val="auto"/>
              </w:rPr>
            </w:pPr>
            <w:r>
              <w:rPr>
                <w:rFonts w:ascii="Times New Roman" w:cs="Times New Roman" w:eastAsia="Times New Roman" w:hAnsi="Times New Roman"/>
                <w:sz w:val="16"/>
                <w:szCs w:val="16"/>
                <w:color w:val="0000EE"/>
              </w:rPr>
              <w:t>DESCRIPTION OF RIGHTS</w:t>
            </w:r>
          </w:p>
        </w:tc>
        <w:tc>
          <w:tcPr>
            <w:tcW w:w="4720" w:type="dxa"/>
            <w:vAlign w:val="bottom"/>
            <w:tcBorders>
              <w:top w:val="single" w:sz="8" w:color="CCEEFF"/>
            </w:tcBorders>
            <w:gridSpan w:val="12"/>
          </w:tcPr>
          <w:p>
            <w:pPr>
              <w:spacing w:after="0"/>
              <w:rPr>
                <w:sz w:val="14"/>
                <w:szCs w:val="14"/>
                <w:color w:val="auto"/>
              </w:rPr>
            </w:pPr>
          </w:p>
        </w:tc>
        <w:tc>
          <w:tcPr>
            <w:tcW w:w="400" w:type="dxa"/>
            <w:vAlign w:val="bottom"/>
            <w:tcBorders>
              <w:top w:val="single" w:sz="8" w:color="CCEEFF"/>
            </w:tcBorders>
            <w:gridSpan w:val="3"/>
          </w:tcPr>
          <w:p>
            <w:pPr>
              <w:spacing w:after="0"/>
              <w:rPr>
                <w:sz w:val="14"/>
                <w:szCs w:val="14"/>
                <w:color w:val="auto"/>
              </w:rPr>
            </w:pPr>
          </w:p>
        </w:tc>
        <w:tc>
          <w:tcPr>
            <w:tcW w:w="160" w:type="dxa"/>
            <w:vAlign w:val="bottom"/>
            <w:tcBorders>
              <w:top w:val="single" w:sz="8" w:color="0000EE"/>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28</w:t>
            </w:r>
          </w:p>
        </w:tc>
        <w:tc>
          <w:tcPr>
            <w:tcW w:w="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780" w:type="dxa"/>
            <w:vAlign w:val="bottom"/>
            <w:tcBorders>
              <w:bottom w:val="single" w:sz="8" w:color="0000EE"/>
            </w:tcBorders>
            <w:gridSpan w:val="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7"/>
              </w:rPr>
              <w:t>DESCRIPTION OF UNITS</w:t>
            </w:r>
          </w:p>
        </w:tc>
        <w:tc>
          <w:tcPr>
            <w:tcW w:w="5120" w:type="dxa"/>
            <w:vAlign w:val="bottom"/>
            <w:tcBorders>
              <w:bottom w:val="single" w:sz="8" w:color="CCEEFF"/>
            </w:tcBorders>
            <w:gridSpan w:val="18"/>
            <w:shd w:val="clear" w:color="auto" w:fill="CCEEFF"/>
          </w:tcPr>
          <w:p>
            <w:pPr>
              <w:spacing w:after="0"/>
              <w:rPr>
                <w:sz w:val="17"/>
                <w:szCs w:val="17"/>
                <w:color w:val="auto"/>
              </w:rPr>
            </w:pPr>
          </w:p>
        </w:tc>
        <w:tc>
          <w:tcPr>
            <w:tcW w:w="40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29</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00" w:type="dxa"/>
            <w:vAlign w:val="bottom"/>
            <w:gridSpan w:val="26"/>
          </w:tcPr>
          <w:p>
            <w:pPr>
              <w:spacing w:after="0" w:line="168" w:lineRule="exact"/>
              <w:rPr>
                <w:sz w:val="20"/>
                <w:szCs w:val="20"/>
                <w:color w:val="auto"/>
              </w:rPr>
            </w:pPr>
            <w:r>
              <w:rPr>
                <w:rFonts w:ascii="Times New Roman" w:cs="Times New Roman" w:eastAsia="Times New Roman" w:hAnsi="Times New Roman"/>
                <w:sz w:val="16"/>
                <w:szCs w:val="16"/>
                <w:color w:val="0000EE"/>
              </w:rPr>
              <w:t>PLAN OF DISTRIBUTION</w:t>
            </w:r>
          </w:p>
        </w:tc>
        <w:tc>
          <w:tcPr>
            <w:tcW w:w="560" w:type="dxa"/>
            <w:vAlign w:val="bottom"/>
            <w:gridSpan w:val="5"/>
          </w:tcPr>
          <w:p>
            <w:pPr>
              <w:jc w:val="right"/>
              <w:spacing w:after="0" w:line="168" w:lineRule="exact"/>
              <w:rPr>
                <w:sz w:val="20"/>
                <w:szCs w:val="20"/>
                <w:color w:val="auto"/>
              </w:rPr>
            </w:pPr>
            <w:r>
              <w:rPr>
                <w:rFonts w:ascii="Times New Roman" w:cs="Times New Roman" w:eastAsia="Times New Roman" w:hAnsi="Times New Roman"/>
                <w:sz w:val="16"/>
                <w:szCs w:val="16"/>
                <w:color w:val="0000EE"/>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280" w:type="dxa"/>
            <w:vAlign w:val="bottom"/>
            <w:tcBorders>
              <w:bottom w:val="single" w:sz="8" w:color="0000EE"/>
            </w:tcBorders>
            <w:gridSpan w:val="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6"/>
              </w:rPr>
              <w:t>LEGAL MATTERS</w:t>
            </w:r>
          </w:p>
        </w:tc>
        <w:tc>
          <w:tcPr>
            <w:tcW w:w="5620" w:type="dxa"/>
            <w:vAlign w:val="bottom"/>
            <w:tcBorders>
              <w:bottom w:val="single" w:sz="8" w:color="CCEEFF"/>
            </w:tcBorders>
            <w:gridSpan w:val="20"/>
            <w:shd w:val="clear" w:color="auto" w:fill="CCEEFF"/>
          </w:tcPr>
          <w:p>
            <w:pPr>
              <w:spacing w:after="0"/>
              <w:rPr>
                <w:sz w:val="17"/>
                <w:szCs w:val="17"/>
                <w:color w:val="auto"/>
              </w:rPr>
            </w:pPr>
          </w:p>
        </w:tc>
        <w:tc>
          <w:tcPr>
            <w:tcW w:w="40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33</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00" w:type="dxa"/>
            <w:vAlign w:val="bottom"/>
            <w:gridSpan w:val="26"/>
          </w:tcPr>
          <w:p>
            <w:pPr>
              <w:spacing w:after="0" w:line="168" w:lineRule="exact"/>
              <w:rPr>
                <w:sz w:val="20"/>
                <w:szCs w:val="20"/>
                <w:color w:val="auto"/>
              </w:rPr>
            </w:pPr>
            <w:r>
              <w:rPr>
                <w:rFonts w:ascii="Times New Roman" w:cs="Times New Roman" w:eastAsia="Times New Roman" w:hAnsi="Times New Roman"/>
                <w:sz w:val="16"/>
                <w:szCs w:val="16"/>
                <w:color w:val="0000EE"/>
              </w:rPr>
              <w:t>EXPERTS</w:t>
            </w:r>
          </w:p>
        </w:tc>
        <w:tc>
          <w:tcPr>
            <w:tcW w:w="560" w:type="dxa"/>
            <w:vAlign w:val="bottom"/>
            <w:gridSpan w:val="5"/>
          </w:tcPr>
          <w:p>
            <w:pPr>
              <w:jc w:val="right"/>
              <w:spacing w:after="0" w:line="168" w:lineRule="exact"/>
              <w:rPr>
                <w:sz w:val="20"/>
                <w:szCs w:val="20"/>
                <w:color w:val="auto"/>
              </w:rPr>
            </w:pPr>
            <w:r>
              <w:rPr>
                <w:rFonts w:ascii="Times New Roman" w:cs="Times New Roman" w:eastAsia="Times New Roman" w:hAnsi="Times New Roman"/>
                <w:sz w:val="16"/>
                <w:szCs w:val="16"/>
                <w:color w:val="0000EE"/>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3020" w:type="dxa"/>
            <w:vAlign w:val="bottom"/>
            <w:tcBorders>
              <w:bottom w:val="single" w:sz="8" w:color="0000EE"/>
            </w:tcBorders>
            <w:gridSpan w:val="19"/>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8"/>
              </w:rPr>
              <w:t>ENFORCEABILITY OF CIVIL LIABILITIES</w:t>
            </w:r>
          </w:p>
        </w:tc>
        <w:tc>
          <w:tcPr>
            <w:tcW w:w="3880" w:type="dxa"/>
            <w:vAlign w:val="bottom"/>
            <w:tcBorders>
              <w:bottom w:val="single" w:sz="8" w:color="CCEEFF"/>
            </w:tcBorders>
            <w:gridSpan w:val="7"/>
            <w:shd w:val="clear" w:color="auto" w:fill="CCEEFF"/>
          </w:tcPr>
          <w:p>
            <w:pPr>
              <w:spacing w:after="0"/>
              <w:rPr>
                <w:sz w:val="17"/>
                <w:szCs w:val="17"/>
                <w:color w:val="auto"/>
              </w:rPr>
            </w:pPr>
          </w:p>
        </w:tc>
        <w:tc>
          <w:tcPr>
            <w:tcW w:w="40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35</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0000EE"/>
            </w:tcBorders>
          </w:tcPr>
          <w:p>
            <w:pPr>
              <w:spacing w:after="0"/>
              <w:rPr>
                <w:sz w:val="14"/>
                <w:szCs w:val="14"/>
                <w:color w:val="auto"/>
              </w:rPr>
            </w:pPr>
          </w:p>
        </w:tc>
        <w:tc>
          <w:tcPr>
            <w:tcW w:w="3500" w:type="dxa"/>
            <w:vAlign w:val="bottom"/>
            <w:tcBorders>
              <w:bottom w:val="single" w:sz="8" w:color="0000EE"/>
            </w:tcBorders>
            <w:gridSpan w:val="21"/>
          </w:tcPr>
          <w:p>
            <w:pPr>
              <w:spacing w:after="0" w:line="168" w:lineRule="exact"/>
              <w:rPr>
                <w:sz w:val="20"/>
                <w:szCs w:val="20"/>
                <w:color w:val="auto"/>
              </w:rPr>
            </w:pPr>
            <w:r>
              <w:rPr>
                <w:rFonts w:ascii="Times New Roman" w:cs="Times New Roman" w:eastAsia="Times New Roman" w:hAnsi="Times New Roman"/>
                <w:sz w:val="16"/>
                <w:szCs w:val="16"/>
                <w:color w:val="0000EE"/>
                <w:w w:val="97"/>
              </w:rPr>
              <w:t>CERTAIN INSOLVENCY LAW CONSIDERATIONS</w:t>
            </w:r>
          </w:p>
        </w:tc>
        <w:tc>
          <w:tcPr>
            <w:tcW w:w="3400" w:type="dxa"/>
            <w:vAlign w:val="bottom"/>
            <w:gridSpan w:val="5"/>
          </w:tcPr>
          <w:p>
            <w:pPr>
              <w:spacing w:after="0"/>
              <w:rPr>
                <w:sz w:val="14"/>
                <w:szCs w:val="14"/>
                <w:color w:val="auto"/>
              </w:rPr>
            </w:pPr>
          </w:p>
        </w:tc>
        <w:tc>
          <w:tcPr>
            <w:tcW w:w="40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760" w:right="799" w:firstLine="320"/>
        <w:spacing w:after="0" w:line="278" w:lineRule="auto"/>
        <w:rPr>
          <w:sz w:val="20"/>
          <w:szCs w:val="20"/>
          <w:color w:val="auto"/>
        </w:rPr>
      </w:pPr>
      <w:r>
        <w:rPr>
          <w:rFonts w:ascii="Times New Roman" w:cs="Times New Roman" w:eastAsia="Times New Roman" w:hAnsi="Times New Roman"/>
          <w:sz w:val="15"/>
          <w:szCs w:val="15"/>
          <w:b w:val="1"/>
          <w:bCs w:val="1"/>
          <w:color w:val="auto"/>
        </w:rPr>
        <w:t>Neither we nor any underwriter have authorized anyone to provide you with any information or to make any representations other than those contained or incorporated by reference in this prospectus supplement, the accompanying prospectus or any free writing prospectus prepared by or on behalf of us or to which we have referred you. Neither we nor any underwriter take any responsibility for, and can provide no assurance as to the reliability of, any other information that others may give you. We are not, and the underwriters are not, making an offer to sell the notes in any jurisdiction where the offer or sale is not permitted.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 w:name="page3"/>
    <w:bookmarkEnd w:id="2"/>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ABOUT THIS PROSPECTUS SUPPLEMENT</w:t>
      </w:r>
    </w:p>
    <w:p>
      <w:pPr>
        <w:spacing w:after="0" w:line="106" w:lineRule="exact"/>
        <w:rPr>
          <w:sz w:val="20"/>
          <w:szCs w:val="20"/>
          <w:color w:val="auto"/>
        </w:rPr>
      </w:pPr>
    </w:p>
    <w:p>
      <w:pPr>
        <w:ind w:left="760" w:right="919" w:firstLine="320"/>
        <w:spacing w:after="0" w:line="274" w:lineRule="auto"/>
        <w:rPr>
          <w:sz w:val="20"/>
          <w:szCs w:val="20"/>
          <w:color w:val="auto"/>
        </w:rPr>
      </w:pPr>
      <w:r>
        <w:rPr>
          <w:rFonts w:ascii="Times New Roman" w:cs="Times New Roman" w:eastAsia="Times New Roman" w:hAnsi="Times New Roman"/>
          <w:sz w:val="15"/>
          <w:szCs w:val="15"/>
          <w:color w:val="auto"/>
        </w:rPr>
        <w:t>This document consists of two parts. The first part is this prospectus supplement, which describes the specific terms of the notes and the guarantees. The second part is the accompanying prospectus, dated May 8, 2025, which we refer to in this prospectus supplement as the “accompanying prospectus.” The accompanying prospectus is part of our Registration Statement on Form S-3 (Registration No. 333-287087) (the “Registration Statement”) and contains more general information about the securities we may offer from time to time, some of which does not apply to the notes and the guarantees thereof. The prospectus supplement and the accompanying prospectus also incorporate by reference the information described under “Incorporation of Certain Documents by Reference.” Generally, when we refer to “this prospectus,” we are referring to both parts of this document combined.</w:t>
      </w:r>
    </w:p>
    <w:p>
      <w:pPr>
        <w:spacing w:after="0" w:line="58" w:lineRule="exact"/>
        <w:rPr>
          <w:sz w:val="20"/>
          <w:szCs w:val="20"/>
          <w:color w:val="auto"/>
        </w:rPr>
      </w:pPr>
    </w:p>
    <w:p>
      <w:pPr>
        <w:ind w:left="760" w:right="819" w:firstLine="320"/>
        <w:spacing w:after="0" w:line="254" w:lineRule="auto"/>
        <w:rPr>
          <w:sz w:val="20"/>
          <w:szCs w:val="20"/>
          <w:color w:val="auto"/>
        </w:rPr>
      </w:pPr>
      <w:r>
        <w:rPr>
          <w:rFonts w:ascii="Times New Roman" w:cs="Times New Roman" w:eastAsia="Times New Roman" w:hAnsi="Times New Roman"/>
          <w:sz w:val="16"/>
          <w:szCs w:val="16"/>
          <w:color w:val="auto"/>
        </w:rPr>
        <w:t>We may also provide one or more free writing prospectuses containing material information relating to this offering of the notes. Any free writing prospectus that we provide you may add to, update or change the information in this prospectus or in any documents incorporated by reference in this prospectus. If there is any inconsistency between the information in this prospectus supplement and the information in any free writing prospectus we provide you in connection with this offering, you should rely on the information in such free writing prospectus. If there is any inconsistency between the information in this prospectus supplement and the accompanying prospectus, you should rely on the information in this prospectus supplement. You should read carefully this prospectus and any free writing prospectus we provide you in connection with this offering, together with the additional information described under “Incorporation of Certain Documents by Reference.”</w:t>
      </w:r>
    </w:p>
    <w:p>
      <w:pPr>
        <w:spacing w:after="0" w:line="73" w:lineRule="exact"/>
        <w:rPr>
          <w:sz w:val="20"/>
          <w:szCs w:val="20"/>
          <w:color w:val="auto"/>
        </w:rPr>
      </w:pPr>
    </w:p>
    <w:p>
      <w:pPr>
        <w:ind w:left="760" w:right="779" w:firstLine="320"/>
        <w:spacing w:after="0" w:line="273" w:lineRule="auto"/>
        <w:rPr>
          <w:sz w:val="20"/>
          <w:szCs w:val="20"/>
          <w:color w:val="auto"/>
        </w:rPr>
      </w:pPr>
      <w:r>
        <w:rPr>
          <w:rFonts w:ascii="Times New Roman" w:cs="Times New Roman" w:eastAsia="Times New Roman" w:hAnsi="Times New Roman"/>
          <w:sz w:val="15"/>
          <w:szCs w:val="15"/>
          <w:color w:val="auto"/>
        </w:rPr>
        <w:t>We are responsible for the information contained in this prospectus, any free writing prospectus we provide you in connection with this offering, and the information incorporated by reference herein or therein. Neither we nor any underwriter has authorized anyone to provide you with information or make any representation that is different from or inconsistent with, or in addition to, such information and neither we nor any underwriter takes any responsibility for, or can provide any assurances as to the reliability of, other information that others may give you. You should not assume that the information contained or incorporated by reference in this prospectus supplement, the accompanying prospectus or any free writing prospectus is correct as of any date after the date of the document containing the information. Since the respective dates of such documents, our business, financial condition, results of operations and prospects may have changed. Except as required by law, we undertake no obligation to update any information contained or incorporated by reference herein for revisions or changes after the date of this prospectus supplement.</w:t>
      </w:r>
    </w:p>
    <w:p>
      <w:pPr>
        <w:spacing w:after="0" w:line="56" w:lineRule="exact"/>
        <w:rPr>
          <w:sz w:val="20"/>
          <w:szCs w:val="20"/>
          <w:color w:val="auto"/>
        </w:rPr>
      </w:pPr>
    </w:p>
    <w:p>
      <w:pPr>
        <w:ind w:left="760" w:right="879" w:firstLine="320"/>
        <w:spacing w:after="0" w:line="261" w:lineRule="auto"/>
        <w:rPr>
          <w:sz w:val="20"/>
          <w:szCs w:val="20"/>
          <w:color w:val="auto"/>
        </w:rPr>
      </w:pPr>
      <w:r>
        <w:rPr>
          <w:rFonts w:ascii="Times New Roman" w:cs="Times New Roman" w:eastAsia="Times New Roman" w:hAnsi="Times New Roman"/>
          <w:sz w:val="16"/>
          <w:szCs w:val="16"/>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any of the notes offered by this prospectus supplement.</w:t>
      </w:r>
    </w:p>
    <w:p>
      <w:pPr>
        <w:spacing w:after="0" w:line="65" w:lineRule="exact"/>
        <w:rPr>
          <w:sz w:val="20"/>
          <w:szCs w:val="20"/>
          <w:color w:val="auto"/>
        </w:rPr>
      </w:pPr>
    </w:p>
    <w:p>
      <w:pPr>
        <w:ind w:left="760" w:right="839" w:firstLine="320"/>
        <w:spacing w:after="0" w:line="261" w:lineRule="auto"/>
        <w:rPr>
          <w:sz w:val="20"/>
          <w:szCs w:val="20"/>
          <w:color w:val="auto"/>
        </w:rPr>
      </w:pPr>
      <w:r>
        <w:rPr>
          <w:rFonts w:ascii="Times New Roman" w:cs="Times New Roman" w:eastAsia="Times New Roman" w:hAnsi="Times New Roman"/>
          <w:sz w:val="16"/>
          <w:szCs w:val="16"/>
          <w:color w:val="auto"/>
        </w:rPr>
        <w:t>This prospectus and any free writing prospectus do not constitute an offer to sell, or a solicitation of an offer to buy, any securities other than the securities registered pursuant to the Registration Statement. We are not, and the underwriters are not, making an offer to sell, or a solicitation of an offer to buy, any securities in any jurisdiction in which, or from any person to whom, it is unlawful to make such an offer or solicitation.</w:t>
      </w:r>
    </w:p>
    <w:p>
      <w:pPr>
        <w:spacing w:after="0" w:line="65" w:lineRule="exact"/>
        <w:rPr>
          <w:sz w:val="20"/>
          <w:szCs w:val="20"/>
          <w:color w:val="auto"/>
        </w:rPr>
      </w:pPr>
    </w:p>
    <w:p>
      <w:pPr>
        <w:ind w:left="760" w:right="799" w:firstLine="320"/>
        <w:spacing w:after="0" w:line="255" w:lineRule="auto"/>
        <w:rPr>
          <w:sz w:val="20"/>
          <w:szCs w:val="20"/>
          <w:color w:val="auto"/>
        </w:rPr>
      </w:pPr>
      <w:r>
        <w:rPr>
          <w:rFonts w:ascii="Times New Roman" w:cs="Times New Roman" w:eastAsia="Times New Roman" w:hAnsi="Times New Roman"/>
          <w:sz w:val="16"/>
          <w:szCs w:val="16"/>
          <w:color w:val="auto"/>
        </w:rPr>
        <w:t>We expect that delivery of the notes will be made against payment therefor on or about June 17, 2026, which will be the third business day following the date of pricing of the notes (such settlement cycle being herein referred to as “T+3”). Under Rule 15c6-1 under the Exchange Act, trades in the secondary market generally are required to settle in one business day, unless the parties to any such trade expressly agree otherwise. Accordingly, purchasers who wish to trade notes prior to one business day preceding the closing date will be required, by virtue of the fact that the notes initially will settle T+3, to specify an alternate settlement cycle at the time of any such trade to prevent a failed settlement. Purchasers of notes who wish to trade notes prior to one business day before settlement should consult their own advisor.</w:t>
      </w:r>
    </w:p>
    <w:p>
      <w:pPr>
        <w:spacing w:after="0" w:line="70" w:lineRule="exact"/>
        <w:rPr>
          <w:sz w:val="20"/>
          <w:szCs w:val="20"/>
          <w:color w:val="auto"/>
        </w:rPr>
      </w:pPr>
    </w:p>
    <w:p>
      <w:pPr>
        <w:ind w:left="760" w:right="919" w:firstLine="320"/>
        <w:spacing w:after="0" w:line="257" w:lineRule="auto"/>
        <w:rPr>
          <w:sz w:val="20"/>
          <w:szCs w:val="20"/>
          <w:color w:val="auto"/>
        </w:rPr>
      </w:pPr>
      <w:r>
        <w:rPr>
          <w:rFonts w:ascii="Times New Roman" w:cs="Times New Roman" w:eastAsia="Times New Roman" w:hAnsi="Times New Roman"/>
          <w:sz w:val="16"/>
          <w:szCs w:val="16"/>
          <w:color w:val="auto"/>
        </w:rPr>
        <w:t>In this prospectus, unless otherwise indicated herein or the context otherwise indicates, (i) the terms the “Company,” “Viatris,” the “Issuer,” “our,” “us” and “we” refer to Viatris Inc., a Delaware corporation, and, where appropriate, its consolidated subsidiaries, except where it is clear from the context that the terms mean only Viatris Inc., (ii) the term “Utah Acquisition Sub Inc.” refers to Utah Acquisition Sub Inc., a Delaware corporation, and, where appropriate, its consolidated subsidiaries, except where it is clear from the context that the term means only Utah Acquisition Sub Inc., (iii) the term “Mylan II B.V.” refers to Mylan II B.V., a private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 w:name="page4"/>
    <w:bookmarkEnd w:id="3"/>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ind w:left="760" w:right="779"/>
        <w:spacing w:after="0" w:line="256" w:lineRule="auto"/>
        <w:rPr>
          <w:sz w:val="20"/>
          <w:szCs w:val="20"/>
          <w:color w:val="auto"/>
        </w:rPr>
      </w:pPr>
      <w:r>
        <w:rPr>
          <w:rFonts w:ascii="Times New Roman" w:cs="Times New Roman" w:eastAsia="Times New Roman" w:hAnsi="Times New Roman"/>
          <w:sz w:val="16"/>
          <w:szCs w:val="16"/>
          <w:color w:val="auto"/>
        </w:rPr>
        <w:t>limited liability company (</w:t>
      </w:r>
      <w:r>
        <w:rPr>
          <w:rFonts w:ascii="Times New Roman" w:cs="Times New Roman" w:eastAsia="Times New Roman" w:hAnsi="Times New Roman"/>
          <w:sz w:val="16"/>
          <w:szCs w:val="16"/>
          <w:i w:val="1"/>
          <w:iCs w:val="1"/>
          <w:color w:val="auto"/>
        </w:rPr>
        <w:t>besloten vennootschap met beperkte aansprakelijkheid</w:t>
      </w:r>
      <w:r>
        <w:rPr>
          <w:rFonts w:ascii="Times New Roman" w:cs="Times New Roman" w:eastAsia="Times New Roman" w:hAnsi="Times New Roman"/>
          <w:sz w:val="16"/>
          <w:szCs w:val="16"/>
          <w:color w:val="auto"/>
        </w:rPr>
        <w:t>) incorporated and existing under the laws of the Netherlands, and, where appropriate, its consolidated subsidiaries, except where it is clear from the context that the term means only Mylan II B.V., (iv) the term “Mylan Inc.” refers to Mylan Inc., a Pennsylvania corporation, and, where appropriate, its consolidated subsidiaries, except where it is clear from the context that the term means only Mylan Inc., (v) the term “guarantors” refers to Utah Acquisition Sub Inc., Mylan II B.V. and Mylan Inc. and (vi) the term “Finco” refers to Upjohn Finance B.V., a private limited liability company (</w:t>
      </w:r>
      <w:r>
        <w:rPr>
          <w:rFonts w:ascii="Times New Roman" w:cs="Times New Roman" w:eastAsia="Times New Roman" w:hAnsi="Times New Roman"/>
          <w:sz w:val="16"/>
          <w:szCs w:val="16"/>
          <w:i w:val="1"/>
          <w:iCs w:val="1"/>
          <w:color w:val="auto"/>
        </w:rPr>
        <w:t>besloten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vennootschap met beperkte aansprakelijkheid</w:t>
      </w:r>
      <w:r>
        <w:rPr>
          <w:rFonts w:ascii="Times New Roman" w:cs="Times New Roman" w:eastAsia="Times New Roman" w:hAnsi="Times New Roman"/>
          <w:sz w:val="16"/>
          <w:szCs w:val="16"/>
          <w:color w:val="auto"/>
        </w:rPr>
        <w:t>) incorporated and existing under the laws of the Netherlands.</w:t>
      </w:r>
    </w:p>
    <w:p>
      <w:pPr>
        <w:spacing w:after="0" w:line="70" w:lineRule="exact"/>
        <w:rPr>
          <w:sz w:val="20"/>
          <w:szCs w:val="20"/>
          <w:color w:val="auto"/>
        </w:rPr>
      </w:pPr>
    </w:p>
    <w:p>
      <w:pPr>
        <w:ind w:left="760" w:right="899" w:firstLine="320"/>
        <w:spacing w:after="0" w:line="258" w:lineRule="auto"/>
        <w:rPr>
          <w:sz w:val="20"/>
          <w:szCs w:val="20"/>
          <w:color w:val="auto"/>
        </w:rPr>
      </w:pPr>
      <w:r>
        <w:rPr>
          <w:rFonts w:ascii="Times New Roman" w:cs="Times New Roman" w:eastAsia="Times New Roman" w:hAnsi="Times New Roman"/>
          <w:sz w:val="16"/>
          <w:szCs w:val="16"/>
          <w:color w:val="auto"/>
        </w:rPr>
        <w:t>References herein to “$” and “U.S. dollars” are to the lawful currency of the United States. References to “€” and “euro” are to the lawful currency of the member states of the European Monetary Union that have adopted the euro as their currency. The financial information presented or incorporated by reference in this prospectus supplement and the accompanying prospectus has been prepared in accordance with generally accepted accounting principles in the United States.</w:t>
      </w:r>
    </w:p>
    <w:p>
      <w:pPr>
        <w:spacing w:after="0" w:line="68" w:lineRule="exact"/>
        <w:rPr>
          <w:sz w:val="20"/>
          <w:szCs w:val="20"/>
          <w:color w:val="auto"/>
        </w:rPr>
      </w:pPr>
    </w:p>
    <w:p>
      <w:pPr>
        <w:jc w:val="both"/>
        <w:ind w:left="760" w:right="779" w:firstLine="320"/>
        <w:spacing w:after="0" w:line="273" w:lineRule="auto"/>
        <w:rPr>
          <w:sz w:val="20"/>
          <w:szCs w:val="20"/>
          <w:color w:val="auto"/>
        </w:rPr>
      </w:pPr>
      <w:r>
        <w:rPr>
          <w:rFonts w:ascii="Times New Roman" w:cs="Times New Roman" w:eastAsia="Times New Roman" w:hAnsi="Times New Roman"/>
          <w:sz w:val="15"/>
          <w:szCs w:val="15"/>
          <w:color w:val="auto"/>
        </w:rPr>
        <w:t>The notes are being offered for sale only in jurisdictions where it is lawful to make such offers. The distribution of this prospectus supplement, the accompanying prospectus and any free writing prospectus, and the offering of the notes, in certain jurisdictions may be restricted by law. Persons outside the United States who receive this prospectus supplement and the accompanying prospectus should inform themselves about and observe any such restrictions.</w:t>
      </w:r>
    </w:p>
    <w:p>
      <w:pPr>
        <w:ind w:left="760" w:right="799"/>
        <w:spacing w:after="0" w:line="253" w:lineRule="auto"/>
        <w:rPr>
          <w:sz w:val="20"/>
          <w:szCs w:val="20"/>
          <w:color w:val="auto"/>
        </w:rPr>
      </w:pPr>
      <w:r>
        <w:rPr>
          <w:rFonts w:ascii="Times New Roman" w:cs="Times New Roman" w:eastAsia="Times New Roman" w:hAnsi="Times New Roman"/>
          <w:sz w:val="16"/>
          <w:szCs w:val="16"/>
          <w:color w:val="auto"/>
        </w:rPr>
        <w:t>This prospectus supplement, the accompanying prospectus and any free writing prospectus do not constitute,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See applicable notices in “Underwriting—Selling Restrictions.”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 w:name="page5"/>
    <w:bookmarkEnd w:id="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Prohibitions of Sales to EEA Retail Investors</w:t>
      </w:r>
    </w:p>
    <w:p>
      <w:pPr>
        <w:spacing w:after="0" w:line="106" w:lineRule="exact"/>
        <w:rPr>
          <w:sz w:val="20"/>
          <w:szCs w:val="20"/>
          <w:color w:val="auto"/>
        </w:rPr>
      </w:pPr>
    </w:p>
    <w:p>
      <w:pPr>
        <w:ind w:left="760" w:right="819" w:firstLine="320"/>
        <w:spacing w:after="0" w:line="253" w:lineRule="auto"/>
        <w:rPr>
          <w:sz w:val="20"/>
          <w:szCs w:val="20"/>
          <w:color w:val="auto"/>
        </w:rPr>
      </w:pPr>
      <w:r>
        <w:rPr>
          <w:rFonts w:ascii="Times New Roman" w:cs="Times New Roman" w:eastAsia="Times New Roman" w:hAnsi="Times New Roman"/>
          <w:sz w:val="16"/>
          <w:szCs w:val="16"/>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Prohibition of Sales to UK Retail Investors</w:t>
      </w:r>
    </w:p>
    <w:p>
      <w:pPr>
        <w:spacing w:after="0" w:line="106" w:lineRule="exact"/>
        <w:rPr>
          <w:sz w:val="20"/>
          <w:szCs w:val="20"/>
          <w:color w:val="auto"/>
        </w:rPr>
      </w:pPr>
    </w:p>
    <w:p>
      <w:pPr>
        <w:ind w:left="760" w:right="819" w:firstLine="320"/>
        <w:spacing w:after="0" w:line="257" w:lineRule="auto"/>
        <w:rPr>
          <w:sz w:val="20"/>
          <w:szCs w:val="20"/>
          <w:color w:val="auto"/>
        </w:rPr>
      </w:pPr>
      <w:r>
        <w:rPr>
          <w:rFonts w:ascii="Times New Roman" w:cs="Times New Roman" w:eastAsia="Times New Roman" w:hAnsi="Times New Roman"/>
          <w:sz w:val="16"/>
          <w:szCs w:val="16"/>
          <w:color w:val="auto"/>
        </w:rPr>
        <w:t>The notes are not intended to be offered, sold, distributed or otherwise made available to and should not be offered, sold, distributed or otherwise made available to any retail investor in the UK. For these purposes, a retail investor means a person who is either one (or both) of the following: (i) not a professional client, as defined in point</w:t>
      </w:r>
    </w:p>
    <w:p>
      <w:pPr>
        <w:spacing w:after="0" w:line="2" w:lineRule="exact"/>
        <w:rPr>
          <w:sz w:val="20"/>
          <w:szCs w:val="20"/>
          <w:color w:val="auto"/>
        </w:rPr>
      </w:pPr>
    </w:p>
    <w:p>
      <w:pPr>
        <w:ind w:left="760" w:right="779" w:hanging="4"/>
        <w:spacing w:after="0" w:line="252" w:lineRule="auto"/>
        <w:tabs>
          <w:tab w:leader="none" w:pos="987"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Article 2(1) of Regulation (EU) No 600/2014 as it forms part of domestic law by virtue of the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has been prepared on the basis that any offer of Notes in the UK will be made pursuant to an exception from the prohibition on offers of notes to the public under the POATRs.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UK MiFIR Product Governance/Target Market</w:t>
      </w:r>
    </w:p>
    <w:p>
      <w:pPr>
        <w:spacing w:after="0" w:line="106" w:lineRule="exact"/>
        <w:rPr>
          <w:sz w:val="20"/>
          <w:szCs w:val="20"/>
          <w:color w:val="auto"/>
        </w:rPr>
      </w:pPr>
    </w:p>
    <w:p>
      <w:pPr>
        <w:ind w:left="760" w:right="779" w:firstLine="320"/>
        <w:spacing w:after="0" w:line="254" w:lineRule="auto"/>
        <w:rPr>
          <w:sz w:val="20"/>
          <w:szCs w:val="20"/>
          <w:color w:val="auto"/>
        </w:rPr>
      </w:pPr>
      <w:r>
        <w:rPr>
          <w:rFonts w:ascii="Times New Roman" w:cs="Times New Roman" w:eastAsia="Times New Roman" w:hAnsi="Times New Roman"/>
          <w:sz w:val="16"/>
          <w:szCs w:val="16"/>
          <w:color w:val="auto"/>
        </w:rPr>
        <w:t>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EUWA (“UK MiFIR”)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Stabilization</w:t>
      </w:r>
    </w:p>
    <w:p>
      <w:pPr>
        <w:spacing w:after="0" w:line="106" w:lineRule="exact"/>
        <w:rPr>
          <w:sz w:val="20"/>
          <w:szCs w:val="20"/>
          <w:color w:val="auto"/>
        </w:rPr>
      </w:pPr>
    </w:p>
    <w:p>
      <w:pPr>
        <w:ind w:left="760" w:right="779" w:firstLine="320"/>
        <w:spacing w:after="0" w:line="254" w:lineRule="auto"/>
        <w:rPr>
          <w:sz w:val="20"/>
          <w:szCs w:val="20"/>
          <w:color w:val="auto"/>
        </w:rPr>
      </w:pPr>
      <w:r>
        <w:rPr>
          <w:rFonts w:ascii="Times New Roman" w:cs="Times New Roman" w:eastAsia="Times New Roman" w:hAnsi="Times New Roman"/>
          <w:sz w:val="16"/>
          <w:szCs w:val="16"/>
          <w:color w:val="auto"/>
        </w:rPr>
        <w:t>IN CONNECTION WITH THIS OFFERING, BNP PARIBAS, AS STABILIZING MANAGER (OR PERSONS ACTING ON ITS BEHALF), MAY OVER-ALLOT NOTES OR EFFECT TRANSACTIONS WHICH STABILIZE OR MAINTAIN THE MARKET PRICES OF THE NOTES AT LEVELS WHICH MIGHT NOT OTHERWISE PREVAIL; HOWEVER, STABILIZATION MAY NOT NECESSARILY OCCUR. THIS STABILIZING, IF COMMENCED, MAY BE DISCONTINUED AT ANY TIME AND WILL BE CARRIED OUT IN COMPLIANCE WITH ALL APPLICABLE LAWS AND RULES. ANY STABILIZATION ACTION MAY BEGIN ON OR AFTER THE DATE ON WHICH ADEQUATE PUBLIC DISCLOSURE OF THE TERMS OF THE OFFER OF THE NOTES IS MADE AND, IF BEGUN, MAY BE ENDED AT ANY TIME, BUT IT MUST END NO LATER THAN THE EARLIER OF 30 CALENDAR DAYS AFTER THE ISSUE DATE OF THE NOTES AND 60 DAYS AFTER THE DATE OF THE ALLOTMENT OF THE NOTES.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 w:name="page6"/>
    <w:bookmarkEnd w:id="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OF CERTAIN DOCUMENTS BY REFERENCE</w:t>
      </w:r>
    </w:p>
    <w:p>
      <w:pPr>
        <w:spacing w:after="0" w:line="106" w:lineRule="exact"/>
        <w:rPr>
          <w:sz w:val="20"/>
          <w:szCs w:val="20"/>
          <w:color w:val="auto"/>
        </w:rPr>
      </w:pPr>
    </w:p>
    <w:p>
      <w:pPr>
        <w:ind w:left="760" w:right="819" w:firstLine="320"/>
        <w:spacing w:after="0" w:line="254" w:lineRule="auto"/>
        <w:rPr>
          <w:sz w:val="20"/>
          <w:szCs w:val="20"/>
          <w:color w:val="auto"/>
        </w:rPr>
      </w:pPr>
      <w:r>
        <w:rPr>
          <w:rFonts w:ascii="Times New Roman" w:cs="Times New Roman" w:eastAsia="Times New Roman" w:hAnsi="Times New Roman"/>
          <w:sz w:val="16"/>
          <w:szCs w:val="16"/>
          <w:color w:val="auto"/>
        </w:rPr>
        <w:t>We “incorporate by reference” certain information into this prospectus supplement from certain documents that Viatris has filed with the U.S. Securities and Exchange Commission (the “SEC”). This information is considered to be part of this prospectus supplement, except for any information that is superseded or modified by information included directly in this prospectus supplement or any free writing prospectus we provide in connection with this offering. This prospectus supplement incorporates by reference the documents set forth below (other than any report or document, or portion of a report or document, that is furnished under applicable SEC rules rather than “filed”, including any information furnished pursuant to Item 2.02, Item 7.01 or Item 9.01 to the extent related to Item 2.02 or 7.01, of a Current Report on Form 8-K) that Viatris has previously filed with the SEC. These documents contain important information about us, including our financial condition, results of operations and descriptions of our businesses:</w:t>
      </w:r>
    </w:p>
    <w:p>
      <w:pPr>
        <w:spacing w:after="0" w:line="71" w:lineRule="exact"/>
        <w:rPr>
          <w:sz w:val="20"/>
          <w:szCs w:val="20"/>
          <w:color w:val="auto"/>
        </w:rPr>
      </w:pPr>
    </w:p>
    <w:p>
      <w:pPr>
        <w:ind w:left="1380" w:right="939" w:hanging="304"/>
        <w:spacing w:after="0" w:line="282" w:lineRule="auto"/>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Form 10-K for the fiscal year ended December 31, 2025 (the “2025 Form 10-K”), filed with the SEC on </w:t>
      </w:r>
      <w:hyperlink r:id="rId15">
        <w:r>
          <w:rPr>
            <w:rFonts w:ascii="Times New Roman" w:cs="Times New Roman" w:eastAsia="Times New Roman" w:hAnsi="Times New Roman"/>
            <w:sz w:val="16"/>
            <w:szCs w:val="16"/>
            <w:u w:val="single" w:color="auto"/>
            <w:color w:val="0000EE"/>
          </w:rPr>
          <w:t>February 26, 2026</w:t>
        </w:r>
      </w:hyperlink>
      <w:r>
        <w:rPr>
          <w:rFonts w:ascii="Times New Roman" w:cs="Times New Roman" w:eastAsia="Times New Roman" w:hAnsi="Times New Roman"/>
          <w:sz w:val="16"/>
          <w:szCs w:val="16"/>
          <w:color w:val="auto"/>
        </w:rPr>
        <w:t>;</w:t>
      </w:r>
    </w:p>
    <w:p>
      <w:pPr>
        <w:spacing w:after="0" w:line="48" w:lineRule="exact"/>
        <w:rPr>
          <w:rFonts w:ascii="Times New Roman" w:cs="Times New Roman" w:eastAsia="Times New Roman" w:hAnsi="Times New Roman"/>
          <w:sz w:val="16"/>
          <w:szCs w:val="16"/>
          <w:color w:val="auto"/>
        </w:rPr>
      </w:pPr>
    </w:p>
    <w:p>
      <w:pPr>
        <w:ind w:left="1380" w:right="1019" w:hanging="304"/>
        <w:spacing w:after="0" w:line="282" w:lineRule="auto"/>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Quarterly Report on Form 10-Q for the quarter ended March 31, 2026 (the “Q1 2026 Form 10-Q”), filed with the SEC on </w:t>
      </w:r>
      <w:hyperlink r:id="rId16">
        <w:r>
          <w:rPr>
            <w:rFonts w:ascii="Times New Roman" w:cs="Times New Roman" w:eastAsia="Times New Roman" w:hAnsi="Times New Roman"/>
            <w:sz w:val="16"/>
            <w:szCs w:val="16"/>
            <w:u w:val="single" w:color="auto"/>
            <w:color w:val="0000EE"/>
          </w:rPr>
          <w:t>May 7, 2026</w:t>
        </w:r>
      </w:hyperlink>
      <w:r>
        <w:rPr>
          <w:rFonts w:ascii="Times New Roman" w:cs="Times New Roman" w:eastAsia="Times New Roman" w:hAnsi="Times New Roman"/>
          <w:sz w:val="16"/>
          <w:szCs w:val="16"/>
          <w:color w:val="auto"/>
        </w:rPr>
        <w:t>;</w:t>
      </w:r>
    </w:p>
    <w:p>
      <w:pPr>
        <w:spacing w:after="0" w:line="48" w:lineRule="exact"/>
        <w:rPr>
          <w:rFonts w:ascii="Times New Roman" w:cs="Times New Roman" w:eastAsia="Times New Roman" w:hAnsi="Times New Roman"/>
          <w:sz w:val="16"/>
          <w:szCs w:val="16"/>
          <w:color w:val="auto"/>
        </w:rPr>
      </w:pPr>
    </w:p>
    <w:p>
      <w:pPr>
        <w:ind w:left="1380" w:right="1239" w:hanging="304"/>
        <w:spacing w:after="0" w:line="282" w:lineRule="auto"/>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information specifically incorporated by reference into Part III of our 2025 Form 10-K from our Definitive Proxy Statement on Schedule 14A, filed with the SEC on </w:t>
      </w:r>
      <w:hyperlink r:id="rId17">
        <w:r>
          <w:rPr>
            <w:rFonts w:ascii="Times New Roman" w:cs="Times New Roman" w:eastAsia="Times New Roman" w:hAnsi="Times New Roman"/>
            <w:sz w:val="16"/>
            <w:szCs w:val="16"/>
            <w:u w:val="single" w:color="auto"/>
            <w:color w:val="0000EE"/>
          </w:rPr>
          <w:t>April 2, 2026</w:t>
        </w:r>
      </w:hyperlink>
      <w:r>
        <w:rPr>
          <w:rFonts w:ascii="Times New Roman" w:cs="Times New Roman" w:eastAsia="Times New Roman" w:hAnsi="Times New Roman"/>
          <w:sz w:val="16"/>
          <w:szCs w:val="16"/>
          <w:color w:val="auto"/>
        </w:rPr>
        <w:t>; and</w:t>
      </w:r>
    </w:p>
    <w:p>
      <w:pPr>
        <w:spacing w:after="0" w:line="48" w:lineRule="exact"/>
        <w:rPr>
          <w:rFonts w:ascii="Times New Roman" w:cs="Times New Roman" w:eastAsia="Times New Roman" w:hAnsi="Times New Roman"/>
          <w:sz w:val="16"/>
          <w:szCs w:val="16"/>
          <w:color w:val="auto"/>
        </w:rPr>
      </w:pPr>
    </w:p>
    <w:p>
      <w:pPr>
        <w:ind w:left="1380" w:right="819" w:hanging="304"/>
        <w:spacing w:after="0" w:line="266" w:lineRule="auto"/>
        <w:tabs>
          <w:tab w:leader="none" w:pos="1380" w:val="left"/>
        </w:tabs>
        <w:numPr>
          <w:ilvl w:val="0"/>
          <w:numId w:val="3"/>
        </w:numPr>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color w:val="auto"/>
        </w:rPr>
        <w:t xml:space="preserve">our Current Reports on Form 8-K filed with the SEC on </w:t>
      </w:r>
      <w:hyperlink r:id="rId18">
        <w:r>
          <w:rPr>
            <w:rFonts w:ascii="Times New Roman" w:cs="Times New Roman" w:eastAsia="Times New Roman" w:hAnsi="Times New Roman"/>
            <w:sz w:val="16"/>
            <w:szCs w:val="16"/>
            <w:u w:val="single" w:color="auto"/>
            <w:color w:val="0000EE"/>
          </w:rPr>
          <w:t>February 3, 2026</w:t>
        </w:r>
      </w:hyperlink>
      <w:r>
        <w:rPr>
          <w:rFonts w:ascii="Times New Roman" w:cs="Times New Roman" w:eastAsia="Times New Roman" w:hAnsi="Times New Roman"/>
          <w:sz w:val="16"/>
          <w:szCs w:val="16"/>
          <w:color w:val="auto"/>
        </w:rPr>
        <w:t xml:space="preserve">, </w:t>
      </w:r>
      <w:hyperlink r:id="rId19">
        <w:r>
          <w:rPr>
            <w:rFonts w:ascii="Times New Roman" w:cs="Times New Roman" w:eastAsia="Times New Roman" w:hAnsi="Times New Roman"/>
            <w:sz w:val="16"/>
            <w:szCs w:val="16"/>
            <w:u w:val="single" w:color="auto"/>
            <w:color w:val="0000EE"/>
          </w:rPr>
          <w:t>February 26,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(other than </w:t>
      </w:r>
      <w:hyperlink r:id="rId20">
        <w:r>
          <w:rPr>
            <w:rFonts w:ascii="Times New Roman" w:cs="Times New Roman" w:eastAsia="Times New Roman" w:hAnsi="Times New Roman"/>
            <w:sz w:val="16"/>
            <w:szCs w:val="16"/>
            <w:color w:val="auto"/>
          </w:rPr>
          <w:t xml:space="preserve">Item 2.02 and the related Item 9.01), </w:t>
        </w:r>
        <w:r>
          <w:rPr>
            <w:rFonts w:ascii="Times New Roman" w:cs="Times New Roman" w:eastAsia="Times New Roman" w:hAnsi="Times New Roman"/>
            <w:sz w:val="16"/>
            <w:szCs w:val="16"/>
            <w:u w:val="single" w:color="auto"/>
            <w:color w:val="0000EE"/>
          </w:rPr>
          <w:t>May 4, 2026</w:t>
        </w:r>
        <w:r>
          <w:rPr>
            <w:rFonts w:ascii="Times New Roman" w:cs="Times New Roman" w:eastAsia="Times New Roman" w:hAnsi="Times New Roman"/>
            <w:sz w:val="16"/>
            <w:szCs w:val="16"/>
            <w:color w:val="auto"/>
          </w:rPr>
          <w:t xml:space="preserve"> (other than Item 7.01 and the related Item 9.01), </w:t>
        </w:r>
        <w:r>
          <w:rPr>
            <w:rFonts w:ascii="Times New Roman" w:cs="Times New Roman" w:eastAsia="Times New Roman" w:hAnsi="Times New Roman"/>
            <w:sz w:val="16"/>
            <w:szCs w:val="16"/>
            <w:u w:val="single" w:color="auto"/>
            <w:color w:val="0000EE"/>
          </w:rPr>
          <w:t>May 7,</w:t>
        </w:r>
      </w:hyperlink>
      <w:r>
        <w:rPr>
          <w:rFonts w:ascii="Times New Roman" w:cs="Times New Roman" w:eastAsia="Times New Roman" w:hAnsi="Times New Roman"/>
          <w:sz w:val="16"/>
          <w:szCs w:val="16"/>
          <w:color w:val="auto"/>
        </w:rPr>
        <w:t xml:space="preserve"> </w:t>
      </w:r>
      <w:hyperlink r:id="rId20">
        <w:r>
          <w:rPr>
            <w:rFonts w:ascii="Times New Roman" w:cs="Times New Roman" w:eastAsia="Times New Roman" w:hAnsi="Times New Roman"/>
            <w:sz w:val="16"/>
            <w:szCs w:val="16"/>
            <w:u w:val="single" w:color="auto"/>
            <w:color w:val="0000EE"/>
          </w:rPr>
          <w:t>2026</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(other than Item 2.02 and the related Item 9.01) and</w:t>
        </w:r>
        <w:r>
          <w:rPr>
            <w:rFonts w:ascii="Times New Roman" w:cs="Times New Roman" w:eastAsia="Times New Roman" w:hAnsi="Times New Roman"/>
            <w:sz w:val="16"/>
            <w:szCs w:val="16"/>
            <w:color w:val="0000EE"/>
          </w:rPr>
          <w:t xml:space="preserve"> </w:t>
        </w:r>
      </w:hyperlink>
      <w:hyperlink r:id="rId21">
        <w:r>
          <w:rPr>
            <w:rFonts w:ascii="Times New Roman" w:cs="Times New Roman" w:eastAsia="Times New Roman" w:hAnsi="Times New Roman"/>
            <w:sz w:val="16"/>
            <w:szCs w:val="16"/>
            <w:u w:val="single" w:color="auto"/>
            <w:color w:val="0000EE"/>
          </w:rPr>
          <w:t>May 15, 2026</w:t>
        </w:r>
      </w:hyperlink>
      <w:hyperlink r:id="rId20">
        <w:r>
          <w:rPr>
            <w:rFonts w:ascii="Times New Roman" w:cs="Times New Roman" w:eastAsia="Times New Roman" w:hAnsi="Times New Roman"/>
            <w:sz w:val="16"/>
            <w:szCs w:val="16"/>
            <w:color w:val="000000"/>
          </w:rPr>
          <w:t>.</w:t>
        </w:r>
      </w:hyperlink>
    </w:p>
    <w:p>
      <w:pPr>
        <w:spacing w:after="0" w:line="61" w:lineRule="exact"/>
        <w:rPr>
          <w:rFonts w:ascii="Times New Roman" w:cs="Times New Roman" w:eastAsia="Times New Roman" w:hAnsi="Times New Roman"/>
          <w:sz w:val="16"/>
          <w:szCs w:val="16"/>
          <w:color w:val="0000EE"/>
        </w:rPr>
      </w:pPr>
    </w:p>
    <w:p>
      <w:pPr>
        <w:ind w:left="1080"/>
        <w:spacing w:after="0"/>
        <w:rPr>
          <w:sz w:val="20"/>
          <w:szCs w:val="20"/>
          <w:color w:val="auto"/>
        </w:rPr>
      </w:pPr>
      <w:r>
        <w:rPr>
          <w:rFonts w:ascii="Times New Roman" w:cs="Times New Roman" w:eastAsia="Times New Roman" w:hAnsi="Times New Roman"/>
          <w:sz w:val="16"/>
          <w:szCs w:val="16"/>
          <w:color w:val="auto"/>
        </w:rPr>
        <w:t>In addition, we hereby further incorporate by reference into this prospectus additional documents that</w:t>
      </w:r>
    </w:p>
    <w:p>
      <w:pPr>
        <w:spacing w:after="0" w:line="25" w:lineRule="exact"/>
        <w:rPr>
          <w:rFonts w:ascii="Times New Roman" w:cs="Times New Roman" w:eastAsia="Times New Roman" w:hAnsi="Times New Roman"/>
          <w:sz w:val="16"/>
          <w:szCs w:val="16"/>
          <w:color w:val="0000EE"/>
        </w:rPr>
      </w:pPr>
    </w:p>
    <w:p>
      <w:pPr>
        <w:ind w:left="760"/>
        <w:spacing w:after="0"/>
        <w:rPr>
          <w:sz w:val="20"/>
          <w:szCs w:val="20"/>
          <w:color w:val="auto"/>
        </w:rPr>
      </w:pPr>
      <w:r>
        <w:rPr>
          <w:rFonts w:ascii="Times New Roman" w:cs="Times New Roman" w:eastAsia="Times New Roman" w:hAnsi="Times New Roman"/>
          <w:sz w:val="16"/>
          <w:szCs w:val="16"/>
          <w:color w:val="auto"/>
        </w:rPr>
        <w:t>Viatris may file with the SEC pursuant to Sections 13(a), 13(c), 14 or 15(d) of the Securities Exchange Act of 1934,</w:t>
      </w:r>
    </w:p>
    <w:p>
      <w:pPr>
        <w:spacing w:after="0" w:line="8" w:lineRule="exact"/>
        <w:rPr>
          <w:rFonts w:ascii="Times New Roman" w:cs="Times New Roman" w:eastAsia="Times New Roman" w:hAnsi="Times New Roman"/>
          <w:sz w:val="16"/>
          <w:szCs w:val="16"/>
          <w:color w:val="0000EE"/>
        </w:rPr>
      </w:pPr>
    </w:p>
    <w:p>
      <w:pPr>
        <w:ind w:left="760"/>
        <w:spacing w:after="0"/>
        <w:rPr>
          <w:sz w:val="20"/>
          <w:szCs w:val="20"/>
          <w:color w:val="auto"/>
        </w:rPr>
      </w:pPr>
      <w:r>
        <w:rPr>
          <w:rFonts w:ascii="Times New Roman" w:cs="Times New Roman" w:eastAsia="Times New Roman" w:hAnsi="Times New Roman"/>
          <w:sz w:val="16"/>
          <w:szCs w:val="16"/>
          <w:color w:val="auto"/>
        </w:rPr>
        <w:t>as amended (the “Exchange Act”) on and after the date of this prospectus supplement until all of the notes offered</w:t>
      </w:r>
    </w:p>
    <w:p>
      <w:pPr>
        <w:spacing w:after="0" w:line="8" w:lineRule="exact"/>
        <w:rPr>
          <w:rFonts w:ascii="Times New Roman" w:cs="Times New Roman" w:eastAsia="Times New Roman" w:hAnsi="Times New Roman"/>
          <w:sz w:val="16"/>
          <w:szCs w:val="16"/>
          <w:color w:val="0000EE"/>
        </w:rPr>
      </w:pPr>
    </w:p>
    <w:p>
      <w:pPr>
        <w:ind w:left="760"/>
        <w:spacing w:after="0"/>
        <w:rPr>
          <w:sz w:val="20"/>
          <w:szCs w:val="20"/>
          <w:color w:val="auto"/>
        </w:rPr>
      </w:pPr>
      <w:r>
        <w:rPr>
          <w:rFonts w:ascii="Times New Roman" w:cs="Times New Roman" w:eastAsia="Times New Roman" w:hAnsi="Times New Roman"/>
          <w:sz w:val="16"/>
          <w:szCs w:val="16"/>
          <w:color w:val="auto"/>
        </w:rPr>
        <w:t>pursuant to this prospectus supplement have been sold or the offering of such notes hereunder has been terminated</w:t>
      </w:r>
    </w:p>
    <w:p>
      <w:pPr>
        <w:spacing w:after="0" w:line="8" w:lineRule="exact"/>
        <w:rPr>
          <w:rFonts w:ascii="Times New Roman" w:cs="Times New Roman" w:eastAsia="Times New Roman" w:hAnsi="Times New Roman"/>
          <w:sz w:val="16"/>
          <w:szCs w:val="16"/>
          <w:color w:val="0000EE"/>
        </w:rPr>
      </w:pPr>
    </w:p>
    <w:p>
      <w:pPr>
        <w:ind w:left="760"/>
        <w:spacing w:after="0"/>
        <w:rPr>
          <w:sz w:val="20"/>
          <w:szCs w:val="20"/>
          <w:color w:val="auto"/>
        </w:rPr>
      </w:pPr>
      <w:r>
        <w:rPr>
          <w:rFonts w:ascii="Times New Roman" w:cs="Times New Roman" w:eastAsia="Times New Roman" w:hAnsi="Times New Roman"/>
          <w:sz w:val="16"/>
          <w:szCs w:val="16"/>
          <w:color w:val="auto"/>
        </w:rPr>
        <w:t>(other than any report or document, or portion of a report or document, that is furnished under applicable SEC rules</w:t>
      </w:r>
    </w:p>
    <w:p>
      <w:pPr>
        <w:spacing w:after="0" w:line="8" w:lineRule="exact"/>
        <w:rPr>
          <w:rFonts w:ascii="Times New Roman" w:cs="Times New Roman" w:eastAsia="Times New Roman" w:hAnsi="Times New Roman"/>
          <w:sz w:val="16"/>
          <w:szCs w:val="16"/>
          <w:color w:val="0000EE"/>
        </w:rPr>
      </w:pPr>
    </w:p>
    <w:p>
      <w:pPr>
        <w:ind w:left="760"/>
        <w:spacing w:after="0"/>
        <w:rPr>
          <w:sz w:val="20"/>
          <w:szCs w:val="20"/>
          <w:color w:val="auto"/>
        </w:rPr>
      </w:pPr>
      <w:r>
        <w:rPr>
          <w:rFonts w:ascii="Times New Roman" w:cs="Times New Roman" w:eastAsia="Times New Roman" w:hAnsi="Times New Roman"/>
          <w:sz w:val="16"/>
          <w:szCs w:val="16"/>
          <w:color w:val="auto"/>
        </w:rPr>
        <w:t>rather than “filed”).</w:t>
      </w:r>
    </w:p>
    <w:p>
      <w:pPr>
        <w:spacing w:after="0" w:line="88" w:lineRule="exact"/>
        <w:rPr>
          <w:rFonts w:ascii="Times New Roman" w:cs="Times New Roman" w:eastAsia="Times New Roman" w:hAnsi="Times New Roman"/>
          <w:sz w:val="16"/>
          <w:szCs w:val="16"/>
          <w:color w:val="0000EE"/>
        </w:rPr>
      </w:pPr>
    </w:p>
    <w:p>
      <w:pPr>
        <w:ind w:left="760" w:right="819" w:firstLine="320"/>
        <w:spacing w:after="0" w:line="258" w:lineRule="auto"/>
        <w:rPr>
          <w:sz w:val="20"/>
          <w:szCs w:val="20"/>
          <w:color w:val="auto"/>
        </w:rPr>
      </w:pPr>
      <w:r>
        <w:rPr>
          <w:rFonts w:ascii="Times New Roman" w:cs="Times New Roman" w:eastAsia="Times New Roman" w:hAnsi="Times New Roman"/>
          <w:sz w:val="16"/>
          <w:szCs w:val="16"/>
          <w:color w:val="auto"/>
        </w:rPr>
        <w:t>Any statement contained herein or in any document incorporated by reference herein shall be deemed modified or superseded for purposes of this prospectus to the extent that a statement contained herein or in any subsequently filed document which is also incorporated by reference herein modifies or supersedes such statement. Any such statement so modified or superseded shall not be deemed to constitute a part of this prospectus, except as so modified or superseded.</w:t>
      </w:r>
    </w:p>
    <w:p>
      <w:pPr>
        <w:spacing w:after="0" w:line="68" w:lineRule="exact"/>
        <w:rPr>
          <w:rFonts w:ascii="Times New Roman" w:cs="Times New Roman" w:eastAsia="Times New Roman" w:hAnsi="Times New Roman"/>
          <w:sz w:val="16"/>
          <w:szCs w:val="16"/>
          <w:color w:val="0000EE"/>
        </w:rPr>
      </w:pPr>
    </w:p>
    <w:p>
      <w:pPr>
        <w:ind w:left="760" w:right="779" w:firstLine="320"/>
        <w:spacing w:after="0" w:line="258" w:lineRule="auto"/>
        <w:rPr>
          <w:sz w:val="20"/>
          <w:szCs w:val="20"/>
          <w:color w:val="auto"/>
        </w:rPr>
      </w:pPr>
      <w:r>
        <w:rPr>
          <w:rFonts w:ascii="Times New Roman" w:cs="Times New Roman" w:eastAsia="Times New Roman" w:hAnsi="Times New Roman"/>
          <w:sz w:val="16"/>
          <w:szCs w:val="16"/>
          <w:color w:val="auto"/>
        </w:rPr>
        <w:t>You can obtain any of the documents incorporated by reference into this prospectus from the SEC, through the SEC’s website at www.sec.gov, through our website at www.viatris.com, or from us by requesting them in writing or by telephone at the following address. The contents of the SEC’s website and our website are not incorporated by reference in this prospectus supplement (except for the information expressly incorporated herein by reference as described above in this section) and shall not be deemed “filed” under the Exchange Act.</w:t>
      </w:r>
    </w:p>
    <w:p>
      <w:pPr>
        <w:spacing w:after="0" w:line="116" w:lineRule="exact"/>
        <w:rPr>
          <w:rFonts w:ascii="Times New Roman" w:cs="Times New Roman" w:eastAsia="Times New Roman" w:hAnsi="Times New Roman"/>
          <w:sz w:val="16"/>
          <w:szCs w:val="16"/>
          <w:color w:val="0000EE"/>
        </w:rPr>
      </w:pPr>
    </w:p>
    <w:p>
      <w:pPr>
        <w:jc w:val="center"/>
        <w:ind w:right="39"/>
        <w:spacing w:after="0"/>
        <w:rPr>
          <w:sz w:val="20"/>
          <w:szCs w:val="20"/>
          <w:color w:val="auto"/>
        </w:rPr>
      </w:pPr>
      <w:r>
        <w:rPr>
          <w:rFonts w:ascii="Times New Roman" w:cs="Times New Roman" w:eastAsia="Times New Roman" w:hAnsi="Times New Roman"/>
          <w:sz w:val="16"/>
          <w:szCs w:val="16"/>
          <w:color w:val="auto"/>
        </w:rPr>
        <w:t>Viatris Inc.</w:t>
      </w:r>
    </w:p>
    <w:p>
      <w:pPr>
        <w:spacing w:after="0" w:line="25" w:lineRule="exact"/>
        <w:rPr>
          <w:rFonts w:ascii="Times New Roman" w:cs="Times New Roman" w:eastAsia="Times New Roman" w:hAnsi="Times New Roman"/>
          <w:sz w:val="16"/>
          <w:szCs w:val="16"/>
          <w:color w:val="0000EE"/>
        </w:rPr>
      </w:pPr>
    </w:p>
    <w:p>
      <w:pPr>
        <w:jc w:val="center"/>
        <w:ind w:right="39"/>
        <w:spacing w:after="0"/>
        <w:rPr>
          <w:sz w:val="20"/>
          <w:szCs w:val="20"/>
          <w:color w:val="auto"/>
        </w:rPr>
      </w:pPr>
      <w:r>
        <w:rPr>
          <w:rFonts w:ascii="Times New Roman" w:cs="Times New Roman" w:eastAsia="Times New Roman" w:hAnsi="Times New Roman"/>
          <w:sz w:val="16"/>
          <w:szCs w:val="16"/>
          <w:color w:val="auto"/>
        </w:rPr>
        <w:t>Attention: Investor Relations</w:t>
      </w:r>
    </w:p>
    <w:p>
      <w:pPr>
        <w:spacing w:after="0" w:line="8" w:lineRule="exact"/>
        <w:rPr>
          <w:rFonts w:ascii="Times New Roman" w:cs="Times New Roman" w:eastAsia="Times New Roman" w:hAnsi="Times New Roman"/>
          <w:sz w:val="16"/>
          <w:szCs w:val="16"/>
          <w:color w:val="0000EE"/>
        </w:rPr>
      </w:pPr>
    </w:p>
    <w:p>
      <w:pPr>
        <w:jc w:val="center"/>
        <w:ind w:right="39"/>
        <w:spacing w:after="0"/>
        <w:rPr>
          <w:sz w:val="20"/>
          <w:szCs w:val="20"/>
          <w:color w:val="auto"/>
        </w:rPr>
      </w:pPr>
      <w:r>
        <w:rPr>
          <w:rFonts w:ascii="Times New Roman" w:cs="Times New Roman" w:eastAsia="Times New Roman" w:hAnsi="Times New Roman"/>
          <w:sz w:val="16"/>
          <w:szCs w:val="16"/>
          <w:color w:val="auto"/>
        </w:rPr>
        <w:t>1000 Mylan Boulevard</w:t>
      </w:r>
    </w:p>
    <w:p>
      <w:pPr>
        <w:spacing w:after="0" w:line="8" w:lineRule="exact"/>
        <w:rPr>
          <w:rFonts w:ascii="Times New Roman" w:cs="Times New Roman" w:eastAsia="Times New Roman" w:hAnsi="Times New Roman"/>
          <w:sz w:val="16"/>
          <w:szCs w:val="16"/>
          <w:color w:val="0000EE"/>
        </w:rPr>
      </w:pPr>
    </w:p>
    <w:p>
      <w:pPr>
        <w:jc w:val="center"/>
        <w:ind w:right="39"/>
        <w:spacing w:after="0"/>
        <w:rPr>
          <w:sz w:val="20"/>
          <w:szCs w:val="20"/>
          <w:color w:val="auto"/>
        </w:rPr>
      </w:pPr>
      <w:r>
        <w:rPr>
          <w:rFonts w:ascii="Times New Roman" w:cs="Times New Roman" w:eastAsia="Times New Roman" w:hAnsi="Times New Roman"/>
          <w:sz w:val="16"/>
          <w:szCs w:val="16"/>
          <w:color w:val="auto"/>
        </w:rPr>
        <w:t>Canonsburg, Pennsylvania 15317</w:t>
      </w:r>
    </w:p>
    <w:p>
      <w:pPr>
        <w:spacing w:after="0" w:line="8" w:lineRule="exact"/>
        <w:rPr>
          <w:rFonts w:ascii="Times New Roman" w:cs="Times New Roman" w:eastAsia="Times New Roman" w:hAnsi="Times New Roman"/>
          <w:sz w:val="16"/>
          <w:szCs w:val="16"/>
          <w:color w:val="0000EE"/>
        </w:rPr>
      </w:pPr>
    </w:p>
    <w:p>
      <w:pPr>
        <w:jc w:val="center"/>
        <w:spacing w:after="0"/>
        <w:rPr>
          <w:sz w:val="20"/>
          <w:szCs w:val="20"/>
          <w:color w:val="auto"/>
        </w:rPr>
      </w:pPr>
      <w:r>
        <w:rPr>
          <w:rFonts w:ascii="Times New Roman" w:cs="Times New Roman" w:eastAsia="Times New Roman" w:hAnsi="Times New Roman"/>
          <w:sz w:val="16"/>
          <w:szCs w:val="16"/>
          <w:color w:val="auto"/>
        </w:rPr>
        <w:t>Tel: (724) 514-1800</w:t>
      </w:r>
    </w:p>
    <w:p>
      <w:pPr>
        <w:spacing w:after="0" w:line="88" w:lineRule="exact"/>
        <w:rPr>
          <w:rFonts w:ascii="Times New Roman" w:cs="Times New Roman" w:eastAsia="Times New Roman" w:hAnsi="Times New Roman"/>
          <w:sz w:val="16"/>
          <w:szCs w:val="16"/>
          <w:color w:val="0000EE"/>
        </w:rPr>
      </w:pPr>
    </w:p>
    <w:p>
      <w:pPr>
        <w:ind w:left="760" w:right="1019" w:firstLine="320"/>
        <w:spacing w:after="0" w:line="261" w:lineRule="auto"/>
        <w:rPr>
          <w:sz w:val="20"/>
          <w:szCs w:val="20"/>
          <w:color w:val="auto"/>
        </w:rPr>
      </w:pPr>
      <w:r>
        <w:rPr>
          <w:rFonts w:ascii="Times New Roman" w:cs="Times New Roman" w:eastAsia="Times New Roman" w:hAnsi="Times New Roman"/>
          <w:sz w:val="16"/>
          <w:szCs w:val="16"/>
          <w:color w:val="auto"/>
        </w:rPr>
        <w:t>We will furnish without charge to each person, including any beneficial owner of our securities, to whom a copy of this prospectus is delivered, upon written or oral request, a copy of the information that has been incorporated into this prospectus by reference but not delivered with the prospectus, excluding any exhibits other than those that are specifically incorporated by reference into this prospectus supplement.</w:t>
      </w:r>
    </w:p>
    <w:p>
      <w:pPr>
        <w:spacing w:after="0" w:line="161" w:lineRule="exact"/>
        <w:rPr>
          <w:rFonts w:ascii="Times New Roman" w:cs="Times New Roman" w:eastAsia="Times New Roman" w:hAnsi="Times New Roman"/>
          <w:sz w:val="16"/>
          <w:szCs w:val="16"/>
          <w:color w:val="0000EE"/>
        </w:rPr>
      </w:pPr>
    </w:p>
    <w:p>
      <w:pPr>
        <w:jc w:val="center"/>
        <w:spacing w:after="0"/>
        <w:rPr>
          <w:sz w:val="20"/>
          <w:szCs w:val="20"/>
          <w:color w:val="auto"/>
        </w:rPr>
      </w:pPr>
      <w:r>
        <w:rPr>
          <w:rFonts w:ascii="Times New Roman" w:cs="Times New Roman" w:eastAsia="Times New Roman" w:hAnsi="Times New Roman"/>
          <w:sz w:val="16"/>
          <w:szCs w:val="16"/>
          <w:color w:val="auto"/>
        </w:rPr>
        <w:t>S-v</w:t>
      </w:r>
    </w:p>
    <w:p>
      <w:pPr>
        <w:spacing w:after="0" w:line="20" w:lineRule="exact"/>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color w:val="0000EE"/>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6" w:name="page7"/>
    <w:bookmarkEnd w:id="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LANGUAGE REGARDING FORWARD-LOOKING STATEMENTS</w:t>
      </w:r>
    </w:p>
    <w:p>
      <w:pPr>
        <w:spacing w:after="0" w:line="106" w:lineRule="exact"/>
        <w:rPr>
          <w:sz w:val="20"/>
          <w:szCs w:val="20"/>
          <w:color w:val="auto"/>
        </w:rPr>
      </w:pPr>
    </w:p>
    <w:p>
      <w:pPr>
        <w:ind w:left="760" w:right="779" w:firstLine="320"/>
        <w:spacing w:after="0" w:line="252" w:lineRule="auto"/>
        <w:rPr>
          <w:sz w:val="20"/>
          <w:szCs w:val="20"/>
          <w:color w:val="auto"/>
        </w:rPr>
      </w:pPr>
      <w:r>
        <w:rPr>
          <w:rFonts w:ascii="Times New Roman" w:cs="Times New Roman" w:eastAsia="Times New Roman" w:hAnsi="Times New Roman"/>
          <w:sz w:val="16"/>
          <w:szCs w:val="16"/>
          <w:color w:val="auto"/>
        </w:rPr>
        <w:t>This prospectus supplement, the accompanying prospectus, and the documents incorporated by reference into this prospectus supplement and the accompanying prospectus, contain “forward-looking statements.” These statements are made pursuant to the safe harbor provisions of the Private Securities Litigation Reform Act of 1995. Such forward-looking statements may include, without limitation, statements about the offering of securities registered hereunder, the goals or outlooks with respect to the Company’s strategic initiatives and priorities, including but not limited to divestitures, acquisitions, strategic alliances, collaborations or other potential transactions; the anticipated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78" w:lineRule="exact"/>
        <w:rPr>
          <w:sz w:val="20"/>
          <w:szCs w:val="20"/>
          <w:color w:val="auto"/>
        </w:rPr>
      </w:pPr>
    </w:p>
    <w:p>
      <w:pPr>
        <w:ind w:left="1380" w:right="859" w:hanging="304"/>
        <w:spacing w:after="0" w:line="282"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the Company may not realize the intended benefits of, or achieve the intended goals or outlooks with respect to, its strategic initiatives and priorities;</w:t>
      </w:r>
    </w:p>
    <w:p>
      <w:pPr>
        <w:spacing w:after="0" w:line="48" w:lineRule="exact"/>
        <w:rPr>
          <w:rFonts w:ascii="Times New Roman" w:cs="Times New Roman" w:eastAsia="Times New Roman" w:hAnsi="Times New Roman"/>
          <w:sz w:val="16"/>
          <w:szCs w:val="16"/>
          <w:color w:val="auto"/>
        </w:rPr>
      </w:pPr>
    </w:p>
    <w:p>
      <w:pPr>
        <w:ind w:left="1380" w:right="1019" w:hanging="304"/>
        <w:spacing w:after="0" w:line="266"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the Company may be unable to achieve the intended or expected benefits of its enterprise-wide strategic review and related cost-saving and restructuring activities within the expected timeframe or at all;</w:t>
      </w:r>
    </w:p>
    <w:p>
      <w:pPr>
        <w:spacing w:after="0" w:line="60" w:lineRule="exact"/>
        <w:rPr>
          <w:rFonts w:ascii="Times New Roman" w:cs="Times New Roman" w:eastAsia="Times New Roman" w:hAnsi="Times New Roman"/>
          <w:sz w:val="16"/>
          <w:szCs w:val="16"/>
          <w:color w:val="auto"/>
        </w:rPr>
      </w:pPr>
    </w:p>
    <w:p>
      <w:pPr>
        <w:ind w:left="1380" w:right="1059" w:hanging="304"/>
        <w:spacing w:after="0" w:line="266"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the Company may be unable to achieve intended or expected benefits in connection with divestitures, acquisitions, strategic alliances, collaborations or other transactions or restructuring programs, within the expected timeframes or at all;</w:t>
      </w:r>
    </w:p>
    <w:p>
      <w:pPr>
        <w:spacing w:after="0" w:line="60"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or impairment charges or other losses;</w:t>
      </w:r>
    </w:p>
    <w:p>
      <w:pPr>
        <w:spacing w:after="0" w:line="104" w:lineRule="exact"/>
        <w:rPr>
          <w:rFonts w:ascii="Times New Roman" w:cs="Times New Roman" w:eastAsia="Times New Roman" w:hAnsi="Times New Roman"/>
          <w:sz w:val="16"/>
          <w:szCs w:val="16"/>
          <w:color w:val="auto"/>
        </w:rPr>
      </w:pPr>
    </w:p>
    <w:p>
      <w:pPr>
        <w:ind w:left="1380" w:right="799" w:hanging="304"/>
        <w:spacing w:after="0" w:line="282"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 of clinical trials and the Company’s or its partners’ ability to execute on new product opportunities and develop, manufacture and commercialize products;</w:t>
      </w:r>
    </w:p>
    <w:p>
      <w:pPr>
        <w:spacing w:after="0" w:line="48" w:lineRule="exact"/>
        <w:rPr>
          <w:rFonts w:ascii="Times New Roman" w:cs="Times New Roman" w:eastAsia="Times New Roman" w:hAnsi="Times New Roman"/>
          <w:sz w:val="16"/>
          <w:szCs w:val="16"/>
          <w:color w:val="auto"/>
        </w:rPr>
      </w:pPr>
    </w:p>
    <w:p>
      <w:pPr>
        <w:ind w:left="1380" w:right="799" w:hanging="304"/>
        <w:spacing w:after="0" w:line="266"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changes in or difficulties with the Company’s manufacturing facilities, including with respect to short-or long-term shutdowns, inspections, remediation and restructuring activities, supply chain continuity, inventory management, or the ability to meet anticipated demand;</w:t>
      </w:r>
    </w:p>
    <w:p>
      <w:pPr>
        <w:spacing w:after="0" w:line="60" w:lineRule="exact"/>
        <w:rPr>
          <w:rFonts w:ascii="Times New Roman" w:cs="Times New Roman" w:eastAsia="Times New Roman" w:hAnsi="Times New Roman"/>
          <w:sz w:val="16"/>
          <w:szCs w:val="16"/>
          <w:color w:val="auto"/>
        </w:rPr>
      </w:pPr>
    </w:p>
    <w:p>
      <w:pPr>
        <w:ind w:left="1380" w:right="1119" w:hanging="304"/>
        <w:spacing w:after="0" w:line="282"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failure to achieve expected or targeted future financial and operating performance and results;</w:t>
      </w:r>
    </w:p>
    <w:p>
      <w:pPr>
        <w:spacing w:after="0" w:line="48" w:lineRule="exact"/>
        <w:rPr>
          <w:rFonts w:ascii="Times New Roman" w:cs="Times New Roman" w:eastAsia="Times New Roman" w:hAnsi="Times New Roman"/>
          <w:sz w:val="16"/>
          <w:szCs w:val="16"/>
          <w:color w:val="auto"/>
        </w:rPr>
      </w:pPr>
    </w:p>
    <w:p>
      <w:pPr>
        <w:ind w:left="1380" w:right="979" w:hanging="304"/>
        <w:spacing w:after="0" w:line="282"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impact of natural or man-made disasters, public health outbreaks, fires, accidents, weather, unrest or other emergencies in regions where we or our partners or suppliers operate;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and decisions of healthcare and pharmaceutical regulators;</w:t>
      </w:r>
    </w:p>
    <w:p>
      <w:pPr>
        <w:spacing w:after="0" w:line="104" w:lineRule="exact"/>
        <w:rPr>
          <w:rFonts w:ascii="Times New Roman" w:cs="Times New Roman" w:eastAsia="Times New Roman" w:hAnsi="Times New Roman"/>
          <w:sz w:val="16"/>
          <w:szCs w:val="16"/>
          <w:color w:val="auto"/>
        </w:rPr>
      </w:pPr>
    </w:p>
    <w:p>
      <w:pPr>
        <w:ind w:left="1380" w:right="1079" w:hanging="304"/>
        <w:spacing w:after="0" w:line="282"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relevant laws, regulations and policies and/or the application or implementation thereof, including but not limited to tax, healthcare and pharmaceutical laws, regulations and policies globally;</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attract, motivate and retain key personnel;</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liquidity, capital resources and ability to obtain financing;</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regulatory, legal or other impediments to the Company’s ability to bring new products to market;</w:t>
      </w:r>
    </w:p>
    <w:p>
      <w:pPr>
        <w:spacing w:after="0" w:line="104" w:lineRule="exact"/>
        <w:rPr>
          <w:rFonts w:ascii="Times New Roman" w:cs="Times New Roman" w:eastAsia="Times New Roman" w:hAnsi="Times New Roman"/>
          <w:sz w:val="16"/>
          <w:szCs w:val="16"/>
          <w:color w:val="auto"/>
        </w:rPr>
      </w:pPr>
    </w:p>
    <w:p>
      <w:pPr>
        <w:ind w:left="1380" w:right="1199" w:hanging="304"/>
        <w:spacing w:after="0" w:line="282"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products in development that receive regulatory approval may not achieve expected levels of market acceptance, efficacy or safety;</w:t>
      </w:r>
    </w:p>
    <w:p>
      <w:pPr>
        <w:spacing w:after="0" w:line="48" w:lineRule="exact"/>
        <w:rPr>
          <w:rFonts w:ascii="Times New Roman" w:cs="Times New Roman" w:eastAsia="Times New Roman" w:hAnsi="Times New Roman"/>
          <w:sz w:val="16"/>
          <w:szCs w:val="16"/>
          <w:color w:val="auto"/>
        </w:rPr>
      </w:pPr>
    </w:p>
    <w:p>
      <w:pPr>
        <w:ind w:left="1380" w:right="939" w:hanging="304"/>
        <w:spacing w:after="0" w:line="282"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review, response and approval times as a result of evolving regulatory priorities and reductions in personnel at health agencies;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380" w:right="1239" w:hanging="304"/>
        <w:spacing w:after="0" w:line="282" w:lineRule="auto"/>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timing and outcome of any ongoing legal proceedings, including government inquiries or investigations, and the impact of any such proceedings on the Company;</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significant breach of data security or data privacy or disruptions to our IT systems;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having significant operations globally;</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protect intellectual property and preserve intellectual property rights;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third-party relationships;</w:t>
      </w:r>
    </w:p>
    <w:p>
      <w:pPr>
        <w:spacing w:after="0" w:line="104" w:lineRule="exact"/>
        <w:rPr>
          <w:rFonts w:ascii="Times New Roman" w:cs="Times New Roman" w:eastAsia="Times New Roman" w:hAnsi="Times New Roman"/>
          <w:sz w:val="16"/>
          <w:szCs w:val="16"/>
          <w:color w:val="auto"/>
        </w:rPr>
      </w:pPr>
    </w:p>
    <w:p>
      <w:pPr>
        <w:ind w:left="1380" w:right="799" w:hanging="304"/>
        <w:spacing w:after="0" w:line="266" w:lineRule="auto"/>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any changes in the Company’s or its partners’ customer and supplier relationships and customer purchasing patterns, including customer loss and business disruption being greater than expected following an adverse regulatory action, acquisition or divestiture;</w:t>
      </w:r>
    </w:p>
    <w:p>
      <w:pPr>
        <w:spacing w:after="0" w:line="60" w:lineRule="exact"/>
        <w:rPr>
          <w:rFonts w:ascii="Times New Roman" w:cs="Times New Roman" w:eastAsia="Times New Roman" w:hAnsi="Times New Roman"/>
          <w:sz w:val="16"/>
          <w:szCs w:val="16"/>
          <w:color w:val="auto"/>
        </w:rPr>
      </w:pPr>
    </w:p>
    <w:p>
      <w:pPr>
        <w:ind w:left="1380" w:right="1239" w:hanging="304"/>
        <w:spacing w:after="0" w:line="282" w:lineRule="auto"/>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competition, including decreases in sales or revenues as a result of the loss of market exclusivity for certain products;</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and financial conditions of the Company or its partners;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regarding future demand, pricing and reimbursement for the Company’s products;</w:t>
      </w:r>
    </w:p>
    <w:p>
      <w:pPr>
        <w:spacing w:after="0" w:line="104" w:lineRule="exact"/>
        <w:rPr>
          <w:rFonts w:ascii="Times New Roman" w:cs="Times New Roman" w:eastAsia="Times New Roman" w:hAnsi="Times New Roman"/>
          <w:sz w:val="16"/>
          <w:szCs w:val="16"/>
          <w:color w:val="auto"/>
        </w:rPr>
      </w:pPr>
    </w:p>
    <w:p>
      <w:pPr>
        <w:ind w:left="1380" w:right="859" w:hanging="304"/>
        <w:spacing w:after="0" w:line="266" w:lineRule="auto"/>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and matters beyond the control of management, including but not limited to general political and economic conditions, wars or other conflicts, potential for adverse impacts from future tariffs and trade restrictions, inflation rates and global exchange rates;</w:t>
      </w:r>
    </w:p>
    <w:p>
      <w:pPr>
        <w:spacing w:after="0" w:line="60" w:lineRule="exact"/>
        <w:rPr>
          <w:rFonts w:ascii="Times New Roman" w:cs="Times New Roman" w:eastAsia="Times New Roman" w:hAnsi="Times New Roman"/>
          <w:sz w:val="16"/>
          <w:szCs w:val="16"/>
          <w:color w:val="auto"/>
        </w:rPr>
      </w:pPr>
    </w:p>
    <w:p>
      <w:pPr>
        <w:ind w:left="1380" w:right="979" w:hanging="304"/>
        <w:spacing w:after="0" w:line="261" w:lineRule="auto"/>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inherent uncertainties involved in the estimates and judgments used in the preparation of financial statements, and the providing of estimates of financial measures, in accordance with generally accepted accounting principles in the United States (“U.S. GAAP”) and related standards or on an adjusted basis; and</w:t>
      </w:r>
    </w:p>
    <w:p>
      <w:pPr>
        <w:spacing w:after="0" w:line="6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risks and uncertainties included or incorporated by reference herein.</w:t>
      </w:r>
    </w:p>
    <w:p>
      <w:pPr>
        <w:spacing w:after="0" w:line="104" w:lineRule="exact"/>
        <w:rPr>
          <w:sz w:val="20"/>
          <w:szCs w:val="20"/>
          <w:color w:val="auto"/>
        </w:rPr>
      </w:pPr>
    </w:p>
    <w:p>
      <w:pPr>
        <w:ind w:left="760" w:right="799" w:firstLine="320"/>
        <w:spacing w:after="0" w:line="261" w:lineRule="auto"/>
        <w:rPr>
          <w:sz w:val="20"/>
          <w:szCs w:val="20"/>
          <w:color w:val="auto"/>
        </w:rPr>
      </w:pPr>
      <w:r>
        <w:rPr>
          <w:rFonts w:ascii="Times New Roman" w:cs="Times New Roman" w:eastAsia="Times New Roman" w:hAnsi="Times New Roman"/>
          <w:sz w:val="16"/>
          <w:szCs w:val="16"/>
          <w:color w:val="auto"/>
        </w:rPr>
        <w:t>For more detailed information on the risks and uncertainties associated with Viatris, see the risks described under “Risk Factors” in our 2025 Form 10-K, which is incorporated by reference into this prospectus supplement, as updated by subsequent annual, quarterly and other reports or documents we file with the SEC that are incorporated by reference herein, as well as the risks set forth under “Risk Factors” in this prospectus supplement.</w:t>
      </w:r>
    </w:p>
    <w:p>
      <w:pPr>
        <w:spacing w:after="0" w:line="65" w:lineRule="exact"/>
        <w:rPr>
          <w:sz w:val="20"/>
          <w:szCs w:val="20"/>
          <w:color w:val="auto"/>
        </w:rPr>
      </w:pPr>
    </w:p>
    <w:p>
      <w:pPr>
        <w:ind w:left="760" w:right="859" w:firstLine="320"/>
        <w:spacing w:after="0" w:line="257" w:lineRule="auto"/>
        <w:rPr>
          <w:sz w:val="20"/>
          <w:szCs w:val="20"/>
          <w:color w:val="auto"/>
        </w:rPr>
      </w:pPr>
      <w:r>
        <w:rPr>
          <w:rFonts w:ascii="Times New Roman" w:cs="Times New Roman" w:eastAsia="Times New Roman" w:hAnsi="Times New Roman"/>
          <w:sz w:val="16"/>
          <w:szCs w:val="16"/>
          <w:color w:val="auto"/>
        </w:rPr>
        <w:t>You can access Viatris’ filings with the SEC through the SEC website at www.sec.gov or through our website, and we strongly encourage you to do so. The contents of the SEC’s website and our website are not incorporated by reference in this prospectus supplement (except for the information expressly incorporated herein by reference as described in “Incorporation of Certain Documents by Reference”) and shall not be deemed “filed” under the Exchange Act. Viatris undertakes no obligation to update any statements herein for revisions or changes after the filing date of this prospectus supplement other than as required by law.</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8" w:name="page9"/>
    <w:bookmarkEnd w:id="8"/>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76835</wp:posOffset>
            </wp:positionV>
            <wp:extent cx="5024120" cy="6229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5024120" cy="62293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04" w:lineRule="exact"/>
        <w:rPr>
          <w:sz w:val="20"/>
          <w:szCs w:val="20"/>
          <w:color w:val="auto"/>
        </w:rPr>
      </w:pPr>
    </w:p>
    <w:p>
      <w:pPr>
        <w:ind w:left="780" w:right="799" w:firstLine="320"/>
        <w:spacing w:after="0" w:line="255" w:lineRule="auto"/>
        <w:rPr>
          <w:sz w:val="20"/>
          <w:szCs w:val="20"/>
          <w:color w:val="auto"/>
        </w:rPr>
      </w:pPr>
      <w:r>
        <w:rPr>
          <w:rFonts w:ascii="Times New Roman" w:cs="Times New Roman" w:eastAsia="Times New Roman" w:hAnsi="Times New Roman"/>
          <w:sz w:val="16"/>
          <w:szCs w:val="16"/>
          <w:i w:val="1"/>
          <w:iCs w:val="1"/>
          <w:color w:val="auto"/>
        </w:rPr>
        <w:t>This summary highlights selected information about us and this offering. It does not contain all of the information that may be important to you in deciding whether to purchase the notes. You should carefully read this entire prospectus supplement, as well as the accompanying prospectus, any free writing prospectus and the documents incorporated by reference herein, which are described in the accompanying prospectus under “Where You Can Find More Information,” and in this prospectus supplement and the accompanying prospectus under “Incorporation of Certain Documents by Reference,” prior to deciding whether to purchase the notes. For purposes of the section below, “Summary — Viatris Inc.,” references to “Viatris,” “the Company,” “we,” “us,” and “our” are to Viatris Inc. and its consolidated subsidiaries.</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Viatris Inc.</w:t>
      </w:r>
    </w:p>
    <w:p>
      <w:pPr>
        <w:spacing w:after="0" w:line="106" w:lineRule="exact"/>
        <w:rPr>
          <w:sz w:val="20"/>
          <w:szCs w:val="20"/>
          <w:color w:val="auto"/>
        </w:rPr>
      </w:pPr>
    </w:p>
    <w:p>
      <w:pPr>
        <w:ind w:left="780" w:right="799" w:firstLine="320"/>
        <w:spacing w:after="0" w:line="257" w:lineRule="auto"/>
        <w:rPr>
          <w:sz w:val="20"/>
          <w:szCs w:val="20"/>
          <w:color w:val="auto"/>
        </w:rPr>
      </w:pPr>
      <w:r>
        <w:rPr>
          <w:rFonts w:ascii="Times New Roman" w:cs="Times New Roman" w:eastAsia="Times New Roman" w:hAnsi="Times New Roman"/>
          <w:sz w:val="16"/>
          <w:szCs w:val="16"/>
          <w:color w:val="auto"/>
        </w:rPr>
        <w:t>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spacing w:after="0" w:line="67" w:lineRule="exact"/>
        <w:rPr>
          <w:sz w:val="20"/>
          <w:szCs w:val="20"/>
          <w:color w:val="auto"/>
        </w:rPr>
      </w:pPr>
    </w:p>
    <w:p>
      <w:pPr>
        <w:ind w:left="780" w:right="819" w:firstLine="320"/>
        <w:spacing w:after="0" w:line="255" w:lineRule="auto"/>
        <w:rPr>
          <w:sz w:val="20"/>
          <w:szCs w:val="20"/>
          <w:color w:val="auto"/>
        </w:rPr>
      </w:pPr>
      <w:r>
        <w:rPr>
          <w:rFonts w:ascii="Times New Roman" w:cs="Times New Roman" w:eastAsia="Times New Roman" w:hAnsi="Times New Roman"/>
          <w:sz w:val="16"/>
          <w:szCs w:val="16"/>
          <w:color w:val="auto"/>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30,000 employees. The Company has 27 manufacturing, packaging and distribution sites worldwide, approximately 1,300 approved molecules, and what we believe is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31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Repayment of 2026 Senior Notes</w:t>
      </w:r>
    </w:p>
    <w:p>
      <w:pPr>
        <w:spacing w:after="0" w:line="108" w:lineRule="exact"/>
        <w:rPr>
          <w:sz w:val="20"/>
          <w:szCs w:val="20"/>
          <w:color w:val="auto"/>
        </w:rPr>
      </w:pPr>
    </w:p>
    <w:p>
      <w:pPr>
        <w:ind w:left="780" w:right="859" w:firstLine="320"/>
        <w:spacing w:after="0" w:line="261" w:lineRule="auto"/>
        <w:rPr>
          <w:sz w:val="20"/>
          <w:szCs w:val="20"/>
          <w:color w:val="auto"/>
        </w:rPr>
      </w:pPr>
      <w:r>
        <w:rPr>
          <w:rFonts w:ascii="Times New Roman" w:cs="Times New Roman" w:eastAsia="Times New Roman" w:hAnsi="Times New Roman"/>
          <w:sz w:val="16"/>
          <w:szCs w:val="16"/>
          <w:color w:val="auto"/>
        </w:rPr>
        <w:t>On June 15, 2026, we will repay at maturity the entire $1.675 billion of outstanding principal amount of the 3.950% Senior Notes due 2026 issued by Utah Acquisition Sub Inc. (the “2026 Senior Notes”), which we will fund with borrowings under the Revolving Credit Facility and cash on hand. We refer to this repayment, including the related borrowings and use of cash on hand, as the “2026 Senior Notes Transactions.”</w:t>
      </w:r>
    </w:p>
    <w:p>
      <w:pPr>
        <w:spacing w:after="0" w:line="30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YEN Term Loan Facility</w:t>
      </w:r>
    </w:p>
    <w:p>
      <w:pPr>
        <w:spacing w:after="0" w:line="108" w:lineRule="exact"/>
        <w:rPr>
          <w:sz w:val="20"/>
          <w:szCs w:val="20"/>
          <w:color w:val="auto"/>
        </w:rPr>
      </w:pPr>
    </w:p>
    <w:p>
      <w:pPr>
        <w:ind w:left="780" w:right="779" w:firstLine="320"/>
        <w:spacing w:after="0" w:line="255" w:lineRule="auto"/>
        <w:rPr>
          <w:sz w:val="20"/>
          <w:szCs w:val="20"/>
          <w:color w:val="auto"/>
        </w:rPr>
      </w:pPr>
      <w:r>
        <w:rPr>
          <w:rFonts w:ascii="Times New Roman" w:cs="Times New Roman" w:eastAsia="Times New Roman" w:hAnsi="Times New Roman"/>
          <w:sz w:val="16"/>
          <w:szCs w:val="16"/>
          <w:color w:val="auto"/>
        </w:rPr>
        <w:t>As of March 31, 2026, we had outstanding borrowings of $252 million under our ¥40 billion Existing Yen Term Loan Facility (as defined herein), which matures on July 1, 2026. We expect to enter into a new ¥40 billion term loan facility (the “New Yen Term Loan Facility”) on or about the maturity date for the Existing Yen Term Loan Facility, which New Yen Term Facility would replace the Existing Yen Term Loan Facility. We expect the New Yen Term Loan Facility to mature on July 1, 2029. The New Yen Term Loan Facility has not been finalized and is subject to change; there can be no assurance we will enter into the New Yen Term Loan Facility on the terms described herein or at all. We refer to this replacement of the Existing Yen Term Loan Facility with the New Yen Term Loan Facility as the “New Yen Term Loan Facility Transactions.”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 w:name="page10"/>
    <w:bookmarkEnd w:id="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76835</wp:posOffset>
            </wp:positionV>
            <wp:extent cx="5024120" cy="6992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5024120" cy="699262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The Offering</w:t>
      </w:r>
    </w:p>
    <w:p>
      <w:pPr>
        <w:spacing w:after="0" w:line="104" w:lineRule="exact"/>
        <w:rPr>
          <w:sz w:val="20"/>
          <w:szCs w:val="20"/>
          <w:color w:val="auto"/>
        </w:rPr>
      </w:pPr>
    </w:p>
    <w:p>
      <w:pPr>
        <w:ind w:left="780" w:right="859" w:firstLine="320"/>
        <w:spacing w:after="0" w:line="262" w:lineRule="auto"/>
        <w:rPr>
          <w:sz w:val="20"/>
          <w:szCs w:val="20"/>
          <w:color w:val="auto"/>
        </w:rPr>
      </w:pPr>
      <w:r>
        <w:rPr>
          <w:rFonts w:ascii="Times New Roman" w:cs="Times New Roman" w:eastAsia="Times New Roman" w:hAnsi="Times New Roman"/>
          <w:sz w:val="16"/>
          <w:szCs w:val="16"/>
          <w:i w:val="1"/>
          <w:iCs w:val="1"/>
          <w:color w:val="auto"/>
        </w:rPr>
        <w:t>The following is a brief summary of certain terms and conditions of the notes and the guarantees. Certain of the terms and conditions described below are subject to important limitations and exceptions. For a more complete description of the terms of the notes, see “Description of Notes” in this prospectus supplement and “Description of Debt Securities and Guarantees” in the accompanying prospectus.</w:t>
      </w:r>
    </w:p>
    <w:p>
      <w:pPr>
        <w:spacing w:after="0" w:line="86" w:lineRule="exact"/>
        <w:rPr>
          <w:sz w:val="20"/>
          <w:szCs w:val="20"/>
          <w:color w:val="auto"/>
        </w:rPr>
      </w:pPr>
    </w:p>
    <w:tbl>
      <w:tblPr>
        <w:tblLayout w:type="fixed"/>
        <w:tblInd w:w="780" w:type="dxa"/>
        <w:tblCellMar>
          <w:top w:w="0" w:type="dxa"/>
          <w:left w:w="0" w:type="dxa"/>
          <w:bottom w:w="0" w:type="dxa"/>
          <w:right w:w="0" w:type="dxa"/>
        </w:tblCellMar>
      </w:tblPr>
      <w:tr>
        <w:trPr>
          <w:trHeight w:val="211"/>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Viatris Inc.</w:t>
            </w:r>
          </w:p>
        </w:tc>
      </w:tr>
      <w:tr>
        <w:trPr>
          <w:trHeight w:val="308"/>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Notes Offered</w:t>
            </w: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€650,000,000 aggregate principal amount of 4.250%</w:t>
            </w:r>
          </w:p>
        </w:tc>
      </w:tr>
      <w:tr>
        <w:trPr>
          <w:trHeight w:val="209"/>
        </w:trPr>
        <w:tc>
          <w:tcPr>
            <w:tcW w:w="2840" w:type="dxa"/>
            <w:vAlign w:val="bottom"/>
          </w:tcPr>
          <w:p>
            <w:pPr>
              <w:spacing w:after="0"/>
              <w:rPr>
                <w:sz w:val="18"/>
                <w:szCs w:val="18"/>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Senior Notes due 2033 (the “notes”).</w:t>
            </w: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June 17, 2033.</w:t>
            </w:r>
          </w:p>
        </w:tc>
      </w:tr>
      <w:tr>
        <w:trPr>
          <w:trHeight w:val="296"/>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Rate and Payment</w:t>
            </w: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Interest on the notes will accrue at the rate of 4.250%</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w w:val="99"/>
              </w:rPr>
              <w:t>per annum. Interest on the notes will be paid annually on</w:t>
            </w:r>
          </w:p>
        </w:tc>
      </w:tr>
      <w:tr>
        <w:trPr>
          <w:trHeight w:val="209"/>
        </w:trPr>
        <w:tc>
          <w:tcPr>
            <w:tcW w:w="2840" w:type="dxa"/>
            <w:vAlign w:val="bottom"/>
          </w:tcPr>
          <w:p>
            <w:pPr>
              <w:spacing w:after="0"/>
              <w:rPr>
                <w:sz w:val="18"/>
                <w:szCs w:val="18"/>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June 17 of each year, beginning on June 17, 2027.</w:t>
            </w:r>
          </w:p>
        </w:tc>
      </w:tr>
      <w:tr>
        <w:trPr>
          <w:trHeight w:val="308"/>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Guarantees</w:t>
            </w: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The notes will initially be fully and unconditionally</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guaranteed on a senior unsecured basis by Mylan Inc.,</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Mylan II B.V. and Utah Acquisition Sub Inc. In the</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future, certain subsidiaries of the Issuer may be required</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to become guarantors of the notes under certain</w:t>
            </w:r>
          </w:p>
        </w:tc>
      </w:tr>
      <w:tr>
        <w:trPr>
          <w:trHeight w:val="209"/>
        </w:trPr>
        <w:tc>
          <w:tcPr>
            <w:tcW w:w="2840" w:type="dxa"/>
            <w:vAlign w:val="bottom"/>
          </w:tcPr>
          <w:p>
            <w:pPr>
              <w:spacing w:after="0"/>
              <w:rPr>
                <w:sz w:val="18"/>
                <w:szCs w:val="18"/>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circumstances as described herein.</w:t>
            </w:r>
          </w:p>
        </w:tc>
      </w:tr>
      <w:tr>
        <w:trPr>
          <w:trHeight w:val="272"/>
        </w:trPr>
        <w:tc>
          <w:tcPr>
            <w:tcW w:w="2840" w:type="dxa"/>
            <w:vAlign w:val="bottom"/>
          </w:tcPr>
          <w:p>
            <w:pPr>
              <w:spacing w:after="0"/>
              <w:rPr>
                <w:sz w:val="23"/>
                <w:szCs w:val="23"/>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The guarantee of any guarantor may be released under</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certain circumstances without the consent of the holders</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of the notes or upon receipt of the consent of the holders</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of a majority of the aggregate principal amount of the</w:t>
            </w:r>
          </w:p>
        </w:tc>
      </w:tr>
      <w:tr>
        <w:trPr>
          <w:trHeight w:val="209"/>
        </w:trPr>
        <w:tc>
          <w:tcPr>
            <w:tcW w:w="2840" w:type="dxa"/>
            <w:vAlign w:val="bottom"/>
          </w:tcPr>
          <w:p>
            <w:pPr>
              <w:spacing w:after="0"/>
              <w:rPr>
                <w:sz w:val="18"/>
                <w:szCs w:val="18"/>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outstanding notes.</w:t>
            </w:r>
          </w:p>
        </w:tc>
      </w:tr>
      <w:tr>
        <w:trPr>
          <w:trHeight w:val="272"/>
        </w:trPr>
        <w:tc>
          <w:tcPr>
            <w:tcW w:w="2840" w:type="dxa"/>
            <w:vAlign w:val="bottom"/>
          </w:tcPr>
          <w:p>
            <w:pPr>
              <w:spacing w:after="0"/>
              <w:rPr>
                <w:sz w:val="23"/>
                <w:szCs w:val="23"/>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For additional information, see Description of Notes—</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Notes Guarantees” in this prospectus supplement and</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“Enforceability of Civil Liabilities” and “Certain</w:t>
            </w:r>
          </w:p>
        </w:tc>
      </w:tr>
      <w:tr>
        <w:trPr>
          <w:trHeight w:val="192"/>
        </w:trPr>
        <w:tc>
          <w:tcPr>
            <w:tcW w:w="2840" w:type="dxa"/>
            <w:vAlign w:val="bottom"/>
          </w:tcPr>
          <w:p>
            <w:pPr>
              <w:spacing w:after="0"/>
              <w:rPr>
                <w:sz w:val="16"/>
                <w:szCs w:val="16"/>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Insolvency Law Considerations” in the accompanying</w:t>
            </w:r>
          </w:p>
        </w:tc>
      </w:tr>
      <w:tr>
        <w:trPr>
          <w:trHeight w:val="209"/>
        </w:trPr>
        <w:tc>
          <w:tcPr>
            <w:tcW w:w="2840" w:type="dxa"/>
            <w:vAlign w:val="bottom"/>
          </w:tcPr>
          <w:p>
            <w:pPr>
              <w:spacing w:after="0"/>
              <w:rPr>
                <w:sz w:val="18"/>
                <w:szCs w:val="18"/>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prospectus.</w:t>
            </w:r>
          </w:p>
        </w:tc>
      </w:tr>
      <w:tr>
        <w:trPr>
          <w:trHeight w:val="308"/>
        </w:trPr>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Ranking</w:t>
            </w: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The notes will be senior unsecured obligations of the</w:t>
            </w:r>
          </w:p>
        </w:tc>
      </w:tr>
      <w:tr>
        <w:trPr>
          <w:trHeight w:val="209"/>
        </w:trPr>
        <w:tc>
          <w:tcPr>
            <w:tcW w:w="2840" w:type="dxa"/>
            <w:vAlign w:val="bottom"/>
          </w:tcPr>
          <w:p>
            <w:pPr>
              <w:spacing w:after="0"/>
              <w:rPr>
                <w:sz w:val="18"/>
                <w:szCs w:val="18"/>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Issuer and will be:</w:t>
            </w:r>
          </w:p>
        </w:tc>
      </w:tr>
      <w:tr>
        <w:trPr>
          <w:trHeight w:val="272"/>
        </w:trPr>
        <w:tc>
          <w:tcPr>
            <w:tcW w:w="2840" w:type="dxa"/>
            <w:vAlign w:val="bottom"/>
          </w:tcPr>
          <w:p>
            <w:pPr>
              <w:spacing w:after="0"/>
              <w:rPr>
                <w:sz w:val="23"/>
                <w:szCs w:val="23"/>
                <w:color w:val="auto"/>
              </w:rPr>
            </w:pPr>
          </w:p>
        </w:tc>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 right of payment with all existing and</w:t>
            </w:r>
          </w:p>
        </w:tc>
      </w:tr>
      <w:tr>
        <w:trPr>
          <w:trHeight w:val="209"/>
        </w:trPr>
        <w:tc>
          <w:tcPr>
            <w:tcW w:w="2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future senior indebtedness of the Issuer;</w:t>
            </w:r>
          </w:p>
        </w:tc>
      </w:tr>
      <w:tr>
        <w:trPr>
          <w:trHeight w:val="272"/>
        </w:trPr>
        <w:tc>
          <w:tcPr>
            <w:tcW w:w="2840" w:type="dxa"/>
            <w:vAlign w:val="bottom"/>
          </w:tcPr>
          <w:p>
            <w:pPr>
              <w:spacing w:after="0"/>
              <w:rPr>
                <w:sz w:val="23"/>
                <w:szCs w:val="23"/>
                <w:color w:val="auto"/>
              </w:rPr>
            </w:pPr>
          </w:p>
        </w:tc>
        <w:tc>
          <w:tcPr>
            <w:tcW w:w="116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73"/>
              </w:rPr>
              <w:t>• </w:t>
            </w: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senior in right of payment to all future indebtedness</w:t>
            </w:r>
          </w:p>
        </w:tc>
      </w:tr>
      <w:tr>
        <w:trPr>
          <w:trHeight w:val="192"/>
        </w:trPr>
        <w:tc>
          <w:tcPr>
            <w:tcW w:w="2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 the Issuer that is expressly subordinated to the</w:t>
            </w:r>
          </w:p>
        </w:tc>
      </w:tr>
      <w:tr>
        <w:trPr>
          <w:trHeight w:val="209"/>
        </w:trPr>
        <w:tc>
          <w:tcPr>
            <w:tcW w:w="2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notes;</w:t>
            </w:r>
          </w:p>
        </w:tc>
      </w:tr>
      <w:tr>
        <w:trPr>
          <w:trHeight w:val="272"/>
        </w:trPr>
        <w:tc>
          <w:tcPr>
            <w:tcW w:w="2840" w:type="dxa"/>
            <w:vAlign w:val="bottom"/>
          </w:tcPr>
          <w:p>
            <w:pPr>
              <w:spacing w:after="0"/>
              <w:rPr>
                <w:sz w:val="23"/>
                <w:szCs w:val="23"/>
                <w:color w:val="auto"/>
              </w:rPr>
            </w:pPr>
          </w:p>
        </w:tc>
        <w:tc>
          <w:tcPr>
            <w:tcW w:w="116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73"/>
              </w:rPr>
              <w:t>• </w:t>
            </w: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effectively subordinated to all future secured</w:t>
            </w:r>
          </w:p>
        </w:tc>
      </w:tr>
      <w:tr>
        <w:trPr>
          <w:trHeight w:val="192"/>
        </w:trPr>
        <w:tc>
          <w:tcPr>
            <w:tcW w:w="2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indebtedness of the Issuer to the extent of the value</w:t>
            </w:r>
          </w:p>
        </w:tc>
      </w:tr>
      <w:tr>
        <w:trPr>
          <w:trHeight w:val="209"/>
        </w:trPr>
        <w:tc>
          <w:tcPr>
            <w:tcW w:w="2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 the collateral securing such indebtedness; and</w:t>
            </w:r>
          </w:p>
        </w:tc>
      </w:tr>
      <w:tr>
        <w:trPr>
          <w:trHeight w:val="272"/>
        </w:trPr>
        <w:tc>
          <w:tcPr>
            <w:tcW w:w="2840" w:type="dxa"/>
            <w:vAlign w:val="bottom"/>
          </w:tcPr>
          <w:p>
            <w:pPr>
              <w:spacing w:after="0"/>
              <w:rPr>
                <w:sz w:val="23"/>
                <w:szCs w:val="23"/>
                <w:color w:val="auto"/>
              </w:rPr>
            </w:pPr>
          </w:p>
        </w:tc>
        <w:tc>
          <w:tcPr>
            <w:tcW w:w="116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73"/>
              </w:rPr>
              <w:t>• </w:t>
            </w: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effectively subordinated to all existing and future</w:t>
            </w:r>
          </w:p>
        </w:tc>
      </w:tr>
      <w:tr>
        <w:trPr>
          <w:trHeight w:val="192"/>
        </w:trPr>
        <w:tc>
          <w:tcPr>
            <w:tcW w:w="2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indebtedness and other liabilities, including trade</w:t>
            </w:r>
          </w:p>
        </w:tc>
      </w:tr>
      <w:tr>
        <w:trPr>
          <w:trHeight w:val="192"/>
        </w:trPr>
        <w:tc>
          <w:tcPr>
            <w:tcW w:w="2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payables, of the existing and future subsidiaries of</w:t>
            </w:r>
          </w:p>
        </w:tc>
      </w:tr>
      <w:tr>
        <w:trPr>
          <w:trHeight w:val="209"/>
        </w:trPr>
        <w:tc>
          <w:tcPr>
            <w:tcW w:w="2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Issuer that do not guarantee the notes.</w:t>
            </w:r>
          </w:p>
        </w:tc>
      </w:tr>
    </w:tbl>
    <w:p>
      <w:pPr>
        <w:spacing w:after="0" w:line="8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The guarantee of each guarantor will be senior</w:t>
      </w:r>
    </w:p>
    <w:p>
      <w:pPr>
        <w:spacing w:after="0" w:line="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unsecured obligations of such guarantor and will be:</w:t>
      </w:r>
    </w:p>
    <w:p>
      <w:pPr>
        <w:spacing w:after="0" w:line="8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 right of payment with existing and</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future senior obligations of such guarantor;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0" w:name="page11"/>
    <w:bookmarkEnd w:id="10"/>
    <w:p>
      <w:pPr>
        <w:ind w:left="9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504"/>
        </w:trPr>
        <w:tc>
          <w:tcPr>
            <w:tcW w:w="980" w:type="dxa"/>
            <w:vAlign w:val="bottom"/>
            <w:tcBorders>
              <w:right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ind w:left="1400"/>
              <w:spacing w:after="0"/>
              <w:rPr>
                <w:sz w:val="20"/>
                <w:szCs w:val="20"/>
                <w:color w:val="auto"/>
              </w:rPr>
            </w:pPr>
            <w:r>
              <w:rPr>
                <w:rFonts w:ascii="Times New Roman" w:cs="Times New Roman" w:eastAsia="Times New Roman" w:hAnsi="Times New Roman"/>
                <w:sz w:val="14"/>
                <w:szCs w:val="14"/>
                <w:color w:val="auto"/>
                <w:w w:val="73"/>
              </w:rPr>
              <w:t>• </w:t>
            </w:r>
          </w:p>
        </w:tc>
        <w:tc>
          <w:tcPr>
            <w:tcW w:w="3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senior in right of payment to all future indebtedness</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of such guarantor that is expressly subordinated to</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such guarantee;</w:t>
            </w:r>
          </w:p>
        </w:tc>
        <w:tc>
          <w:tcPr>
            <w:tcW w:w="940" w:type="dxa"/>
            <w:vAlign w:val="bottom"/>
          </w:tcPr>
          <w:p>
            <w:pPr>
              <w:spacing w:after="0"/>
              <w:rPr>
                <w:sz w:val="18"/>
                <w:szCs w:val="18"/>
                <w:color w:val="auto"/>
              </w:rPr>
            </w:pPr>
          </w:p>
        </w:tc>
      </w:tr>
      <w:tr>
        <w:trPr>
          <w:trHeight w:val="272"/>
        </w:trPr>
        <w:tc>
          <w:tcPr>
            <w:tcW w:w="980" w:type="dxa"/>
            <w:vAlign w:val="bottom"/>
            <w:tcBorders>
              <w:right w:val="single" w:sz="8" w:color="auto"/>
            </w:tcBorders>
          </w:tcPr>
          <w:p>
            <w:pPr>
              <w:spacing w:after="0"/>
              <w:rPr>
                <w:sz w:val="23"/>
                <w:szCs w:val="23"/>
                <w:color w:val="auto"/>
              </w:rPr>
            </w:pPr>
          </w:p>
        </w:tc>
        <w:tc>
          <w:tcPr>
            <w:tcW w:w="2640" w:type="dxa"/>
            <w:vAlign w:val="bottom"/>
          </w:tcPr>
          <w:p>
            <w:pPr>
              <w:spacing w:after="0"/>
              <w:rPr>
                <w:sz w:val="23"/>
                <w:szCs w:val="23"/>
                <w:color w:val="auto"/>
              </w:rPr>
            </w:pPr>
          </w:p>
        </w:tc>
        <w:tc>
          <w:tcPr>
            <w:tcW w:w="156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73"/>
              </w:rPr>
              <w:t>• </w:t>
            </w: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effectively subordinated to all future secured</w:t>
            </w:r>
          </w:p>
        </w:tc>
        <w:tc>
          <w:tcPr>
            <w:tcW w:w="940" w:type="dxa"/>
            <w:vAlign w:val="bottom"/>
          </w:tcPr>
          <w:p>
            <w:pPr>
              <w:spacing w:after="0"/>
              <w:rPr>
                <w:sz w:val="23"/>
                <w:szCs w:val="23"/>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indebtedness of such guarantor to the extent of the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value of the collateral securing such indebtedness;</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and</w:t>
            </w:r>
          </w:p>
        </w:tc>
        <w:tc>
          <w:tcPr>
            <w:tcW w:w="940" w:type="dxa"/>
            <w:vAlign w:val="bottom"/>
          </w:tcPr>
          <w:p>
            <w:pPr>
              <w:spacing w:after="0"/>
              <w:rPr>
                <w:sz w:val="18"/>
                <w:szCs w:val="18"/>
                <w:color w:val="auto"/>
              </w:rPr>
            </w:pPr>
          </w:p>
        </w:tc>
      </w:tr>
      <w:tr>
        <w:trPr>
          <w:trHeight w:val="272"/>
        </w:trPr>
        <w:tc>
          <w:tcPr>
            <w:tcW w:w="980" w:type="dxa"/>
            <w:vAlign w:val="bottom"/>
            <w:tcBorders>
              <w:right w:val="single" w:sz="8" w:color="auto"/>
            </w:tcBorders>
          </w:tcPr>
          <w:p>
            <w:pPr>
              <w:spacing w:after="0"/>
              <w:rPr>
                <w:sz w:val="23"/>
                <w:szCs w:val="23"/>
                <w:color w:val="auto"/>
              </w:rPr>
            </w:pPr>
          </w:p>
        </w:tc>
        <w:tc>
          <w:tcPr>
            <w:tcW w:w="2640" w:type="dxa"/>
            <w:vAlign w:val="bottom"/>
          </w:tcPr>
          <w:p>
            <w:pPr>
              <w:spacing w:after="0"/>
              <w:rPr>
                <w:sz w:val="23"/>
                <w:szCs w:val="23"/>
                <w:color w:val="auto"/>
              </w:rPr>
            </w:pPr>
          </w:p>
        </w:tc>
        <w:tc>
          <w:tcPr>
            <w:tcW w:w="156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73"/>
              </w:rPr>
              <w:t>• </w:t>
            </w: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effectively subordinated to all existing and future</w:t>
            </w:r>
          </w:p>
        </w:tc>
        <w:tc>
          <w:tcPr>
            <w:tcW w:w="940" w:type="dxa"/>
            <w:vAlign w:val="bottom"/>
          </w:tcPr>
          <w:p>
            <w:pPr>
              <w:spacing w:after="0"/>
              <w:rPr>
                <w:sz w:val="23"/>
                <w:szCs w:val="23"/>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indebtedness and other liabilities, including trade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payables, of the existing and future subsidiaries of</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such guarantor that do not guarantee the notes.</w:t>
            </w:r>
          </w:p>
        </w:tc>
        <w:tc>
          <w:tcPr>
            <w:tcW w:w="940" w:type="dxa"/>
            <w:vAlign w:val="bottom"/>
          </w:tcPr>
          <w:p>
            <w:pPr>
              <w:spacing w:after="0"/>
              <w:rPr>
                <w:sz w:val="18"/>
                <w:szCs w:val="18"/>
                <w:color w:val="auto"/>
              </w:rPr>
            </w:pPr>
          </w:p>
        </w:tc>
      </w:tr>
      <w:tr>
        <w:trPr>
          <w:trHeight w:val="324"/>
        </w:trPr>
        <w:tc>
          <w:tcPr>
            <w:tcW w:w="980" w:type="dxa"/>
            <w:vAlign w:val="bottom"/>
            <w:tcBorders>
              <w:right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See “Description of Notes—Ranking.”</w:t>
            </w:r>
          </w:p>
        </w:tc>
        <w:tc>
          <w:tcPr>
            <w:tcW w:w="940" w:type="dxa"/>
            <w:vAlign w:val="bottom"/>
          </w:tcPr>
          <w:p>
            <w:pPr>
              <w:spacing w:after="0"/>
              <w:rPr>
                <w:sz w:val="24"/>
                <w:szCs w:val="24"/>
                <w:color w:val="auto"/>
              </w:rPr>
            </w:pPr>
          </w:p>
        </w:tc>
      </w:tr>
      <w:tr>
        <w:trPr>
          <w:trHeight w:val="272"/>
        </w:trPr>
        <w:tc>
          <w:tcPr>
            <w:tcW w:w="980" w:type="dxa"/>
            <w:vAlign w:val="bottom"/>
            <w:tcBorders>
              <w:right w:val="single" w:sz="8" w:color="auto"/>
            </w:tcBorders>
          </w:tcPr>
          <w:p>
            <w:pPr>
              <w:spacing w:after="0"/>
              <w:rPr>
                <w:sz w:val="23"/>
                <w:szCs w:val="23"/>
                <w:color w:val="auto"/>
              </w:rPr>
            </w:pPr>
          </w:p>
        </w:tc>
        <w:tc>
          <w:tcPr>
            <w:tcW w:w="2640" w:type="dxa"/>
            <w:vAlign w:val="bottom"/>
          </w:tcPr>
          <w:p>
            <w:pPr>
              <w:spacing w:after="0"/>
              <w:rPr>
                <w:sz w:val="23"/>
                <w:szCs w:val="23"/>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As of March 31, 2026, (i) the amount of indebtedness of</w:t>
            </w:r>
          </w:p>
        </w:tc>
        <w:tc>
          <w:tcPr>
            <w:tcW w:w="940" w:type="dxa"/>
            <w:vAlign w:val="bottom"/>
          </w:tcPr>
          <w:p>
            <w:pPr>
              <w:spacing w:after="0"/>
              <w:rPr>
                <w:sz w:val="23"/>
                <w:szCs w:val="23"/>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the Issuer and the guarantors was approximately</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$14.3 billion, of which none was subordinated and none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was secured and (ii) the total liabilities of the Issuer’s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subsidiaries that will not initially be guarantors of the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notes (other than Finco), including trade payables, was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approximately $7.0 billion. In addition, as of March 31,</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2026, (i) the Issuer and the guarantors had an additional</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$3.5 billion of borrowing capacity under the Revolving</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Credit Facility and (ii) subsidiaries of the Issuer that will</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not initially be guarantors of the notes (other than Finco)</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had an additional $549 million of borrowing capacity</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under the Receivables Facility. These amounts do not</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give effect to the 2026 Senior Notes Transactions, the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New Yen Term Loan Facility Transactions, the issuance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of the notes in this offering or the use of proceeds from</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this offering, as described in “Summary—Recent</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Developments” and “Use of Proceeds.” For additional</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financial information related to the Issuer and the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guarantors, see “Management’s Discussion and Analysis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of Financial Condition And Results of Operations” in</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our 2025 Form 10-K and Q1 2026 Form 10-Q, each of</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which is incorporated by reference into this prospectus</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supplement.</w:t>
            </w:r>
          </w:p>
        </w:tc>
        <w:tc>
          <w:tcPr>
            <w:tcW w:w="940" w:type="dxa"/>
            <w:vAlign w:val="bottom"/>
          </w:tcPr>
          <w:p>
            <w:pPr>
              <w:spacing w:after="0"/>
              <w:rPr>
                <w:sz w:val="18"/>
                <w:szCs w:val="18"/>
                <w:color w:val="auto"/>
              </w:rPr>
            </w:pPr>
          </w:p>
        </w:tc>
      </w:tr>
      <w:tr>
        <w:trPr>
          <w:trHeight w:val="308"/>
        </w:trPr>
        <w:tc>
          <w:tcPr>
            <w:tcW w:w="980" w:type="dxa"/>
            <w:vAlign w:val="bottom"/>
            <w:tcBorders>
              <w:right w:val="single" w:sz="8" w:color="auto"/>
            </w:tcBorders>
          </w:tcPr>
          <w:p>
            <w:pPr>
              <w:spacing w:after="0"/>
              <w:rPr>
                <w:sz w:val="24"/>
                <w:szCs w:val="24"/>
                <w:color w:val="auto"/>
              </w:rPr>
            </w:pPr>
          </w:p>
        </w:tc>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Certain Covenants</w:t>
            </w: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The notes will be issued under an indenture (the</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“indenture”) containing covenants that, among other</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things, will restrict the Issuer’s ability and the ability of</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5260" w:type="dxa"/>
            <w:vAlign w:val="bottom"/>
            <w:tcBorders>
              <w:right w:val="single" w:sz="8" w:color="auto"/>
            </w:tcBorders>
            <w:gridSpan w:val="2"/>
          </w:tcPr>
          <w:p>
            <w:pPr>
              <w:ind w:left="1400"/>
              <w:spacing w:after="0"/>
              <w:rPr>
                <w:sz w:val="20"/>
                <w:szCs w:val="20"/>
                <w:color w:val="auto"/>
              </w:rPr>
            </w:pPr>
            <w:r>
              <w:rPr>
                <w:rFonts w:ascii="Times New Roman" w:cs="Times New Roman" w:eastAsia="Times New Roman" w:hAnsi="Times New Roman"/>
                <w:sz w:val="16"/>
                <w:szCs w:val="16"/>
                <w:color w:val="auto"/>
              </w:rPr>
              <w:t>certain of the Issuer’s subsidiaries to:</w:t>
            </w:r>
          </w:p>
        </w:tc>
        <w:tc>
          <w:tcPr>
            <w:tcW w:w="940" w:type="dxa"/>
            <w:vAlign w:val="bottom"/>
          </w:tcPr>
          <w:p>
            <w:pPr>
              <w:spacing w:after="0"/>
              <w:rPr>
                <w:sz w:val="18"/>
                <w:szCs w:val="18"/>
                <w:color w:val="auto"/>
              </w:rPr>
            </w:pPr>
          </w:p>
        </w:tc>
      </w:tr>
      <w:tr>
        <w:trPr>
          <w:trHeight w:val="324"/>
        </w:trPr>
        <w:tc>
          <w:tcPr>
            <w:tcW w:w="980" w:type="dxa"/>
            <w:vAlign w:val="bottom"/>
            <w:tcBorders>
              <w:right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156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73"/>
              </w:rPr>
              <w:t>• </w:t>
            </w: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enter into certain sale leaseback transactions;</w:t>
            </w:r>
          </w:p>
        </w:tc>
        <w:tc>
          <w:tcPr>
            <w:tcW w:w="940" w:type="dxa"/>
            <w:vAlign w:val="bottom"/>
          </w:tcPr>
          <w:p>
            <w:pPr>
              <w:spacing w:after="0"/>
              <w:rPr>
                <w:sz w:val="24"/>
                <w:szCs w:val="24"/>
                <w:color w:val="auto"/>
              </w:rPr>
            </w:pPr>
          </w:p>
        </w:tc>
      </w:tr>
      <w:tr>
        <w:trPr>
          <w:trHeight w:val="324"/>
        </w:trPr>
        <w:tc>
          <w:tcPr>
            <w:tcW w:w="980" w:type="dxa"/>
            <w:vAlign w:val="bottom"/>
            <w:tcBorders>
              <w:right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156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73"/>
              </w:rPr>
              <w:t>• </w:t>
            </w: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create certain liens;</w:t>
            </w:r>
          </w:p>
        </w:tc>
        <w:tc>
          <w:tcPr>
            <w:tcW w:w="940" w:type="dxa"/>
            <w:vAlign w:val="bottom"/>
          </w:tcPr>
          <w:p>
            <w:pPr>
              <w:spacing w:after="0"/>
              <w:rPr>
                <w:sz w:val="24"/>
                <w:szCs w:val="24"/>
                <w:color w:val="auto"/>
              </w:rPr>
            </w:pPr>
          </w:p>
        </w:tc>
      </w:tr>
      <w:tr>
        <w:trPr>
          <w:trHeight w:val="272"/>
        </w:trPr>
        <w:tc>
          <w:tcPr>
            <w:tcW w:w="980" w:type="dxa"/>
            <w:vAlign w:val="bottom"/>
            <w:tcBorders>
              <w:right w:val="single" w:sz="8" w:color="auto"/>
            </w:tcBorders>
          </w:tcPr>
          <w:p>
            <w:pPr>
              <w:spacing w:after="0"/>
              <w:rPr>
                <w:sz w:val="23"/>
                <w:szCs w:val="23"/>
                <w:color w:val="auto"/>
              </w:rPr>
            </w:pPr>
          </w:p>
        </w:tc>
        <w:tc>
          <w:tcPr>
            <w:tcW w:w="2640" w:type="dxa"/>
            <w:vAlign w:val="bottom"/>
          </w:tcPr>
          <w:p>
            <w:pPr>
              <w:spacing w:after="0"/>
              <w:rPr>
                <w:sz w:val="23"/>
                <w:szCs w:val="23"/>
                <w:color w:val="auto"/>
              </w:rPr>
            </w:pPr>
          </w:p>
        </w:tc>
        <w:tc>
          <w:tcPr>
            <w:tcW w:w="156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73"/>
              </w:rPr>
              <w:t>• </w:t>
            </w: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guarantee certain of the Issuer’s outstanding</w:t>
            </w:r>
          </w:p>
        </w:tc>
        <w:tc>
          <w:tcPr>
            <w:tcW w:w="940" w:type="dxa"/>
            <w:vAlign w:val="bottom"/>
          </w:tcPr>
          <w:p>
            <w:pPr>
              <w:spacing w:after="0"/>
              <w:rPr>
                <w:sz w:val="23"/>
                <w:szCs w:val="23"/>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obligations without also guaranteeing the Issuer’s</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obligations under the notes; and</w:t>
            </w:r>
          </w:p>
        </w:tc>
        <w:tc>
          <w:tcPr>
            <w:tcW w:w="940" w:type="dxa"/>
            <w:vAlign w:val="bottom"/>
          </w:tcPr>
          <w:p>
            <w:pPr>
              <w:spacing w:after="0"/>
              <w:rPr>
                <w:sz w:val="18"/>
                <w:szCs w:val="18"/>
                <w:color w:val="auto"/>
              </w:rPr>
            </w:pPr>
          </w:p>
        </w:tc>
      </w:tr>
      <w:tr>
        <w:trPr>
          <w:trHeight w:val="272"/>
        </w:trPr>
        <w:tc>
          <w:tcPr>
            <w:tcW w:w="980" w:type="dxa"/>
            <w:vAlign w:val="bottom"/>
            <w:tcBorders>
              <w:right w:val="single" w:sz="8" w:color="auto"/>
            </w:tcBorders>
          </w:tcPr>
          <w:p>
            <w:pPr>
              <w:spacing w:after="0"/>
              <w:rPr>
                <w:sz w:val="23"/>
                <w:szCs w:val="23"/>
                <w:color w:val="auto"/>
              </w:rPr>
            </w:pPr>
          </w:p>
        </w:tc>
        <w:tc>
          <w:tcPr>
            <w:tcW w:w="2640" w:type="dxa"/>
            <w:vAlign w:val="bottom"/>
          </w:tcPr>
          <w:p>
            <w:pPr>
              <w:spacing w:after="0"/>
              <w:rPr>
                <w:sz w:val="23"/>
                <w:szCs w:val="23"/>
                <w:color w:val="auto"/>
              </w:rPr>
            </w:pPr>
          </w:p>
        </w:tc>
        <w:tc>
          <w:tcPr>
            <w:tcW w:w="156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73"/>
              </w:rPr>
              <w:t>• </w:t>
            </w: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with respect to the Issuer only, consolidate, merge or</w:t>
            </w:r>
          </w:p>
        </w:tc>
        <w:tc>
          <w:tcPr>
            <w:tcW w:w="940" w:type="dxa"/>
            <w:vAlign w:val="bottom"/>
          </w:tcPr>
          <w:p>
            <w:pPr>
              <w:spacing w:after="0"/>
              <w:rPr>
                <w:sz w:val="23"/>
                <w:szCs w:val="23"/>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sell all or substantially all of the Issuer’s</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consolidated assets.</w:t>
            </w:r>
          </w:p>
        </w:tc>
        <w:tc>
          <w:tcPr>
            <w:tcW w:w="940" w:type="dxa"/>
            <w:vAlign w:val="bottom"/>
          </w:tcPr>
          <w:p>
            <w:pPr>
              <w:spacing w:after="0"/>
              <w:rPr>
                <w:sz w:val="18"/>
                <w:szCs w:val="18"/>
                <w:color w:val="auto"/>
              </w:rPr>
            </w:pPr>
          </w:p>
        </w:tc>
      </w:tr>
      <w:tr>
        <w:trPr>
          <w:trHeight w:val="200"/>
        </w:trPr>
        <w:tc>
          <w:tcPr>
            <w:tcW w:w="980" w:type="dxa"/>
            <w:vAlign w:val="bottom"/>
            <w:tcBorders>
              <w:right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380"/>
        </w:trPr>
        <w:tc>
          <w:tcPr>
            <w:tcW w:w="9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S-3</w:t>
            </w:r>
          </w:p>
        </w:tc>
        <w:tc>
          <w:tcPr>
            <w:tcW w:w="3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0"/>
        </w:trPr>
        <w:tc>
          <w:tcPr>
            <w:tcW w:w="98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bl>
    <w:p>
      <w:pPr>
        <w:sectPr>
          <w:pgSz w:w="11900" w:h="16838" w:orient="portrait"/>
          <w:cols w:equalWidth="0" w:num="1">
            <w:col w:w="9820"/>
          </w:cols>
          <w:pgMar w:left="1040" w:top="250" w:right="1039" w:bottom="1440" w:gutter="0" w:footer="0" w:header="0"/>
        </w:sectPr>
      </w:pPr>
    </w:p>
    <w:bookmarkStart w:id="11" w:name="page12"/>
    <w:bookmarkEnd w:id="11"/>
    <w:p>
      <w:pPr>
        <w:ind w:left="9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504"/>
        </w:trPr>
        <w:tc>
          <w:tcPr>
            <w:tcW w:w="980" w:type="dxa"/>
            <w:vAlign w:val="bottom"/>
            <w:tcBorders>
              <w:right w:val="single" w:sz="8" w:color="auto"/>
            </w:tcBorders>
          </w:tcPr>
          <w:p>
            <w:pPr>
              <w:spacing w:after="0"/>
              <w:rPr>
                <w:sz w:val="24"/>
                <w:szCs w:val="24"/>
                <w:color w:val="auto"/>
              </w:rPr>
            </w:pPr>
          </w:p>
        </w:tc>
        <w:tc>
          <w:tcPr>
            <w:tcW w:w="3280" w:type="dxa"/>
            <w:vAlign w:val="bottom"/>
            <w:tcBorders>
              <w:top w:val="single" w:sz="8" w:color="auto"/>
            </w:tcBorders>
          </w:tcPr>
          <w:p>
            <w:pPr>
              <w:spacing w:after="0"/>
              <w:rPr>
                <w:sz w:val="24"/>
                <w:szCs w:val="24"/>
                <w:color w:val="auto"/>
              </w:rPr>
            </w:pPr>
          </w:p>
        </w:tc>
        <w:tc>
          <w:tcPr>
            <w:tcW w:w="462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These covenants will be subject to a number of</w:t>
            </w:r>
          </w:p>
        </w:tc>
        <w:tc>
          <w:tcPr>
            <w:tcW w:w="940" w:type="dxa"/>
            <w:vAlign w:val="bottom"/>
          </w:tcPr>
          <w:p>
            <w:pPr>
              <w:spacing w:after="0"/>
              <w:rPr>
                <w:sz w:val="24"/>
                <w:szCs w:val="24"/>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80" w:type="dxa"/>
            <w:vAlign w:val="bottom"/>
          </w:tcPr>
          <w:p>
            <w:pPr>
              <w:spacing w:after="0"/>
              <w:rPr>
                <w:sz w:val="18"/>
                <w:szCs w:val="18"/>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important exceptions and qualifications.</w:t>
            </w:r>
          </w:p>
        </w:tc>
        <w:tc>
          <w:tcPr>
            <w:tcW w:w="940" w:type="dxa"/>
            <w:vAlign w:val="bottom"/>
          </w:tcPr>
          <w:p>
            <w:pPr>
              <w:spacing w:after="0"/>
              <w:rPr>
                <w:sz w:val="18"/>
                <w:szCs w:val="18"/>
                <w:color w:val="auto"/>
              </w:rPr>
            </w:pPr>
          </w:p>
        </w:tc>
      </w:tr>
      <w:tr>
        <w:trPr>
          <w:trHeight w:val="272"/>
        </w:trPr>
        <w:tc>
          <w:tcPr>
            <w:tcW w:w="980" w:type="dxa"/>
            <w:vAlign w:val="bottom"/>
            <w:tcBorders>
              <w:right w:val="single" w:sz="8" w:color="auto"/>
            </w:tcBorders>
          </w:tcPr>
          <w:p>
            <w:pPr>
              <w:spacing w:after="0"/>
              <w:rPr>
                <w:sz w:val="23"/>
                <w:szCs w:val="23"/>
                <w:color w:val="auto"/>
              </w:rPr>
            </w:pPr>
          </w:p>
        </w:tc>
        <w:tc>
          <w:tcPr>
            <w:tcW w:w="3280" w:type="dxa"/>
            <w:vAlign w:val="bottom"/>
          </w:tcPr>
          <w:p>
            <w:pPr>
              <w:spacing w:after="0"/>
              <w:rPr>
                <w:sz w:val="23"/>
                <w:szCs w:val="23"/>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See “Description of Notes — Certain Covenants” in this</w:t>
            </w:r>
          </w:p>
        </w:tc>
        <w:tc>
          <w:tcPr>
            <w:tcW w:w="940" w:type="dxa"/>
            <w:vAlign w:val="bottom"/>
          </w:tcPr>
          <w:p>
            <w:pPr>
              <w:spacing w:after="0"/>
              <w:rPr>
                <w:sz w:val="23"/>
                <w:szCs w:val="23"/>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prospectus supplement and “Description of Debt</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Securities and Guarantees — Consolidation, Merger or</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80" w:type="dxa"/>
            <w:vAlign w:val="bottom"/>
          </w:tcPr>
          <w:p>
            <w:pPr>
              <w:spacing w:after="0"/>
              <w:rPr>
                <w:sz w:val="18"/>
                <w:szCs w:val="18"/>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Sale of Assets” in the accompanying prospectus.</w:t>
            </w:r>
          </w:p>
        </w:tc>
        <w:tc>
          <w:tcPr>
            <w:tcW w:w="940" w:type="dxa"/>
            <w:vAlign w:val="bottom"/>
          </w:tcPr>
          <w:p>
            <w:pPr>
              <w:spacing w:after="0"/>
              <w:rPr>
                <w:sz w:val="18"/>
                <w:szCs w:val="18"/>
                <w:color w:val="auto"/>
              </w:rPr>
            </w:pPr>
          </w:p>
        </w:tc>
      </w:tr>
      <w:tr>
        <w:trPr>
          <w:trHeight w:val="296"/>
        </w:trPr>
        <w:tc>
          <w:tcPr>
            <w:tcW w:w="980" w:type="dxa"/>
            <w:vAlign w:val="bottom"/>
            <w:tcBorders>
              <w:right w:val="single" w:sz="8" w:color="auto"/>
            </w:tcBorders>
          </w:tcPr>
          <w:p>
            <w:pPr>
              <w:spacing w:after="0"/>
              <w:rPr>
                <w:sz w:val="24"/>
                <w:szCs w:val="24"/>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Change of Control Repurchase Event</w:t>
            </w: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If a Change of Control Repurchase Event (as defined</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herein) occurs, we must offer to purchase the notes from</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holders at a purchase price equal to 101% of the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principal amount of the notes, plus accrued and unpaid</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interest thereon, if any, to, but excluding, the repurchase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date, unless we have exercised our right to redeem the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notes. See “Description of Notes — Purchase of Notes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upon a Change of Control Repurchase Event” in this</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80" w:type="dxa"/>
            <w:vAlign w:val="bottom"/>
          </w:tcPr>
          <w:p>
            <w:pPr>
              <w:spacing w:after="0"/>
              <w:rPr>
                <w:sz w:val="18"/>
                <w:szCs w:val="18"/>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prospectus supplement.</w:t>
            </w:r>
          </w:p>
        </w:tc>
        <w:tc>
          <w:tcPr>
            <w:tcW w:w="940" w:type="dxa"/>
            <w:vAlign w:val="bottom"/>
          </w:tcPr>
          <w:p>
            <w:pPr>
              <w:spacing w:after="0"/>
              <w:rPr>
                <w:sz w:val="18"/>
                <w:szCs w:val="18"/>
                <w:color w:val="auto"/>
              </w:rPr>
            </w:pPr>
          </w:p>
        </w:tc>
      </w:tr>
      <w:tr>
        <w:trPr>
          <w:trHeight w:val="308"/>
        </w:trPr>
        <w:tc>
          <w:tcPr>
            <w:tcW w:w="980" w:type="dxa"/>
            <w:vAlign w:val="bottom"/>
            <w:tcBorders>
              <w:right w:val="single" w:sz="8" w:color="auto"/>
            </w:tcBorders>
          </w:tcPr>
          <w:p>
            <w:pPr>
              <w:spacing w:after="0"/>
              <w:rPr>
                <w:sz w:val="24"/>
                <w:szCs w:val="24"/>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Optional Redemption</w:t>
            </w: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We may redeem the notes in whole or in part at any time</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prior to April 17, 2033 (the date that is two months prior</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to the maturity date of the notes) (the “Par Call Date”) at</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a “make-whole” redemption price and at any time on or</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after the Par Call Date at 100% of the principal amount,</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in each case, plus accrued and unpaid interest to, but</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80" w:type="dxa"/>
            <w:vAlign w:val="bottom"/>
          </w:tcPr>
          <w:p>
            <w:pPr>
              <w:spacing w:after="0"/>
              <w:rPr>
                <w:sz w:val="18"/>
                <w:szCs w:val="18"/>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excluding, the redemption date.</w:t>
            </w:r>
          </w:p>
        </w:tc>
        <w:tc>
          <w:tcPr>
            <w:tcW w:w="940" w:type="dxa"/>
            <w:vAlign w:val="bottom"/>
          </w:tcPr>
          <w:p>
            <w:pPr>
              <w:spacing w:after="0"/>
              <w:rPr>
                <w:sz w:val="18"/>
                <w:szCs w:val="18"/>
                <w:color w:val="auto"/>
              </w:rPr>
            </w:pPr>
          </w:p>
        </w:tc>
      </w:tr>
      <w:tr>
        <w:trPr>
          <w:trHeight w:val="308"/>
        </w:trPr>
        <w:tc>
          <w:tcPr>
            <w:tcW w:w="980" w:type="dxa"/>
            <w:vAlign w:val="bottom"/>
            <w:tcBorders>
              <w:right w:val="single" w:sz="8" w:color="auto"/>
            </w:tcBorders>
          </w:tcPr>
          <w:p>
            <w:pPr>
              <w:spacing w:after="0"/>
              <w:rPr>
                <w:sz w:val="24"/>
                <w:szCs w:val="24"/>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Additional Amounts</w:t>
            </w: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We will, subject to certain exceptions and limitations,</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pay additional amounts on the notes in respect of any</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required withholding or deduction for any present or</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future tax, assessment or other governmental charge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imposed by any Relevant Taxing Jurisdiction (as defined</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in “Description of Notes — Payment of Additional</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Amounts”), as will result in receipt by holders of notes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of such amounts as they would have received had no</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such withholding or deduction been required. See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“Description of Notes — Payment of Additional</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80" w:type="dxa"/>
            <w:vAlign w:val="bottom"/>
          </w:tcPr>
          <w:p>
            <w:pPr>
              <w:spacing w:after="0"/>
              <w:rPr>
                <w:sz w:val="18"/>
                <w:szCs w:val="18"/>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Amounts.”</w:t>
            </w:r>
          </w:p>
        </w:tc>
        <w:tc>
          <w:tcPr>
            <w:tcW w:w="940" w:type="dxa"/>
            <w:vAlign w:val="bottom"/>
          </w:tcPr>
          <w:p>
            <w:pPr>
              <w:spacing w:after="0"/>
              <w:rPr>
                <w:sz w:val="18"/>
                <w:szCs w:val="18"/>
                <w:color w:val="auto"/>
              </w:rPr>
            </w:pPr>
          </w:p>
        </w:tc>
      </w:tr>
      <w:tr>
        <w:trPr>
          <w:trHeight w:val="296"/>
        </w:trPr>
        <w:tc>
          <w:tcPr>
            <w:tcW w:w="980" w:type="dxa"/>
            <w:vAlign w:val="bottom"/>
            <w:tcBorders>
              <w:right w:val="single" w:sz="8" w:color="auto"/>
            </w:tcBorders>
          </w:tcPr>
          <w:p>
            <w:pPr>
              <w:spacing w:after="0"/>
              <w:rPr>
                <w:sz w:val="24"/>
                <w:szCs w:val="24"/>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Redemption of Notes for Tax Reasons</w:t>
            </w: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We may redeem all but not part of the notes in the event</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of certain changes in the tax laws of a Relevant Taxing</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Jurisdiction that would require us to pay additional</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amounts as described under “Description of Notes —</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Payment of Additional Amounts.” This redemption</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would be at 100% of the principal amount of, together</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with accrued and unpaid interest on, the notes to the date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fixed for redemption. See “Description of Notes —</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80" w:type="dxa"/>
            <w:vAlign w:val="bottom"/>
          </w:tcPr>
          <w:p>
            <w:pPr>
              <w:spacing w:after="0"/>
              <w:rPr>
                <w:sz w:val="18"/>
                <w:szCs w:val="18"/>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Redemption for Tax Reasons.”</w:t>
            </w:r>
          </w:p>
        </w:tc>
        <w:tc>
          <w:tcPr>
            <w:tcW w:w="940" w:type="dxa"/>
            <w:vAlign w:val="bottom"/>
          </w:tcPr>
          <w:p>
            <w:pPr>
              <w:spacing w:after="0"/>
              <w:rPr>
                <w:sz w:val="18"/>
                <w:szCs w:val="18"/>
                <w:color w:val="auto"/>
              </w:rPr>
            </w:pPr>
          </w:p>
        </w:tc>
      </w:tr>
      <w:tr>
        <w:trPr>
          <w:trHeight w:val="308"/>
        </w:trPr>
        <w:tc>
          <w:tcPr>
            <w:tcW w:w="980" w:type="dxa"/>
            <w:vAlign w:val="bottom"/>
            <w:tcBorders>
              <w:right w:val="single" w:sz="8" w:color="auto"/>
            </w:tcBorders>
          </w:tcPr>
          <w:p>
            <w:pPr>
              <w:spacing w:after="0"/>
              <w:rPr>
                <w:sz w:val="24"/>
                <w:szCs w:val="24"/>
                <w:color w:val="auto"/>
              </w:rPr>
            </w:pPr>
          </w:p>
        </w:tc>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All payments of interest and principal, including</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payments made upon any redemption of the notes, will</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be made in euro. If the euro is unavailable to us due to</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the imposition of exchange controls or other</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circumstances beyond our control or if the euro is no</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longer being used by the then member states of the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European Monetary Union that have adopted the euro as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their currency or for the settlement of transactions by</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80" w:type="dxa"/>
            <w:vAlign w:val="bottom"/>
          </w:tcPr>
          <w:p>
            <w:pPr>
              <w:spacing w:after="0"/>
              <w:rPr>
                <w:sz w:val="18"/>
                <w:szCs w:val="18"/>
                <w:color w:val="auto"/>
              </w:rPr>
            </w:pPr>
          </w:p>
        </w:tc>
        <w:tc>
          <w:tcPr>
            <w:tcW w:w="46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public institutions of or within the international</w:t>
            </w:r>
          </w:p>
        </w:tc>
        <w:tc>
          <w:tcPr>
            <w:tcW w:w="940" w:type="dxa"/>
            <w:vAlign w:val="bottom"/>
          </w:tcPr>
          <w:p>
            <w:pPr>
              <w:spacing w:after="0"/>
              <w:rPr>
                <w:sz w:val="18"/>
                <w:szCs w:val="18"/>
                <w:color w:val="auto"/>
              </w:rPr>
            </w:pPr>
          </w:p>
        </w:tc>
      </w:tr>
      <w:tr>
        <w:trPr>
          <w:trHeight w:val="188"/>
        </w:trPr>
        <w:tc>
          <w:tcPr>
            <w:tcW w:w="980" w:type="dxa"/>
            <w:vAlign w:val="bottom"/>
            <w:tcBorders>
              <w:right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r>
      <w:tr>
        <w:trPr>
          <w:trHeight w:val="380"/>
        </w:trPr>
        <w:tc>
          <w:tcPr>
            <w:tcW w:w="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6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S-4</w:t>
            </w:r>
          </w:p>
        </w:tc>
        <w:tc>
          <w:tcPr>
            <w:tcW w:w="940" w:type="dxa"/>
            <w:vAlign w:val="bottom"/>
          </w:tcPr>
          <w:p>
            <w:pPr>
              <w:spacing w:after="0"/>
              <w:rPr>
                <w:sz w:val="24"/>
                <w:szCs w:val="24"/>
                <w:color w:val="auto"/>
              </w:rPr>
            </w:pPr>
          </w:p>
        </w:tc>
      </w:tr>
      <w:tr>
        <w:trPr>
          <w:trHeight w:val="172"/>
        </w:trPr>
        <w:tc>
          <w:tcPr>
            <w:tcW w:w="9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bl>
    <w:p>
      <w:pPr>
        <w:sectPr>
          <w:pgSz w:w="11900" w:h="16838" w:orient="portrait"/>
          <w:cols w:equalWidth="0" w:num="1">
            <w:col w:w="9820"/>
          </w:cols>
          <w:pgMar w:left="1040" w:top="250" w:right="1039" w:bottom="1440" w:gutter="0" w:footer="0" w:header="0"/>
        </w:sectPr>
      </w:pPr>
    </w:p>
    <w:bookmarkStart w:id="12" w:name="page13"/>
    <w:bookmarkEnd w:id="12"/>
    <w:p>
      <w:pPr>
        <w:ind w:left="9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504"/>
        </w:trPr>
        <w:tc>
          <w:tcPr>
            <w:tcW w:w="980" w:type="dxa"/>
            <w:vAlign w:val="bottom"/>
            <w:tcBorders>
              <w:right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494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banking community, then all payments in respect of the</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notes will be made in U.S. dollars until the euro is again</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available to us or so used. See “Description of Notes —</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Issuance in Euro” and “Currency Conversion.”</w:t>
            </w:r>
          </w:p>
        </w:tc>
        <w:tc>
          <w:tcPr>
            <w:tcW w:w="940" w:type="dxa"/>
            <w:vAlign w:val="bottom"/>
          </w:tcPr>
          <w:p>
            <w:pPr>
              <w:spacing w:after="0"/>
              <w:rPr>
                <w:sz w:val="18"/>
                <w:szCs w:val="18"/>
                <w:color w:val="auto"/>
              </w:rPr>
            </w:pPr>
          </w:p>
        </w:tc>
      </w:tr>
      <w:tr>
        <w:trPr>
          <w:trHeight w:val="296"/>
        </w:trPr>
        <w:tc>
          <w:tcPr>
            <w:tcW w:w="980" w:type="dxa"/>
            <w:vAlign w:val="bottom"/>
            <w:tcBorders>
              <w:right w:val="single" w:sz="8" w:color="auto"/>
            </w:tcBorders>
          </w:tcPr>
          <w:p>
            <w:pPr>
              <w:spacing w:after="0"/>
              <w:rPr>
                <w:sz w:val="24"/>
                <w:szCs w:val="24"/>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Denominations</w:t>
            </w: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The notes will be issued in minimum denominations of</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€100,000 and integral multiples of €1,000 in excess</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thereof.</w:t>
            </w:r>
          </w:p>
        </w:tc>
        <w:tc>
          <w:tcPr>
            <w:tcW w:w="940" w:type="dxa"/>
            <w:vAlign w:val="bottom"/>
          </w:tcPr>
          <w:p>
            <w:pPr>
              <w:spacing w:after="0"/>
              <w:rPr>
                <w:sz w:val="18"/>
                <w:szCs w:val="18"/>
                <w:color w:val="auto"/>
              </w:rPr>
            </w:pPr>
          </w:p>
        </w:tc>
      </w:tr>
      <w:tr>
        <w:trPr>
          <w:trHeight w:val="308"/>
        </w:trPr>
        <w:tc>
          <w:tcPr>
            <w:tcW w:w="980" w:type="dxa"/>
            <w:vAlign w:val="bottom"/>
            <w:tcBorders>
              <w:right w:val="single" w:sz="8" w:color="auto"/>
            </w:tcBorders>
          </w:tcPr>
          <w:p>
            <w:pPr>
              <w:spacing w:after="0"/>
              <w:rPr>
                <w:sz w:val="24"/>
                <w:szCs w:val="24"/>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Book-Entry Form</w:t>
            </w: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The notes will be represented by one or more global</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securities in registered form without interest coupons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attached. Each such global note will be deposited with,</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or on behalf of, a common depositary and registered in</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the name of the nominee of the common depositary for</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the accounts of Clearstream and Euroclear. Beneficial</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interests in the global securities will be shown on, and</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transfers will be effected only through, records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maintained by Clearstream and Euroclear. Except in</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limited circumstances notes will not be issued in</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certificated form or exchanged for interests in global</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securities. See “Description of Notes— General” in this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prospectus supplement and “Description of Debt</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Securities and Guarantees— Global Securities” in the</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accompanying prospectus.</w:t>
            </w:r>
          </w:p>
        </w:tc>
        <w:tc>
          <w:tcPr>
            <w:tcW w:w="940" w:type="dxa"/>
            <w:vAlign w:val="bottom"/>
          </w:tcPr>
          <w:p>
            <w:pPr>
              <w:spacing w:after="0"/>
              <w:rPr>
                <w:sz w:val="18"/>
                <w:szCs w:val="18"/>
                <w:color w:val="auto"/>
              </w:rPr>
            </w:pPr>
          </w:p>
        </w:tc>
      </w:tr>
      <w:tr>
        <w:trPr>
          <w:trHeight w:val="324"/>
        </w:trPr>
        <w:tc>
          <w:tcPr>
            <w:tcW w:w="980" w:type="dxa"/>
            <w:vAlign w:val="bottom"/>
            <w:tcBorders>
              <w:right w:val="single" w:sz="8" w:color="auto"/>
            </w:tcBorders>
          </w:tcPr>
          <w:p>
            <w:pPr>
              <w:spacing w:after="0"/>
              <w:rPr>
                <w:sz w:val="24"/>
                <w:szCs w:val="24"/>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Trustee</w:t>
            </w: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The Bank of New York Mellon.</w:t>
            </w:r>
          </w:p>
        </w:tc>
        <w:tc>
          <w:tcPr>
            <w:tcW w:w="940" w:type="dxa"/>
            <w:vAlign w:val="bottom"/>
          </w:tcPr>
          <w:p>
            <w:pPr>
              <w:spacing w:after="0"/>
              <w:rPr>
                <w:sz w:val="24"/>
                <w:szCs w:val="24"/>
                <w:color w:val="auto"/>
              </w:rPr>
            </w:pPr>
          </w:p>
        </w:tc>
      </w:tr>
      <w:tr>
        <w:trPr>
          <w:trHeight w:val="296"/>
        </w:trPr>
        <w:tc>
          <w:tcPr>
            <w:tcW w:w="980" w:type="dxa"/>
            <w:vAlign w:val="bottom"/>
            <w:tcBorders>
              <w:right w:val="single" w:sz="8" w:color="auto"/>
            </w:tcBorders>
          </w:tcPr>
          <w:p>
            <w:pPr>
              <w:spacing w:after="0"/>
              <w:rPr>
                <w:sz w:val="24"/>
                <w:szCs w:val="24"/>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Paying Agent and Registrar</w:t>
            </w: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In connection with the issuance of the notes, The Bank</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of New York Mellon, London Branch will initially act as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paying agent for the notes, and the Trustee will initially</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act as transfer agent, registrar and trustee for the notes.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We may at any time designate additional paying agents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or rescind the designations or approve a change in the</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offices where they act.</w:t>
            </w:r>
          </w:p>
        </w:tc>
        <w:tc>
          <w:tcPr>
            <w:tcW w:w="940" w:type="dxa"/>
            <w:vAlign w:val="bottom"/>
          </w:tcPr>
          <w:p>
            <w:pPr>
              <w:spacing w:after="0"/>
              <w:rPr>
                <w:sz w:val="18"/>
                <w:szCs w:val="18"/>
                <w:color w:val="auto"/>
              </w:rPr>
            </w:pPr>
          </w:p>
        </w:tc>
      </w:tr>
      <w:tr>
        <w:trPr>
          <w:trHeight w:val="324"/>
        </w:trPr>
        <w:tc>
          <w:tcPr>
            <w:tcW w:w="980" w:type="dxa"/>
            <w:vAlign w:val="bottom"/>
            <w:tcBorders>
              <w:right w:val="single" w:sz="8" w:color="auto"/>
            </w:tcBorders>
          </w:tcPr>
          <w:p>
            <w:pPr>
              <w:spacing w:after="0"/>
              <w:rPr>
                <w:sz w:val="24"/>
                <w:szCs w:val="24"/>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Governing Law</w:t>
            </w: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New York.</w:t>
            </w:r>
          </w:p>
        </w:tc>
        <w:tc>
          <w:tcPr>
            <w:tcW w:w="940" w:type="dxa"/>
            <w:vAlign w:val="bottom"/>
          </w:tcPr>
          <w:p>
            <w:pPr>
              <w:spacing w:after="0"/>
              <w:rPr>
                <w:sz w:val="24"/>
                <w:szCs w:val="24"/>
                <w:color w:val="auto"/>
              </w:rPr>
            </w:pPr>
          </w:p>
        </w:tc>
      </w:tr>
      <w:tr>
        <w:trPr>
          <w:trHeight w:val="308"/>
        </w:trPr>
        <w:tc>
          <w:tcPr>
            <w:tcW w:w="980" w:type="dxa"/>
            <w:vAlign w:val="bottom"/>
            <w:tcBorders>
              <w:right w:val="single" w:sz="8" w:color="auto"/>
            </w:tcBorders>
          </w:tcPr>
          <w:p>
            <w:pPr>
              <w:spacing w:after="0"/>
              <w:rPr>
                <w:sz w:val="24"/>
                <w:szCs w:val="24"/>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Listing and Trading</w:t>
            </w: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Application has been made for the notes to be admitted</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to the Official List of Euronext Dublin and to trading on</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the Global Exchange Market, which is the exchange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regulated market of Euronext Dublin. The Global</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Exchange Market is not a regulated market for the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purposes of MiFID II and UK MiFIR. No assurance can</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be given that this application will be granted.</w:t>
            </w:r>
          </w:p>
        </w:tc>
        <w:tc>
          <w:tcPr>
            <w:tcW w:w="940" w:type="dxa"/>
            <w:vAlign w:val="bottom"/>
          </w:tcPr>
          <w:p>
            <w:pPr>
              <w:spacing w:after="0"/>
              <w:rPr>
                <w:sz w:val="18"/>
                <w:szCs w:val="18"/>
                <w:color w:val="auto"/>
              </w:rPr>
            </w:pPr>
          </w:p>
        </w:tc>
      </w:tr>
      <w:tr>
        <w:trPr>
          <w:trHeight w:val="296"/>
        </w:trPr>
        <w:tc>
          <w:tcPr>
            <w:tcW w:w="980" w:type="dxa"/>
            <w:vAlign w:val="bottom"/>
            <w:tcBorders>
              <w:right w:val="single" w:sz="8" w:color="auto"/>
            </w:tcBorders>
          </w:tcPr>
          <w:p>
            <w:pPr>
              <w:spacing w:after="0"/>
              <w:rPr>
                <w:sz w:val="24"/>
                <w:szCs w:val="24"/>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Use of Proceeds</w:t>
            </w: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We estimate that the net proceeds to us from the sale of</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the notes will be approximately €644.0 million (after</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deducting the underwriting discount and our offering</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expenses). We intend to use the net proceeds from this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offering to (i) fund the repayment of any amounts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borrowed under the Revolving Credit Facility in</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June 2026 in connection with the repayment of the 2026</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Senior Notes and (ii) the remainder, if any, to replenish</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cash that will be utilized in connection with the</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49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repayment of the 2026 Senior Notes, with such</w:t>
            </w:r>
          </w:p>
        </w:tc>
        <w:tc>
          <w:tcPr>
            <w:tcW w:w="940" w:type="dxa"/>
            <w:vAlign w:val="bottom"/>
          </w:tcPr>
          <w:p>
            <w:pPr>
              <w:spacing w:after="0"/>
              <w:rPr>
                <w:sz w:val="18"/>
                <w:szCs w:val="18"/>
                <w:color w:val="auto"/>
              </w:rPr>
            </w:pPr>
          </w:p>
        </w:tc>
      </w:tr>
      <w:tr>
        <w:trPr>
          <w:trHeight w:val="200"/>
        </w:trPr>
        <w:tc>
          <w:tcPr>
            <w:tcW w:w="980" w:type="dxa"/>
            <w:vAlign w:val="bottom"/>
            <w:tcBorders>
              <w:right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380"/>
        </w:trPr>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9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S-5</w:t>
            </w:r>
          </w:p>
        </w:tc>
        <w:tc>
          <w:tcPr>
            <w:tcW w:w="940" w:type="dxa"/>
            <w:vAlign w:val="bottom"/>
          </w:tcPr>
          <w:p>
            <w:pPr>
              <w:spacing w:after="0"/>
              <w:rPr>
                <w:sz w:val="24"/>
                <w:szCs w:val="24"/>
                <w:color w:val="auto"/>
              </w:rPr>
            </w:pPr>
          </w:p>
        </w:tc>
      </w:tr>
      <w:tr>
        <w:trPr>
          <w:trHeight w:val="160"/>
        </w:trPr>
        <w:tc>
          <w:tcPr>
            <w:tcW w:w="9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49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bl>
    <w:p>
      <w:pPr>
        <w:sectPr>
          <w:pgSz w:w="11900" w:h="16838" w:orient="portrait"/>
          <w:cols w:equalWidth="0" w:num="1">
            <w:col w:w="9820"/>
          </w:cols>
          <w:pgMar w:left="1040" w:top="250" w:right="1039" w:bottom="1440" w:gutter="0" w:footer="0" w:header="0"/>
        </w:sectPr>
      </w:pPr>
    </w:p>
    <w:bookmarkStart w:id="13" w:name="page14"/>
    <w:bookmarkEnd w:id="13"/>
    <w:p>
      <w:pPr>
        <w:ind w:left="9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504"/>
        </w:trPr>
        <w:tc>
          <w:tcPr>
            <w:tcW w:w="980" w:type="dxa"/>
            <w:vAlign w:val="bottom"/>
            <w:tcBorders>
              <w:right w:val="single" w:sz="8" w:color="auto"/>
            </w:tcBorders>
          </w:tcPr>
          <w:p>
            <w:pPr>
              <w:spacing w:after="0"/>
              <w:rPr>
                <w:sz w:val="24"/>
                <w:szCs w:val="24"/>
                <w:color w:val="auto"/>
              </w:rPr>
            </w:pPr>
          </w:p>
        </w:tc>
        <w:tc>
          <w:tcPr>
            <w:tcW w:w="3220" w:type="dxa"/>
            <w:vAlign w:val="bottom"/>
            <w:tcBorders>
              <w:top w:val="single" w:sz="8" w:color="auto"/>
            </w:tcBorders>
          </w:tcPr>
          <w:p>
            <w:pPr>
              <w:spacing w:after="0"/>
              <w:rPr>
                <w:sz w:val="24"/>
                <w:szCs w:val="24"/>
                <w:color w:val="auto"/>
              </w:rPr>
            </w:pPr>
          </w:p>
        </w:tc>
        <w:tc>
          <w:tcPr>
            <w:tcW w:w="4680" w:type="dxa"/>
            <w:vAlign w:val="bottom"/>
            <w:tcBorders>
              <w:top w:val="single" w:sz="8" w:color="auto"/>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cash to be used for general corporate purposes. See</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“Summary—Recent Developments—Repayment of</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2026 Senior Notes” and “Use of Proceeds” in this</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20" w:type="dxa"/>
            <w:vAlign w:val="bottom"/>
          </w:tcPr>
          <w:p>
            <w:pPr>
              <w:spacing w:after="0"/>
              <w:rPr>
                <w:sz w:val="18"/>
                <w:szCs w:val="18"/>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prospectus supplement.</w:t>
            </w:r>
          </w:p>
        </w:tc>
        <w:tc>
          <w:tcPr>
            <w:tcW w:w="940" w:type="dxa"/>
            <w:vAlign w:val="bottom"/>
          </w:tcPr>
          <w:p>
            <w:pPr>
              <w:spacing w:after="0"/>
              <w:rPr>
                <w:sz w:val="18"/>
                <w:szCs w:val="18"/>
                <w:color w:val="auto"/>
              </w:rPr>
            </w:pPr>
          </w:p>
        </w:tc>
      </w:tr>
      <w:tr>
        <w:trPr>
          <w:trHeight w:val="296"/>
        </w:trPr>
        <w:tc>
          <w:tcPr>
            <w:tcW w:w="980" w:type="dxa"/>
            <w:vAlign w:val="bottom"/>
            <w:tcBorders>
              <w:right w:val="single" w:sz="8" w:color="auto"/>
            </w:tcBorders>
          </w:tcPr>
          <w:p>
            <w:pPr>
              <w:spacing w:after="0"/>
              <w:rPr>
                <w:sz w:val="24"/>
                <w:szCs w:val="24"/>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Conflicts of Interest</w:t>
            </w: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Affiliates of certain underwriters are lenders under our</w:t>
            </w:r>
          </w:p>
        </w:tc>
        <w:tc>
          <w:tcPr>
            <w:tcW w:w="940" w:type="dxa"/>
            <w:vAlign w:val="bottom"/>
          </w:tcPr>
          <w:p>
            <w:pPr>
              <w:spacing w:after="0"/>
              <w:rPr>
                <w:sz w:val="24"/>
                <w:szCs w:val="24"/>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Revolving Credit Facility. Any amounts borrowed under</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the Revolving Credit Facility in connection with the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repayment of the 2026 Senior Notes will be repaid using</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net proceeds from this offering and, as a result, such</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affiliates may receive in excess of 5% of the net</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proceeds from this offering, not including underwriting</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compensation. The receipt by any underwriter and its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affiliates of an aggregate amount in excess of 5% of the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net proceeds from this offering would constitute a</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“conflict of interest” under Rule 5121 of the Financial</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Industry Regulatory Authority, Inc. (“FINRA”) for each</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such underwriter. Consequently, this offering will be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conducted in accordance with the applicable</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requirements of FINRA Rule 5121. See “Use of</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20" w:type="dxa"/>
            <w:vAlign w:val="bottom"/>
          </w:tcPr>
          <w:p>
            <w:pPr>
              <w:spacing w:after="0"/>
              <w:rPr>
                <w:sz w:val="18"/>
                <w:szCs w:val="18"/>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Proceeds” and “Underwriting—Conflicts of Interest.”</w:t>
            </w:r>
          </w:p>
        </w:tc>
        <w:tc>
          <w:tcPr>
            <w:tcW w:w="940" w:type="dxa"/>
            <w:vAlign w:val="bottom"/>
          </w:tcPr>
          <w:p>
            <w:pPr>
              <w:spacing w:after="0"/>
              <w:rPr>
                <w:sz w:val="18"/>
                <w:szCs w:val="18"/>
                <w:color w:val="auto"/>
              </w:rPr>
            </w:pPr>
          </w:p>
        </w:tc>
      </w:tr>
      <w:tr>
        <w:trPr>
          <w:trHeight w:val="288"/>
        </w:trPr>
        <w:tc>
          <w:tcPr>
            <w:tcW w:w="980" w:type="dxa"/>
            <w:vAlign w:val="bottom"/>
            <w:tcBorders>
              <w:right w:val="single" w:sz="8" w:color="auto"/>
            </w:tcBorders>
          </w:tcPr>
          <w:p>
            <w:pPr>
              <w:spacing w:after="0"/>
              <w:rPr>
                <w:sz w:val="24"/>
                <w:szCs w:val="24"/>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Risk Factors</w:t>
            </w: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See “Risk Factors” beginning on page S-</w:t>
            </w:r>
            <w:r>
              <w:rPr>
                <w:rFonts w:ascii="Times New Roman" w:cs="Times New Roman" w:eastAsia="Times New Roman" w:hAnsi="Times New Roman"/>
                <w:sz w:val="16"/>
                <w:szCs w:val="16"/>
                <w:color w:val="0000EE"/>
              </w:rPr>
              <w:t>7</w:t>
            </w:r>
            <w:r>
              <w:rPr>
                <w:rFonts w:ascii="Times New Roman" w:cs="Times New Roman" w:eastAsia="Times New Roman" w:hAnsi="Times New Roman"/>
                <w:sz w:val="16"/>
                <w:szCs w:val="16"/>
                <w:color w:val="auto"/>
              </w:rPr>
              <w:t xml:space="preserve"> and the other</w:t>
            </w:r>
          </w:p>
        </w:tc>
        <w:tc>
          <w:tcPr>
            <w:tcW w:w="940" w:type="dxa"/>
            <w:vAlign w:val="bottom"/>
          </w:tcPr>
          <w:p>
            <w:pPr>
              <w:spacing w:after="0"/>
              <w:rPr>
                <w:sz w:val="24"/>
                <w:szCs w:val="24"/>
                <w:color w:val="auto"/>
              </w:rPr>
            </w:pPr>
          </w:p>
        </w:tc>
      </w:tr>
      <w:tr>
        <w:trPr>
          <w:trHeight w:val="20"/>
        </w:trPr>
        <w:tc>
          <w:tcPr>
            <w:tcW w:w="980" w:type="dxa"/>
            <w:vAlign w:val="bottom"/>
            <w:tcBorders>
              <w:right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information included or incorporated by reference in this</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prospectus for a discussion of certain risks you should</w:t>
            </w:r>
          </w:p>
        </w:tc>
        <w:tc>
          <w:tcPr>
            <w:tcW w:w="940" w:type="dxa"/>
            <w:vAlign w:val="bottom"/>
          </w:tcPr>
          <w:p>
            <w:pPr>
              <w:spacing w:after="0"/>
              <w:rPr>
                <w:sz w:val="16"/>
                <w:szCs w:val="16"/>
                <w:color w:val="auto"/>
              </w:rPr>
            </w:pPr>
          </w:p>
        </w:tc>
      </w:tr>
      <w:tr>
        <w:trPr>
          <w:trHeight w:val="192"/>
        </w:trPr>
        <w:tc>
          <w:tcPr>
            <w:tcW w:w="980" w:type="dxa"/>
            <w:vAlign w:val="bottom"/>
            <w:tcBorders>
              <w:righ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carefully consider before deciding whether to purchase</w:t>
            </w:r>
          </w:p>
        </w:tc>
        <w:tc>
          <w:tcPr>
            <w:tcW w:w="940" w:type="dxa"/>
            <w:vAlign w:val="bottom"/>
          </w:tcPr>
          <w:p>
            <w:pPr>
              <w:spacing w:after="0"/>
              <w:rPr>
                <w:sz w:val="16"/>
                <w:szCs w:val="16"/>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20" w:type="dxa"/>
            <w:vAlign w:val="bottom"/>
          </w:tcPr>
          <w:p>
            <w:pPr>
              <w:spacing w:after="0"/>
              <w:rPr>
                <w:sz w:val="18"/>
                <w:szCs w:val="18"/>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the notes</w:t>
            </w:r>
          </w:p>
        </w:tc>
        <w:tc>
          <w:tcPr>
            <w:tcW w:w="940" w:type="dxa"/>
            <w:vAlign w:val="bottom"/>
          </w:tcPr>
          <w:p>
            <w:pPr>
              <w:spacing w:after="0"/>
              <w:rPr>
                <w:sz w:val="18"/>
                <w:szCs w:val="18"/>
                <w:color w:val="auto"/>
              </w:rPr>
            </w:pPr>
          </w:p>
        </w:tc>
      </w:tr>
      <w:tr>
        <w:trPr>
          <w:trHeight w:val="308"/>
        </w:trPr>
        <w:tc>
          <w:tcPr>
            <w:tcW w:w="980" w:type="dxa"/>
            <w:vAlign w:val="bottom"/>
            <w:tcBorders>
              <w:right w:val="single" w:sz="8" w:color="auto"/>
            </w:tcBorders>
          </w:tcPr>
          <w:p>
            <w:pPr>
              <w:spacing w:after="0"/>
              <w:rPr>
                <w:sz w:val="24"/>
                <w:szCs w:val="24"/>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ISIN and Common Code</w:t>
            </w: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ISIN: XS3325429580</w:t>
            </w:r>
          </w:p>
        </w:tc>
        <w:tc>
          <w:tcPr>
            <w:tcW w:w="940" w:type="dxa"/>
            <w:vAlign w:val="bottom"/>
          </w:tcPr>
          <w:p>
            <w:pPr>
              <w:spacing w:after="0"/>
              <w:rPr>
                <w:sz w:val="24"/>
                <w:szCs w:val="24"/>
                <w:color w:val="auto"/>
              </w:rPr>
            </w:pPr>
          </w:p>
        </w:tc>
      </w:tr>
      <w:tr>
        <w:trPr>
          <w:trHeight w:val="209"/>
        </w:trPr>
        <w:tc>
          <w:tcPr>
            <w:tcW w:w="980" w:type="dxa"/>
            <w:vAlign w:val="bottom"/>
            <w:tcBorders>
              <w:right w:val="single" w:sz="8" w:color="auto"/>
            </w:tcBorders>
          </w:tcPr>
          <w:p>
            <w:pPr>
              <w:spacing w:after="0"/>
              <w:rPr>
                <w:sz w:val="18"/>
                <w:szCs w:val="18"/>
                <w:color w:val="auto"/>
              </w:rPr>
            </w:pPr>
          </w:p>
        </w:tc>
        <w:tc>
          <w:tcPr>
            <w:tcW w:w="3220" w:type="dxa"/>
            <w:vAlign w:val="bottom"/>
          </w:tcPr>
          <w:p>
            <w:pPr>
              <w:spacing w:after="0"/>
              <w:rPr>
                <w:sz w:val="18"/>
                <w:szCs w:val="18"/>
                <w:color w:val="auto"/>
              </w:rPr>
            </w:pP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Common Code: 332542958</w:t>
            </w:r>
          </w:p>
        </w:tc>
        <w:tc>
          <w:tcPr>
            <w:tcW w:w="940" w:type="dxa"/>
            <w:vAlign w:val="bottom"/>
          </w:tcPr>
          <w:p>
            <w:pPr>
              <w:spacing w:after="0"/>
              <w:rPr>
                <w:sz w:val="18"/>
                <w:szCs w:val="18"/>
                <w:color w:val="auto"/>
              </w:rPr>
            </w:pPr>
          </w:p>
        </w:tc>
      </w:tr>
      <w:tr>
        <w:trPr>
          <w:trHeight w:val="312"/>
        </w:trPr>
        <w:tc>
          <w:tcPr>
            <w:tcW w:w="980" w:type="dxa"/>
            <w:vAlign w:val="bottom"/>
            <w:tcBorders>
              <w:right w:val="single" w:sz="8" w:color="auto"/>
            </w:tcBorders>
          </w:tcPr>
          <w:p>
            <w:pPr>
              <w:spacing w:after="0"/>
              <w:rPr>
                <w:sz w:val="24"/>
                <w:szCs w:val="24"/>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Legal Entity Identifier of the Issuer</w:t>
            </w:r>
          </w:p>
        </w:tc>
        <w:tc>
          <w:tcPr>
            <w:tcW w:w="4680" w:type="dxa"/>
            <w:vAlign w:val="bottom"/>
            <w:tcBorders>
              <w:right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color w:val="auto"/>
              </w:rPr>
              <w:t>254900ZZTSW7NL773X71</w:t>
            </w:r>
          </w:p>
        </w:tc>
        <w:tc>
          <w:tcPr>
            <w:tcW w:w="940" w:type="dxa"/>
            <w:vAlign w:val="bottom"/>
          </w:tcPr>
          <w:p>
            <w:pPr>
              <w:spacing w:after="0"/>
              <w:rPr>
                <w:sz w:val="24"/>
                <w:szCs w:val="24"/>
                <w:color w:val="auto"/>
              </w:rPr>
            </w:pPr>
          </w:p>
        </w:tc>
      </w:tr>
      <w:tr>
        <w:trPr>
          <w:trHeight w:val="200"/>
        </w:trPr>
        <w:tc>
          <w:tcPr>
            <w:tcW w:w="980" w:type="dxa"/>
            <w:vAlign w:val="bottom"/>
            <w:tcBorders>
              <w:right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r>
      <w:tr>
        <w:trPr>
          <w:trHeight w:val="380"/>
        </w:trPr>
        <w:tc>
          <w:tcPr>
            <w:tcW w:w="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S-6</w:t>
            </w:r>
          </w:p>
        </w:tc>
        <w:tc>
          <w:tcPr>
            <w:tcW w:w="940" w:type="dxa"/>
            <w:vAlign w:val="bottom"/>
          </w:tcPr>
          <w:p>
            <w:pPr>
              <w:spacing w:after="0"/>
              <w:rPr>
                <w:sz w:val="24"/>
                <w:szCs w:val="24"/>
                <w:color w:val="auto"/>
              </w:rPr>
            </w:pPr>
          </w:p>
        </w:tc>
      </w:tr>
      <w:tr>
        <w:trPr>
          <w:trHeight w:val="160"/>
        </w:trPr>
        <w:tc>
          <w:tcPr>
            <w:tcW w:w="98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bl>
    <w:p>
      <w:pPr>
        <w:sectPr>
          <w:pgSz w:w="11900" w:h="16838" w:orient="portrait"/>
          <w:cols w:equalWidth="0" w:num="1">
            <w:col w:w="9820"/>
          </w:cols>
          <w:pgMar w:left="1040" w:top="250" w:right="1039" w:bottom="1440" w:gutter="0" w:footer="0" w:header="0"/>
        </w:sectPr>
      </w:pPr>
    </w:p>
    <w:bookmarkStart w:id="14" w:name="page15"/>
    <w:bookmarkEnd w:id="1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04" w:lineRule="exact"/>
        <w:rPr>
          <w:sz w:val="20"/>
          <w:szCs w:val="20"/>
          <w:color w:val="auto"/>
        </w:rPr>
      </w:pPr>
    </w:p>
    <w:p>
      <w:pPr>
        <w:ind w:left="760" w:right="799" w:firstLine="320"/>
        <w:spacing w:after="0" w:line="253" w:lineRule="auto"/>
        <w:rPr>
          <w:sz w:val="20"/>
          <w:szCs w:val="20"/>
          <w:color w:val="auto"/>
        </w:rPr>
      </w:pPr>
      <w:r>
        <w:rPr>
          <w:rFonts w:ascii="Times New Roman" w:cs="Times New Roman" w:eastAsia="Times New Roman" w:hAnsi="Times New Roman"/>
          <w:sz w:val="16"/>
          <w:szCs w:val="16"/>
          <w:i w:val="1"/>
          <w:iCs w:val="1"/>
          <w:color w:val="auto"/>
        </w:rPr>
        <w:t>Investing in the notes involves risks. Before deciding whether to purchase the notes, you should carefully consider the risks described under “Risk Factors” in our 2025 Form 10-K, which is incorporated by reference into this prospectus supplement, as updated by subsequent annual, quarterly and other reports or documents we file with the SEC that are incorporated by reference herein, as well as the risks set forth below. You should also carefully consider the other information included in this prospectus or any free writing prospectus and other information incorporated by reference herein or therein. Each of these risks could result in a decrease in the value of the notes and your investment therein. Although we have tried to discuss what we believe are key risk factors, please be aware that other risks may prove to be important in the future. New risks may emerge at any time, and we cannot predict those risks or estimate the extent to which they may affect our financial performance or the value of the notes. The information contained in, and incorporated by reference into, this prospectus and any free writing prospectus includes forward-looking statements that involve risks and uncertainties, and we refer you to the “Cautionary Language Regarding Forward-Looking Statements” section in this prospectus supplement.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Risks Related to Investment in the Notes</w:t>
      </w:r>
    </w:p>
    <w:p>
      <w:pPr>
        <w:spacing w:after="0" w:line="198" w:lineRule="exact"/>
        <w:rPr>
          <w:sz w:val="20"/>
          <w:szCs w:val="20"/>
          <w:color w:val="auto"/>
        </w:rPr>
      </w:pPr>
    </w:p>
    <w:p>
      <w:pPr>
        <w:ind w:left="760" w:right="101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The indenture will not restrict the amount of additional indebtedness or other obligations that the Issuer or its subsidiaries may incur.</w:t>
      </w:r>
    </w:p>
    <w:p>
      <w:pPr>
        <w:spacing w:after="0" w:line="43" w:lineRule="exact"/>
        <w:rPr>
          <w:sz w:val="20"/>
          <w:szCs w:val="20"/>
          <w:color w:val="auto"/>
        </w:rPr>
      </w:pPr>
    </w:p>
    <w:p>
      <w:pPr>
        <w:ind w:left="760" w:right="879" w:firstLine="320"/>
        <w:spacing w:after="0" w:line="253" w:lineRule="auto"/>
        <w:rPr>
          <w:sz w:val="20"/>
          <w:szCs w:val="20"/>
          <w:color w:val="auto"/>
        </w:rPr>
      </w:pPr>
      <w:r>
        <w:rPr>
          <w:rFonts w:ascii="Times New Roman" w:cs="Times New Roman" w:eastAsia="Times New Roman" w:hAnsi="Times New Roman"/>
          <w:sz w:val="16"/>
          <w:szCs w:val="16"/>
          <w:color w:val="auto"/>
        </w:rPr>
        <w:t>The indenture will not place any limitation on the amount of unsecured indebtedness or other obligations that the Issuer or its subsidiaries (including subsidiaries that will not be guarantors of the notes) may incur. The incurrence by the Issuer or its subsidiaries of additional indebtedness or other obligations may have important consequences for you as a holder of the notes, including making it more difficult for us to satisfy our obligations with respect to the notes, reducing the market prices of the notes and causing a risk that the credit ratings of the notes will be lowered or withdrawn. If the Issuer or a guarantor incurs any additional indebtedness or other obligations that ranks equally with the notes or the guarantees thereof, the holders of that indebtedness or other obligations will be entitled to share ratably with the holders of the notes or the guarantees, as applicable, in any proceeds distributed in connection with any insolvency, liquidation, reorganization, dissolution or other winding up of the Issuer’s or guarantors’ respective businesses. See also “—The notes and guarantees will be structurally subordinated to all existing and future liabilities of our non-guarantor subsidiaries.”</w:t>
      </w:r>
    </w:p>
    <w:p>
      <w:pPr>
        <w:spacing w:after="0" w:line="169" w:lineRule="exact"/>
        <w:rPr>
          <w:sz w:val="20"/>
          <w:szCs w:val="20"/>
          <w:color w:val="auto"/>
        </w:rPr>
      </w:pPr>
    </w:p>
    <w:p>
      <w:pPr>
        <w:ind w:left="760" w:right="95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Our credit ratings may not reflect all of the risks of investing in the notes, and could be downgraded, revised or withdrawn at any time.</w:t>
      </w:r>
    </w:p>
    <w:p>
      <w:pPr>
        <w:spacing w:after="0" w:line="43" w:lineRule="exact"/>
        <w:rPr>
          <w:sz w:val="20"/>
          <w:szCs w:val="20"/>
          <w:color w:val="auto"/>
        </w:rPr>
      </w:pPr>
    </w:p>
    <w:p>
      <w:pPr>
        <w:ind w:left="760" w:right="799" w:firstLine="320"/>
        <w:spacing w:after="0" w:line="256" w:lineRule="auto"/>
        <w:rPr>
          <w:sz w:val="20"/>
          <w:szCs w:val="20"/>
          <w:color w:val="auto"/>
        </w:rPr>
      </w:pPr>
      <w:r>
        <w:rPr>
          <w:rFonts w:ascii="Times New Roman" w:cs="Times New Roman" w:eastAsia="Times New Roman" w:hAnsi="Times New Roman"/>
          <w:sz w:val="16"/>
          <w:szCs w:val="16"/>
          <w:color w:val="auto"/>
        </w:rPr>
        <w:t>Our credit ratings are an assessment by rating agencies of our ability to pay our debts when due. These credit ratings may not reflect the potential impact of all risks relating to the notes. Credit ratings are not a recommendation to buy, sell or hold the notes and may be downgraded, revised or withdrawn at any time by the issuing organization. Each agency’s rating should be evaluated independently of any other agency’s rating. Neither we, the trustee nor any underwriter undertakes any obligation to maintain the ratings or to advise holders of the notes of any change in ratings. Any downgrade, revision or withdrawal, or anticipated downgrade, revision or withdrawal, of credit ratings could adversely affect the market prices of the notes.</w:t>
      </w:r>
    </w:p>
    <w:p>
      <w:pPr>
        <w:spacing w:after="0" w:line="160" w:lineRule="exact"/>
        <w:rPr>
          <w:sz w:val="20"/>
          <w:szCs w:val="20"/>
          <w:color w:val="auto"/>
        </w:rPr>
      </w:pPr>
    </w:p>
    <w:p>
      <w:pPr>
        <w:ind w:left="760" w:right="145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The Issuer is a holding company, with its only material assets consisting of its ownership interests in its subsidiaries.</w:t>
      </w:r>
    </w:p>
    <w:p>
      <w:pPr>
        <w:spacing w:after="0" w:line="43" w:lineRule="exact"/>
        <w:rPr>
          <w:sz w:val="20"/>
          <w:szCs w:val="20"/>
          <w:color w:val="auto"/>
        </w:rPr>
      </w:pPr>
    </w:p>
    <w:p>
      <w:pPr>
        <w:ind w:left="760" w:right="819" w:firstLine="320"/>
        <w:spacing w:after="0" w:line="257" w:lineRule="auto"/>
        <w:rPr>
          <w:sz w:val="20"/>
          <w:szCs w:val="20"/>
          <w:color w:val="auto"/>
        </w:rPr>
      </w:pPr>
      <w:r>
        <w:rPr>
          <w:rFonts w:ascii="Times New Roman" w:cs="Times New Roman" w:eastAsia="Times New Roman" w:hAnsi="Times New Roman"/>
          <w:sz w:val="16"/>
          <w:szCs w:val="16"/>
          <w:color w:val="auto"/>
        </w:rPr>
        <w:t>The Issuer is a holding company, with its only material assets consisting of its ownership interests in its subsidiaries. The Issuer’s subsidiaries conduct substantially all of the operations necessary to fund the Issuer’s payment obligations on the notes and the Issuer’s other indebtedness. The Issuer’s subsidiaries are separate and distinct legal entities that (other than the guarantors) have no obligation to pay any amounts due pursuant to the notes or to make any funds available (whether by dividends, loans or other payments) to the Issuer or the guarantors to satisfy their respective obligations in respect of the notes and the guarantees thereof.</w:t>
      </w:r>
    </w:p>
    <w:p>
      <w:pPr>
        <w:spacing w:after="0" w:line="67" w:lineRule="exact"/>
        <w:rPr>
          <w:sz w:val="20"/>
          <w:szCs w:val="20"/>
          <w:color w:val="auto"/>
        </w:rPr>
      </w:pPr>
    </w:p>
    <w:p>
      <w:pPr>
        <w:ind w:left="760" w:right="859" w:firstLine="320"/>
        <w:spacing w:after="0" w:line="266" w:lineRule="auto"/>
        <w:rPr>
          <w:sz w:val="20"/>
          <w:szCs w:val="20"/>
          <w:color w:val="auto"/>
        </w:rPr>
      </w:pPr>
      <w:r>
        <w:rPr>
          <w:rFonts w:ascii="Times New Roman" w:cs="Times New Roman" w:eastAsia="Times New Roman" w:hAnsi="Times New Roman"/>
          <w:sz w:val="16"/>
          <w:szCs w:val="16"/>
          <w:color w:val="auto"/>
        </w:rPr>
        <w:t>The Issuer’s ability to make payments on the notes and its other indebtedness will depend on the Issuer’s subsidiaries’ cash flow and their payment of funds to the Issuer. The Issuer’s subsidiaries’ ability to make payments to the Issuer will depend on:</w:t>
      </w:r>
    </w:p>
    <w:p>
      <w:pPr>
        <w:spacing w:after="0" w:line="61" w:lineRule="exact"/>
        <w:rPr>
          <w:sz w:val="20"/>
          <w:szCs w:val="20"/>
          <w:color w:val="auto"/>
        </w:rPr>
      </w:pPr>
    </w:p>
    <w:p>
      <w:pPr>
        <w:ind w:left="1380" w:hanging="304"/>
        <w:spacing w:after="0"/>
        <w:tabs>
          <w:tab w:leader="none" w:pos="1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their earnings;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covenants contained in our debt agreements and the debt agreements of our subsidiaries;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380" w:hanging="304"/>
        <w:spacing w:after="0"/>
        <w:tabs>
          <w:tab w:leader="none" w:pos="1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covenants contained in other agreements to which we or our subsidiaries are or may become subject;</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and tax considerations; and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law, including state laws regulating the payment of dividends and distributions.</w:t>
      </w:r>
    </w:p>
    <w:p>
      <w:pPr>
        <w:spacing w:after="0" w:line="104" w:lineRule="exact"/>
        <w:rPr>
          <w:sz w:val="20"/>
          <w:szCs w:val="20"/>
          <w:color w:val="auto"/>
        </w:rPr>
      </w:pPr>
    </w:p>
    <w:p>
      <w:pPr>
        <w:ind w:left="760" w:right="879" w:firstLine="320"/>
        <w:spacing w:after="0" w:line="266" w:lineRule="auto"/>
        <w:rPr>
          <w:sz w:val="20"/>
          <w:szCs w:val="20"/>
          <w:color w:val="auto"/>
        </w:rPr>
      </w:pPr>
      <w:r>
        <w:rPr>
          <w:rFonts w:ascii="Times New Roman" w:cs="Times New Roman" w:eastAsia="Times New Roman" w:hAnsi="Times New Roman"/>
          <w:sz w:val="16"/>
          <w:szCs w:val="16"/>
          <w:color w:val="auto"/>
        </w:rPr>
        <w:t>We cannot assure you that the operating results of our subsidiaries at any given time will be sufficient to make distributions or other payments to the Issuer or that any distributions and/or payments will be adequate to pay principal and interest, and any other payments, on the notes and the Issuer’s other indebtedness when due.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generate the cash flow to service our debt obligations, including the notes.</w:t>
      </w:r>
    </w:p>
    <w:p>
      <w:pPr>
        <w:spacing w:after="0" w:line="108" w:lineRule="exact"/>
        <w:rPr>
          <w:sz w:val="20"/>
          <w:szCs w:val="20"/>
          <w:color w:val="auto"/>
        </w:rPr>
      </w:pPr>
    </w:p>
    <w:p>
      <w:pPr>
        <w:ind w:left="760" w:right="779" w:firstLine="320"/>
        <w:spacing w:after="0" w:line="252" w:lineRule="auto"/>
        <w:rPr>
          <w:sz w:val="20"/>
          <w:szCs w:val="20"/>
          <w:color w:val="auto"/>
        </w:rPr>
      </w:pPr>
      <w:r>
        <w:rPr>
          <w:rFonts w:ascii="Times New Roman" w:cs="Times New Roman" w:eastAsia="Times New Roman" w:hAnsi="Times New Roman"/>
          <w:sz w:val="16"/>
          <w:szCs w:val="16"/>
          <w:color w:val="auto"/>
        </w:rPr>
        <w:t>We cannot assure you that our future cash flow will be sufficient to allow us to meet our payment obligations on our debt, including the notes. Our ability to generate cash flow from operations to make scheduled payments on our debt, including the notes, will depend on our future financial and operating performance, which will be affected by a range of economic, competitive and business factors. We cannot control many of these factors, such as general economic and financial conditions, conditions in the pharmaceutical industry, regulatory developments, downturns in the global economy in general or the actions and performance of our competitors. Our ability to generate cash flow to meet our payment obligations under our debt, including the notes, may also depend on our successful implementation of our strategic initiatives and priorities. We cannot assure that we will be able to implement our strategic initiatives or priorities or that the anticipated results of our strategic initiatives or priorities will be realized. If we do not generate sufficient cash flow to satisfy our obligations under our debt, including the notes, we may have to seek additional capital or undertake alternative financing plans, such as refinancing or restructuring our debt, or selling assets. Any of these actions could result in unanticipated costs, disrupt our business or otherwise hinder our performance. Moreover, we may not be able to take any of these actions on commercially reasonable terms, or at all. Our inability to generate sufficient cash flow or to raise additional capital to satisfy our obligations under our debt, including the notes, or to refinance them on commercially reasonable terms would have a material adverse effect on our business, condition (financial or otherwise), results of operations and prospects.</w:t>
      </w:r>
    </w:p>
    <w:p>
      <w:pPr>
        <w:spacing w:after="0" w:line="172" w:lineRule="exact"/>
        <w:rPr>
          <w:sz w:val="20"/>
          <w:szCs w:val="20"/>
          <w:color w:val="auto"/>
        </w:rPr>
      </w:pPr>
    </w:p>
    <w:p>
      <w:pPr>
        <w:ind w:left="760" w:right="113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The notes and guarantees will be unsecured and effectively subordinated to the Issuer’s and the guarantors’ future secured debt.</w:t>
      </w:r>
    </w:p>
    <w:p>
      <w:pPr>
        <w:spacing w:after="0" w:line="43" w:lineRule="exact"/>
        <w:rPr>
          <w:sz w:val="20"/>
          <w:szCs w:val="20"/>
          <w:color w:val="auto"/>
        </w:rPr>
      </w:pPr>
    </w:p>
    <w:p>
      <w:pPr>
        <w:ind w:left="760" w:right="839" w:firstLine="320"/>
        <w:spacing w:after="0" w:line="254" w:lineRule="auto"/>
        <w:rPr>
          <w:sz w:val="20"/>
          <w:szCs w:val="20"/>
          <w:color w:val="auto"/>
        </w:rPr>
      </w:pPr>
      <w:r>
        <w:rPr>
          <w:rFonts w:ascii="Times New Roman" w:cs="Times New Roman" w:eastAsia="Times New Roman" w:hAnsi="Times New Roman"/>
          <w:sz w:val="16"/>
          <w:szCs w:val="16"/>
          <w:color w:val="auto"/>
        </w:rPr>
        <w:t>The Issuer’s and the guarantors’ respective obligations under the notes and the guarantees will not be secured by any of its or their respective assets or any of its or their existing or future subsidiaries’ assets. In addition, the indenture will permit us and our subsidiaries to incur additional indebtedness, which may be secured. As a result, holders of any secured indebtedness that the Issuer or the guarantors may incur will have claims that take priority to your claims as holders of the notes to the extent of the value of the assets securing the secured indebtedness. The notes and the guarantees will be effectively subordinated to all of the Issuer’s and the guarantors’ future secured indebtedness to the extent of the value of the assets securing such indebtedness. As of March 31, 2026, the Issuer and guarantors did not have any secured indebtedness, but they are permitted to incur secured indebtedness as described herein.</w:t>
      </w:r>
    </w:p>
    <w:p>
      <w:pPr>
        <w:spacing w:after="0" w:line="73" w:lineRule="exact"/>
        <w:rPr>
          <w:sz w:val="20"/>
          <w:szCs w:val="20"/>
          <w:color w:val="auto"/>
        </w:rPr>
      </w:pPr>
    </w:p>
    <w:p>
      <w:pPr>
        <w:ind w:left="760" w:right="799" w:firstLine="320"/>
        <w:spacing w:after="0" w:line="253" w:lineRule="auto"/>
        <w:rPr>
          <w:sz w:val="20"/>
          <w:szCs w:val="20"/>
          <w:color w:val="auto"/>
        </w:rPr>
      </w:pPr>
      <w:r>
        <w:rPr>
          <w:rFonts w:ascii="Times New Roman" w:cs="Times New Roman" w:eastAsia="Times New Roman" w:hAnsi="Times New Roman"/>
          <w:sz w:val="16"/>
          <w:szCs w:val="16"/>
          <w:color w:val="auto"/>
        </w:rPr>
        <w:t>In the event of any distribution or payment of the Issuer’s and the guarantors’ assets in any foreclosure, dissolution, winding up, liquidation, reorganization or other bankruptcy proceeding, holders of secured indebtedness will have priority claims to those of the Issuer’s and the guarantors’ assets to the extent those assets secure such indebtedness. Holders of the notes will participate ratably with all holders of the Issuer’s and the guarantors’ respective unsecured indebtedness deemed to be of the same class as the notes or the guarantees thereof, as applicable, and potentially with all of the Issuer’s and the guarantors’ other general creditors, based upon the respective amounts owed to each holder or creditor, in the Issuer’s and the guarantors’ remaining assets. However, under Dutch law, the creditors of Mylan II B.V. and any future guarantor organized under the laws of the Netherlands (any such guarantor, a “Dutch Guarantor”) may have preference over other creditors with respect to claims against certain of our assets. In any of the foregoing events, we cannot assure you that there will be sufficient assets to pay amounts due on the notes. As a result, holders of the notes may receive less, ratably, than holders of the Issuer’s and the guarantors’ secured indebtedness.</w:t>
      </w:r>
    </w:p>
    <w:p>
      <w:pPr>
        <w:spacing w:after="0" w:line="167" w:lineRule="exact"/>
        <w:rPr>
          <w:sz w:val="20"/>
          <w:szCs w:val="20"/>
          <w:color w:val="auto"/>
        </w:rPr>
      </w:pPr>
    </w:p>
    <w:p>
      <w:pPr>
        <w:ind w:left="760" w:right="137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The notes and guarantees will be effectively subordinated to all existing and future liabilities of our non-guarantor subsidiaries.</w:t>
      </w:r>
    </w:p>
    <w:p>
      <w:pPr>
        <w:spacing w:after="0" w:line="43" w:lineRule="exact"/>
        <w:rPr>
          <w:sz w:val="20"/>
          <w:szCs w:val="20"/>
          <w:color w:val="auto"/>
        </w:rPr>
      </w:pPr>
    </w:p>
    <w:p>
      <w:pPr>
        <w:ind w:left="760" w:right="819" w:firstLine="320"/>
        <w:spacing w:after="0" w:line="282" w:lineRule="auto"/>
        <w:rPr>
          <w:sz w:val="20"/>
          <w:szCs w:val="20"/>
          <w:color w:val="auto"/>
        </w:rPr>
      </w:pPr>
      <w:r>
        <w:rPr>
          <w:rFonts w:ascii="Times New Roman" w:cs="Times New Roman" w:eastAsia="Times New Roman" w:hAnsi="Times New Roman"/>
          <w:sz w:val="16"/>
          <w:szCs w:val="16"/>
          <w:color w:val="auto"/>
        </w:rPr>
        <w:t>The notes will be effectively subordinated to all existing and future indebtedness and other liabilities, including trade payables, of our non-guarantor subsidiaries, and the claims of creditors of our non-guarantor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779"/>
        <w:spacing w:after="0" w:line="254" w:lineRule="auto"/>
        <w:rPr>
          <w:sz w:val="20"/>
          <w:szCs w:val="20"/>
          <w:color w:val="auto"/>
        </w:rPr>
      </w:pPr>
      <w:r>
        <w:rPr>
          <w:rFonts w:ascii="Times New Roman" w:cs="Times New Roman" w:eastAsia="Times New Roman" w:hAnsi="Times New Roman"/>
          <w:sz w:val="16"/>
          <w:szCs w:val="16"/>
          <w:color w:val="auto"/>
        </w:rPr>
        <w:t>subsidiaries, including trade creditors, will have priority as to the assets and cash flows of such subsidiaries. In addition, the notes will be effectively subordinated to any future preferred stock issued by our non-guarantor subsidiaries, and the claims of holders of such preferred stock will have priority as to the assets and cash flows of such subsidiaries. As described above, the indenture that will govern the notes will not prohibit our non-guarantor subsidiaries from incurring additional indebtedness and other liabilities or issuing additional preferred stock, and any indebtedness, other liabilities or preferred stock of our non-guarantor subsidiaries may have important consequences for you as a holder of the notes, including making it more difficult for us to satisfy our obligations with respect to the notes, reducing the market prices of the notes and causing a risk that the credit ratings of the notes will be lowered or withdrawn.</w:t>
      </w:r>
    </w:p>
    <w:p>
      <w:pPr>
        <w:spacing w:after="0" w:line="73" w:lineRule="exact"/>
        <w:rPr>
          <w:sz w:val="20"/>
          <w:szCs w:val="20"/>
          <w:color w:val="auto"/>
        </w:rPr>
      </w:pPr>
    </w:p>
    <w:p>
      <w:pPr>
        <w:ind w:left="760" w:right="799" w:firstLine="320"/>
        <w:spacing w:after="0" w:line="261" w:lineRule="auto"/>
        <w:rPr>
          <w:sz w:val="20"/>
          <w:szCs w:val="20"/>
          <w:color w:val="auto"/>
        </w:rPr>
      </w:pPr>
      <w:r>
        <w:rPr>
          <w:rFonts w:ascii="Times New Roman" w:cs="Times New Roman" w:eastAsia="Times New Roman" w:hAnsi="Times New Roman"/>
          <w:sz w:val="16"/>
          <w:szCs w:val="16"/>
          <w:color w:val="auto"/>
        </w:rPr>
        <w:t>In the event of a bankruptcy, liquidation, dissolution, reorganization or similar proceeding of any of our non-guarantor subsidiaries, holders of their liabilities, including their trade creditors, and holders of their preferred stock, will generally be entitled to payment on their claims from assets of those non-guarantor subsidiaries before any assets are made available for distribution to us.</w:t>
      </w:r>
    </w:p>
    <w:p>
      <w:pPr>
        <w:spacing w:after="0" w:line="6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As of March 31, 2026, (i) the amount of indebtedness of the Issuer and the guarantors was approximately</w:t>
      </w: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$14.3 billion, of which none was subordinated and none was secured and (ii) the total liabilities of the Issuer’s</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subsidiaries that will not initially be guarantors of the notes (other than Finco), including trade payables, was</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approximately $7.0 billion. In addition, as of March 31, 2026, (i) the Issuer and the guarantors had an additional</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$3.5 billion of borrowing capacity under the Revolving Credit Facility and (ii) subsidiaries of the Issuer that will not</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initially be guarantors of the notes (other than Finco) had an additional $549 million of borrowing capacity under the</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Receivables Facility. These amounts do not give effect to the 2026 Senior Notes Transactions, the New Yen Term</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Loan Facility Transactions, the issuance of the notes in this offering or the use of proceeds from this offering, as</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described in “Summary—Recent Developments” and “Use of Proceeds.” For additional financial information</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related to the Issuer and the guarantors, see “Management’s Discussion and Analysis of Financial Condition And</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Results of Operations” in our 2025 Form 10-K and Q1 2026 Form 10-Q, each of which is incorporated by reference</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into this prospectus supplement.</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The indenture will contain limited covenants.</w:t>
      </w:r>
    </w:p>
    <w:p>
      <w:pPr>
        <w:spacing w:after="0" w:line="108" w:lineRule="exact"/>
        <w:rPr>
          <w:sz w:val="20"/>
          <w:szCs w:val="20"/>
          <w:color w:val="auto"/>
        </w:rPr>
      </w:pPr>
    </w:p>
    <w:p>
      <w:pPr>
        <w:ind w:left="760" w:right="819" w:firstLine="320"/>
        <w:spacing w:after="0" w:line="257" w:lineRule="auto"/>
        <w:rPr>
          <w:sz w:val="20"/>
          <w:szCs w:val="20"/>
          <w:color w:val="auto"/>
        </w:rPr>
      </w:pPr>
      <w:r>
        <w:rPr>
          <w:rFonts w:ascii="Times New Roman" w:cs="Times New Roman" w:eastAsia="Times New Roman" w:hAnsi="Times New Roman"/>
          <w:sz w:val="16"/>
          <w:szCs w:val="16"/>
          <w:color w:val="auto"/>
        </w:rPr>
        <w:t>The notes do not contain covenants limiting the incurrence of additional unsecured indebtedness, payment of dividends and other restricted payments, sale of assets and the use of proceeds therefrom, transactions with affiliates and dividend and other payment restrictions affecting subsidiaries. The primary restrictive covenants that will be contained in the indenture will limit our ability to create certain liens, enter into certain sale-leaseback transactions and enter into certain consolidations, merges or transfers of all or substantially all of our assets, and these covenants are subject to a number of important qualifications and exceptions.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An increase in market interest rates could result in a decrease in the market value of the notes.</w:t>
      </w:r>
    </w:p>
    <w:p>
      <w:pPr>
        <w:spacing w:after="0" w:line="108" w:lineRule="exact"/>
        <w:rPr>
          <w:sz w:val="20"/>
          <w:szCs w:val="20"/>
          <w:color w:val="auto"/>
        </w:rPr>
      </w:pPr>
    </w:p>
    <w:p>
      <w:pPr>
        <w:ind w:left="760" w:right="879" w:firstLine="320"/>
        <w:spacing w:after="0" w:line="261" w:lineRule="auto"/>
        <w:rPr>
          <w:sz w:val="20"/>
          <w:szCs w:val="20"/>
          <w:color w:val="auto"/>
        </w:rPr>
      </w:pPr>
      <w:r>
        <w:rPr>
          <w:rFonts w:ascii="Times New Roman" w:cs="Times New Roman" w:eastAsia="Times New Roman" w:hAnsi="Times New Roman"/>
          <w:sz w:val="16"/>
          <w:szCs w:val="16"/>
          <w:color w:val="auto"/>
        </w:rPr>
        <w:t>The condition of the financial markets and prevailing interest rates have fluctuated in the past and are likely to fluctuate in the future, which could have an adverse effect on the market prices of the notes. In general, as market interest rates rise, debt securities bearing interest at fixed rates of interest decline in value. Consequently, if you purchase notes and market interest rates increase, the market values of the notes may decline.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Redemption may adversely affect your return on the notes.</w:t>
      </w:r>
    </w:p>
    <w:p>
      <w:pPr>
        <w:spacing w:after="0" w:line="108" w:lineRule="exact"/>
        <w:rPr>
          <w:sz w:val="20"/>
          <w:szCs w:val="20"/>
          <w:color w:val="auto"/>
        </w:rPr>
      </w:pPr>
    </w:p>
    <w:p>
      <w:pPr>
        <w:ind w:left="760" w:right="799" w:firstLine="320"/>
        <w:spacing w:after="0" w:line="261" w:lineRule="auto"/>
        <w:rPr>
          <w:sz w:val="20"/>
          <w:szCs w:val="20"/>
          <w:color w:val="auto"/>
        </w:rPr>
      </w:pPr>
      <w:r>
        <w:rPr>
          <w:rFonts w:ascii="Times New Roman" w:cs="Times New Roman" w:eastAsia="Times New Roman" w:hAnsi="Times New Roman"/>
          <w:sz w:val="16"/>
          <w:szCs w:val="16"/>
          <w:color w:val="auto"/>
        </w:rPr>
        <w:t>We have the right to redeem some or all of the notes prior to maturity, as described under “Description of Notes —Optional Redemption.” We may redeem the notes at times when prevailing interest rates may be relatively low compared to rates at the time of issuance of the notes. Accordingly, you may not be able to reinvest the redemption proceeds in a comparable security at an effective interest rate as high as that of the notes.</w:t>
      </w:r>
    </w:p>
    <w:p>
      <w:pPr>
        <w:spacing w:after="0" w:line="157" w:lineRule="exact"/>
        <w:rPr>
          <w:sz w:val="20"/>
          <w:szCs w:val="20"/>
          <w:color w:val="auto"/>
        </w:rPr>
      </w:pPr>
    </w:p>
    <w:p>
      <w:pPr>
        <w:ind w:left="760" w:right="95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If an active public trading market does not develop for the notes, you may be unable to sell your notes or to sell your notes at a price that you deem sufficient.</w:t>
      </w:r>
    </w:p>
    <w:p>
      <w:pPr>
        <w:spacing w:after="0" w:line="43" w:lineRule="exact"/>
        <w:rPr>
          <w:sz w:val="20"/>
          <w:szCs w:val="20"/>
          <w:color w:val="auto"/>
        </w:rPr>
      </w:pPr>
    </w:p>
    <w:p>
      <w:pPr>
        <w:ind w:left="760" w:right="859" w:firstLine="320"/>
        <w:spacing w:after="0" w:line="261" w:lineRule="auto"/>
        <w:rPr>
          <w:sz w:val="20"/>
          <w:szCs w:val="20"/>
          <w:color w:val="auto"/>
        </w:rPr>
      </w:pPr>
      <w:r>
        <w:rPr>
          <w:rFonts w:ascii="Times New Roman" w:cs="Times New Roman" w:eastAsia="Times New Roman" w:hAnsi="Times New Roman"/>
          <w:sz w:val="16"/>
          <w:szCs w:val="16"/>
          <w:color w:val="auto"/>
        </w:rPr>
        <w:t>The notes are a new issue of securities for which there currently is no established trading market. Application has been made for the notes to be admitted to the Official List of Euronext Dublin and to trading on the Global Exchange Market, which is the exchange regulated market of Euronext Dublin. However, there can be no assurance that the notes will be admitted to trade on the Global Exchange Market within a reasonable period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779"/>
        <w:spacing w:after="0" w:line="255" w:lineRule="auto"/>
        <w:rPr>
          <w:sz w:val="20"/>
          <w:szCs w:val="20"/>
          <w:color w:val="auto"/>
        </w:rPr>
      </w:pPr>
      <w:r>
        <w:rPr>
          <w:rFonts w:ascii="Times New Roman" w:cs="Times New Roman" w:eastAsia="Times New Roman" w:hAnsi="Times New Roman"/>
          <w:sz w:val="16"/>
          <w:szCs w:val="16"/>
          <w:color w:val="auto"/>
        </w:rPr>
        <w:t>after the issuance thereof, and we cannot assure you that the notes will become or will remain listed or admitted to trade. We may not obtain or maintain such listing on the Official List of Euronext Dublin and may seek to obtain and maintain the listing of the notes on another stock exchange, although there can be no assurance that we will be able to do so. Failure for the notes to be admitted to listing on, or the delisting of the notes from, the Official List of Euronext Dublin or another listing exchange may have a material adverse effect on a holder’s ability to sell the notes. While the underwriters of the notes have advised us that they intend to make a market in the notes prior to the commencement of any trading on the Global Exchange Market, the underwriters will not be obligated to do so and may stop their market making at any time. No assurance can be given as to:</w:t>
      </w:r>
    </w:p>
    <w:p>
      <w:pPr>
        <w:spacing w:after="0" w:line="70" w:lineRule="exact"/>
        <w:rPr>
          <w:sz w:val="20"/>
          <w:szCs w:val="20"/>
          <w:color w:val="auto"/>
        </w:rPr>
      </w:pPr>
    </w:p>
    <w:p>
      <w:pPr>
        <w:ind w:left="1380" w:hanging="304"/>
        <w:spacing w:after="0"/>
        <w:tabs>
          <w:tab w:leader="none" w:pos="1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or continuation of any trading market for the notes;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liquidity of any trading market that does develop; or</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ability to sell the notes or the price at which you may be able to sell the notes.</w:t>
      </w:r>
    </w:p>
    <w:p>
      <w:pPr>
        <w:spacing w:after="0" w:line="104" w:lineRule="exact"/>
        <w:rPr>
          <w:sz w:val="20"/>
          <w:szCs w:val="20"/>
          <w:color w:val="auto"/>
        </w:rPr>
      </w:pPr>
    </w:p>
    <w:p>
      <w:pPr>
        <w:ind w:left="760" w:right="999" w:firstLine="320"/>
        <w:spacing w:after="0" w:line="282" w:lineRule="auto"/>
        <w:rPr>
          <w:sz w:val="20"/>
          <w:szCs w:val="20"/>
          <w:color w:val="auto"/>
        </w:rPr>
      </w:pPr>
      <w:r>
        <w:rPr>
          <w:rFonts w:ascii="Times New Roman" w:cs="Times New Roman" w:eastAsia="Times New Roman" w:hAnsi="Times New Roman"/>
          <w:sz w:val="16"/>
          <w:szCs w:val="16"/>
          <w:color w:val="auto"/>
        </w:rPr>
        <w:t>The absence of an active public trading market could have an adverse effect on the liquidity and value of the notes.</w:t>
      </w:r>
    </w:p>
    <w:p>
      <w:pPr>
        <w:spacing w:after="0" w:line="140" w:lineRule="exact"/>
        <w:rPr>
          <w:sz w:val="20"/>
          <w:szCs w:val="20"/>
          <w:color w:val="auto"/>
        </w:rPr>
      </w:pPr>
    </w:p>
    <w:p>
      <w:pPr>
        <w:ind w:left="760" w:right="81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If a trading market does develop, changes in our ratings or the financial markets generally could adversely affect the market prices of the notes.</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The market prices of the notes will depend on many factors, including, among others, the following:</w:t>
      </w:r>
    </w:p>
    <w:p>
      <w:pPr>
        <w:spacing w:after="0" w:line="104" w:lineRule="exact"/>
        <w:rPr>
          <w:sz w:val="20"/>
          <w:szCs w:val="20"/>
          <w:color w:val="auto"/>
        </w:rPr>
      </w:pPr>
    </w:p>
    <w:p>
      <w:pPr>
        <w:ind w:left="1380" w:hanging="304"/>
        <w:spacing w:after="0"/>
        <w:tabs>
          <w:tab w:leader="none" w:pos="1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ratings on our debt securities assigned by rating agencies;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prevailing interest rates being paid by other companies similar to us;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results of operations, condition (financial or otherwise) and prospects; and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condition of the financial markets generally.</w:t>
      </w:r>
    </w:p>
    <w:p>
      <w:pPr>
        <w:spacing w:after="0" w:line="104" w:lineRule="exact"/>
        <w:rPr>
          <w:sz w:val="20"/>
          <w:szCs w:val="20"/>
          <w:color w:val="auto"/>
        </w:rPr>
      </w:pPr>
    </w:p>
    <w:p>
      <w:pPr>
        <w:ind w:left="760" w:right="879" w:firstLine="320"/>
        <w:spacing w:after="0" w:line="261" w:lineRule="auto"/>
        <w:rPr>
          <w:sz w:val="20"/>
          <w:szCs w:val="20"/>
          <w:color w:val="auto"/>
        </w:rPr>
      </w:pPr>
      <w:r>
        <w:rPr>
          <w:rFonts w:ascii="Times New Roman" w:cs="Times New Roman" w:eastAsia="Times New Roman" w:hAnsi="Times New Roman"/>
          <w:sz w:val="16"/>
          <w:szCs w:val="16"/>
          <w:color w:val="auto"/>
        </w:rPr>
        <w:t>The condition of the financial markets and prevailing interest rates have fluctuated in the past and are likely to fluctuate in the future, which could have an adverse effect on the market prices of the notes. Rating agencies continually review the ratings they have assigned to companies and debt securities. Negative changes in the ratings assigned to us or our debt securities could have an adverse effect on the market prices of the notes.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The notes may not become, or remain, listed on the Official List of Euronext Dublin.</w:t>
      </w:r>
    </w:p>
    <w:p>
      <w:pPr>
        <w:spacing w:after="0" w:line="108" w:lineRule="exact"/>
        <w:rPr>
          <w:sz w:val="20"/>
          <w:szCs w:val="20"/>
          <w:color w:val="auto"/>
        </w:rPr>
      </w:pPr>
    </w:p>
    <w:p>
      <w:pPr>
        <w:ind w:left="760" w:right="799" w:firstLine="320"/>
        <w:spacing w:after="0" w:line="253" w:lineRule="auto"/>
        <w:rPr>
          <w:sz w:val="20"/>
          <w:szCs w:val="20"/>
          <w:color w:val="auto"/>
        </w:rPr>
      </w:pPr>
      <w:r>
        <w:rPr>
          <w:rFonts w:ascii="Times New Roman" w:cs="Times New Roman" w:eastAsia="Times New Roman" w:hAnsi="Times New Roman"/>
          <w:sz w:val="16"/>
          <w:szCs w:val="16"/>
          <w:color w:val="auto"/>
        </w:rPr>
        <w:t>Although we will agree to use our commercially reasonable efforts to have the notes listed on the Official List of Euronext Dublin and admitted to trade on the Global Exchange Market and to maintain such listing (or a listing on an alternative exchange in Europe as may be reasonably agreed) as long as the notes are outstanding, we cannot assure you that the notes will become or remain listed. If we cannot maintain the listing on Euronext Dublin and the admission to dealing on the Official List thereof, or if it becomes unduly burdensome to make or maintain such listing, we may cease to make or maintain such listing on the Official List of the Euronext Dublin, provided that we will use our commercially reasonable efforts to obtain and maintain the listing of the notes on an alternative exchange in Europe as may be reasonably agreed, although there can be no assurance that we will be able to do so. Although no assurance is made as to the liquidity of the notes as a result of listing on the Official List of Euronext Dublin or another alternative exchange in Europe in accordance with the indenture, failure to be approved for listing or the delisting of the notes from the Official List of Euronext Dublin or another listing exchange in accordance with the indenture may have a material adverse effect on a holder’s ability to resell notes in the secondary market.</w:t>
      </w:r>
    </w:p>
    <w:p>
      <w:pPr>
        <w:spacing w:after="0" w:line="167" w:lineRule="exact"/>
        <w:rPr>
          <w:sz w:val="20"/>
          <w:szCs w:val="20"/>
          <w:color w:val="auto"/>
        </w:rPr>
      </w:pPr>
    </w:p>
    <w:p>
      <w:pPr>
        <w:ind w:left="760" w:right="121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may not have sufficient funds, or the ability to raise sufficient funds, to satisfy our obligation to offer to repurchase the notes upon a Change of Control Repurchase Event.</w:t>
      </w:r>
    </w:p>
    <w:p>
      <w:pPr>
        <w:spacing w:after="0" w:line="43" w:lineRule="exact"/>
        <w:rPr>
          <w:sz w:val="20"/>
          <w:szCs w:val="20"/>
          <w:color w:val="auto"/>
        </w:rPr>
      </w:pPr>
    </w:p>
    <w:p>
      <w:pPr>
        <w:ind w:left="760" w:right="879" w:firstLine="320"/>
        <w:spacing w:after="0" w:line="256" w:lineRule="auto"/>
        <w:rPr>
          <w:sz w:val="20"/>
          <w:szCs w:val="20"/>
          <w:color w:val="auto"/>
        </w:rPr>
      </w:pPr>
      <w:r>
        <w:rPr>
          <w:rFonts w:ascii="Times New Roman" w:cs="Times New Roman" w:eastAsia="Times New Roman" w:hAnsi="Times New Roman"/>
          <w:sz w:val="16"/>
          <w:szCs w:val="16"/>
          <w:color w:val="auto"/>
        </w:rPr>
        <w:t>Upon a Change of Control Repurchase Event, as that term is defined under the heading “Description of Notes —Purchase of Notes upon a Change of Control Repurchase Event” of this prospectus supplement, we will be required to make an offer in cash to repurchase all or any part of each holder’s notes at a price equal to 101% of the principal amount thereof, plus accrued interest, if any, unless we have exercised our right to redeem the notes. The source of funds for any such repurchase would be our available cash or cash generated from operations or other sources, including borrowings, sales of equity or funds provided by a new controlling person or entity. We cannot assure you that sufficient funds will be available at the time of any Change of Control</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8" w:name="page19"/>
    <w:bookmarkEnd w:id="18"/>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819"/>
        <w:spacing w:after="0" w:line="253" w:lineRule="auto"/>
        <w:rPr>
          <w:sz w:val="20"/>
          <w:szCs w:val="20"/>
          <w:color w:val="auto"/>
        </w:rPr>
      </w:pPr>
      <w:r>
        <w:rPr>
          <w:rFonts w:ascii="Times New Roman" w:cs="Times New Roman" w:eastAsia="Times New Roman" w:hAnsi="Times New Roman"/>
          <w:sz w:val="16"/>
          <w:szCs w:val="16"/>
          <w:color w:val="auto"/>
        </w:rPr>
        <w:t>Repurchase Event to repurchase all tendered notes pursuant to this requirement. Our failure to offer to repurchase notes, or to repurchase notes tendered, following a Change of Control Repurchase Event will result in a default under the indenture, which could lead to a cross-default under our credit facilities and under the terms of our other debt then outstanding. In addition, prior to repurchasing the notes on a Change of Control Repurchase Event, we may be required to repay some or all of our then-outstanding debt, if any, under our credit facilities or obtain the consent of the lenders under those facilities. If we do not obtain the required consents or repay our outstanding debt, if any, under our credit facilities, we may be prohibited or effectively prohibited from offering to repurchase the notes. In addition, the terms of our other outstanding indebtedness provide, and may in the future provide, that (i) certain events that do not constitute a Change of Control Repurchase Event with respect to the notes (or otherwise provide holders of the notes with any protections or remedies) constitute a change of control or change of control repurchase event, as applicable, with respect to such other indebtedness and/or (ii) certain change of control events constitute an event of default thereunder. See “Description of Notes — Purchase of Notes upon a Change of Control Repurchase Event” in this prospectus supplement.</w:t>
      </w:r>
    </w:p>
    <w:p>
      <w:pPr>
        <w:spacing w:after="0" w:line="2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Holders of notes may not be able to determine when there has been a sale of “substantially all” of our assets.</w:t>
      </w:r>
    </w:p>
    <w:p>
      <w:pPr>
        <w:spacing w:after="0" w:line="108" w:lineRule="exact"/>
        <w:rPr>
          <w:sz w:val="20"/>
          <w:szCs w:val="20"/>
          <w:color w:val="auto"/>
        </w:rPr>
      </w:pPr>
    </w:p>
    <w:p>
      <w:pPr>
        <w:ind w:left="760" w:right="779" w:firstLine="320"/>
        <w:spacing w:after="0" w:line="256" w:lineRule="auto"/>
        <w:rPr>
          <w:sz w:val="20"/>
          <w:szCs w:val="20"/>
          <w:color w:val="auto"/>
        </w:rPr>
      </w:pPr>
      <w:r>
        <w:rPr>
          <w:rFonts w:ascii="Times New Roman" w:cs="Times New Roman" w:eastAsia="Times New Roman" w:hAnsi="Times New Roman"/>
          <w:sz w:val="16"/>
          <w:szCs w:val="16"/>
          <w:color w:val="auto"/>
        </w:rPr>
        <w:t>A Change of Control Repurchase Event will require us to make an offer to repurchase all outstanding notes. The definition of Change of Control, and certain other provisions that will be in the indenture, include a phrase relating to the sale, lease, transfer, conveyance or other disposition of “all or substantially all” of our assets. There is no precise established definition of the phrase “substantially all” under applicable law. Accordingly, the ability of a holder of notes to require us to repurchase its notes, or to confirm whether we are in compliance with such other provisions in the indenture, as a result of a sale, lease, transfer, conveyance or other disposition of less than all of our assets to another individual, group or entity may be uncertain.</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Under certain circumstances, a court could cancel the notes and guarantees under fraudulent conveyance laws.</w:t>
      </w:r>
    </w:p>
    <w:p>
      <w:pPr>
        <w:spacing w:after="0" w:line="108" w:lineRule="exact"/>
        <w:rPr>
          <w:sz w:val="20"/>
          <w:szCs w:val="20"/>
          <w:color w:val="auto"/>
        </w:rPr>
      </w:pPr>
    </w:p>
    <w:p>
      <w:pPr>
        <w:ind w:left="760" w:right="1119" w:firstLine="320"/>
        <w:spacing w:after="0" w:line="261" w:lineRule="auto"/>
        <w:rPr>
          <w:sz w:val="20"/>
          <w:szCs w:val="20"/>
          <w:color w:val="auto"/>
        </w:rPr>
      </w:pPr>
      <w:r>
        <w:rPr>
          <w:rFonts w:ascii="Times New Roman" w:cs="Times New Roman" w:eastAsia="Times New Roman" w:hAnsi="Times New Roman"/>
          <w:sz w:val="16"/>
          <w:szCs w:val="16"/>
          <w:color w:val="auto"/>
        </w:rPr>
        <w:t>The issuance of the notes and guarantees may be subject to further review under federal or state fraudulent transfer and conveyance laws. If either the Issuer or a guarantor become a debtor in a case under the</w:t>
      </w:r>
    </w:p>
    <w:p>
      <w:pPr>
        <w:spacing w:after="0" w:line="1" w:lineRule="exact"/>
        <w:rPr>
          <w:sz w:val="20"/>
          <w:szCs w:val="20"/>
          <w:color w:val="auto"/>
        </w:rPr>
      </w:pPr>
    </w:p>
    <w:p>
      <w:pPr>
        <w:ind w:left="760" w:right="779"/>
        <w:spacing w:after="0" w:line="252" w:lineRule="auto"/>
        <w:rPr>
          <w:sz w:val="20"/>
          <w:szCs w:val="20"/>
          <w:color w:val="auto"/>
        </w:rPr>
      </w:pPr>
      <w:r>
        <w:rPr>
          <w:rFonts w:ascii="Times New Roman" w:cs="Times New Roman" w:eastAsia="Times New Roman" w:hAnsi="Times New Roman"/>
          <w:sz w:val="16"/>
          <w:szCs w:val="16"/>
          <w:color w:val="auto"/>
        </w:rPr>
        <w:t>U.S. Bankruptcy Code or encounter other financial difficulty, a court might void (that is, cancel) such debtor’s obligations under the notes or such guarantee, as applicable. The court might do so if it found that, when the notes or such guarantee were issued, (i) the Issuer or such guarantor, as applicable, received less than reasonably equivalent value or fair consideration and (ii) the Issuer or such guarantor (1) was rendered insolvent, (2) was left with inadequate capital to conduct its business or (3) believed or reasonably should have believed that the Issuer or such guarantor, as applicable, would incur debts beyond our ability to pay. The court could also void the notes or such guarantee, without regard to factors (i) and (ii), if it found that the Issuer or such guarantor issued the notes or such guarantee, as applicable, with actual intent to hinder, delay or defraud our creditors.</w:t>
      </w:r>
    </w:p>
    <w:p>
      <w:pPr>
        <w:spacing w:after="0" w:line="72" w:lineRule="exact"/>
        <w:rPr>
          <w:sz w:val="20"/>
          <w:szCs w:val="20"/>
          <w:color w:val="auto"/>
        </w:rPr>
      </w:pPr>
    </w:p>
    <w:p>
      <w:pPr>
        <w:ind w:left="760" w:right="779" w:firstLine="320"/>
        <w:spacing w:after="0" w:line="261" w:lineRule="auto"/>
        <w:rPr>
          <w:sz w:val="20"/>
          <w:szCs w:val="20"/>
          <w:color w:val="auto"/>
        </w:rPr>
      </w:pPr>
      <w:r>
        <w:rPr>
          <w:rFonts w:ascii="Times New Roman" w:cs="Times New Roman" w:eastAsia="Times New Roman" w:hAnsi="Times New Roman"/>
          <w:sz w:val="16"/>
          <w:szCs w:val="16"/>
          <w:color w:val="auto"/>
        </w:rPr>
        <w:t>If a court were to find that the issuance of the notes or a guarantee was a fraudulent conveyance, the court could void the payment obligations under the notes or such guarantee and require the return of any payment or the return of any realized value with respect to the notes or such guarantee. In addition, under the circumstances described above, a court could subordinate rather than void obligations under the notes or such guarantee.</w:t>
      </w:r>
    </w:p>
    <w:p>
      <w:pPr>
        <w:spacing w:after="0" w:line="65" w:lineRule="exact"/>
        <w:rPr>
          <w:sz w:val="20"/>
          <w:szCs w:val="20"/>
          <w:color w:val="auto"/>
        </w:rPr>
      </w:pPr>
    </w:p>
    <w:p>
      <w:pPr>
        <w:ind w:left="760" w:right="819" w:firstLine="320"/>
        <w:spacing w:after="0" w:line="261" w:lineRule="auto"/>
        <w:rPr>
          <w:sz w:val="20"/>
          <w:szCs w:val="20"/>
          <w:color w:val="auto"/>
        </w:rPr>
      </w:pPr>
      <w:r>
        <w:rPr>
          <w:rFonts w:ascii="Times New Roman" w:cs="Times New Roman" w:eastAsia="Times New Roman" w:hAnsi="Times New Roman"/>
          <w:sz w:val="16"/>
          <w:szCs w:val="16"/>
          <w:color w:val="auto"/>
        </w:rPr>
        <w:t>In addition, under Dutch law, and in each case subject to certain further conditions, each guarantee provided by a Dutch Guarantor may be voided if (i) the guarantee was provided without an obligation to do so (</w:t>
      </w:r>
      <w:r>
        <w:rPr>
          <w:rFonts w:ascii="Times New Roman" w:cs="Times New Roman" w:eastAsia="Times New Roman" w:hAnsi="Times New Roman"/>
          <w:sz w:val="16"/>
          <w:szCs w:val="16"/>
          <w:i w:val="1"/>
          <w:iCs w:val="1"/>
          <w:color w:val="auto"/>
        </w:rPr>
        <w:t>onverplicht</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760" w:right="779" w:hanging="4"/>
        <w:spacing w:after="0" w:line="251" w:lineRule="auto"/>
        <w:tabs>
          <w:tab w:leader="none" w:pos="99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other creditors are prejudiced in their means of recovery as a consequence of the issuance of the guarantee, and (iii) at the time of the granting of the guarantee, the Issuer or the relevant Dutch Guarantor, on the one hand, and the benefiting party, on the other hand, knew or should have known that one or more creditors (existing or future) would be prejudiced in their means of recovery, unless the act was entered into for no consideration (</w:t>
      </w:r>
      <w:r>
        <w:rPr>
          <w:rFonts w:ascii="Times New Roman" w:cs="Times New Roman" w:eastAsia="Times New Roman" w:hAnsi="Times New Roman"/>
          <w:sz w:val="16"/>
          <w:szCs w:val="16"/>
          <w:i w:val="1"/>
          <w:iCs w:val="1"/>
          <w:color w:val="auto"/>
        </w:rPr>
        <w:t>om niet</w:t>
      </w:r>
      <w:r>
        <w:rPr>
          <w:rFonts w:ascii="Times New Roman" w:cs="Times New Roman" w:eastAsia="Times New Roman" w:hAnsi="Times New Roman"/>
          <w:sz w:val="16"/>
          <w:szCs w:val="16"/>
          <w:color w:val="auto"/>
        </w:rPr>
        <w:t>) in which case such knowledge of the counterparty is not necessary for a successful challenge on the grounds of fraudulent conveyance. In addition, in case of a bankruptcy of a Dutch Guarantor, the bankruptcy trustee may avoid the performance of due and payable obligations (including, without limitation, under the guarantee) if (i) the benefiting party knew that an application for such Dutch Guarantor’s bankruptcy was filed at the moment of the guaranteeing the notes or (ii) the Dutch Guarantor engaged with the benefiting party in guaranteeing the notes acting in concert in order to prejudice other creditors.</w:t>
      </w:r>
    </w:p>
    <w:p>
      <w:pPr>
        <w:spacing w:after="0" w:line="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The test for determining solvency for purposes of the foregoing will vary depending on the law of the</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jurisdiction being applied in any proceeding to determine whether a fraudulent transfer has occurred. In general,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819"/>
        <w:spacing w:after="0" w:line="258" w:lineRule="auto"/>
        <w:rPr>
          <w:sz w:val="20"/>
          <w:szCs w:val="20"/>
          <w:color w:val="auto"/>
        </w:rPr>
      </w:pPr>
      <w:r>
        <w:rPr>
          <w:rFonts w:ascii="Times New Roman" w:cs="Times New Roman" w:eastAsia="Times New Roman" w:hAnsi="Times New Roman"/>
          <w:sz w:val="16"/>
          <w:szCs w:val="16"/>
          <w:color w:val="auto"/>
        </w:rPr>
        <w:t>a court would consider an entity insolvent either if the sum of its debts, including contingent liabilities, was greater than the fair value of all of its assets; the present fair saleable value of its assets was less than the amount that would be required to pay the probable liability on its existing debts, including contingent liabilities, as they become absolute and mature; or it could not pay its debts as they become due. For this analysis, “debts” includes contingent and unliquidated debts.</w:t>
      </w:r>
    </w:p>
    <w:p>
      <w:pPr>
        <w:spacing w:after="0" w:line="68" w:lineRule="exact"/>
        <w:rPr>
          <w:sz w:val="20"/>
          <w:szCs w:val="20"/>
          <w:color w:val="auto"/>
        </w:rPr>
      </w:pPr>
    </w:p>
    <w:p>
      <w:pPr>
        <w:jc w:val="both"/>
        <w:ind w:left="760" w:right="919" w:firstLine="320"/>
        <w:spacing w:after="0" w:line="266" w:lineRule="auto"/>
        <w:rPr>
          <w:sz w:val="20"/>
          <w:szCs w:val="20"/>
          <w:color w:val="auto"/>
        </w:rPr>
      </w:pPr>
      <w:r>
        <w:rPr>
          <w:rFonts w:ascii="Times New Roman" w:cs="Times New Roman" w:eastAsia="Times New Roman" w:hAnsi="Times New Roman"/>
          <w:sz w:val="16"/>
          <w:szCs w:val="16"/>
          <w:color w:val="auto"/>
        </w:rPr>
        <w:t>If a court voided the Issuer’s or a guarantor’s obligations under the notes or the guarantees, as applicable, you would cease to be the Issuer’s or such guarantor’s creditor and would likely have no source from which to recover amounts due under the notes or such guarantee, as applicable.</w:t>
      </w:r>
    </w:p>
    <w:p>
      <w:pPr>
        <w:spacing w:after="0" w:line="153" w:lineRule="exact"/>
        <w:rPr>
          <w:sz w:val="20"/>
          <w:szCs w:val="20"/>
          <w:color w:val="auto"/>
        </w:rPr>
      </w:pPr>
    </w:p>
    <w:p>
      <w:pPr>
        <w:ind w:left="760" w:right="97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Dutch insolvency laws to which any Dutch Guarantor may be subject may not be as favorable to you as United States or other insolvency laws.</w:t>
      </w:r>
    </w:p>
    <w:p>
      <w:pPr>
        <w:spacing w:after="0" w:line="43" w:lineRule="exact"/>
        <w:rPr>
          <w:sz w:val="20"/>
          <w:szCs w:val="20"/>
          <w:color w:val="auto"/>
        </w:rPr>
      </w:pPr>
    </w:p>
    <w:p>
      <w:pPr>
        <w:ind w:left="760" w:right="779" w:firstLine="320"/>
        <w:spacing w:after="0" w:line="257" w:lineRule="auto"/>
        <w:rPr>
          <w:sz w:val="20"/>
          <w:szCs w:val="20"/>
          <w:color w:val="auto"/>
        </w:rPr>
      </w:pPr>
      <w:r>
        <w:rPr>
          <w:rFonts w:ascii="Times New Roman" w:cs="Times New Roman" w:eastAsia="Times New Roman" w:hAnsi="Times New Roman"/>
          <w:sz w:val="16"/>
          <w:szCs w:val="16"/>
          <w:color w:val="auto"/>
        </w:rPr>
        <w:t>Mylan II B.V. is, and any future Dutch Guarantor would be, organized under the laws of the Netherlands and consequently, any insolvency proceedings in relation to any Dutch Guarantor may be commenced in the Netherlands and be based on Dutch insolvency laws, subject to applicable European Union insolvency regulations. Dutch insolvency proceedings differ significantly from, or conflict with, insolvency proceedings in the United States and may not be as favorable to your interests as creditors as the laws of the United States or other jurisdictions with which you may be familiar.</w:t>
      </w:r>
    </w:p>
    <w:p>
      <w:pPr>
        <w:spacing w:after="0" w:line="67" w:lineRule="exact"/>
        <w:rPr>
          <w:sz w:val="20"/>
          <w:szCs w:val="20"/>
          <w:color w:val="auto"/>
        </w:rPr>
      </w:pPr>
    </w:p>
    <w:p>
      <w:pPr>
        <w:ind w:left="760" w:right="959" w:firstLine="320"/>
        <w:spacing w:after="0" w:line="266" w:lineRule="auto"/>
        <w:rPr>
          <w:sz w:val="20"/>
          <w:szCs w:val="20"/>
          <w:color w:val="auto"/>
        </w:rPr>
      </w:pPr>
      <w:r>
        <w:rPr>
          <w:rFonts w:ascii="Times New Roman" w:cs="Times New Roman" w:eastAsia="Times New Roman" w:hAnsi="Times New Roman"/>
          <w:sz w:val="16"/>
          <w:szCs w:val="16"/>
          <w:color w:val="auto"/>
        </w:rPr>
        <w:t>See “Certain Insolvency Law Considerations” in the accompanying prospectus for a discussion of Dutch insolvency laws and certain other limitations on the enforceability of any Dutch Guarantor’s obligations under the guarantees.</w:t>
      </w:r>
    </w:p>
    <w:p>
      <w:pPr>
        <w:spacing w:after="0" w:line="153" w:lineRule="exact"/>
        <w:rPr>
          <w:sz w:val="20"/>
          <w:szCs w:val="20"/>
          <w:color w:val="auto"/>
        </w:rPr>
      </w:pPr>
    </w:p>
    <w:p>
      <w:pPr>
        <w:ind w:left="760" w:right="79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Mylan II B.V. is, and any future Dutch Guarantor would be, a Dutch company, and it may be difficult for holders of the notes to obtain or enforce judgments against any Dutch Guarantor.</w:t>
      </w:r>
    </w:p>
    <w:p>
      <w:pPr>
        <w:spacing w:after="0" w:line="43" w:lineRule="exact"/>
        <w:rPr>
          <w:sz w:val="20"/>
          <w:szCs w:val="20"/>
          <w:color w:val="auto"/>
        </w:rPr>
      </w:pPr>
    </w:p>
    <w:p>
      <w:pPr>
        <w:ind w:left="760" w:right="839" w:firstLine="320"/>
        <w:spacing w:after="0" w:line="257" w:lineRule="auto"/>
        <w:rPr>
          <w:sz w:val="20"/>
          <w:szCs w:val="20"/>
          <w:color w:val="auto"/>
        </w:rPr>
      </w:pPr>
      <w:r>
        <w:rPr>
          <w:rFonts w:ascii="Times New Roman" w:cs="Times New Roman" w:eastAsia="Times New Roman" w:hAnsi="Times New Roman"/>
          <w:sz w:val="16"/>
          <w:szCs w:val="16"/>
          <w:color w:val="auto"/>
        </w:rPr>
        <w:t>Mylan II B.V. is, and any future Dutch Guarantor would be, organized under the laws of the Netherlands. Certain of any Dutch Guarantor’s directors and authorized officers may reside outside the United States, and certain such Dutch Guarantor’s or such persons’ assets may be located outside the United States. As a result, it may not be possible for investors to effect service of process, including judgments, upon any Dutch Guarantor or such persons outside of the Netherlands or within the United States. It may also be difficult for investors to enforce judgments obtained in courts other than Dutch courts against any Dutch Guarantor.</w:t>
      </w:r>
    </w:p>
    <w:p>
      <w:pPr>
        <w:spacing w:after="0" w:line="67" w:lineRule="exact"/>
        <w:rPr>
          <w:sz w:val="20"/>
          <w:szCs w:val="20"/>
          <w:color w:val="auto"/>
        </w:rPr>
      </w:pPr>
    </w:p>
    <w:p>
      <w:pPr>
        <w:ind w:left="760" w:right="799" w:firstLine="320"/>
        <w:spacing w:after="0" w:line="269" w:lineRule="auto"/>
        <w:rPr>
          <w:sz w:val="20"/>
          <w:szCs w:val="20"/>
          <w:color w:val="auto"/>
        </w:rPr>
      </w:pPr>
      <w:r>
        <w:rPr>
          <w:rFonts w:ascii="Times New Roman" w:cs="Times New Roman" w:eastAsia="Times New Roman" w:hAnsi="Times New Roman"/>
          <w:sz w:val="15"/>
          <w:szCs w:val="15"/>
          <w:color w:val="auto"/>
        </w:rPr>
        <w:t>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whether Dutch courts will uphold judgments predicated upon the civil liability provisions in the U.S. federal securities laws or the securities laws of any state within the United States. In order to obtain a judgment that can be enforced in the Netherlands against any Dutch Guarantor, the dispute will have to be re-litigated before the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 of the substantive matters adjudicated upon if (i) the court involved accepted jurisdiction on the basis of an internationally recognized ground to accept jurisdiction,</w:t>
      </w:r>
    </w:p>
    <w:p>
      <w:pPr>
        <w:spacing w:after="0" w:line="5" w:lineRule="exact"/>
        <w:rPr>
          <w:sz w:val="20"/>
          <w:szCs w:val="20"/>
          <w:color w:val="auto"/>
        </w:rPr>
      </w:pPr>
    </w:p>
    <w:p>
      <w:pPr>
        <w:jc w:val="both"/>
        <w:ind w:left="760" w:right="819" w:hanging="4"/>
        <w:spacing w:after="0" w:line="253" w:lineRule="auto"/>
        <w:tabs>
          <w:tab w:leader="none" w:pos="99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proceedings before such court complied with principles of proper procedure (</w:t>
      </w:r>
      <w:r>
        <w:rPr>
          <w:rFonts w:ascii="Times New Roman" w:cs="Times New Roman" w:eastAsia="Times New Roman" w:hAnsi="Times New Roman"/>
          <w:sz w:val="16"/>
          <w:szCs w:val="16"/>
          <w:i w:val="1"/>
          <w:iCs w:val="1"/>
          <w:color w:val="auto"/>
        </w:rPr>
        <w:t>behoorlijke rechtspleging</w:t>
      </w:r>
      <w:r>
        <w:rPr>
          <w:rFonts w:ascii="Times New Roman" w:cs="Times New Roman" w:eastAsia="Times New Roman" w:hAnsi="Times New Roman"/>
          <w:sz w:val="16"/>
          <w:szCs w:val="16"/>
          <w:color w:val="auto"/>
        </w:rPr>
        <w:t>), (iii) such judgment was not contrary to the public policy (</w:t>
      </w:r>
      <w:r>
        <w:rPr>
          <w:rFonts w:ascii="Times New Roman" w:cs="Times New Roman" w:eastAsia="Times New Roman" w:hAnsi="Times New Roman"/>
          <w:sz w:val="16"/>
          <w:szCs w:val="16"/>
          <w:i w:val="1"/>
          <w:iCs w:val="1"/>
          <w:color w:val="auto"/>
        </w:rPr>
        <w:t>openbare orde</w:t>
      </w:r>
      <w:r>
        <w:rPr>
          <w:rFonts w:ascii="Times New Roman" w:cs="Times New Roman" w:eastAsia="Times New Roman" w:hAnsi="Times New Roman"/>
          <w:sz w:val="16"/>
          <w:szCs w:val="16"/>
          <w:color w:val="auto"/>
        </w:rPr>
        <w:t>) of the Netherlands and (iv) such judgment was not incompatible with a judgment given between the same parties by a Dutch court or with a prior judgment given between the same parties by a foreign court in a dispute concerning the same subject matter and based on the same cause of action, provided such prior judgment is recognizable in the Netherlands.</w:t>
      </w:r>
    </w:p>
    <w:p>
      <w:pPr>
        <w:spacing w:after="0" w:line="71" w:lineRule="exact"/>
        <w:rPr>
          <w:sz w:val="20"/>
          <w:szCs w:val="20"/>
          <w:color w:val="auto"/>
        </w:rPr>
      </w:pPr>
    </w:p>
    <w:p>
      <w:pPr>
        <w:ind w:left="760" w:right="779" w:firstLine="320"/>
        <w:spacing w:after="0" w:line="261" w:lineRule="auto"/>
        <w:rPr>
          <w:sz w:val="20"/>
          <w:szCs w:val="20"/>
          <w:color w:val="auto"/>
        </w:rPr>
      </w:pPr>
      <w:r>
        <w:rPr>
          <w:rFonts w:ascii="Times New Roman" w:cs="Times New Roman" w:eastAsia="Times New Roman" w:hAnsi="Times New Roman"/>
          <w:sz w:val="16"/>
          <w:szCs w:val="16"/>
          <w:color w:val="auto"/>
        </w:rPr>
        <w:t>In addition, a Dutch court might not accept jurisdiction and impose civil liability in an action commenced in the Netherlands and predicated solely upon United States federal securities laws. Furthermore, awards of punitive damages in actions brought in the United States or elsewhere may be unenforceable in jurisdictions outside the United States.</w:t>
      </w:r>
    </w:p>
    <w:p>
      <w:pPr>
        <w:spacing w:after="0" w:line="157" w:lineRule="exact"/>
        <w:rPr>
          <w:sz w:val="20"/>
          <w:szCs w:val="20"/>
          <w:color w:val="auto"/>
        </w:rPr>
      </w:pPr>
    </w:p>
    <w:p>
      <w:pPr>
        <w:ind w:left="760" w:right="101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Enforcing your rights as an investor in the notes or under the guarantees across multiple jurisdictions may be difficult.</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The notes will be issued by the Issuer and will be guaranteed by Mylan Inc., Mylan II B.V. and</w:t>
      </w: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Utah Acquisition Sub Inc. Each of the Issuer and Utah Acquisition Sub Inc. is organized under the laws 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0" w:name="page21"/>
    <w:bookmarkEnd w:id="20"/>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779"/>
        <w:spacing w:after="0" w:line="256" w:lineRule="auto"/>
        <w:rPr>
          <w:sz w:val="20"/>
          <w:szCs w:val="20"/>
          <w:color w:val="auto"/>
        </w:rPr>
      </w:pPr>
      <w:r>
        <w:rPr>
          <w:rFonts w:ascii="Times New Roman" w:cs="Times New Roman" w:eastAsia="Times New Roman" w:hAnsi="Times New Roman"/>
          <w:sz w:val="16"/>
          <w:szCs w:val="16"/>
          <w:color w:val="auto"/>
        </w:rPr>
        <w:t>Delaware, Mylan Inc. is incorporated under the laws of Pennsylvania and Mylan II B.V. is incorporated under the laws of the Netherlands. In the event of bankruptcy, insolvency or a similar event, proceedings could be initiated in any of these jurisdictions or in the jurisdiction of organization of other future guarantors. Your rights under the notes and the guarantees will be subject to the laws of multiple jurisdictions and you may not be able to enforce effectively your rights in multiple bankruptcy, insolvency and other similar proceedings. Moreover, such multi-jurisdictional proceedings are typically complex and costly for creditors and often result in substantial uncertainty and delay in the enforcement of creditors’ rights.</w:t>
      </w:r>
    </w:p>
    <w:p>
      <w:pPr>
        <w:spacing w:after="0" w:line="68" w:lineRule="exact"/>
        <w:rPr>
          <w:sz w:val="20"/>
          <w:szCs w:val="20"/>
          <w:color w:val="auto"/>
        </w:rPr>
      </w:pPr>
    </w:p>
    <w:p>
      <w:pPr>
        <w:ind w:left="760" w:right="859" w:firstLine="320"/>
        <w:spacing w:after="0" w:line="256" w:lineRule="auto"/>
        <w:rPr>
          <w:sz w:val="20"/>
          <w:szCs w:val="20"/>
          <w:color w:val="auto"/>
        </w:rPr>
      </w:pPr>
      <w:r>
        <w:rPr>
          <w:rFonts w:ascii="Times New Roman" w:cs="Times New Roman" w:eastAsia="Times New Roman" w:hAnsi="Times New Roman"/>
          <w:sz w:val="16"/>
          <w:szCs w:val="16"/>
          <w:color w:val="auto"/>
        </w:rPr>
        <w:t>In addition, Mylan II B.V. is, and any future Dutch Guarantor would be, organized under the laws of the Netherlands, and the bankruptcy, insolvency, foreign exchange, administration and other laws of the Netherlands may be materially different from or in conflict with those of the United States, including in respect of creditors’ rights, priority of creditors, the ability to obtain post-petition interest and the duration of the insolvency proceeding. The consequences of the multiple jurisdictions involved in the transaction could trigger disputes over which jurisdiction’s law should apply and choice of law disputes which could adversely affect your ability to enforce your rights and to collect payment in full under the notes and the guarantees.</w:t>
      </w:r>
    </w:p>
    <w:p>
      <w:pPr>
        <w:spacing w:after="0" w:line="292" w:lineRule="exact"/>
        <w:rPr>
          <w:sz w:val="20"/>
          <w:szCs w:val="20"/>
          <w:color w:val="auto"/>
        </w:rPr>
      </w:pPr>
    </w:p>
    <w:p>
      <w:pPr>
        <w:ind w:left="760" w:right="97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Holders of the notes will receive payments solely in euros except under the circumstances provided herein, and an investment in the notes by a purchaser whose home currency is not the euro entails risks.</w:t>
      </w:r>
    </w:p>
    <w:p>
      <w:pPr>
        <w:spacing w:after="0" w:line="43" w:lineRule="exact"/>
        <w:rPr>
          <w:sz w:val="20"/>
          <w:szCs w:val="20"/>
          <w:color w:val="auto"/>
        </w:rPr>
      </w:pPr>
    </w:p>
    <w:p>
      <w:pPr>
        <w:ind w:left="760" w:right="779" w:firstLine="320"/>
        <w:spacing w:after="0" w:line="252" w:lineRule="auto"/>
        <w:rPr>
          <w:sz w:val="20"/>
          <w:szCs w:val="20"/>
          <w:color w:val="auto"/>
        </w:rPr>
      </w:pPr>
      <w:r>
        <w:rPr>
          <w:rFonts w:ascii="Times New Roman" w:cs="Times New Roman" w:eastAsia="Times New Roman" w:hAnsi="Times New Roman"/>
          <w:sz w:val="16"/>
          <w:szCs w:val="16"/>
          <w:color w:val="auto"/>
        </w:rPr>
        <w:t>The initial investors in the notes will be required to pay for the notes in euros. Subject to the risk described in the following risk factor, all payments of principal, premium, if any, interest in respect of the notes and additional amounts, if any, including any redemption price for the notes, will be made in euro. None of us, the underwriters, the Trustee or the paying agent will be obligated to assist the initial investors in obtaining euros or in converting other currencies into euros to facilitate the payment of the purchase price for the notes or in converting payments of interest, principal, premium, additional amounts or any redemption price in euros made with respect to the notes into U.S. dollars or any other currency. An investment in the notes by a purchaser whose home currency is not the euro entails risks. These risks include the possibility of significant changes in rates of exchange between the holder’s home currency and the euro, the possibility of the imposition or subsequent modification of foreign exchange controls, currency exchange risk in connection with any judgment that is entered with respect to payment on the notes and tax consequences for a holder as a result of any foreign exchange gains resulting from an investment in the notes. These risks generally depend on factors over which we have no control, such as economic, financial, regulatory and political events and the supply of and demand for the relevant currencies. In the past, rates of exchange between the euro and certain currencies have been highly volatile, and each holder should be aware that volatility may occur in the future. Fluctuations in any particular exchange rate that have occurred in the past, however, are not necessarily indicative of fluctuations in the rate that may occur during the term of the notes. Depreciation of the euro against the holder’s home currency would result in a decrease in the effective yield of the notes below its coupon rate and, in certain circumstances, could result in a loss to the holder. See “Currency Conversion.”</w:t>
      </w:r>
    </w:p>
    <w:p>
      <w:pPr>
        <w:spacing w:after="0" w:line="302" w:lineRule="exact"/>
        <w:rPr>
          <w:sz w:val="20"/>
          <w:szCs w:val="20"/>
          <w:color w:val="auto"/>
        </w:rPr>
      </w:pPr>
    </w:p>
    <w:p>
      <w:pPr>
        <w:ind w:left="760" w:right="1079"/>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The notes permit us to make payments in U.S. dollars if we are unable to obtain euros, which could adversely affect the value of the notes.</w:t>
      </w:r>
    </w:p>
    <w:p>
      <w:pPr>
        <w:spacing w:after="0" w:line="43" w:lineRule="exact"/>
        <w:rPr>
          <w:sz w:val="20"/>
          <w:szCs w:val="20"/>
          <w:color w:val="auto"/>
        </w:rPr>
      </w:pPr>
    </w:p>
    <w:p>
      <w:pPr>
        <w:ind w:left="760" w:right="779" w:firstLine="320"/>
        <w:spacing w:after="0" w:line="254" w:lineRule="auto"/>
        <w:rPr>
          <w:sz w:val="20"/>
          <w:szCs w:val="20"/>
          <w:color w:val="auto"/>
        </w:rPr>
      </w:pPr>
      <w:r>
        <w:rPr>
          <w:rFonts w:ascii="Times New Roman" w:cs="Times New Roman" w:eastAsia="Times New Roman" w:hAnsi="Times New Roman"/>
          <w:sz w:val="16"/>
          <w:szCs w:val="16"/>
          <w:color w:val="auto"/>
        </w:rPr>
        <w:t>Despite measures taken to alleviate credit risk, concerns persist regarding the debt burden of certain member states of the European Monetary Union and their ability to meet future financial obligations, the overall stability of the euro and the suitability of the euro as a single currency given the diverse economic and political circumstances in individual member states. These and other concerns could lead to the reintroduction of individual currencies in one or more member states, or, in more extreme circumstances, the possible dissolution of the euro entirely. Should the euro dissolve entirely, the legal and contractual consequences for holders of euro-denominated obligations would be determined by laws in effect at such time. The official exchange rate at which the notes may be redenominated may not accurately reflect their value in euros. These potential developments, or market perceptions concerning these developments and related issues, could adversely affect the value of the notes.</w:t>
      </w:r>
    </w:p>
    <w:p>
      <w:pPr>
        <w:spacing w:after="0" w:line="73" w:lineRule="exact"/>
        <w:rPr>
          <w:sz w:val="20"/>
          <w:szCs w:val="20"/>
          <w:color w:val="auto"/>
        </w:rPr>
      </w:pPr>
    </w:p>
    <w:p>
      <w:pPr>
        <w:ind w:left="760" w:right="1059" w:firstLine="320"/>
        <w:spacing w:after="0" w:line="261" w:lineRule="auto"/>
        <w:rPr>
          <w:sz w:val="20"/>
          <w:szCs w:val="20"/>
          <w:color w:val="auto"/>
        </w:rPr>
      </w:pPr>
      <w:r>
        <w:rPr>
          <w:rFonts w:ascii="Times New Roman" w:cs="Times New Roman" w:eastAsia="Times New Roman" w:hAnsi="Times New Roman"/>
          <w:sz w:val="16"/>
          <w:szCs w:val="16"/>
          <w:color w:val="auto"/>
        </w:rPr>
        <w:t>The European Union or one or more of its member states may, in the future, impose exchange controls or modify any exchange controls imposed, which controls could affect exchange rates, as well as the availability of euros at the time of payment of principal of, interest on, or any redemption payment or additional amounts with respect to, the notes.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779" w:firstLine="320"/>
        <w:spacing w:after="0" w:line="253" w:lineRule="auto"/>
        <w:rPr>
          <w:sz w:val="20"/>
          <w:szCs w:val="20"/>
          <w:color w:val="auto"/>
        </w:rPr>
      </w:pPr>
      <w:r>
        <w:rPr>
          <w:rFonts w:ascii="Times New Roman" w:cs="Times New Roman" w:eastAsia="Times New Roman" w:hAnsi="Times New Roman"/>
          <w:sz w:val="16"/>
          <w:szCs w:val="16"/>
          <w:color w:val="auto"/>
        </w:rPr>
        <w:t>If, as described under “Description of Notes — Issuance in Euro,”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euros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then most recent U.S. dollar/euro exchange rate available on or prior to the second business day prior to the relevant payment date as reported by Bloomberg. We cannot assure you that this exchange rate will be as favorable to holders of notes as the exchange rate otherwise determined by applicable law. These potential developments, or market perceptions concerning these and related issues, could adversely affect the value of the notes. Any payment in respect of the notes so made in U.S. dollars will not constitute an event of default under the notes or the indenture.</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In a lawsuit for payment on the notes, an investor may bear currency exchange risk.</w:t>
      </w:r>
    </w:p>
    <w:p>
      <w:pPr>
        <w:spacing w:after="0" w:line="108" w:lineRule="exact"/>
        <w:rPr>
          <w:sz w:val="20"/>
          <w:szCs w:val="20"/>
          <w:color w:val="auto"/>
        </w:rPr>
      </w:pPr>
    </w:p>
    <w:p>
      <w:pPr>
        <w:ind w:left="760" w:right="819" w:firstLine="320"/>
        <w:spacing w:after="0" w:line="256" w:lineRule="auto"/>
        <w:rPr>
          <w:sz w:val="20"/>
          <w:szCs w:val="20"/>
          <w:color w:val="auto"/>
        </w:rPr>
      </w:pPr>
      <w:r>
        <w:rPr>
          <w:rFonts w:ascii="Times New Roman" w:cs="Times New Roman" w:eastAsia="Times New Roman" w:hAnsi="Times New Roman"/>
          <w:sz w:val="16"/>
          <w:szCs w:val="16"/>
          <w:color w:val="auto"/>
        </w:rPr>
        <w:t>The indenture is, and the notes will be, governed by the laws of the State of New York. Under New York law, a New York state court rendering a judgment in respect of the notes would be required to render the judgment in euro. However, the judgment would be converted into U.S. dollars at the exchange rate prevailing on the date of entry of the judgment. Consequently, in a lawsuit for payment on the notes, investors would bear currency exchange risk until a New York state court judgment is entered, which could be a long time. A Federal court sitting in New York with diversity jurisdiction over a dispute arising in connection with the notes would apply the foregoing New York law.</w:t>
      </w:r>
    </w:p>
    <w:p>
      <w:pPr>
        <w:spacing w:after="0" w:line="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In courts outside of New York, investors may not be able to obtain a judgment in a currency other than</w:t>
      </w:r>
    </w:p>
    <w:p>
      <w:pPr>
        <w:spacing w:after="0" w:line="25" w:lineRule="exact"/>
        <w:rPr>
          <w:sz w:val="20"/>
          <w:szCs w:val="20"/>
          <w:color w:val="auto"/>
        </w:rPr>
      </w:pPr>
    </w:p>
    <w:p>
      <w:pPr>
        <w:jc w:val="both"/>
        <w:ind w:left="760" w:right="799"/>
        <w:spacing w:after="0" w:line="254" w:lineRule="auto"/>
        <w:rPr>
          <w:sz w:val="20"/>
          <w:szCs w:val="20"/>
          <w:color w:val="auto"/>
        </w:rPr>
      </w:pPr>
      <w:r>
        <w:rPr>
          <w:rFonts w:ascii="Times New Roman" w:cs="Times New Roman" w:eastAsia="Times New Roman" w:hAnsi="Times New Roman"/>
          <w:sz w:val="16"/>
          <w:szCs w:val="16"/>
          <w:color w:val="auto"/>
        </w:rPr>
        <w:t>U.S. dollars. For example, a judgment for money in an action based on the notes in many other U.S. federal or state courts ordinarily would be enforced in the United States only in U.S. dollars. The date used to determine the rate of conversion of euro into U.S. dollars would depend upon various factors, including which court renders the judgment and when the judgment is rendered.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Trading in the clearing systems is subject to minimum denomination requirements.</w:t>
      </w:r>
    </w:p>
    <w:p>
      <w:pPr>
        <w:spacing w:after="0" w:line="108" w:lineRule="exact"/>
        <w:rPr>
          <w:sz w:val="20"/>
          <w:szCs w:val="20"/>
          <w:color w:val="auto"/>
        </w:rPr>
      </w:pPr>
    </w:p>
    <w:p>
      <w:pPr>
        <w:ind w:left="760" w:right="899" w:firstLine="320"/>
        <w:spacing w:after="0" w:line="256" w:lineRule="auto"/>
        <w:rPr>
          <w:sz w:val="20"/>
          <w:szCs w:val="20"/>
          <w:color w:val="auto"/>
        </w:rPr>
      </w:pPr>
      <w:r>
        <w:rPr>
          <w:rFonts w:ascii="Times New Roman" w:cs="Times New Roman" w:eastAsia="Times New Roman" w:hAnsi="Times New Roman"/>
          <w:sz w:val="16"/>
          <w:szCs w:val="16"/>
          <w:color w:val="auto"/>
        </w:rPr>
        <w:t>The notes will be issued only in minimum denominations of €100,000 and integral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securities, a holder who does not have the minimum denomination of €100,000 or an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You must rely on the procedures of the relevant clearing systems to exercise your rights and remedies.</w:t>
      </w:r>
    </w:p>
    <w:p>
      <w:pPr>
        <w:spacing w:after="0" w:line="108" w:lineRule="exact"/>
        <w:rPr>
          <w:sz w:val="20"/>
          <w:szCs w:val="20"/>
          <w:color w:val="auto"/>
        </w:rPr>
      </w:pPr>
    </w:p>
    <w:p>
      <w:pPr>
        <w:ind w:left="760" w:right="779" w:firstLine="320"/>
        <w:spacing w:after="0" w:line="257" w:lineRule="auto"/>
        <w:rPr>
          <w:sz w:val="20"/>
          <w:szCs w:val="20"/>
          <w:color w:val="auto"/>
        </w:rPr>
      </w:pPr>
      <w:r>
        <w:rPr>
          <w:rFonts w:ascii="Times New Roman" w:cs="Times New Roman" w:eastAsia="Times New Roman" w:hAnsi="Times New Roman"/>
          <w:sz w:val="16"/>
          <w:szCs w:val="16"/>
          <w:color w:val="auto"/>
        </w:rPr>
        <w:t>Owners of the book-entry interests will not be considered owners or holders of notes unless and until definitive notes are issued in exchange for book-entry interests. Instead, the common depositary (or its nominee) for Clearstream and Euroclear will be the sole registered holder of the global securities representing the notes. 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67" w:lineRule="exact"/>
        <w:rPr>
          <w:sz w:val="20"/>
          <w:szCs w:val="20"/>
          <w:color w:val="auto"/>
        </w:rPr>
      </w:pPr>
    </w:p>
    <w:p>
      <w:pPr>
        <w:ind w:left="760" w:right="779" w:firstLine="320"/>
        <w:spacing w:after="0" w:line="255" w:lineRule="auto"/>
        <w:rPr>
          <w:sz w:val="20"/>
          <w:szCs w:val="20"/>
          <w:color w:val="auto"/>
        </w:rPr>
      </w:pPr>
      <w:r>
        <w:rPr>
          <w:rFonts w:ascii="Times New Roman" w:cs="Times New Roman" w:eastAsia="Times New Roman" w:hAnsi="Times New Roman"/>
          <w:sz w:val="16"/>
          <w:szCs w:val="16"/>
          <w:color w:val="auto"/>
        </w:rPr>
        <w:t>Except as provided for under “Description of Notes — Certificated Notes”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the Company or the trustee pursuant to the indenture. Accordingly, you will be reliant on the common depositary to act on your instructions and/or you will be permitted to act only to the extent you have received appropriate proxies to do so from Clearstream and Euroclear or, if applicable, a participant thereof. Procedures implemented for the granting of such proxies may not be sufficient to enable you to vote on any requested actions on a timely basis.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2" w:name="page23"/>
    <w:bookmarkEnd w:id="22"/>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879" w:firstLine="320"/>
        <w:spacing w:after="0" w:line="261" w:lineRule="auto"/>
        <w:rPr>
          <w:sz w:val="20"/>
          <w:szCs w:val="20"/>
          <w:color w:val="auto"/>
        </w:rPr>
      </w:pPr>
      <w:r>
        <w:rPr>
          <w:rFonts w:ascii="Times New Roman" w:cs="Times New Roman" w:eastAsia="Times New Roman" w:hAnsi="Times New Roman"/>
          <w:sz w:val="16"/>
          <w:szCs w:val="16"/>
          <w:color w:val="auto"/>
        </w:rPr>
        <w:t>Similarly, upon the occurrence of an event of default under the indenture, unless and until definitive registered notes are issued in respect of all book-entry interests, if you own a book-entry interest, you will be restricted to acting through Clearstream and Euroclear. The procedures to be implemented through Clearstream and Euroclear may not be adequate to ensure the timely exercise of rights under the notes.</w:t>
      </w:r>
    </w:p>
    <w:p>
      <w:pPr>
        <w:spacing w:after="0" w:line="65" w:lineRule="exact"/>
        <w:rPr>
          <w:sz w:val="20"/>
          <w:szCs w:val="20"/>
          <w:color w:val="auto"/>
        </w:rPr>
      </w:pPr>
    </w:p>
    <w:p>
      <w:pPr>
        <w:ind w:left="760" w:right="859" w:firstLine="320"/>
        <w:spacing w:after="0" w:line="254" w:lineRule="auto"/>
        <w:rPr>
          <w:sz w:val="20"/>
          <w:szCs w:val="20"/>
          <w:color w:val="auto"/>
        </w:rPr>
      </w:pPr>
      <w:r>
        <w:rPr>
          <w:rFonts w:ascii="Times New Roman" w:cs="Times New Roman" w:eastAsia="Times New Roman" w:hAnsi="Times New Roman"/>
          <w:sz w:val="16"/>
          <w:szCs w:val="16"/>
          <w:color w:val="auto"/>
        </w:rPr>
        <w:t>Payments of principal, interest and other amounts owing on or in respect of the notes in global form will be made to the paying agent, which will make payments to Clearstream and Euroclear. Thereafter, those payments will be credited to Clearstream and Euroclear participants’ accounts that hold book-entry interests in the notes in global form and credited by such participants to indirect participants. After payment to the common depositary for Clearstream and Euroclear, none of the Company, the trustee or the paying agent will have any responsibility or liability for any aspect of the records relating to or payments of interest, principal or other amounts to Clearstream and Euroclear, or to owners of book-entry interests. Accordingly, if you own a book-entry interest in the notes, you must rely on the procedures of Clearstream and Euroclear and, if you are not a participant in Clearstream and/or Euroclear, on the procedures of the participant through which you own your interest, to exercise any rights and obligations of a holder of the notes under the indenture.</w:t>
      </w:r>
    </w:p>
    <w:p>
      <w:pPr>
        <w:spacing w:after="0" w:line="71" w:lineRule="exact"/>
        <w:rPr>
          <w:sz w:val="20"/>
          <w:szCs w:val="20"/>
          <w:color w:val="auto"/>
        </w:rPr>
      </w:pPr>
    </w:p>
    <w:p>
      <w:pPr>
        <w:ind w:left="760" w:right="899" w:firstLine="320"/>
        <w:spacing w:after="0" w:line="282" w:lineRule="auto"/>
        <w:rPr>
          <w:sz w:val="20"/>
          <w:szCs w:val="20"/>
          <w:color w:val="auto"/>
        </w:rPr>
      </w:pPr>
      <w:r>
        <w:rPr>
          <w:rFonts w:ascii="Times New Roman" w:cs="Times New Roman" w:eastAsia="Times New Roman" w:hAnsi="Times New Roman"/>
          <w:sz w:val="16"/>
          <w:szCs w:val="16"/>
          <w:color w:val="auto"/>
        </w:rPr>
        <w:t>Also, see “Description of Notes — Book-entry, delivery and form” below and “Description of Debt Securities and Guarantees — Global Securities” in the accompanying prospectus.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3" w:name="page24"/>
    <w:bookmarkEnd w:id="23"/>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CURRENCY CONVERSION</w:t>
      </w:r>
    </w:p>
    <w:p>
      <w:pPr>
        <w:spacing w:after="0" w:line="106" w:lineRule="exact"/>
        <w:rPr>
          <w:sz w:val="20"/>
          <w:szCs w:val="20"/>
          <w:color w:val="auto"/>
        </w:rPr>
      </w:pPr>
    </w:p>
    <w:p>
      <w:pPr>
        <w:ind w:left="760" w:right="779" w:firstLine="320"/>
        <w:spacing w:after="0" w:line="253" w:lineRule="auto"/>
        <w:rPr>
          <w:sz w:val="20"/>
          <w:szCs w:val="20"/>
          <w:color w:val="auto"/>
        </w:rPr>
      </w:pPr>
      <w:r>
        <w:rPr>
          <w:rFonts w:ascii="Times New Roman" w:cs="Times New Roman" w:eastAsia="Times New Roman" w:hAnsi="Times New Roman"/>
          <w:sz w:val="16"/>
          <w:szCs w:val="16"/>
          <w:color w:val="auto"/>
        </w:rPr>
        <w:t>Investors will be required to pay for the notes in euro. If, however,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euro/U.S. dollar exchange rate available on or prior to the second Business Day prior to the relevant payment date, as reported by Bloomberg. Any payment in respect of the notes so made in U.S. dollars will not constitute an event of default under the notes or the indenture.</w:t>
      </w:r>
    </w:p>
    <w:p>
      <w:pPr>
        <w:spacing w:after="0" w:line="77" w:lineRule="exact"/>
        <w:rPr>
          <w:sz w:val="20"/>
          <w:szCs w:val="20"/>
          <w:color w:val="auto"/>
        </w:rPr>
      </w:pPr>
    </w:p>
    <w:p>
      <w:pPr>
        <w:ind w:left="760" w:right="839" w:firstLine="320"/>
        <w:spacing w:after="0" w:line="266" w:lineRule="auto"/>
        <w:rPr>
          <w:sz w:val="20"/>
          <w:szCs w:val="20"/>
          <w:color w:val="auto"/>
        </w:rPr>
      </w:pPr>
      <w:r>
        <w:rPr>
          <w:rFonts w:ascii="Times New Roman" w:cs="Times New Roman" w:eastAsia="Times New Roman" w:hAnsi="Times New Roman"/>
          <w:sz w:val="16"/>
          <w:szCs w:val="16"/>
          <w:color w:val="auto"/>
        </w:rPr>
        <w:t>Investors will be subject to foreign exchange risks as to payments of principal and interest, including payments made upon any redemption of the notes, that may have important economic and tax consequences to them. See “Risk Factors.”</w:t>
      </w:r>
    </w:p>
    <w:p>
      <w:pPr>
        <w:spacing w:after="0" w:line="6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As of 9:00 a.m. (London Time) on June 11, 2026, the euro/U.S. dollar exchange rate was €1.00 = U.S. $1.1546.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06" w:lineRule="exact"/>
        <w:rPr>
          <w:sz w:val="20"/>
          <w:szCs w:val="20"/>
          <w:color w:val="auto"/>
        </w:rPr>
      </w:pPr>
    </w:p>
    <w:p>
      <w:pPr>
        <w:jc w:val="both"/>
        <w:ind w:left="760" w:right="779" w:firstLine="320"/>
        <w:spacing w:after="0" w:line="282" w:lineRule="auto"/>
        <w:rPr>
          <w:sz w:val="20"/>
          <w:szCs w:val="20"/>
          <w:color w:val="auto"/>
        </w:rPr>
      </w:pPr>
      <w:r>
        <w:rPr>
          <w:rFonts w:ascii="Times New Roman" w:cs="Times New Roman" w:eastAsia="Times New Roman" w:hAnsi="Times New Roman"/>
          <w:sz w:val="16"/>
          <w:szCs w:val="16"/>
          <w:color w:val="auto"/>
        </w:rPr>
        <w:t>We estimate that the net proceeds to us from the sale of the notes will be approximately €644.0 million (after deducting the underwriting discount and our offering expenses).</w:t>
      </w:r>
    </w:p>
    <w:p>
      <w:pPr>
        <w:spacing w:after="0" w:line="48" w:lineRule="exact"/>
        <w:rPr>
          <w:sz w:val="20"/>
          <w:szCs w:val="20"/>
          <w:color w:val="auto"/>
        </w:rPr>
      </w:pPr>
    </w:p>
    <w:p>
      <w:pPr>
        <w:jc w:val="both"/>
        <w:ind w:left="760" w:right="779" w:firstLine="320"/>
        <w:spacing w:after="0" w:line="258" w:lineRule="auto"/>
        <w:rPr>
          <w:sz w:val="20"/>
          <w:szCs w:val="20"/>
          <w:color w:val="auto"/>
        </w:rPr>
      </w:pPr>
      <w:r>
        <w:rPr>
          <w:rFonts w:ascii="Times New Roman" w:cs="Times New Roman" w:eastAsia="Times New Roman" w:hAnsi="Times New Roman"/>
          <w:sz w:val="16"/>
          <w:szCs w:val="16"/>
          <w:color w:val="auto"/>
        </w:rPr>
        <w:t>We intend to use the net proceeds from this offering to (i) fund the repayment of any amounts borrowed under the Revolving Credit Facility in June 2026 in connection with the repayment of the 2026 Senior Notes and (ii) the remainder, if any, to replenish cash that will be utilized in connection with the repayment of the 2026 Senior Notes, with such cash to be used for general corporate purposes. See “Summary—Recent Developments—Repayment of 2026 Senior Notes.”</w:t>
      </w:r>
    </w:p>
    <w:p>
      <w:pPr>
        <w:spacing w:after="0" w:line="68" w:lineRule="exact"/>
        <w:rPr>
          <w:sz w:val="20"/>
          <w:szCs w:val="20"/>
          <w:color w:val="auto"/>
        </w:rPr>
      </w:pPr>
    </w:p>
    <w:p>
      <w:pPr>
        <w:jc w:val="both"/>
        <w:ind w:left="760" w:right="759" w:firstLine="320"/>
        <w:spacing w:after="0" w:line="257" w:lineRule="auto"/>
        <w:rPr>
          <w:sz w:val="20"/>
          <w:szCs w:val="20"/>
          <w:color w:val="auto"/>
        </w:rPr>
      </w:pPr>
      <w:r>
        <w:rPr>
          <w:rFonts w:ascii="Times New Roman" w:cs="Times New Roman" w:eastAsia="Times New Roman" w:hAnsi="Times New Roman"/>
          <w:sz w:val="16"/>
          <w:szCs w:val="16"/>
          <w:color w:val="auto"/>
        </w:rPr>
        <w:t>The 2026 Senior Notes mature on June 15, 2026 and bear interest at a rate of 3.950%. The Revolving Credit Facility matures in September 2029 and bears interest at the Secured Overnight Financing Rate (“SOFR”) plus 0.10%, the EURIBOR or TIBO (“Eurocurrency”) Rate or SONIA, as applicable, plus 1.10% per annum, for SOFR, Eurocurrency Rate and SONIA borrowings, respectively, or at a base rate plus 0.10% per annum. The applicable margins over SOFR, the Eurocurrency Rate and the base rate for the Revolving Credit Facility can fluctuate based on the long-term unsecured senior, non-credit enhanced debt ratings of Viatris.</w:t>
      </w:r>
    </w:p>
    <w:p>
      <w:pPr>
        <w:spacing w:after="0" w:line="67" w:lineRule="exact"/>
        <w:rPr>
          <w:sz w:val="20"/>
          <w:szCs w:val="20"/>
          <w:color w:val="auto"/>
        </w:rPr>
      </w:pPr>
    </w:p>
    <w:p>
      <w:pPr>
        <w:jc w:val="both"/>
        <w:ind w:left="760" w:right="779" w:firstLine="320"/>
        <w:spacing w:after="0" w:line="282" w:lineRule="auto"/>
        <w:rPr>
          <w:sz w:val="20"/>
          <w:szCs w:val="20"/>
          <w:color w:val="auto"/>
        </w:rPr>
      </w:pPr>
      <w:r>
        <w:rPr>
          <w:rFonts w:ascii="Times New Roman" w:cs="Times New Roman" w:eastAsia="Times New Roman" w:hAnsi="Times New Roman"/>
          <w:sz w:val="16"/>
          <w:szCs w:val="16"/>
          <w:color w:val="auto"/>
        </w:rPr>
        <w:t>Certain of the underwriters and/or their affiliates are lenders under the Revolving Credit Facility and, as a result, may receive a portion of the net proceeds from this offering. See “Underwriting.”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5" w:name="page26"/>
    <w:bookmarkEnd w:id="2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10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The following table shows our cash and cash equivalents and capitalization on a U.S. GAAP basis as of</w:t>
      </w: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March 31, 2026:</w:t>
      </w:r>
    </w:p>
    <w:p>
      <w:pPr>
        <w:spacing w:after="0" w:line="88" w:lineRule="exact"/>
        <w:rPr>
          <w:sz w:val="20"/>
          <w:szCs w:val="20"/>
          <w:color w:val="auto"/>
        </w:rPr>
      </w:pPr>
    </w:p>
    <w:p>
      <w:pPr>
        <w:ind w:left="1380" w:hanging="304"/>
        <w:spacing w:after="0"/>
        <w:tabs>
          <w:tab w:leader="none" w:pos="1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actual basis; and</w:t>
      </w:r>
    </w:p>
    <w:p>
      <w:pPr>
        <w:spacing w:after="0" w:line="104" w:lineRule="exact"/>
        <w:rPr>
          <w:rFonts w:ascii="Times New Roman" w:cs="Times New Roman" w:eastAsia="Times New Roman" w:hAnsi="Times New Roman"/>
          <w:sz w:val="16"/>
          <w:szCs w:val="16"/>
          <w:color w:val="auto"/>
        </w:rPr>
      </w:pPr>
    </w:p>
    <w:p>
      <w:pPr>
        <w:ind w:left="1380" w:right="979" w:hanging="304"/>
        <w:spacing w:after="0" w:line="266" w:lineRule="auto"/>
        <w:tabs>
          <w:tab w:leader="none" w:pos="1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“as adjusted” basis to give effect to (i) the 2026 Senior Notes Transactions and (ii) the issuance of the notes in this offering and the intended use of proceeds therefrom, as described under “Use of Proceeds.”</w:t>
      </w:r>
    </w:p>
    <w:p>
      <w:pPr>
        <w:spacing w:after="0" w:line="61" w:lineRule="exact"/>
        <w:rPr>
          <w:sz w:val="20"/>
          <w:szCs w:val="20"/>
          <w:color w:val="auto"/>
        </w:rPr>
      </w:pPr>
    </w:p>
    <w:p>
      <w:pPr>
        <w:ind w:left="760" w:right="779" w:firstLine="320"/>
        <w:spacing w:after="0" w:line="256" w:lineRule="auto"/>
        <w:rPr>
          <w:sz w:val="20"/>
          <w:szCs w:val="20"/>
          <w:color w:val="auto"/>
        </w:rPr>
      </w:pPr>
      <w:r>
        <w:rPr>
          <w:rFonts w:ascii="Times New Roman" w:cs="Times New Roman" w:eastAsia="Times New Roman" w:hAnsi="Times New Roman"/>
          <w:sz w:val="16"/>
          <w:szCs w:val="16"/>
          <w:color w:val="auto"/>
        </w:rPr>
        <w:t>You should read the following table in conjunction with the section entitled “Management’s Discussion and Analysis of Financial Condition And Results of Operations,” contained in our Q1 2026 Form 10-Q, which is incorporated by reference in this prospectus supplement, and our consolidated financial statements and related notes incorporated by reference in this prospectus supplement, together with “Summary—Recent Developments” herein and the other information included or incorporated by reference herein. The rate used to convert expenses payable in U.S. dollars to euro and the principal amount of the notes from euro to U.S. dollars was U.S. $1.1563 = €1.00, which is the exchange rate reported by Bloomberg on June 12, 2026.</w:t>
      </w:r>
    </w:p>
    <w:p>
      <w:pPr>
        <w:spacing w:after="0" w:line="194" w:lineRule="exact"/>
        <w:rPr>
          <w:sz w:val="20"/>
          <w:szCs w:val="20"/>
          <w:color w:val="auto"/>
        </w:rPr>
      </w:pPr>
    </w:p>
    <w:tbl>
      <w:tblPr>
        <w:tblLayout w:type="fixed"/>
        <w:tblInd w:w="7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60" w:type="dxa"/>
            <w:vAlign w:val="bottom"/>
            <w:gridSpan w:val="9"/>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(In millions, except share and per share data)</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4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Cash and cash equivalents</w:t>
            </w:r>
            <w:r>
              <w:rPr>
                <w:rFonts w:ascii="Times New Roman" w:cs="Times New Roman" w:eastAsia="Times New Roman" w:hAnsi="Times New Roman"/>
                <w:sz w:val="25"/>
                <w:szCs w:val="25"/>
                <w:color w:val="auto"/>
                <w:vertAlign w:val="superscript"/>
              </w:rPr>
              <w:t>(1)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$ 1,804</w:t>
            </w:r>
          </w:p>
        </w:tc>
        <w:tc>
          <w:tcPr>
            <w:tcW w:w="12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4"/>
              </w:rPr>
              <w:t>Total debt:</w:t>
            </w:r>
          </w:p>
        </w:tc>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ind w:left="140"/>
              <w:spacing w:after="0" w:line="210" w:lineRule="exact"/>
              <w:rPr>
                <w:sz w:val="20"/>
                <w:szCs w:val="20"/>
                <w:color w:val="auto"/>
              </w:rPr>
            </w:pPr>
            <w:r>
              <w:rPr>
                <w:rFonts w:ascii="Times New Roman" w:cs="Times New Roman" w:eastAsia="Times New Roman" w:hAnsi="Times New Roman"/>
                <w:sz w:val="15"/>
                <w:szCs w:val="15"/>
                <w:color w:val="auto"/>
              </w:rPr>
              <w:t>Receivables Facility due 2028</w:t>
            </w:r>
            <w:r>
              <w:rPr>
                <w:rFonts w:ascii="Times New Roman" w:cs="Times New Roman" w:eastAsia="Times New Roman" w:hAnsi="Times New Roman"/>
                <w:sz w:val="24"/>
                <w:szCs w:val="24"/>
                <w:color w:val="auto"/>
                <w:vertAlign w:val="superscript"/>
              </w:rPr>
              <w:t>(2)</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gridSpan w:val="2"/>
          </w:tcPr>
          <w:p>
            <w:pPr>
              <w:ind w:left="140"/>
              <w:spacing w:after="0" w:line="204" w:lineRule="exact"/>
              <w:rPr>
                <w:sz w:val="20"/>
                <w:szCs w:val="20"/>
                <w:color w:val="auto"/>
              </w:rPr>
            </w:pPr>
            <w:r>
              <w:rPr>
                <w:rFonts w:ascii="Times New Roman" w:cs="Times New Roman" w:eastAsia="Times New Roman" w:hAnsi="Times New Roman"/>
                <w:sz w:val="15"/>
                <w:szCs w:val="15"/>
                <w:color w:val="auto"/>
              </w:rPr>
              <w:t>Revolving Credit Facility due in 2029</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gridSpan w:val="2"/>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Yen Term Loan Facility</w:t>
            </w:r>
            <w:r>
              <w:rPr>
                <w:rFonts w:ascii="Times New Roman" w:cs="Times New Roman" w:eastAsia="Times New Roman" w:hAnsi="Times New Roman"/>
                <w:sz w:val="23"/>
                <w:szCs w:val="23"/>
                <w:color w:val="auto"/>
                <w:vertAlign w:val="superscript"/>
              </w:rPr>
              <w:t>(4)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3.950%</w:t>
            </w: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Senior Notes due 2026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1.362%</w:t>
            </w: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 Senior Notes due 2027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2.300%</w:t>
            </w: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Senior Notes due 2027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3.125%</w:t>
            </w: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 Senior Notes due 2028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4.550%</w:t>
            </w: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Senior Notes due 2028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2.700%</w:t>
            </w: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2030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1,487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1.908%</w:t>
            </w: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Euro Senior Notes due 2032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3.850%</w:t>
            </w: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2040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5.400%</w:t>
            </w: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Senior Notes due 2043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5.250%</w:t>
            </w: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2046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5.200%</w:t>
            </w: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Senior Notes due 2048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4.000%</w:t>
            </w: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 due 2050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2,186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4.250%</w:t>
            </w: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Euro Senior Notes due 2033 offered hereby</w:t>
            </w:r>
          </w:p>
        </w:tc>
        <w:tc>
          <w:tcPr>
            <w:tcW w:w="3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borrowings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financing fees</w:t>
            </w:r>
          </w:p>
        </w:tc>
        <w:tc>
          <w:tcPr>
            <w:tcW w:w="3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Total debt</w:t>
            </w:r>
          </w:p>
        </w:tc>
        <w:tc>
          <w:tcPr>
            <w:tcW w:w="4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14,343</w:t>
            </w:r>
          </w:p>
        </w:tc>
        <w:tc>
          <w:tcPr>
            <w:tcW w:w="12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3,000,000,000 shares authorized; 1,258,606,697 shares issued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20" w:type="dxa"/>
            <w:vAlign w:val="bottom"/>
            <w:tcBorders>
              <w:left w:val="single" w:sz="8" w:color="CCEEFF"/>
            </w:tcBorders>
            <w:shd w:val="clear" w:color="auto" w:fill="CCEEFF"/>
          </w:tcPr>
          <w:p>
            <w:pPr>
              <w:spacing w:after="0"/>
              <w:rPr>
                <w:sz w:val="17"/>
                <w:szCs w:val="17"/>
                <w:color w:val="auto"/>
              </w:rPr>
            </w:pP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Retained (deficit) earnings</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8"/>
              </w:rPr>
              <w:t>(2,800)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Treasury stock, at cost: 94,176,848 shares</w:t>
            </w:r>
          </w:p>
        </w:tc>
        <w:tc>
          <w:tcPr>
            <w:tcW w:w="3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98"/>
              </w:rPr>
              <w:t>(1,007)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12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capitalization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29,001</w:t>
            </w:r>
          </w:p>
        </w:tc>
        <w:tc>
          <w:tcPr>
            <w:tcW w:w="120" w:type="dxa"/>
            <w:vAlign w:val="bottom"/>
          </w:tcPr>
          <w:p>
            <w:pPr>
              <w:spacing w:after="0"/>
              <w:rPr>
                <w:sz w:val="18"/>
                <w:szCs w:val="18"/>
                <w:color w:val="auto"/>
              </w:rPr>
            </w:pPr>
          </w:p>
        </w:tc>
        <w:tc>
          <w:tcPr>
            <w:tcW w:w="174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129540</wp:posOffset>
            </wp:positionV>
            <wp:extent cx="73215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32155" cy="7620"/>
                    </a:xfrm>
                    <a:prstGeom prst="rect">
                      <a:avLst/>
                    </a:prstGeom>
                    <a:noFill/>
                  </pic:spPr>
                </pic:pic>
              </a:graphicData>
            </a:graphic>
          </wp:anchor>
        </w:drawing>
      </w:r>
    </w:p>
    <w:p>
      <w:pPr>
        <w:spacing w:after="0" w:line="224" w:lineRule="exact"/>
        <w:rPr>
          <w:sz w:val="20"/>
          <w:szCs w:val="20"/>
          <w:color w:val="auto"/>
        </w:rPr>
      </w:pPr>
    </w:p>
    <w:p>
      <w:pPr>
        <w:ind w:left="1060" w:right="819" w:hanging="304"/>
        <w:spacing w:after="0" w:line="239" w:lineRule="auto"/>
        <w:tabs>
          <w:tab w:leader="none" w:pos="10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and cash equivalents, as adjusted, has been increased by the portion of the net proceeds from this offering, if any, that will be used for general corporate purposes as described in “Use of Proceeds”.</w:t>
      </w:r>
    </w:p>
    <w:p>
      <w:pPr>
        <w:spacing w:after="0" w:line="14" w:lineRule="exact"/>
        <w:rPr>
          <w:rFonts w:ascii="Times New Roman" w:cs="Times New Roman" w:eastAsia="Times New Roman" w:hAnsi="Times New Roman"/>
          <w:sz w:val="13"/>
          <w:szCs w:val="13"/>
          <w:color w:val="auto"/>
        </w:rPr>
      </w:pPr>
    </w:p>
    <w:p>
      <w:pPr>
        <w:ind w:left="1060" w:right="959" w:hanging="304"/>
        <w:spacing w:after="0" w:line="230" w:lineRule="auto"/>
        <w:tabs>
          <w:tab w:leader="none" w:pos="10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receivables securitization facility (the “Receivables Facility”) for up to an aggregate of $600 million, which is scheduled to expire in April 2028. As of March 31, 2026, there was $549 million of borrowing capacity under the Receivables Facility. For additional information about the Receivables Facility, refer to our 2025 Form 10-K, which is incorporated by referenced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060" w:right="959" w:hanging="304"/>
        <w:spacing w:after="0" w:line="221" w:lineRule="auto"/>
        <w:tabs>
          <w:tab w:leader="none" w:pos="10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$3.5 billion senior unsecured revolving credit facility (the “Revolving Credit Facility”) with a syndicate of lenders, which is scheduled to mature in September 2029. We also have a $1.65 billion unsecured commercial paper program (the “CP Program”) with certain dealers, and up to $1.65 billion of the Revolving Credit Facility may be used to support borrowings under the CP Program. As of March 31, 2026, we did not have any borrowing outstanding under the Revolving Credit Facility or the CP Program. For additional information about the Revolving Credit Facility and the CP Program, refer to our 2025 Form 10-K, which is incorporated by referenced herein.</w:t>
      </w:r>
    </w:p>
    <w:p>
      <w:pPr>
        <w:spacing w:after="0" w:line="14" w:lineRule="exact"/>
        <w:rPr>
          <w:rFonts w:ascii="Times New Roman" w:cs="Times New Roman" w:eastAsia="Times New Roman" w:hAnsi="Times New Roman"/>
          <w:sz w:val="13"/>
          <w:szCs w:val="13"/>
          <w:color w:val="auto"/>
        </w:rPr>
      </w:pPr>
    </w:p>
    <w:p>
      <w:pPr>
        <w:ind w:left="1060" w:right="979" w:hanging="304"/>
        <w:spacing w:after="0" w:line="225" w:lineRule="auto"/>
        <w:tabs>
          <w:tab w:leader="none" w:pos="10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¥40 billion term loan facility (the “Existing Yen Term Loan Facility”), which is scheduled to mature on July 1, 2026. As of March 31, 2026, there was $252 million outstanding under the Existing Yen Term Loan Facility. For additional information about the Existing Yen Term Loan Facility and related payment, refer to our 2025 Form 10-K, which is incorporated by referenced herein, and see “Summary—Recent Developments—YEN Term Loan Facility.”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NOTES</w:t>
      </w:r>
    </w:p>
    <w:p>
      <w:pPr>
        <w:spacing w:after="0" w:line="104" w:lineRule="exact"/>
        <w:rPr>
          <w:sz w:val="20"/>
          <w:szCs w:val="20"/>
          <w:color w:val="auto"/>
        </w:rPr>
      </w:pPr>
    </w:p>
    <w:p>
      <w:pPr>
        <w:ind w:left="760" w:right="839" w:firstLine="320"/>
        <w:spacing w:after="0" w:line="252" w:lineRule="auto"/>
        <w:rPr>
          <w:sz w:val="20"/>
          <w:szCs w:val="20"/>
          <w:color w:val="auto"/>
        </w:rPr>
      </w:pPr>
      <w:r>
        <w:rPr>
          <w:rFonts w:ascii="Times New Roman" w:cs="Times New Roman" w:eastAsia="Times New Roman" w:hAnsi="Times New Roman"/>
          <w:sz w:val="16"/>
          <w:szCs w:val="16"/>
          <w:i w:val="1"/>
          <w:iCs w:val="1"/>
          <w:color w:val="auto"/>
        </w:rPr>
        <w:t>The following description outlines certain particular terms of the notes offered pursuant to this prospectus supplement. This description supplements and, to the extent inconsistent, modifies the description of the general terms and provisions of the debt securities set forth under “Description of Debt Securities and Guarantees” in the accompanying prospectus. This description does not purport to be complete and is qualified in its entirety by reference to the indenture and its associated documents, including the form of global note for the notes, including those terms made a part thereof by reference to the Trust Indenture Act of 1939, as amended. You should read these documents in their entirety because they, and not this description, will define your rights as holders of the notes. Certain terms used herein are defined below under the heading “— Certain Definitions.” Certain terms used in this description but not defined below under the heading “—Certain Definitions” or elsewhere in this description have the meanings assigned to them elsewhere in this prospectus supplement. In this description, (i) the term the “Company” refers only to Viatris Inc., a Delaware corporation, and not any of its subsidiaries, (ii) the term the “Initial Guarantors” refers only to Utah Acquisition Sub Inc., a Delaware corporation, Mylan II B.V., a private limited liability company (besloten vennootschap met beperkte aansprakelijkheid) incorporated and existing under the laws of the Netherlands, and Mylan Inc., a Pennsylvania corporation, and not to any of their respective subsidiaries and (iii) the term “Finco” refers only to Upjohn Finance B.V., a private limited liability company (besloten vennootschap met beperkte aansprakelijkheid) incorporated and existing under the laws of the Netherlands, and not any of its subsidiaries</w:t>
      </w:r>
      <w:r>
        <w:rPr>
          <w:rFonts w:ascii="Times New Roman" w:cs="Times New Roman" w:eastAsia="Times New Roman" w:hAnsi="Times New Roman"/>
          <w:sz w:val="16"/>
          <w:szCs w:val="16"/>
          <w:color w:val="auto"/>
        </w:rPr>
        <w:t>.</w:t>
      </w:r>
    </w:p>
    <w:p>
      <w:pPr>
        <w:spacing w:after="0" w:line="79" w:lineRule="exact"/>
        <w:rPr>
          <w:sz w:val="20"/>
          <w:szCs w:val="20"/>
          <w:color w:val="auto"/>
        </w:rPr>
      </w:pPr>
    </w:p>
    <w:p>
      <w:pPr>
        <w:ind w:left="760" w:right="799" w:firstLine="320"/>
        <w:spacing w:after="0" w:line="255" w:lineRule="auto"/>
        <w:rPr>
          <w:sz w:val="20"/>
          <w:szCs w:val="20"/>
          <w:color w:val="auto"/>
        </w:rPr>
      </w:pPr>
      <w:r>
        <w:rPr>
          <w:rFonts w:ascii="Times New Roman" w:cs="Times New Roman" w:eastAsia="Times New Roman" w:hAnsi="Times New Roman"/>
          <w:sz w:val="16"/>
          <w:szCs w:val="16"/>
          <w:color w:val="auto"/>
        </w:rPr>
        <w:t>The 4.250% senior notes due 2033 (the “</w:t>
      </w:r>
      <w:r>
        <w:rPr>
          <w:rFonts w:ascii="Times New Roman" w:cs="Times New Roman" w:eastAsia="Times New Roman" w:hAnsi="Times New Roman"/>
          <w:sz w:val="16"/>
          <w:szCs w:val="16"/>
          <w:i w:val="1"/>
          <w:iCs w:val="1"/>
          <w:color w:val="auto"/>
        </w:rPr>
        <w:t>notes</w:t>
      </w:r>
      <w:r>
        <w:rPr>
          <w:rFonts w:ascii="Times New Roman" w:cs="Times New Roman" w:eastAsia="Times New Roman" w:hAnsi="Times New Roman"/>
          <w:sz w:val="16"/>
          <w:szCs w:val="16"/>
          <w:color w:val="auto"/>
        </w:rPr>
        <w:t>”) will be a new and separate series of debt securities of the Company, and will be issued by the Company under a senior debt indenture (the “</w:t>
      </w:r>
      <w:r>
        <w:rPr>
          <w:rFonts w:ascii="Times New Roman" w:cs="Times New Roman" w:eastAsia="Times New Roman" w:hAnsi="Times New Roman"/>
          <w:sz w:val="16"/>
          <w:szCs w:val="16"/>
          <w:i w:val="1"/>
          <w:iCs w:val="1"/>
          <w:color w:val="auto"/>
        </w:rPr>
        <w:t>base indenture</w:t>
      </w:r>
      <w:r>
        <w:rPr>
          <w:rFonts w:ascii="Times New Roman" w:cs="Times New Roman" w:eastAsia="Times New Roman" w:hAnsi="Times New Roman"/>
          <w:sz w:val="16"/>
          <w:szCs w:val="16"/>
          <w:color w:val="auto"/>
        </w:rPr>
        <w:t>”), to be dated as of the closing date of this offering, among the Company, the guarantors from time to time party thereto and The Bank of New York Mellon, as trustee (the “</w:t>
      </w:r>
      <w:r>
        <w:rPr>
          <w:rFonts w:ascii="Times New Roman" w:cs="Times New Roman" w:eastAsia="Times New Roman" w:hAnsi="Times New Roman"/>
          <w:sz w:val="16"/>
          <w:szCs w:val="16"/>
          <w:i w:val="1"/>
          <w:iCs w:val="1"/>
          <w:color w:val="auto"/>
        </w:rPr>
        <w:t>Trustee</w:t>
      </w:r>
      <w:r>
        <w:rPr>
          <w:rFonts w:ascii="Times New Roman" w:cs="Times New Roman" w:eastAsia="Times New Roman" w:hAnsi="Times New Roman"/>
          <w:sz w:val="16"/>
          <w:szCs w:val="16"/>
          <w:color w:val="auto"/>
        </w:rPr>
        <w:t>”), as amended and supplemented by the first supplemental indenture thereto, to be dated as of the closing date of this offering (the “</w:t>
      </w:r>
      <w:r>
        <w:rPr>
          <w:rFonts w:ascii="Times New Roman" w:cs="Times New Roman" w:eastAsia="Times New Roman" w:hAnsi="Times New Roman"/>
          <w:sz w:val="16"/>
          <w:szCs w:val="16"/>
          <w:i w:val="1"/>
          <w:iCs w:val="1"/>
          <w:color w:val="auto"/>
        </w:rPr>
        <w:t>supplemental indenture</w:t>
      </w:r>
      <w:r>
        <w:rPr>
          <w:rFonts w:ascii="Times New Roman" w:cs="Times New Roman" w:eastAsia="Times New Roman" w:hAnsi="Times New Roman"/>
          <w:sz w:val="16"/>
          <w:szCs w:val="16"/>
          <w:color w:val="auto"/>
        </w:rPr>
        <w:t>” and, the base indenture as so supplemented, the “</w:t>
      </w:r>
      <w:r>
        <w:rPr>
          <w:rFonts w:ascii="Times New Roman" w:cs="Times New Roman" w:eastAsia="Times New Roman" w:hAnsi="Times New Roman"/>
          <w:sz w:val="16"/>
          <w:szCs w:val="16"/>
          <w:i w:val="1"/>
          <w:iCs w:val="1"/>
          <w:color w:val="auto"/>
        </w:rPr>
        <w:t>indenture</w:t>
      </w:r>
      <w:r>
        <w:rPr>
          <w:rFonts w:ascii="Times New Roman" w:cs="Times New Roman" w:eastAsia="Times New Roman" w:hAnsi="Times New Roman"/>
          <w:sz w:val="16"/>
          <w:szCs w:val="16"/>
          <w:color w:val="auto"/>
        </w:rPr>
        <w:t>”). A form of the base indenture has been filed with the Commission as an exhibit to the Registration Statement, and the executed base indenture and supplemental indenture will be filed with the Commission in connection with the closing of this offering.</w:t>
      </w:r>
    </w:p>
    <w:p>
      <w:pPr>
        <w:spacing w:after="0" w:line="72" w:lineRule="exact"/>
        <w:rPr>
          <w:sz w:val="20"/>
          <w:szCs w:val="20"/>
          <w:color w:val="auto"/>
        </w:rPr>
      </w:pPr>
    </w:p>
    <w:p>
      <w:pPr>
        <w:ind w:left="760" w:right="999" w:firstLine="320"/>
        <w:spacing w:after="0" w:line="261" w:lineRule="auto"/>
        <w:rPr>
          <w:sz w:val="20"/>
          <w:szCs w:val="20"/>
          <w:color w:val="auto"/>
        </w:rPr>
      </w:pPr>
      <w:r>
        <w:rPr>
          <w:rFonts w:ascii="Times New Roman" w:cs="Times New Roman" w:eastAsia="Times New Roman" w:hAnsi="Times New Roman"/>
          <w:sz w:val="16"/>
          <w:szCs w:val="16"/>
          <w:color w:val="auto"/>
        </w:rPr>
        <w:t>The notes will be issued only in book-entry form, in minimum denominations of €100,000 and integral multiples of €1,000 in excess thereof, through the facilities of Euroclear and Clearstream, and sales in book-entry form may be effected only through participants in Euroclear Bank SA/NV (“</w:t>
      </w:r>
      <w:r>
        <w:rPr>
          <w:rFonts w:ascii="Times New Roman" w:cs="Times New Roman" w:eastAsia="Times New Roman" w:hAnsi="Times New Roman"/>
          <w:sz w:val="16"/>
          <w:szCs w:val="16"/>
          <w:i w:val="1"/>
          <w:iCs w:val="1"/>
          <w:color w:val="auto"/>
        </w:rPr>
        <w:t>Euroclear</w:t>
      </w:r>
      <w:r>
        <w:rPr>
          <w:rFonts w:ascii="Times New Roman" w:cs="Times New Roman" w:eastAsia="Times New Roman" w:hAnsi="Times New Roman"/>
          <w:sz w:val="16"/>
          <w:szCs w:val="16"/>
          <w:color w:val="auto"/>
        </w:rPr>
        <w:t>”) or Clearstream Banking S.A. (“</w:t>
      </w:r>
      <w:r>
        <w:rPr>
          <w:rFonts w:ascii="Times New Roman" w:cs="Times New Roman" w:eastAsia="Times New Roman" w:hAnsi="Times New Roman"/>
          <w:sz w:val="16"/>
          <w:szCs w:val="16"/>
          <w:i w:val="1"/>
          <w:iCs w:val="1"/>
          <w:color w:val="auto"/>
        </w:rPr>
        <w:t>Clearstream</w:t>
      </w:r>
      <w:r>
        <w:rPr>
          <w:rFonts w:ascii="Times New Roman" w:cs="Times New Roman" w:eastAsia="Times New Roman" w:hAnsi="Times New Roman"/>
          <w:sz w:val="16"/>
          <w:szCs w:val="16"/>
          <w:color w:val="auto"/>
        </w:rPr>
        <w:t>”). See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Global Securities” and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Clearing Systems” below.</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Principal, Maturity and Interest</w:t>
      </w:r>
    </w:p>
    <w:p>
      <w:pPr>
        <w:spacing w:after="0" w:line="106" w:lineRule="exact"/>
        <w:rPr>
          <w:sz w:val="20"/>
          <w:szCs w:val="20"/>
          <w:color w:val="auto"/>
        </w:rPr>
      </w:pPr>
    </w:p>
    <w:p>
      <w:pPr>
        <w:ind w:left="760" w:right="779" w:firstLine="320"/>
        <w:spacing w:after="0" w:line="258" w:lineRule="auto"/>
        <w:rPr>
          <w:sz w:val="20"/>
          <w:szCs w:val="20"/>
          <w:color w:val="auto"/>
        </w:rPr>
      </w:pPr>
      <w:r>
        <w:rPr>
          <w:rFonts w:ascii="Times New Roman" w:cs="Times New Roman" w:eastAsia="Times New Roman" w:hAnsi="Times New Roman"/>
          <w:sz w:val="16"/>
          <w:szCs w:val="16"/>
          <w:color w:val="auto"/>
        </w:rPr>
        <w:t>The notes will initially be issued in an aggregate principal amount of €650,000,000. We may, without notice to or the consent of any holders of notes, re-open this series of the notes and issue an unlimited aggregate principal amount of additional notes from time to time; provided that, if any such additional notes are not treated as part of the same issue as these notes for U.S. federal income tax purposes, such additional notes will be issued with a separate ISIN number. We will issue notes in denominations of €100,000 and integral multiples of €1,000 in excess thereof.</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notes will mature on June 17, 2033, with interest accruing on such notes at the rate of 4.250% per year.</w:t>
      </w:r>
    </w:p>
    <w:p>
      <w:pPr>
        <w:spacing w:after="0" w:line="104" w:lineRule="exact"/>
        <w:rPr>
          <w:sz w:val="20"/>
          <w:szCs w:val="20"/>
          <w:color w:val="auto"/>
        </w:rPr>
      </w:pPr>
    </w:p>
    <w:p>
      <w:pPr>
        <w:ind w:left="760" w:right="879" w:firstLine="320"/>
        <w:spacing w:after="0" w:line="261" w:lineRule="auto"/>
        <w:rPr>
          <w:sz w:val="20"/>
          <w:szCs w:val="20"/>
          <w:color w:val="auto"/>
        </w:rPr>
      </w:pPr>
      <w:r>
        <w:rPr>
          <w:rFonts w:ascii="Times New Roman" w:cs="Times New Roman" w:eastAsia="Times New Roman" w:hAnsi="Times New Roman"/>
          <w:sz w:val="16"/>
          <w:szCs w:val="16"/>
          <w:color w:val="auto"/>
        </w:rPr>
        <w:t>We will pay interest on the notes annually in arrears on June 17, beginning on June 17, 2027. We will make each interest payment to the persons in whose names such notes are registered at the close of business on the date that is the clearing system business day (for these purposes, Monday to Friday inclusive except December 25th and January 1st) immediately preceding each June 17.</w:t>
      </w:r>
    </w:p>
    <w:p>
      <w:pPr>
        <w:spacing w:after="0" w:line="65" w:lineRule="exact"/>
        <w:rPr>
          <w:sz w:val="20"/>
          <w:szCs w:val="20"/>
          <w:color w:val="auto"/>
        </w:rPr>
      </w:pPr>
    </w:p>
    <w:p>
      <w:pPr>
        <w:jc w:val="both"/>
        <w:ind w:left="760" w:right="779" w:firstLine="320"/>
        <w:spacing w:after="0" w:line="266" w:lineRule="auto"/>
        <w:rPr>
          <w:sz w:val="20"/>
          <w:szCs w:val="20"/>
          <w:color w:val="auto"/>
        </w:rPr>
      </w:pPr>
      <w:r>
        <w:rPr>
          <w:rFonts w:ascii="Times New Roman" w:cs="Times New Roman" w:eastAsia="Times New Roman" w:hAnsi="Times New Roman"/>
          <w:sz w:val="16"/>
          <w:szCs w:val="16"/>
          <w:color w:val="auto"/>
        </w:rPr>
        <w:t>Interest on the notes will accrue from the last Interest Payment Date on which interest was paid on the notes or, if no interest has been paid on the notes, from June 17, 2026 (the expected date of original issue for the notes offered hereby).</w:t>
      </w:r>
    </w:p>
    <w:p>
      <w:pPr>
        <w:spacing w:after="0" w:line="61" w:lineRule="exact"/>
        <w:rPr>
          <w:sz w:val="20"/>
          <w:szCs w:val="20"/>
          <w:color w:val="auto"/>
        </w:rPr>
      </w:pPr>
    </w:p>
    <w:p>
      <w:pPr>
        <w:ind w:left="760" w:right="799" w:firstLine="320"/>
        <w:spacing w:after="0" w:line="258" w:lineRule="auto"/>
        <w:rPr>
          <w:sz w:val="20"/>
          <w:szCs w:val="20"/>
          <w:color w:val="auto"/>
        </w:rPr>
      </w:pPr>
      <w:r>
        <w:rPr>
          <w:rFonts w:ascii="Times New Roman" w:cs="Times New Roman" w:eastAsia="Times New Roman" w:hAnsi="Times New Roman"/>
          <w:sz w:val="16"/>
          <w:szCs w:val="16"/>
          <w:color w:val="auto"/>
        </w:rPr>
        <w:t>Interest will be computed on the basis of the actual number of days in the period for which interest is being calculated and the actual number of days from and including the last date on which interest was paid on the notes (or June 17, 2026 if no interest has been paid on the notes), to but excluding the next scheduled interest payment date. This payment convention is referred to as ACTUAL/ACTUAL (ICMA) as defined in the rulebook of the International Capital Market Association.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979" w:firstLine="320"/>
        <w:spacing w:after="0" w:line="266" w:lineRule="auto"/>
        <w:rPr>
          <w:sz w:val="20"/>
          <w:szCs w:val="20"/>
          <w:color w:val="auto"/>
        </w:rPr>
      </w:pPr>
      <w:r>
        <w:rPr>
          <w:rFonts w:ascii="Times New Roman" w:cs="Times New Roman" w:eastAsia="Times New Roman" w:hAnsi="Times New Roman"/>
          <w:sz w:val="16"/>
          <w:szCs w:val="16"/>
          <w:color w:val="auto"/>
        </w:rPr>
        <w:t>If any Interest Payment Date, Redemption Date or maturity date falls on a day that is not a Business Day, the payment of any required amount on such date shall be postponed to the next succeeding Business Day and no interest shall accrue for the period from such date to such next succeeding Business Day.</w:t>
      </w:r>
    </w:p>
    <w:p>
      <w:pPr>
        <w:spacing w:after="0" w:line="61" w:lineRule="exact"/>
        <w:rPr>
          <w:sz w:val="20"/>
          <w:szCs w:val="20"/>
          <w:color w:val="auto"/>
        </w:rPr>
      </w:pPr>
    </w:p>
    <w:p>
      <w:pPr>
        <w:ind w:left="760" w:right="1019" w:firstLine="320"/>
        <w:spacing w:after="0" w:line="266" w:lineRule="auto"/>
        <w:rPr>
          <w:sz w:val="20"/>
          <w:szCs w:val="20"/>
          <w:color w:val="auto"/>
        </w:rPr>
      </w:pPr>
      <w:r>
        <w:rPr>
          <w:rFonts w:ascii="Times New Roman" w:cs="Times New Roman" w:eastAsia="Times New Roman" w:hAnsi="Times New Roman"/>
          <w:sz w:val="16"/>
          <w:szCs w:val="16"/>
          <w:color w:val="auto"/>
        </w:rPr>
        <w:t>Neither the Trustee nor the Paying Agent shall have any obligation to determine, calculate or verify the calculation of the interest rate. Our actions and determinations in determining the interest rate shall be conclusive and binding for all purposes, absent manifest error.</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Issuance in Euro</w:t>
      </w:r>
    </w:p>
    <w:p>
      <w:pPr>
        <w:spacing w:after="0" w:line="106" w:lineRule="exact"/>
        <w:rPr>
          <w:sz w:val="20"/>
          <w:szCs w:val="20"/>
          <w:color w:val="auto"/>
        </w:rPr>
      </w:pPr>
    </w:p>
    <w:p>
      <w:pPr>
        <w:ind w:left="760" w:right="759" w:firstLine="320"/>
        <w:spacing w:after="0" w:line="253" w:lineRule="auto"/>
        <w:rPr>
          <w:sz w:val="20"/>
          <w:szCs w:val="20"/>
          <w:color w:val="auto"/>
        </w:rPr>
      </w:pPr>
      <w:r>
        <w:rPr>
          <w:rFonts w:ascii="Times New Roman" w:cs="Times New Roman" w:eastAsia="Times New Roman" w:hAnsi="Times New Roman"/>
          <w:sz w:val="16"/>
          <w:szCs w:val="16"/>
          <w:color w:val="auto"/>
        </w:rPr>
        <w:t>Initial holders will be required to pay for the notes in euro, and all payments of interest and principal, including payments made upon any redemption of the notes, will be payable in euro. If, on or after the date of this prospectus supplement, the euro is unavailable to the Company due to the imposition of exchange controls or other circumstances beyond its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the Company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euro/U.S. dollar exchange rate available on or prior to the second Business Day prior to the relevant payment date, as reported by Bloomberg. Any payment in respect of the notes so made in U.S. dollars will not constitute an event of default under the notes or the indenture. Neither the Trustee nor the Paying Agent shall have any responsibility for any calculation or conversion in connection with the foregoing. See “Currency Conversion.”</w:t>
      </w:r>
    </w:p>
    <w:p>
      <w:pPr>
        <w:spacing w:after="0" w:line="72" w:lineRule="exact"/>
        <w:rPr>
          <w:sz w:val="20"/>
          <w:szCs w:val="20"/>
          <w:color w:val="auto"/>
        </w:rPr>
      </w:pPr>
    </w:p>
    <w:p>
      <w:pPr>
        <w:ind w:left="760" w:right="1239" w:firstLine="320"/>
        <w:spacing w:after="0" w:line="282" w:lineRule="auto"/>
        <w:rPr>
          <w:sz w:val="20"/>
          <w:szCs w:val="20"/>
          <w:color w:val="auto"/>
        </w:rPr>
      </w:pPr>
      <w:r>
        <w:rPr>
          <w:rFonts w:ascii="Times New Roman" w:cs="Times New Roman" w:eastAsia="Times New Roman" w:hAnsi="Times New Roman"/>
          <w:sz w:val="16"/>
          <w:szCs w:val="16"/>
          <w:color w:val="auto"/>
        </w:rPr>
        <w:t>Investors will be subject to foreign exchange risks as to payments of principal and interest that may have important economic and tax consequences to them. See “Risk Factors.”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Ranking</w:t>
      </w:r>
    </w:p>
    <w:p>
      <w:pPr>
        <w:spacing w:after="0" w:line="1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The notes will be senior unsecured obligations of the Company and will be:</w:t>
      </w:r>
    </w:p>
    <w:p>
      <w:pPr>
        <w:spacing w:after="0" w:line="102" w:lineRule="exact"/>
        <w:rPr>
          <w:sz w:val="20"/>
          <w:szCs w:val="20"/>
          <w:color w:val="auto"/>
        </w:rPr>
      </w:pPr>
    </w:p>
    <w:p>
      <w:pPr>
        <w:ind w:left="1380" w:hanging="304"/>
        <w:spacing w:after="0"/>
        <w:tabs>
          <w:tab w:leader="none" w:pos="1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pari passu </w:t>
      </w:r>
      <w:r>
        <w:rPr>
          <w:rFonts w:ascii="Times New Roman" w:cs="Times New Roman" w:eastAsia="Times New Roman" w:hAnsi="Times New Roman"/>
          <w:sz w:val="16"/>
          <w:szCs w:val="16"/>
          <w:color w:val="auto"/>
        </w:rPr>
        <w:t>in right of payment with all existing and future senior indebtedness of the Company;</w:t>
      </w:r>
    </w:p>
    <w:p>
      <w:pPr>
        <w:spacing w:after="0" w:line="106" w:lineRule="exact"/>
        <w:rPr>
          <w:rFonts w:ascii="Times New Roman" w:cs="Times New Roman" w:eastAsia="Times New Roman" w:hAnsi="Times New Roman"/>
          <w:sz w:val="16"/>
          <w:szCs w:val="16"/>
          <w:color w:val="auto"/>
        </w:rPr>
      </w:pPr>
    </w:p>
    <w:p>
      <w:pPr>
        <w:ind w:left="1380" w:right="899" w:hanging="304"/>
        <w:spacing w:after="0" w:line="282" w:lineRule="auto"/>
        <w:tabs>
          <w:tab w:leader="none" w:pos="1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in right of payment to all future indebtedness of the Company that is expressly subordinated to the notes;</w:t>
      </w:r>
    </w:p>
    <w:p>
      <w:pPr>
        <w:spacing w:after="0" w:line="48" w:lineRule="exact"/>
        <w:rPr>
          <w:rFonts w:ascii="Times New Roman" w:cs="Times New Roman" w:eastAsia="Times New Roman" w:hAnsi="Times New Roman"/>
          <w:sz w:val="16"/>
          <w:szCs w:val="16"/>
          <w:color w:val="auto"/>
        </w:rPr>
      </w:pPr>
    </w:p>
    <w:p>
      <w:pPr>
        <w:ind w:left="1380" w:right="799" w:hanging="304"/>
        <w:spacing w:after="0" w:line="282" w:lineRule="auto"/>
        <w:tabs>
          <w:tab w:leader="none" w:pos="1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subordinated to all future secured indebtedness of the Company to the extent of the value of the collateral securing such indebtedness; and</w:t>
      </w:r>
    </w:p>
    <w:p>
      <w:pPr>
        <w:spacing w:after="0" w:line="48" w:lineRule="exact"/>
        <w:rPr>
          <w:rFonts w:ascii="Times New Roman" w:cs="Times New Roman" w:eastAsia="Times New Roman" w:hAnsi="Times New Roman"/>
          <w:sz w:val="16"/>
          <w:szCs w:val="16"/>
          <w:color w:val="auto"/>
        </w:rPr>
      </w:pPr>
    </w:p>
    <w:p>
      <w:pPr>
        <w:ind w:left="1380" w:right="1279" w:hanging="304"/>
        <w:spacing w:after="0" w:line="282" w:lineRule="auto"/>
        <w:tabs>
          <w:tab w:leader="none" w:pos="1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subordinated to all existing and future indebtedness and other liabilities, including trade payables, of the existing and future Subsidiaries of the Company that are not Guarantors.</w:t>
      </w:r>
    </w:p>
    <w:p>
      <w:pPr>
        <w:spacing w:after="0" w:line="48" w:lineRule="exact"/>
        <w:rPr>
          <w:sz w:val="20"/>
          <w:szCs w:val="20"/>
          <w:color w:val="auto"/>
        </w:rPr>
      </w:pPr>
    </w:p>
    <w:p>
      <w:pPr>
        <w:ind w:left="760" w:right="1039" w:firstLine="320"/>
        <w:spacing w:after="0" w:line="266" w:lineRule="auto"/>
        <w:rPr>
          <w:sz w:val="20"/>
          <w:szCs w:val="20"/>
          <w:color w:val="auto"/>
        </w:rPr>
      </w:pPr>
      <w:r>
        <w:rPr>
          <w:rFonts w:ascii="Times New Roman" w:cs="Times New Roman" w:eastAsia="Times New Roman" w:hAnsi="Times New Roman"/>
          <w:sz w:val="16"/>
          <w:szCs w:val="16"/>
          <w:color w:val="auto"/>
        </w:rPr>
        <w:t>The notes will initially be fully and unconditionally guaranteed on a senior unsecured basis by the Initial Guarantors. Each Guarantor’s Guarantee of the notes will be senior unsecured obligations of such Guarantor and will be:</w:t>
      </w:r>
    </w:p>
    <w:p>
      <w:pPr>
        <w:spacing w:after="0" w:line="59" w:lineRule="exact"/>
        <w:rPr>
          <w:sz w:val="20"/>
          <w:szCs w:val="20"/>
          <w:color w:val="auto"/>
        </w:rPr>
      </w:pPr>
    </w:p>
    <w:p>
      <w:pPr>
        <w:ind w:left="1380" w:hanging="304"/>
        <w:spacing w:after="0"/>
        <w:tabs>
          <w:tab w:leader="none" w:pos="1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pari passu </w:t>
      </w:r>
      <w:r>
        <w:rPr>
          <w:rFonts w:ascii="Times New Roman" w:cs="Times New Roman" w:eastAsia="Times New Roman" w:hAnsi="Times New Roman"/>
          <w:sz w:val="16"/>
          <w:szCs w:val="16"/>
          <w:color w:val="auto"/>
        </w:rPr>
        <w:t>in right of payment with all existing and future senior indebtedness of such Guarantor;</w:t>
      </w:r>
    </w:p>
    <w:p>
      <w:pPr>
        <w:spacing w:after="0" w:line="106" w:lineRule="exact"/>
        <w:rPr>
          <w:rFonts w:ascii="Times New Roman" w:cs="Times New Roman" w:eastAsia="Times New Roman" w:hAnsi="Times New Roman"/>
          <w:sz w:val="16"/>
          <w:szCs w:val="16"/>
          <w:color w:val="auto"/>
        </w:rPr>
      </w:pPr>
    </w:p>
    <w:p>
      <w:pPr>
        <w:ind w:left="1380" w:right="1019" w:hanging="304"/>
        <w:spacing w:after="0" w:line="282" w:lineRule="auto"/>
        <w:tabs>
          <w:tab w:leader="none" w:pos="1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in right of payment to all future indebtedness of such Guarantor that is expressly subordinated to such Guarantee;</w:t>
      </w:r>
    </w:p>
    <w:p>
      <w:pPr>
        <w:spacing w:after="0" w:line="48" w:lineRule="exact"/>
        <w:rPr>
          <w:rFonts w:ascii="Times New Roman" w:cs="Times New Roman" w:eastAsia="Times New Roman" w:hAnsi="Times New Roman"/>
          <w:sz w:val="16"/>
          <w:szCs w:val="16"/>
          <w:color w:val="auto"/>
        </w:rPr>
      </w:pPr>
    </w:p>
    <w:p>
      <w:pPr>
        <w:ind w:left="1380" w:right="899" w:hanging="304"/>
        <w:spacing w:after="0" w:line="282" w:lineRule="auto"/>
        <w:tabs>
          <w:tab w:leader="none" w:pos="1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subordinated to all future secured indebtedness of such Guarantor to the extent of the value of the collateral securing such indebtedness; and</w:t>
      </w:r>
    </w:p>
    <w:p>
      <w:pPr>
        <w:spacing w:after="0" w:line="48" w:lineRule="exact"/>
        <w:rPr>
          <w:rFonts w:ascii="Times New Roman" w:cs="Times New Roman" w:eastAsia="Times New Roman" w:hAnsi="Times New Roman"/>
          <w:sz w:val="16"/>
          <w:szCs w:val="16"/>
          <w:color w:val="auto"/>
        </w:rPr>
      </w:pPr>
    </w:p>
    <w:p>
      <w:pPr>
        <w:ind w:left="1380" w:right="1279" w:hanging="304"/>
        <w:spacing w:after="0" w:line="282" w:lineRule="auto"/>
        <w:tabs>
          <w:tab w:leader="none" w:pos="1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subordinated to all existing and future indebtedness and other liabilities, including trade payables, of the existing and future Subsidiaries of such Guarantor that are not Guarantors.</w:t>
      </w:r>
    </w:p>
    <w:p>
      <w:pPr>
        <w:spacing w:after="0" w:line="48" w:lineRule="exact"/>
        <w:rPr>
          <w:sz w:val="20"/>
          <w:szCs w:val="20"/>
          <w:color w:val="auto"/>
        </w:rPr>
      </w:pPr>
    </w:p>
    <w:p>
      <w:pPr>
        <w:ind w:left="760" w:right="779" w:firstLine="320"/>
        <w:spacing w:after="0" w:line="257" w:lineRule="auto"/>
        <w:rPr>
          <w:sz w:val="20"/>
          <w:szCs w:val="20"/>
          <w:color w:val="auto"/>
        </w:rPr>
      </w:pPr>
      <w:r>
        <w:rPr>
          <w:rFonts w:ascii="Times New Roman" w:cs="Times New Roman" w:eastAsia="Times New Roman" w:hAnsi="Times New Roman"/>
          <w:sz w:val="16"/>
          <w:szCs w:val="16"/>
          <w:color w:val="auto"/>
        </w:rPr>
        <w:t>As of March 31, 2026, (i) the amount of indebtedness of the Company and the Initial Guarantors was approximately $14.3 billion, of which none was subordinated and none was secured and (ii) the total liabilities of the Company’s subsidiaries that are not Initial Guarantors (other than Finco), including trade payables, was approximately $7.0 billion. In addition, as of March 31, 2026 (i) the Company and the Initial Guarantors had an additional $3.5 billion of borrowing capacity under the Revolving Credit Facility and (ii) subsidiaries of the Company that are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29" w:name="page30"/>
    <w:bookmarkEnd w:id="29"/>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779"/>
        <w:spacing w:after="0" w:line="256" w:lineRule="auto"/>
        <w:rPr>
          <w:sz w:val="20"/>
          <w:szCs w:val="20"/>
          <w:color w:val="auto"/>
        </w:rPr>
      </w:pPr>
      <w:r>
        <w:rPr>
          <w:rFonts w:ascii="Times New Roman" w:cs="Times New Roman" w:eastAsia="Times New Roman" w:hAnsi="Times New Roman"/>
          <w:sz w:val="16"/>
          <w:szCs w:val="16"/>
          <w:color w:val="auto"/>
        </w:rPr>
        <w:t>not Initial Guarantors (other than Finco) had an additional $549 million of borrowing capacity under the Receivables Facility. These amounts do not give effect to the 2026 Senior Notes Transactions, the New Yen Term Loan Facility Transactions, the issuance of the notes in this offering or the use of proceeds from this offering, as described in “Summary—Recent Developments” and “Use of Proceeds.” For additional financial information related to the Company and the Initial Guarantors, see “Management’s Discussion and Analysis of Financial Condition and Results of Operations” in our 2025 Form 10-K and Q1 2026 Form 10-Q, each of which is incorporated by reference into this prospectus supplement.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Notes Guarantees</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Generally</w:t>
      </w:r>
    </w:p>
    <w:p>
      <w:pPr>
        <w:spacing w:after="0" w:line="108" w:lineRule="exact"/>
        <w:rPr>
          <w:sz w:val="20"/>
          <w:szCs w:val="20"/>
          <w:color w:val="auto"/>
        </w:rPr>
      </w:pPr>
    </w:p>
    <w:p>
      <w:pPr>
        <w:ind w:left="760" w:right="899" w:firstLine="320"/>
        <w:spacing w:after="0" w:line="258" w:lineRule="auto"/>
        <w:rPr>
          <w:sz w:val="20"/>
          <w:szCs w:val="20"/>
          <w:color w:val="auto"/>
        </w:rPr>
      </w:pPr>
      <w:r>
        <w:rPr>
          <w:rFonts w:ascii="Times New Roman" w:cs="Times New Roman" w:eastAsia="Times New Roman" w:hAnsi="Times New Roman"/>
          <w:sz w:val="16"/>
          <w:szCs w:val="16"/>
          <w:color w:val="auto"/>
        </w:rPr>
        <w:t>The notes will initially be fully and unconditionally guaranteed, jointly and severally, on a senior unsecured basis by the Initial Guarantors. The notes may be guaranteed by additional Subsidiaries of the Company in the future, as described below under “—Additional Guarantees.” The Guarantees of the notes by the Initial Guarantors and any other Guarantors may be released under certain circumstances, as described below under “—Release of Guarantees.”</w:t>
      </w:r>
    </w:p>
    <w:p>
      <w:pPr>
        <w:spacing w:after="0" w:line="68" w:lineRule="exact"/>
        <w:rPr>
          <w:sz w:val="20"/>
          <w:szCs w:val="20"/>
          <w:color w:val="auto"/>
        </w:rPr>
      </w:pPr>
    </w:p>
    <w:p>
      <w:pPr>
        <w:ind w:left="760" w:right="759" w:firstLine="320"/>
        <w:spacing w:after="0" w:line="257" w:lineRule="auto"/>
        <w:rPr>
          <w:sz w:val="20"/>
          <w:szCs w:val="20"/>
          <w:color w:val="auto"/>
        </w:rPr>
      </w:pPr>
      <w:r>
        <w:rPr>
          <w:rFonts w:ascii="Times New Roman" w:cs="Times New Roman" w:eastAsia="Times New Roman" w:hAnsi="Times New Roman"/>
          <w:sz w:val="16"/>
          <w:szCs w:val="16"/>
          <w:color w:val="auto"/>
        </w:rPr>
        <w:t>The obligations of each Guarantor under its Guarantee of the notes will be limited in amount to an amount not to exceed the maximum amount that can be guaranteed by the applicable Guarantor without rendering its Guarantee of the notes, as it relates to such Guarantor, voidable under applicable law relating to fraudulent conveyance or fraudulent transfer or similar laws affecting the rights of creditors generally. See “Risk Factors—Risks Related to the Notes—Under certain circumstances, a court could cancel the notes and guarantees under fraudulent conveyance laws.”</w:t>
      </w:r>
    </w:p>
    <w:p>
      <w:pPr>
        <w:spacing w:after="0" w:line="67" w:lineRule="exact"/>
        <w:rPr>
          <w:sz w:val="20"/>
          <w:szCs w:val="20"/>
          <w:color w:val="auto"/>
        </w:rPr>
      </w:pPr>
    </w:p>
    <w:p>
      <w:pPr>
        <w:ind w:left="760" w:right="799" w:firstLine="320"/>
        <w:spacing w:after="0" w:line="261" w:lineRule="auto"/>
        <w:rPr>
          <w:sz w:val="20"/>
          <w:szCs w:val="20"/>
          <w:color w:val="auto"/>
        </w:rPr>
      </w:pPr>
      <w:r>
        <w:rPr>
          <w:rFonts w:ascii="Times New Roman" w:cs="Times New Roman" w:eastAsia="Times New Roman" w:hAnsi="Times New Roman"/>
          <w:sz w:val="16"/>
          <w:szCs w:val="16"/>
          <w:color w:val="auto"/>
        </w:rPr>
        <w:t>One of the Initial Guarantors is a Dutch Guarantor and your rights related to the Guarantee of the notes by any Dutch Guarantor may not be as favorable as your rights related to the Guarantee of the notes by entities organized in the United States. For additional information, see “Risk Factors” and “Enforceability of Civil Liabilities” and “Certain Insolvency Law Considerations” in the accompanying prospectus.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Additional Guarantees</w:t>
      </w:r>
    </w:p>
    <w:p>
      <w:pPr>
        <w:spacing w:after="0" w:line="108" w:lineRule="exact"/>
        <w:rPr>
          <w:sz w:val="20"/>
          <w:szCs w:val="20"/>
          <w:color w:val="auto"/>
        </w:rPr>
      </w:pPr>
    </w:p>
    <w:p>
      <w:pPr>
        <w:ind w:left="760" w:right="779" w:firstLine="320"/>
        <w:spacing w:after="0" w:line="255" w:lineRule="auto"/>
        <w:rPr>
          <w:sz w:val="20"/>
          <w:szCs w:val="20"/>
          <w:color w:val="auto"/>
        </w:rPr>
      </w:pPr>
      <w:r>
        <w:rPr>
          <w:rFonts w:ascii="Times New Roman" w:cs="Times New Roman" w:eastAsia="Times New Roman" w:hAnsi="Times New Roman"/>
          <w:sz w:val="16"/>
          <w:szCs w:val="16"/>
          <w:color w:val="auto"/>
        </w:rPr>
        <w:t xml:space="preserve">If any Subsidiary of the Company (other than Finco or a Receivables Entity) that was not a Guarantor at the time of the execution of the supplemental indenture becomes a guarantor or an obligor in respect of any Triggering Indebtedness, within 10 Business Days of such event, the Company shall cause such Subsidiary to enter into a supplemental indenture pursuant to which such Subsidiary shall agree to Guarantee the notes, fully and unconditionally and on a senior unsecured basis;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a Subsidiary of the Company be required to provide a Guarantee of the notes if the Company reasonably determines that such Guarantee is prohibited by, or would be unduly burdensome under, applicable laws or would result in adverse tax consequences to the Company or any of its Subsidiaries.</w:t>
      </w:r>
    </w:p>
    <w:p>
      <w:pPr>
        <w:spacing w:after="0" w:line="70" w:lineRule="exact"/>
        <w:rPr>
          <w:sz w:val="20"/>
          <w:szCs w:val="20"/>
          <w:color w:val="auto"/>
        </w:rPr>
      </w:pPr>
    </w:p>
    <w:p>
      <w:pPr>
        <w:ind w:left="760" w:right="779" w:firstLine="320"/>
        <w:spacing w:after="0" w:line="256" w:lineRule="auto"/>
        <w:rPr>
          <w:sz w:val="20"/>
          <w:szCs w:val="20"/>
          <w:color w:val="auto"/>
        </w:rPr>
      </w:pPr>
      <w:r>
        <w:rPr>
          <w:rFonts w:ascii="Times New Roman" w:cs="Times New Roman" w:eastAsia="Times New Roman" w:hAnsi="Times New Roman"/>
          <w:sz w:val="16"/>
          <w:szCs w:val="16"/>
          <w:color w:val="auto"/>
        </w:rPr>
        <w:t>So long as any Finco Indebtedness remains outstanding, if Finco acquires and holds any material assets, other than (i) any intercompany notes or receivables or (ii) any proceeds from any indebtedness issued by Finco, within 10 Business Days of such event, the Company shall cause Finco to enter into a supplemental indenture pursuant to which Finco shall agree to Guarantee the notes, fully and unconditionally and on a senior unsecured basis, provided that in no event shall Finco be required to provide a Guarantee of the notes if the Company reasonably determines that such Guarantee is prohibited by, or would be unduly burdensome under, applicable laws or would result in adverse tax consequences to the Company or any of its Subsidiaries.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Release of Guarantees</w:t>
      </w:r>
    </w:p>
    <w:p>
      <w:pPr>
        <w:spacing w:after="0" w:line="108" w:lineRule="exact"/>
        <w:rPr>
          <w:sz w:val="20"/>
          <w:szCs w:val="20"/>
          <w:color w:val="auto"/>
        </w:rPr>
      </w:pPr>
    </w:p>
    <w:p>
      <w:pPr>
        <w:ind w:left="760" w:right="1339" w:firstLine="320"/>
        <w:spacing w:after="0" w:line="282" w:lineRule="auto"/>
        <w:rPr>
          <w:sz w:val="20"/>
          <w:szCs w:val="20"/>
          <w:color w:val="auto"/>
        </w:rPr>
      </w:pPr>
      <w:r>
        <w:rPr>
          <w:rFonts w:ascii="Times New Roman" w:cs="Times New Roman" w:eastAsia="Times New Roman" w:hAnsi="Times New Roman"/>
          <w:sz w:val="16"/>
          <w:szCs w:val="16"/>
          <w:color w:val="auto"/>
        </w:rPr>
        <w:t>The Guarantee of the notes by any Guarantor will be automatically and unconditionally terminated and released, without any action on the part of the Trustee, any holder of the notes or any other person:</w:t>
      </w:r>
    </w:p>
    <w:p>
      <w:pPr>
        <w:spacing w:after="0" w:line="48" w:lineRule="exact"/>
        <w:rPr>
          <w:sz w:val="20"/>
          <w:szCs w:val="20"/>
          <w:color w:val="auto"/>
        </w:rPr>
      </w:pPr>
    </w:p>
    <w:p>
      <w:pPr>
        <w:ind w:left="1380" w:right="1059" w:hanging="304"/>
        <w:spacing w:after="0" w:line="282"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sale or disposition of such Guarantor in a transaction that complies with the indenture such that such Guarantor ceases to be a Subsidiary of the Company;</w:t>
      </w:r>
    </w:p>
    <w:p>
      <w:pPr>
        <w:spacing w:after="0" w:line="48" w:lineRule="exact"/>
        <w:rPr>
          <w:rFonts w:ascii="Times New Roman" w:cs="Times New Roman" w:eastAsia="Times New Roman" w:hAnsi="Times New Roman"/>
          <w:sz w:val="16"/>
          <w:szCs w:val="16"/>
          <w:color w:val="auto"/>
        </w:rPr>
      </w:pPr>
    </w:p>
    <w:p>
      <w:pPr>
        <w:ind w:left="1380" w:right="859" w:hanging="304"/>
        <w:spacing w:after="0" w:line="261" w:lineRule="auto"/>
        <w:tabs>
          <w:tab w:leader="none" w:pos="1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exercises its “legal defeasance option” or its “covenant defeasance option” (as such terms are defined under “Description of Debt Securities and Guarantees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Events of Default” in the accompanying prospectus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with respect to the notes or if the Company’s obligations under the indenture are discharged with respect to the notes in accordance with the terms of the indenture;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380" w:right="839" w:hanging="304"/>
        <w:spacing w:after="0" w:line="257" w:lineRule="auto"/>
        <w:tabs>
          <w:tab w:leader="none" w:pos="1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in the case of any Guarantee by Finco, upon Finco no longer holding any material assets, other than (i) any intercompany notes or receivables or (ii) any proceeds from any indebtedness issued by Finco and (b) in the case of any Guarantee by any Guarantor other than Finco, upon such Guarantor no longer being an issuer or guarantor in respect of (i) Mylan Notes that have an aggregate principal amount in excess of $500.0 million or (ii) any Triggering Indebtedness, in the case of each of clauses (b)(i) and (ii), excluding any indebtedness or Guarantees, as applicable, that are being concurrently released; or</w:t>
      </w:r>
    </w:p>
    <w:p>
      <w:pPr>
        <w:spacing w:after="0" w:line="67" w:lineRule="exact"/>
        <w:rPr>
          <w:rFonts w:ascii="Times New Roman" w:cs="Times New Roman" w:eastAsia="Times New Roman" w:hAnsi="Times New Roman"/>
          <w:sz w:val="16"/>
          <w:szCs w:val="16"/>
          <w:color w:val="auto"/>
        </w:rPr>
      </w:pPr>
    </w:p>
    <w:p>
      <w:pPr>
        <w:ind w:left="1380" w:right="1119" w:hanging="304"/>
        <w:spacing w:after="0" w:line="266" w:lineRule="auto"/>
        <w:tabs>
          <w:tab w:leader="none" w:pos="1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receipt of the consent of the holders of a majority of the aggregate principal amount of the outstanding notes in accordance with the provisions described under the caption “Description of Debt Securities and Guarantees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Modification and Waiver” in the accompanying prospectus.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Trustee, Paying Agent and Registrar</w:t>
      </w:r>
    </w:p>
    <w:p>
      <w:pPr>
        <w:spacing w:after="0" w:line="106" w:lineRule="exact"/>
        <w:rPr>
          <w:sz w:val="20"/>
          <w:szCs w:val="20"/>
          <w:color w:val="auto"/>
        </w:rPr>
      </w:pPr>
    </w:p>
    <w:p>
      <w:pPr>
        <w:jc w:val="both"/>
        <w:ind w:left="760" w:right="799" w:firstLine="320"/>
        <w:spacing w:after="0" w:line="266" w:lineRule="auto"/>
        <w:rPr>
          <w:sz w:val="20"/>
          <w:szCs w:val="20"/>
          <w:color w:val="auto"/>
        </w:rPr>
      </w:pPr>
      <w:r>
        <w:rPr>
          <w:rFonts w:ascii="Times New Roman" w:cs="Times New Roman" w:eastAsia="Times New Roman" w:hAnsi="Times New Roman"/>
          <w:sz w:val="16"/>
          <w:szCs w:val="16"/>
          <w:color w:val="auto"/>
        </w:rPr>
        <w:t>The Bank of New York Mellon, London Branch will initially act as Paying Agent for the notes, and the Trustee will initially act as transfer agent, registrar and trustee for the notes. We may at any time designate additional Paying Agents or rescind the designations or approve a change in the offices where they act.</w:t>
      </w:r>
    </w:p>
    <w:p>
      <w:pPr>
        <w:spacing w:after="0" w:line="61" w:lineRule="exact"/>
        <w:rPr>
          <w:sz w:val="20"/>
          <w:szCs w:val="20"/>
          <w:color w:val="auto"/>
        </w:rPr>
      </w:pPr>
    </w:p>
    <w:p>
      <w:pPr>
        <w:ind w:left="760" w:right="779" w:firstLine="320"/>
        <w:spacing w:after="0" w:line="261" w:lineRule="auto"/>
        <w:rPr>
          <w:sz w:val="20"/>
          <w:szCs w:val="20"/>
          <w:color w:val="auto"/>
        </w:rPr>
      </w:pPr>
      <w:r>
        <w:rPr>
          <w:rFonts w:ascii="Times New Roman" w:cs="Times New Roman" w:eastAsia="Times New Roman" w:hAnsi="Times New Roman"/>
          <w:sz w:val="16"/>
          <w:szCs w:val="16"/>
          <w:color w:val="auto"/>
        </w:rPr>
        <w:t>Except during the continuance of an event of default, the Trustee will perform only such duties as are specifically set forth in the indenture. Upon the continuance of an event of default, the Trustee will exercise such of the rights and powers vested in it under the indenture, and use the same degree of care and skill in their exercise, as a prudent person would exercise or use in the conduct of such person’s own affairs in those circumstances.</w:t>
      </w:r>
    </w:p>
    <w:p>
      <w:pPr>
        <w:spacing w:after="0" w:line="65" w:lineRule="exact"/>
        <w:rPr>
          <w:sz w:val="20"/>
          <w:szCs w:val="20"/>
          <w:color w:val="auto"/>
        </w:rPr>
      </w:pPr>
    </w:p>
    <w:p>
      <w:pPr>
        <w:ind w:left="760" w:right="919" w:firstLine="320"/>
        <w:spacing w:after="0" w:line="261" w:lineRule="auto"/>
        <w:rPr>
          <w:sz w:val="20"/>
          <w:szCs w:val="20"/>
          <w:color w:val="auto"/>
        </w:rPr>
      </w:pPr>
      <w:r>
        <w:rPr>
          <w:rFonts w:ascii="Times New Roman" w:cs="Times New Roman" w:eastAsia="Times New Roman" w:hAnsi="Times New Roman"/>
          <w:sz w:val="16"/>
          <w:szCs w:val="16"/>
          <w:color w:val="auto"/>
        </w:rPr>
        <w:t>For so long as the notes are admitted to the Official List of Euronext Dublin and for trading on its Global Exchange Market and the rules of such exchange so require, the Company will deliver a notice of any change of paying agent, transfer agent, registrar or trustee for the notes to the Companies’ Announcement Office of Euronext Dublin.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Optional Redemption</w:t>
      </w:r>
    </w:p>
    <w:p>
      <w:pPr>
        <w:spacing w:after="0" w:line="106" w:lineRule="exact"/>
        <w:rPr>
          <w:sz w:val="20"/>
          <w:szCs w:val="20"/>
          <w:color w:val="auto"/>
        </w:rPr>
      </w:pPr>
    </w:p>
    <w:p>
      <w:pPr>
        <w:ind w:left="760" w:right="819" w:firstLine="320"/>
        <w:spacing w:after="0" w:line="266" w:lineRule="auto"/>
        <w:rPr>
          <w:sz w:val="20"/>
          <w:szCs w:val="20"/>
          <w:color w:val="auto"/>
        </w:rPr>
      </w:pPr>
      <w:r>
        <w:rPr>
          <w:rFonts w:ascii="Times New Roman" w:cs="Times New Roman" w:eastAsia="Times New Roman" w:hAnsi="Times New Roman"/>
          <w:sz w:val="16"/>
          <w:szCs w:val="16"/>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61" w:lineRule="exact"/>
        <w:rPr>
          <w:sz w:val="20"/>
          <w:szCs w:val="20"/>
          <w:color w:val="auto"/>
        </w:rPr>
      </w:pPr>
    </w:p>
    <w:p>
      <w:pPr>
        <w:ind w:left="1380" w:right="919" w:hanging="304"/>
        <w:spacing w:after="0" w:line="261" w:lineRule="auto"/>
        <w:tabs>
          <w:tab w:leader="none" w:pos="1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sum of the present values of the remaining scheduled payments of principal and interest thereon (not including any portion of such payments of interest accrued as of the date of redemption), discounted to the Redemption Date on an annual basis (ACTUAL/ACTUAL (ICMA)) at the applicable Comparable Government Bond Rate (as defined below) plus 25 basis points, and</w:t>
      </w:r>
    </w:p>
    <w:p>
      <w:pPr>
        <w:spacing w:after="0" w:line="6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100% of the principal amount of the notes to be redeemed,</w:t>
      </w:r>
    </w:p>
    <w:p>
      <w:pPr>
        <w:spacing w:after="0" w:line="1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plus, in either case, accrued and unpaid interest thereon to the Redemption Date.</w:t>
      </w:r>
    </w:p>
    <w:p>
      <w:pPr>
        <w:spacing w:after="0" w:line="104" w:lineRule="exact"/>
        <w:rPr>
          <w:sz w:val="20"/>
          <w:szCs w:val="20"/>
          <w:color w:val="auto"/>
        </w:rPr>
      </w:pPr>
    </w:p>
    <w:p>
      <w:pPr>
        <w:ind w:left="760" w:right="879" w:firstLine="320"/>
        <w:spacing w:after="0" w:line="266" w:lineRule="auto"/>
        <w:rPr>
          <w:sz w:val="20"/>
          <w:szCs w:val="20"/>
          <w:color w:val="auto"/>
        </w:rPr>
      </w:pPr>
      <w:r>
        <w:rPr>
          <w:rFonts w:ascii="Times New Roman" w:cs="Times New Roman" w:eastAsia="Times New Roman" w:hAnsi="Times New Roman"/>
          <w:sz w:val="16"/>
          <w:szCs w:val="16"/>
          <w:color w:val="auto"/>
        </w:rPr>
        <w:t>On or after the Par Call Date, the Company may redeem the notes at its option, in whole or in part, at any time and from time to time, at a Redemption Price equal to 100% of the principal amount of the notes being redeemed, plus accrued and unpaid interest thereon to the Redemption Date.</w:t>
      </w:r>
    </w:p>
    <w:p>
      <w:pPr>
        <w:spacing w:after="0" w:line="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Par Call Date</w:t>
      </w:r>
      <w:r>
        <w:rPr>
          <w:rFonts w:ascii="Times New Roman" w:cs="Times New Roman" w:eastAsia="Times New Roman" w:hAnsi="Times New Roman"/>
          <w:sz w:val="16"/>
          <w:szCs w:val="16"/>
          <w:color w:val="auto"/>
        </w:rPr>
        <w:t>” means April 17, 2033, the date that is two months prior to the maturity date for the notes.</w:t>
      </w:r>
    </w:p>
    <w:p>
      <w:pPr>
        <w:spacing w:after="0" w:line="104" w:lineRule="exact"/>
        <w:rPr>
          <w:sz w:val="20"/>
          <w:szCs w:val="20"/>
          <w:color w:val="auto"/>
        </w:rPr>
      </w:pPr>
    </w:p>
    <w:p>
      <w:pPr>
        <w:ind w:left="760" w:right="859" w:firstLine="320"/>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Comparable Government Bond</w:t>
      </w:r>
      <w:r>
        <w:rPr>
          <w:rFonts w:ascii="Times New Roman" w:cs="Times New Roman" w:eastAsia="Times New Roman" w:hAnsi="Times New Roman"/>
          <w:sz w:val="16"/>
          <w:szCs w:val="16"/>
          <w:color w:val="auto"/>
        </w:rPr>
        <w:t>” means, in relation to any Comparable Government Bond Rate calculation, at the discretion of an independent investment bank selected by us, a German government bond whose maturity is closest to the Par Call Date of the notes being redeemed,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67" w:lineRule="exact"/>
        <w:rPr>
          <w:sz w:val="20"/>
          <w:szCs w:val="20"/>
          <w:color w:val="auto"/>
        </w:rPr>
      </w:pPr>
    </w:p>
    <w:p>
      <w:pPr>
        <w:ind w:left="760" w:right="799" w:firstLine="320"/>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Comparable Government Bond Rate</w:t>
      </w:r>
      <w:r>
        <w:rPr>
          <w:rFonts w:ascii="Times New Roman" w:cs="Times New Roman" w:eastAsia="Times New Roman" w:hAnsi="Times New Roman"/>
          <w:sz w:val="16"/>
          <w:szCs w:val="16"/>
          <w:color w:val="auto"/>
        </w:rPr>
        <w:t>” means the yield to maturity, expressed as a percentage (rounded to three decimal places,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 selected by 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1" w:name="page32"/>
    <w:bookmarkEnd w:id="31"/>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819" w:firstLine="320"/>
        <w:spacing w:after="0" w:line="257" w:lineRule="auto"/>
        <w:rPr>
          <w:sz w:val="20"/>
          <w:szCs w:val="20"/>
          <w:color w:val="auto"/>
        </w:rPr>
      </w:pPr>
      <w:r>
        <w:rPr>
          <w:rFonts w:ascii="Times New Roman" w:cs="Times New Roman" w:eastAsia="Times New Roman" w:hAnsi="Times New Roman"/>
          <w:sz w:val="16"/>
          <w:szCs w:val="16"/>
          <w:color w:val="auto"/>
        </w:rPr>
        <w:t>Notice of any redemption will be mailed or electronically delivered (or otherwise transmitted in accordance with the depositary’s procedures) at least 10 days but (except in the case of a redemption subject to one or more conditions precedent, as described below) no more than 60 days before the Redemption Date to each holder of notes to be redeemed, at its registered address. The notice of redemption for the notes to be redeemed will state, among other things, the amount of such notes to be redeemed, the Redemption Date, and the place or places that payment will be made upon presentation and surrender of notes to be redeemed.</w:t>
      </w:r>
    </w:p>
    <w:p>
      <w:pPr>
        <w:spacing w:after="0" w:line="67" w:lineRule="exact"/>
        <w:rPr>
          <w:sz w:val="20"/>
          <w:szCs w:val="20"/>
          <w:color w:val="auto"/>
        </w:rPr>
      </w:pPr>
    </w:p>
    <w:p>
      <w:pPr>
        <w:ind w:left="760" w:right="779" w:firstLine="320"/>
        <w:spacing w:after="0" w:line="253" w:lineRule="auto"/>
        <w:rPr>
          <w:sz w:val="20"/>
          <w:szCs w:val="20"/>
          <w:color w:val="auto"/>
        </w:rPr>
      </w:pPr>
      <w:r>
        <w:rPr>
          <w:rFonts w:ascii="Times New Roman" w:cs="Times New Roman" w:eastAsia="Times New Roman" w:hAnsi="Times New Roman"/>
          <w:sz w:val="16"/>
          <w:szCs w:val="16"/>
          <w:color w:val="auto"/>
        </w:rPr>
        <w:t>Notice of any redemption of, or any offer to purchase, the notes may, at the Company’s discretion, be subject to one or more conditions precedent, including, but not limited to, completion or occurrence of a related transaction or event. If a notice of redemption or purchase is subject to satisfaction of one or more conditions precedent, such notice shall describe each such condition, and if applicable, shall state that, in the Company’s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by the redemption date or purchase date or by the redemption date or purchase date as so delayed, or such notice may be rescinded at any time in the Company’s discretion if the Company reasonably believes that any or all of such conditions will not be satisfied. In addition, the Company may provide in such notice or offer that payment of the redemption or purchase price and performance of the Company’s obligations with respect to such redemption or offer to purchase may be performed by another Person.</w:t>
      </w:r>
    </w:p>
    <w:p>
      <w:pPr>
        <w:spacing w:after="0" w:line="73" w:lineRule="exact"/>
        <w:rPr>
          <w:sz w:val="20"/>
          <w:szCs w:val="20"/>
          <w:color w:val="auto"/>
        </w:rPr>
      </w:pPr>
    </w:p>
    <w:p>
      <w:pPr>
        <w:ind w:left="760" w:right="799" w:firstLine="320"/>
        <w:spacing w:after="0" w:line="254" w:lineRule="auto"/>
        <w:rPr>
          <w:sz w:val="20"/>
          <w:szCs w:val="20"/>
          <w:color w:val="auto"/>
        </w:rPr>
      </w:pPr>
      <w:r>
        <w:rPr>
          <w:rFonts w:ascii="Times New Roman" w:cs="Times New Roman" w:eastAsia="Times New Roman" w:hAnsi="Times New Roman"/>
          <w:sz w:val="16"/>
          <w:szCs w:val="16"/>
          <w:color w:val="auto"/>
        </w:rPr>
        <w:t>If less than all of the notes are to be redeemed, the notes to be redeemed will be selected in accordance with applicable depositary procedures or, solely in the case of definitive notes, by lot on a pro rata basis; provided, however, that no notes of a principal amount of €100,000 or less shall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The notes are also subject to redemption prior to maturity if certain changes in U.S. tax law occur. If such changes occur, the notes may be redeemed at a redemption price of 100% of their principal amount plus accrued and unpaid interest to the date of redemption. See “— Redemption for Tax Reasons.”</w:t>
      </w:r>
    </w:p>
    <w:p>
      <w:pPr>
        <w:spacing w:after="0" w:line="73" w:lineRule="exact"/>
        <w:rPr>
          <w:sz w:val="20"/>
          <w:szCs w:val="20"/>
          <w:color w:val="auto"/>
        </w:rPr>
      </w:pPr>
    </w:p>
    <w:p>
      <w:pPr>
        <w:ind w:left="760" w:right="939" w:firstLine="320"/>
        <w:spacing w:after="0" w:line="282" w:lineRule="auto"/>
        <w:rPr>
          <w:sz w:val="20"/>
          <w:szCs w:val="20"/>
          <w:color w:val="auto"/>
        </w:rPr>
      </w:pPr>
      <w:r>
        <w:rPr>
          <w:rFonts w:ascii="Times New Roman" w:cs="Times New Roman" w:eastAsia="Times New Roman" w:hAnsi="Times New Roman"/>
          <w:sz w:val="16"/>
          <w:szCs w:val="16"/>
          <w:color w:val="auto"/>
        </w:rPr>
        <w:t>Unless the Company defaults in payment of the Redemption Price, on and after the Redemption Date interest will cease to accrue on the notes or portions thereof called for redemption.</w:t>
      </w:r>
    </w:p>
    <w:p>
      <w:pPr>
        <w:spacing w:after="0" w:line="48" w:lineRule="exact"/>
        <w:rPr>
          <w:sz w:val="20"/>
          <w:szCs w:val="20"/>
          <w:color w:val="auto"/>
        </w:rPr>
      </w:pPr>
    </w:p>
    <w:p>
      <w:pPr>
        <w:ind w:left="760" w:right="919" w:firstLine="320"/>
        <w:spacing w:after="0" w:line="266" w:lineRule="auto"/>
        <w:rPr>
          <w:sz w:val="20"/>
          <w:szCs w:val="20"/>
          <w:color w:val="auto"/>
        </w:rPr>
      </w:pPr>
      <w:r>
        <w:rPr>
          <w:rFonts w:ascii="Times New Roman" w:cs="Times New Roman" w:eastAsia="Times New Roman" w:hAnsi="Times New Roman"/>
          <w:sz w:val="16"/>
          <w:szCs w:val="16"/>
          <w:color w:val="auto"/>
        </w:rPr>
        <w:t>Neither the Trustee nor the Paying Agent shall have any obligation to determine, calculate or verify the calculation of the Redemption Price or the Comparable Government Bond Rate. Our actions and determinations in determining the Redemption Price shall be conclusive and binding for all purposes, absent manifest error.</w:t>
      </w:r>
    </w:p>
    <w:p>
      <w:pPr>
        <w:spacing w:after="0" w:line="61" w:lineRule="exact"/>
        <w:rPr>
          <w:sz w:val="20"/>
          <w:szCs w:val="20"/>
          <w:color w:val="auto"/>
        </w:rPr>
      </w:pPr>
    </w:p>
    <w:p>
      <w:pPr>
        <w:ind w:left="760" w:right="879" w:firstLine="320"/>
        <w:spacing w:after="0" w:line="258" w:lineRule="auto"/>
        <w:rPr>
          <w:sz w:val="20"/>
          <w:szCs w:val="20"/>
          <w:color w:val="auto"/>
        </w:rPr>
      </w:pPr>
      <w:r>
        <w:rPr>
          <w:rFonts w:ascii="Times New Roman" w:cs="Times New Roman" w:eastAsia="Times New Roman" w:hAnsi="Times New Roman"/>
          <w:sz w:val="16"/>
          <w:szCs w:val="16"/>
          <w:color w:val="auto"/>
        </w:rPr>
        <w:t>For so long as any notes are admitted to the Official List of Euronext Dublin and admitted for trading on its Global Exchange Market and the rules of Euronext Dublin so require, any such notice to the holders of the relevant notes shall also be delivered to the Companies’ Announcements Office of Euronext Dublin and, in connection with any redemption, the Company will notify Euronext Dublin of any change in the principal amount of the notes outstanding.</w:t>
      </w: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Payment of Additional Amounts</w:t>
      </w:r>
    </w:p>
    <w:p>
      <w:pPr>
        <w:spacing w:after="0" w:line="106" w:lineRule="exact"/>
        <w:rPr>
          <w:sz w:val="20"/>
          <w:szCs w:val="20"/>
          <w:color w:val="auto"/>
        </w:rPr>
      </w:pPr>
    </w:p>
    <w:p>
      <w:pPr>
        <w:ind w:left="760" w:right="759" w:firstLine="320"/>
        <w:spacing w:after="0" w:line="254" w:lineRule="auto"/>
        <w:rPr>
          <w:sz w:val="20"/>
          <w:szCs w:val="20"/>
          <w:color w:val="auto"/>
        </w:rPr>
      </w:pPr>
      <w:r>
        <w:rPr>
          <w:rFonts w:ascii="Times New Roman" w:cs="Times New Roman" w:eastAsia="Times New Roman" w:hAnsi="Times New Roman"/>
          <w:sz w:val="16"/>
          <w:szCs w:val="16"/>
          <w:color w:val="auto"/>
        </w:rPr>
        <w:t>The Company or, if applicable, any Guarantor will, subject to the exceptions and limitations set forth below, pay as additional interest on the notes or under its Guarantee in respect of the notes, as applicable, such additional amounts as are necessary such that the net payment by the Company, any Guarantor or a paying agent of the principal of and interest on the notes or under its Guarantee in respect of the notes, as applicable, to a holder, after withholding or deduction for any present or future tax, assessment or other governmental charge imposed by the United States, the Netherlands or any other jurisdiction in which the Company or any Guarantor or, in each case, any successor person substituted in accordance with the indenture may be organized or resident for tax purposes, as applicable, or any political subdivision or taxing authority thereof or therein (each a “Relevant Taxing Jurisdiction”), will not be less than the amount provided in the notes or under the Guarantee in respect of the notes, as applicable, to be then due and payable; provided that the foregoing obligation to pay additional amounts shall not apply:</w:t>
      </w:r>
    </w:p>
    <w:p>
      <w:pPr>
        <w:spacing w:after="0" w:line="71" w:lineRule="exact"/>
        <w:rPr>
          <w:sz w:val="20"/>
          <w:szCs w:val="20"/>
          <w:color w:val="auto"/>
        </w:rPr>
      </w:pPr>
    </w:p>
    <w:p>
      <w:pPr>
        <w:ind w:left="4360" w:right="999" w:hanging="3284"/>
        <w:spacing w:after="0" w:line="533" w:lineRule="auto"/>
        <w:tabs>
          <w:tab w:leader="none" w:pos="139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tax, assessment or other governmental charge that is imposed or withheld solely by reason of the 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-42545</wp:posOffset>
            </wp:positionV>
            <wp:extent cx="622427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2" w:name="page33"/>
    <w:bookmarkEnd w:id="32"/>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400" w:right="999"/>
        <w:spacing w:after="0" w:line="266" w:lineRule="auto"/>
        <w:rPr>
          <w:sz w:val="20"/>
          <w:szCs w:val="20"/>
          <w:color w:val="auto"/>
        </w:rPr>
      </w:pPr>
      <w:r>
        <w:rPr>
          <w:rFonts w:ascii="Times New Roman" w:cs="Times New Roman" w:eastAsia="Times New Roman" w:hAnsi="Times New Roman"/>
          <w:sz w:val="16"/>
          <w:szCs w:val="16"/>
          <w:color w:val="auto"/>
        </w:rPr>
        <w:t>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61" w:lineRule="exact"/>
        <w:rPr>
          <w:sz w:val="20"/>
          <w:szCs w:val="20"/>
          <w:color w:val="auto"/>
        </w:rPr>
      </w:pPr>
    </w:p>
    <w:p>
      <w:pPr>
        <w:ind w:left="1700" w:right="879" w:hanging="303"/>
        <w:spacing w:after="0" w:line="282" w:lineRule="auto"/>
        <w:tabs>
          <w:tab w:leader="none" w:pos="17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or having been present or engaged in a trade or business in the Relevant Taxing Jurisdiction or having had a permanent establishment in the Relevant Taxing Jurisdiction;</w:t>
      </w:r>
    </w:p>
    <w:p>
      <w:pPr>
        <w:spacing w:after="0" w:line="48" w:lineRule="exact"/>
        <w:rPr>
          <w:rFonts w:ascii="Times New Roman" w:cs="Times New Roman" w:eastAsia="Times New Roman" w:hAnsi="Times New Roman"/>
          <w:sz w:val="16"/>
          <w:szCs w:val="16"/>
          <w:color w:val="auto"/>
        </w:rPr>
      </w:pPr>
    </w:p>
    <w:p>
      <w:pPr>
        <w:ind w:left="1700" w:right="839" w:hanging="303"/>
        <w:spacing w:after="0" w:line="261" w:lineRule="auto"/>
        <w:tabs>
          <w:tab w:leader="none" w:pos="17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having a current or former connection with the Relevant Taxing Jurisdiction (other than a connection arising solely as a result of the ownership of the notes or the receipt of any payment or the enforcement of any rights thereunder), including a connection as a citizen or resident of the Relevant Taxing Jurisdiction;</w:t>
      </w:r>
    </w:p>
    <w:p>
      <w:pPr>
        <w:spacing w:after="0" w:line="64" w:lineRule="exact"/>
        <w:rPr>
          <w:rFonts w:ascii="Times New Roman" w:cs="Times New Roman" w:eastAsia="Times New Roman" w:hAnsi="Times New Roman"/>
          <w:sz w:val="16"/>
          <w:szCs w:val="16"/>
          <w:color w:val="auto"/>
        </w:rPr>
      </w:pPr>
    </w:p>
    <w:p>
      <w:pPr>
        <w:ind w:left="1700" w:right="819" w:hanging="303"/>
        <w:spacing w:after="0" w:line="266" w:lineRule="auto"/>
        <w:tabs>
          <w:tab w:leader="none" w:pos="17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60" w:lineRule="exact"/>
        <w:rPr>
          <w:rFonts w:ascii="Times New Roman" w:cs="Times New Roman" w:eastAsia="Times New Roman" w:hAnsi="Times New Roman"/>
          <w:sz w:val="16"/>
          <w:szCs w:val="16"/>
          <w:color w:val="auto"/>
        </w:rPr>
      </w:pPr>
    </w:p>
    <w:p>
      <w:pPr>
        <w:ind w:left="1700" w:right="939" w:hanging="303"/>
        <w:spacing w:after="0" w:line="266" w:lineRule="auto"/>
        <w:tabs>
          <w:tab w:leader="none" w:pos="17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or having been a “10-percent shareholder” of the Company or any Guarantor as defined in section 871(h)(3) of the United States Internal Revenue Code of 1986, as amended (the “</w:t>
      </w:r>
      <w:r>
        <w:rPr>
          <w:rFonts w:ascii="Times New Roman" w:cs="Times New Roman" w:eastAsia="Times New Roman" w:hAnsi="Times New Roman"/>
          <w:sz w:val="16"/>
          <w:szCs w:val="16"/>
          <w:i w:val="1"/>
          <w:iCs w:val="1"/>
          <w:color w:val="auto"/>
        </w:rPr>
        <w:t>Code</w:t>
      </w:r>
      <w:r>
        <w:rPr>
          <w:rFonts w:ascii="Times New Roman" w:cs="Times New Roman" w:eastAsia="Times New Roman" w:hAnsi="Times New Roman"/>
          <w:sz w:val="16"/>
          <w:szCs w:val="16"/>
          <w:color w:val="auto"/>
        </w:rPr>
        <w:t>”), or any successor provision; or</w:t>
      </w:r>
    </w:p>
    <w:p>
      <w:pPr>
        <w:spacing w:after="0" w:line="60" w:lineRule="exact"/>
        <w:rPr>
          <w:rFonts w:ascii="Times New Roman" w:cs="Times New Roman" w:eastAsia="Times New Roman" w:hAnsi="Times New Roman"/>
          <w:sz w:val="16"/>
          <w:szCs w:val="16"/>
          <w:color w:val="auto"/>
        </w:rPr>
      </w:pPr>
    </w:p>
    <w:p>
      <w:pPr>
        <w:ind w:left="1700" w:right="799" w:hanging="303"/>
        <w:spacing w:after="0" w:line="266" w:lineRule="auto"/>
        <w:tabs>
          <w:tab w:leader="none" w:pos="170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a bank receiving payments on an extension of credit made pursuant to a loan agreement entered into in the ordinary course of its trade or business, within the meaning of section 881(c)(3)(A) of the Code or any successor provision;</w:t>
      </w:r>
    </w:p>
    <w:p>
      <w:pPr>
        <w:spacing w:after="0" w:line="60" w:lineRule="exact"/>
        <w:rPr>
          <w:rFonts w:ascii="Times New Roman" w:cs="Times New Roman" w:eastAsia="Times New Roman" w:hAnsi="Times New Roman"/>
          <w:sz w:val="16"/>
          <w:szCs w:val="16"/>
          <w:color w:val="auto"/>
        </w:rPr>
      </w:pPr>
    </w:p>
    <w:p>
      <w:pPr>
        <w:ind w:left="1380" w:right="819" w:hanging="304"/>
        <w:spacing w:after="0" w:line="258" w:lineRule="auto"/>
        <w:tabs>
          <w:tab w:leader="none" w:pos="1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holder that is not the sole beneficial owner of the notes, or a portion of the notes, or that is a fiduciary or partnership, but only to the extent that a beneficiary or settlor with respect to the fiduciary, a Beneficial Owner or member of the partnership would not have been entitled to the payment of an additional amount had the beneficiary, settlor, Beneficial Owner or member received directly its beneficial or distributive share of the payment;</w:t>
      </w:r>
    </w:p>
    <w:p>
      <w:pPr>
        <w:spacing w:after="0" w:line="68" w:lineRule="exact"/>
        <w:rPr>
          <w:rFonts w:ascii="Times New Roman" w:cs="Times New Roman" w:eastAsia="Times New Roman" w:hAnsi="Times New Roman"/>
          <w:sz w:val="16"/>
          <w:szCs w:val="16"/>
          <w:color w:val="auto"/>
        </w:rPr>
      </w:pPr>
    </w:p>
    <w:p>
      <w:pPr>
        <w:ind w:left="1380" w:right="939" w:hanging="304"/>
        <w:spacing w:after="0" w:line="256" w:lineRule="auto"/>
        <w:tabs>
          <w:tab w:leader="none" w:pos="1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tax, assessment or other governmental charge that is imposed or otherwise withheld solely by reason of a failure of the holder or any other person to comply with certification, identification or information reporting requirements concerning the nationality, residence, identity or connection with the Relevant Taxing Jurisdiction of the holder or beneficial owner of the notes, if compliance is required by statute, by regulation of the Relevant Taxing Jurisdiction or any taxing authority therein or by an applicable income tax treaty to which the Relevant Taxing Jurisdiction is a party as a precondition to exemption from such tax, assessment or other governmental charge;</w:t>
      </w:r>
    </w:p>
    <w:p>
      <w:pPr>
        <w:spacing w:after="0" w:line="67" w:lineRule="exact"/>
        <w:rPr>
          <w:rFonts w:ascii="Times New Roman" w:cs="Times New Roman" w:eastAsia="Times New Roman" w:hAnsi="Times New Roman"/>
          <w:sz w:val="16"/>
          <w:szCs w:val="16"/>
          <w:color w:val="auto"/>
        </w:rPr>
      </w:pPr>
    </w:p>
    <w:p>
      <w:pPr>
        <w:ind w:left="1380" w:right="839" w:hanging="304"/>
        <w:spacing w:after="0" w:line="282" w:lineRule="auto"/>
        <w:tabs>
          <w:tab w:leader="none" w:pos="1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tax, assessment or other governmental charge that is imposed otherwise than by withholding by the Company or a paying agent from the payment;</w:t>
      </w:r>
    </w:p>
    <w:p>
      <w:pPr>
        <w:spacing w:after="0" w:line="48" w:lineRule="exact"/>
        <w:rPr>
          <w:rFonts w:ascii="Times New Roman" w:cs="Times New Roman" w:eastAsia="Times New Roman" w:hAnsi="Times New Roman"/>
          <w:sz w:val="16"/>
          <w:szCs w:val="16"/>
          <w:color w:val="auto"/>
        </w:rPr>
      </w:pPr>
    </w:p>
    <w:p>
      <w:pPr>
        <w:ind w:left="1380" w:right="1139" w:hanging="304"/>
        <w:spacing w:after="0" w:line="266" w:lineRule="auto"/>
        <w:tabs>
          <w:tab w:leader="none" w:pos="1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tax, assessment or other governmental charge that is imposed or withheld solely by reason of a change in law, regulation, or administrative or judicial interpretation that becomes effective after the payment becomes due or is duly provided for, whichever occurs later;</w:t>
      </w:r>
    </w:p>
    <w:p>
      <w:pPr>
        <w:spacing w:after="0" w:line="60" w:lineRule="exact"/>
        <w:rPr>
          <w:rFonts w:ascii="Times New Roman" w:cs="Times New Roman" w:eastAsia="Times New Roman" w:hAnsi="Times New Roman"/>
          <w:sz w:val="16"/>
          <w:szCs w:val="16"/>
          <w:color w:val="auto"/>
        </w:rPr>
      </w:pPr>
    </w:p>
    <w:p>
      <w:pPr>
        <w:ind w:left="1380" w:right="1279" w:hanging="304"/>
        <w:spacing w:after="0" w:line="282" w:lineRule="auto"/>
        <w:tabs>
          <w:tab w:leader="none" w:pos="1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estate, inheritance, gift, sales, excise, transfer, wealth or personal property tax or similar tax, assessment or other governmental charge;</w:t>
      </w:r>
    </w:p>
    <w:p>
      <w:pPr>
        <w:spacing w:after="0" w:line="48" w:lineRule="exact"/>
        <w:rPr>
          <w:rFonts w:ascii="Times New Roman" w:cs="Times New Roman" w:eastAsia="Times New Roman" w:hAnsi="Times New Roman"/>
          <w:sz w:val="16"/>
          <w:szCs w:val="16"/>
          <w:color w:val="auto"/>
        </w:rPr>
      </w:pPr>
    </w:p>
    <w:p>
      <w:pPr>
        <w:ind w:left="1380" w:right="1139" w:hanging="304"/>
        <w:spacing w:after="0" w:line="261" w:lineRule="auto"/>
        <w:tabs>
          <w:tab w:leader="none" w:pos="1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tax, assessment or other governmental charge withheld by any paying agent (which term may include us) from any payment of principal of or interest on any note, if the holder or beneficial owner would have been able to avoid such withholding by presenting the note to another available payment agent;</w:t>
      </w:r>
    </w:p>
    <w:p>
      <w:pPr>
        <w:spacing w:after="0" w:line="64" w:lineRule="exact"/>
        <w:rPr>
          <w:rFonts w:ascii="Times New Roman" w:cs="Times New Roman" w:eastAsia="Times New Roman" w:hAnsi="Times New Roman"/>
          <w:sz w:val="16"/>
          <w:szCs w:val="16"/>
          <w:color w:val="auto"/>
        </w:rPr>
      </w:pPr>
    </w:p>
    <w:p>
      <w:pPr>
        <w:ind w:left="1380" w:right="839" w:hanging="304"/>
        <w:spacing w:after="0" w:line="261" w:lineRule="auto"/>
        <w:tabs>
          <w:tab w:leader="none" w:pos="1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tax, assessment or other governmental charge that would not have been so imposed or withheld but for the presentation by the holder of any note for payment on a date more than 30 days after the date on which such payment became due and payable or the date on which payment thereof is duly provided for, whichever occurs later;</w:t>
      </w:r>
    </w:p>
    <w:p>
      <w:pPr>
        <w:spacing w:after="0" w:line="64" w:lineRule="exact"/>
        <w:rPr>
          <w:rFonts w:ascii="Times New Roman" w:cs="Times New Roman" w:eastAsia="Times New Roman" w:hAnsi="Times New Roman"/>
          <w:sz w:val="16"/>
          <w:szCs w:val="16"/>
          <w:color w:val="auto"/>
        </w:rPr>
      </w:pPr>
    </w:p>
    <w:p>
      <w:pPr>
        <w:ind w:left="1380" w:right="899" w:hanging="304"/>
        <w:spacing w:after="0" w:line="261" w:lineRule="auto"/>
        <w:tabs>
          <w:tab w:leader="none" w:pos="1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tax, assessment or other governmental charge imposed pursuant to sections 1471 through 1474 of the Code (or any regulations or agreements thereunder or official interpretations thereof, or any amended or successor provisions), any agreement entered into pursuant to section 1471(b) of the Code, or any intergovernmental agreement between the United States and another jurisdiction facilitating the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400" w:right="1199"/>
        <w:spacing w:after="0" w:line="266" w:lineRule="auto"/>
        <w:rPr>
          <w:sz w:val="20"/>
          <w:szCs w:val="20"/>
          <w:color w:val="auto"/>
        </w:rPr>
      </w:pPr>
      <w:r>
        <w:rPr>
          <w:rFonts w:ascii="Times New Roman" w:cs="Times New Roman" w:eastAsia="Times New Roman" w:hAnsi="Times New Roman"/>
          <w:sz w:val="16"/>
          <w:szCs w:val="16"/>
          <w:color w:val="auto"/>
        </w:rPr>
        <w:t>implementation thereof (or any law, regulation, or other official guidance enacted in any jurisdiction implementing sections 1471 through 1474 of the Code or implementing such an intergovernmental agreement in connection with sections 1471 through 1474 of the Code);</w:t>
      </w:r>
    </w:p>
    <w:p>
      <w:pPr>
        <w:spacing w:after="0" w:line="61" w:lineRule="exact"/>
        <w:rPr>
          <w:sz w:val="20"/>
          <w:szCs w:val="20"/>
          <w:color w:val="auto"/>
        </w:rPr>
      </w:pPr>
    </w:p>
    <w:p>
      <w:pPr>
        <w:ind w:left="1380" w:right="879" w:hanging="304"/>
        <w:spacing w:after="0" w:line="282" w:lineRule="auto"/>
        <w:tabs>
          <w:tab w:leader="none" w:pos="1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tax, assessment or other governmental charge imposed pursuant to the Dutch Withholding Tax Act 2021 (</w:t>
      </w:r>
      <w:r>
        <w:rPr>
          <w:rFonts w:ascii="Times New Roman" w:cs="Times New Roman" w:eastAsia="Times New Roman" w:hAnsi="Times New Roman"/>
          <w:sz w:val="16"/>
          <w:szCs w:val="16"/>
          <w:i w:val="1"/>
          <w:iCs w:val="1"/>
          <w:color w:val="auto"/>
        </w:rPr>
        <w:t>Wet bronbelasting 2021</w:t>
      </w:r>
      <w:r>
        <w:rPr>
          <w:rFonts w:ascii="Times New Roman" w:cs="Times New Roman" w:eastAsia="Times New Roman" w:hAnsi="Times New Roman"/>
          <w:sz w:val="16"/>
          <w:szCs w:val="16"/>
          <w:color w:val="auto"/>
        </w:rPr>
        <w:t>); or</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combination of the above items.</w:t>
      </w:r>
    </w:p>
    <w:p>
      <w:pPr>
        <w:spacing w:after="0" w:line="104" w:lineRule="exact"/>
        <w:rPr>
          <w:sz w:val="20"/>
          <w:szCs w:val="20"/>
          <w:color w:val="auto"/>
        </w:rPr>
      </w:pPr>
    </w:p>
    <w:p>
      <w:pPr>
        <w:ind w:left="760" w:right="779" w:firstLine="320"/>
        <w:spacing w:after="0" w:line="258" w:lineRule="auto"/>
        <w:rPr>
          <w:sz w:val="20"/>
          <w:szCs w:val="20"/>
          <w:color w:val="auto"/>
        </w:rPr>
      </w:pPr>
      <w:r>
        <w:rPr>
          <w:rFonts w:ascii="Times New Roman" w:cs="Times New Roman" w:eastAsia="Times New Roman" w:hAnsi="Times New Roman"/>
          <w:sz w:val="16"/>
          <w:szCs w:val="16"/>
          <w:color w:val="auto"/>
        </w:rPr>
        <w:t>The notes are subject in all cases to any tax, fiscal or other law or regulation or administrative or judicial interpretation applicable to the notes. Except as specifically provided under this heading “— Payment of Additional Amounts” and under the heading “— Redemption for Tax Reasons,” the Company will not be required to make any payment for any tax, assessment or other governmental charge imposed by any government or a political subdivision or taxing authority of or in any government or political subdivision.</w:t>
      </w:r>
    </w:p>
    <w:p>
      <w:pPr>
        <w:spacing w:after="0" w:line="68" w:lineRule="exact"/>
        <w:rPr>
          <w:sz w:val="20"/>
          <w:szCs w:val="20"/>
          <w:color w:val="auto"/>
        </w:rPr>
      </w:pPr>
    </w:p>
    <w:p>
      <w:pPr>
        <w:ind w:left="760" w:right="859" w:firstLine="320"/>
        <w:spacing w:after="0" w:line="255" w:lineRule="auto"/>
        <w:rPr>
          <w:sz w:val="20"/>
          <w:szCs w:val="20"/>
          <w:color w:val="auto"/>
        </w:rPr>
      </w:pPr>
      <w:r>
        <w:rPr>
          <w:rFonts w:ascii="Times New Roman" w:cs="Times New Roman" w:eastAsia="Times New Roman" w:hAnsi="Times New Roman"/>
          <w:sz w:val="16"/>
          <w:szCs w:val="16"/>
          <w:color w:val="auto"/>
        </w:rPr>
        <w:t>As used under this heading “— Payment of Additional Amounts” and under the heading “— Redemption for Tax Reasons”, the term “</w:t>
      </w:r>
      <w:r>
        <w:rPr>
          <w:rFonts w:ascii="Times New Roman" w:cs="Times New Roman" w:eastAsia="Times New Roman" w:hAnsi="Times New Roman"/>
          <w:sz w:val="16"/>
          <w:szCs w:val="16"/>
          <w:i w:val="1"/>
          <w:iCs w:val="1"/>
          <w:color w:val="auto"/>
        </w:rPr>
        <w:t>United States</w:t>
      </w:r>
      <w:r>
        <w:rPr>
          <w:rFonts w:ascii="Times New Roman" w:cs="Times New Roman" w:eastAsia="Times New Roman" w:hAnsi="Times New Roman"/>
          <w:sz w:val="16"/>
          <w:szCs w:val="16"/>
          <w:color w:val="auto"/>
        </w:rPr>
        <w:t>” means the United States of America (including the states and the District of Columbia) and its territories, possessions and other areas subject to its jurisdiction and “</w:t>
      </w:r>
      <w:r>
        <w:rPr>
          <w:rFonts w:ascii="Times New Roman" w:cs="Times New Roman" w:eastAsia="Times New Roman" w:hAnsi="Times New Roman"/>
          <w:sz w:val="16"/>
          <w:szCs w:val="16"/>
          <w:i w:val="1"/>
          <w:iCs w:val="1"/>
          <w:color w:val="auto"/>
        </w:rPr>
        <w:t>United States person</w:t>
      </w:r>
      <w:r>
        <w:rPr>
          <w:rFonts w:ascii="Times New Roman" w:cs="Times New Roman" w:eastAsia="Times New Roman" w:hAnsi="Times New Roman"/>
          <w:sz w:val="16"/>
          <w:szCs w:val="16"/>
          <w:color w:val="auto"/>
        </w:rPr>
        <w:t>”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for U.S. federal income tax purposes), or any estate or trust the income of which is subject to United States federal income taxation regardless of its source.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Redemption for Tax Reasons</w:t>
      </w:r>
    </w:p>
    <w:p>
      <w:pPr>
        <w:spacing w:after="0" w:line="106" w:lineRule="exact"/>
        <w:rPr>
          <w:sz w:val="20"/>
          <w:szCs w:val="20"/>
          <w:color w:val="auto"/>
        </w:rPr>
      </w:pPr>
    </w:p>
    <w:p>
      <w:pPr>
        <w:ind w:left="760" w:right="779" w:firstLine="320"/>
        <w:spacing w:after="0" w:line="254" w:lineRule="auto"/>
        <w:rPr>
          <w:sz w:val="20"/>
          <w:szCs w:val="20"/>
          <w:color w:val="auto"/>
        </w:rPr>
      </w:pPr>
      <w:r>
        <w:rPr>
          <w:rFonts w:ascii="Times New Roman" w:cs="Times New Roman" w:eastAsia="Times New Roman" w:hAnsi="Times New Roman"/>
          <w:sz w:val="16"/>
          <w:szCs w:val="16"/>
          <w:color w:val="auto"/>
        </w:rPr>
        <w:t>If, as a result of any change in, or amendment to, the laws (or any regulations, rulings or treaties promulgated under the laws) of any Relevant Taxing Jurisdiction, or any change in, or amendment to, an official position regarding the application or interpretation of such laws, regulations, rulings or treaties, which change or amendment is announced or becomes effective on or after the date of this prospectus supplement, the Company or any Guarantor becomes or, based upon a written opinion of independent counsel selected by us, will become obligated to pay additional amounts as described herein under the heading “— Payment of Additional Amounts” with respect to the notes, then the Company may at its option redeem, in whole, but not in part, the notes on not less than 10 nor (except in the case of a redemption subject to one or more conditions precedent, as described above under “— Optional Redemption”) more than 60 days prior notice, at a redemption price equal to 100% of their principal amount, together with interest accrued but unpaid on those notes to the date fixed for redemption.</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Purchase of Notes upon a Change of Control Repurchase Event</w:t>
      </w:r>
    </w:p>
    <w:p>
      <w:pPr>
        <w:spacing w:after="0" w:line="106" w:lineRule="exact"/>
        <w:rPr>
          <w:sz w:val="20"/>
          <w:szCs w:val="20"/>
          <w:color w:val="auto"/>
        </w:rPr>
      </w:pPr>
    </w:p>
    <w:p>
      <w:pPr>
        <w:ind w:left="760" w:right="779" w:firstLine="320"/>
        <w:spacing w:after="0" w:line="253" w:lineRule="auto"/>
        <w:rPr>
          <w:sz w:val="20"/>
          <w:szCs w:val="20"/>
          <w:color w:val="auto"/>
        </w:rPr>
      </w:pPr>
      <w:r>
        <w:rPr>
          <w:rFonts w:ascii="Times New Roman" w:cs="Times New Roman" w:eastAsia="Times New Roman" w:hAnsi="Times New Roman"/>
          <w:sz w:val="16"/>
          <w:szCs w:val="16"/>
          <w:color w:val="auto"/>
        </w:rPr>
        <w:t>If a Change of Control Repurchase Event occurs with respect to the notes, unless the Company has exercised its right to redeem the notes, each holder of notes will have the right to require that the Company purchase all or any part (in denominations of €100,000 and integral multiples of €1,000 in excess thereof) of such holder’s notes pursuant to the offer described below (a “</w:t>
      </w:r>
      <w:r>
        <w:rPr>
          <w:rFonts w:ascii="Times New Roman" w:cs="Times New Roman" w:eastAsia="Times New Roman" w:hAnsi="Times New Roman"/>
          <w:sz w:val="16"/>
          <w:szCs w:val="16"/>
          <w:i w:val="1"/>
          <w:iCs w:val="1"/>
          <w:color w:val="auto"/>
        </w:rPr>
        <w:t>Change of Control Offer</w:t>
      </w:r>
      <w:r>
        <w:rPr>
          <w:rFonts w:ascii="Times New Roman" w:cs="Times New Roman" w:eastAsia="Times New Roman" w:hAnsi="Times New Roman"/>
          <w:sz w:val="16"/>
          <w:szCs w:val="16"/>
          <w:color w:val="auto"/>
        </w:rPr>
        <w:t>”) on the terms set forth in the indenture. In the Change of Control Offer, the Company will offer to purchase all of the notes at a purchase price (the “</w:t>
      </w:r>
      <w:r>
        <w:rPr>
          <w:rFonts w:ascii="Times New Roman" w:cs="Times New Roman" w:eastAsia="Times New Roman" w:hAnsi="Times New Roman"/>
          <w:sz w:val="16"/>
          <w:szCs w:val="16"/>
          <w:i w:val="1"/>
          <w:iCs w:val="1"/>
          <w:color w:val="auto"/>
        </w:rPr>
        <w:t>Change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Control Purchase Price</w:t>
      </w:r>
      <w:r>
        <w:rPr>
          <w:rFonts w:ascii="Times New Roman" w:cs="Times New Roman" w:eastAsia="Times New Roman" w:hAnsi="Times New Roman"/>
          <w:sz w:val="16"/>
          <w:szCs w:val="16"/>
          <w:color w:val="auto"/>
        </w:rPr>
        <w:t>”) in cash in an amount equal to 101% of the principal amount of the notes to be purchased,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plus accrued and unpaid interest thereon, if any, to, but excluding, the date of purchase (the “</w:t>
      </w:r>
      <w:r>
        <w:rPr>
          <w:rFonts w:ascii="Times New Roman" w:cs="Times New Roman" w:eastAsia="Times New Roman" w:hAnsi="Times New Roman"/>
          <w:sz w:val="16"/>
          <w:szCs w:val="16"/>
          <w:i w:val="1"/>
          <w:iCs w:val="1"/>
          <w:color w:val="auto"/>
        </w:rPr>
        <w:t>Change of Control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Purchase Date</w:t>
      </w:r>
      <w:r>
        <w:rPr>
          <w:rFonts w:ascii="Times New Roman" w:cs="Times New Roman" w:eastAsia="Times New Roman" w:hAnsi="Times New Roman"/>
          <w:sz w:val="16"/>
          <w:szCs w:val="16"/>
          <w:color w:val="auto"/>
        </w:rPr>
        <w:t>”). If the Change of Control Purchase Date, however, is on or after a regular record date and 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before the related interest payment date, the accrued and unpaid interest thereon, if any, will be paid to the person in whose name the note is registered at the close of business on such regular record date, and no additional interest will be payable to holders whose notes are subject to purchase by the Company.</w:t>
      </w:r>
    </w:p>
    <w:p>
      <w:pPr>
        <w:spacing w:after="0" w:line="77" w:lineRule="exact"/>
        <w:rPr>
          <w:sz w:val="20"/>
          <w:szCs w:val="20"/>
          <w:color w:val="auto"/>
        </w:rPr>
      </w:pPr>
    </w:p>
    <w:p>
      <w:pPr>
        <w:ind w:left="760" w:right="799" w:firstLine="320"/>
        <w:spacing w:after="0" w:line="257" w:lineRule="auto"/>
        <w:rPr>
          <w:sz w:val="20"/>
          <w:szCs w:val="20"/>
          <w:color w:val="auto"/>
        </w:rPr>
      </w:pPr>
      <w:r>
        <w:rPr>
          <w:rFonts w:ascii="Times New Roman" w:cs="Times New Roman" w:eastAsia="Times New Roman" w:hAnsi="Times New Roman"/>
          <w:sz w:val="16"/>
          <w:szCs w:val="16"/>
          <w:color w:val="auto"/>
        </w:rPr>
        <w:t>Within 30 days after any Change of Control Repurchase Event with respect to the notes or, at the Company’s option, prior to such Change of Control Repurchase Event but after the related Change of Control is publicly announced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definitive agreement is in place for such Change of Control), the Company must cause written notice of the Change of Control Repurchase Event to be distributed to the Trustee, and the Trustee will then promptly forward such notice to each holder of notes, by first-class mail, postage prepaid, at its address appearing in the security register. The notice must state, among other things:</w:t>
      </w:r>
    </w:p>
    <w:p>
      <w:pPr>
        <w:spacing w:after="0" w:line="67" w:lineRule="exact"/>
        <w:rPr>
          <w:sz w:val="20"/>
          <w:szCs w:val="20"/>
          <w:color w:val="auto"/>
        </w:rPr>
      </w:pPr>
    </w:p>
    <w:p>
      <w:pPr>
        <w:ind w:left="1380" w:right="999" w:hanging="304"/>
        <w:spacing w:after="0" w:line="282" w:lineRule="auto"/>
        <w:tabs>
          <w:tab w:leader="none" w:pos="1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 Change of Control Repurchase Event has occurred or may occur with respect to the notes and the date of such event;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4" w:name="page35"/>
    <w:bookmarkEnd w:id="3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380" w:right="779" w:hanging="304"/>
        <w:spacing w:after="0" w:line="258" w:lineRule="auto"/>
        <w:tabs>
          <w:tab w:leader="none" w:pos="1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purchase price and the purchase date which shall be fixed by the Company on a Business Day no earlier than 10 days nor later than 60 days from the date the notice is sent, or such later date as is necessary to comply with requirements under the Exchange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purchase date may not occur prior to, and the purchase date shall be extended (including to a date more than 60 days from the date the notice is sent) to, the closing of the Change of Control;</w:t>
      </w:r>
    </w:p>
    <w:p>
      <w:pPr>
        <w:spacing w:after="0" w:line="6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any note not tendered will continue to accrue interest;</w:t>
      </w:r>
    </w:p>
    <w:p>
      <w:pPr>
        <w:spacing w:after="0" w:line="104" w:lineRule="exact"/>
        <w:rPr>
          <w:rFonts w:ascii="Times New Roman" w:cs="Times New Roman" w:eastAsia="Times New Roman" w:hAnsi="Times New Roman"/>
          <w:sz w:val="16"/>
          <w:szCs w:val="16"/>
          <w:color w:val="auto"/>
        </w:rPr>
      </w:pPr>
    </w:p>
    <w:p>
      <w:pPr>
        <w:ind w:left="1380" w:right="1159" w:hanging="304"/>
        <w:spacing w:after="0" w:line="266" w:lineRule="auto"/>
        <w:tabs>
          <w:tab w:leader="none" w:pos="1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unless the Company defaults in the payment of the Change of Control Purchase Price, any notes accepted for payment pursuant to the Change of Control Offer shall cease to accrue interest after the Change of Control Purchase Date; and</w:t>
      </w:r>
    </w:p>
    <w:p>
      <w:pPr>
        <w:spacing w:after="0" w:line="60" w:lineRule="exact"/>
        <w:rPr>
          <w:rFonts w:ascii="Times New Roman" w:cs="Times New Roman" w:eastAsia="Times New Roman" w:hAnsi="Times New Roman"/>
          <w:sz w:val="16"/>
          <w:szCs w:val="16"/>
          <w:color w:val="auto"/>
        </w:rPr>
      </w:pPr>
    </w:p>
    <w:p>
      <w:pPr>
        <w:ind w:left="1380" w:right="1039" w:hanging="304"/>
        <w:spacing w:after="0" w:line="282" w:lineRule="auto"/>
        <w:tabs>
          <w:tab w:leader="none" w:pos="1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procedures that a holder of notes must follow to accept a Change of Control Offer or to withdraw acceptance of the Change of Control Offer.</w:t>
      </w:r>
    </w:p>
    <w:p>
      <w:pPr>
        <w:spacing w:after="0" w:line="48" w:lineRule="exact"/>
        <w:rPr>
          <w:sz w:val="20"/>
          <w:szCs w:val="20"/>
          <w:color w:val="auto"/>
        </w:rPr>
      </w:pPr>
    </w:p>
    <w:p>
      <w:pPr>
        <w:ind w:left="760" w:right="859" w:firstLine="320"/>
        <w:spacing w:after="0" w:line="256" w:lineRule="auto"/>
        <w:rPr>
          <w:sz w:val="20"/>
          <w:szCs w:val="20"/>
          <w:color w:val="auto"/>
        </w:rPr>
      </w:pPr>
      <w:r>
        <w:rPr>
          <w:rFonts w:ascii="Times New Roman" w:cs="Times New Roman" w:eastAsia="Times New Roman" w:hAnsi="Times New Roman"/>
          <w:sz w:val="16"/>
          <w:szCs w:val="16"/>
          <w:color w:val="auto"/>
        </w:rPr>
        <w:t>The Company may exercise its right to redeem all or a portion of the notes, as described herein, even if a Change of Control Offer is made. The Company will not be required to make a Change of Control Offer upon a Change of Control Repurchase Event or to repurchase the notes pursuant to this covenant if (i) a third party makes the Change of Control Offer in the manner, at the times and otherwise in compliance with the requirements described in the indenture applicable to a Change of Control Offer made by the Company and purchases all notes validly tendered and not withdrawn under such Change of Control Offer or (ii) the Company has exercised the right to redeem all of the notes as described herein.</w:t>
      </w:r>
    </w:p>
    <w:p>
      <w:pPr>
        <w:spacing w:after="0" w:line="68" w:lineRule="exact"/>
        <w:rPr>
          <w:sz w:val="20"/>
          <w:szCs w:val="20"/>
          <w:color w:val="auto"/>
        </w:rPr>
      </w:pPr>
    </w:p>
    <w:p>
      <w:pPr>
        <w:ind w:left="760" w:right="819" w:firstLine="320"/>
        <w:spacing w:after="0" w:line="257" w:lineRule="auto"/>
        <w:rPr>
          <w:sz w:val="20"/>
          <w:szCs w:val="20"/>
          <w:color w:val="auto"/>
        </w:rPr>
      </w:pPr>
      <w:r>
        <w:rPr>
          <w:rFonts w:ascii="Times New Roman" w:cs="Times New Roman" w:eastAsia="Times New Roman" w:hAnsi="Times New Roman"/>
          <w:sz w:val="16"/>
          <w:szCs w:val="16"/>
          <w:color w:val="auto"/>
        </w:rPr>
        <w:t>The definition of Change of Control includes a phrase relating to the sale, lease, transfer, conveyance or other disposition of “all or substantially all” of the Company’s assets. The phrase “all or substantially all” as used in the definition of “Change of Control” has not been interpreted under New York state law (which is the governing law of the indenture) to represent a specific quantitative test. Therefore, if holders of the notes elected to exercise their rights under the indenture and the Company elected to contest such election, it is not clear how a court interpreting New York state law would interpret such phrase.</w:t>
      </w:r>
    </w:p>
    <w:p>
      <w:pPr>
        <w:spacing w:after="0" w:line="67" w:lineRule="exact"/>
        <w:rPr>
          <w:sz w:val="20"/>
          <w:szCs w:val="20"/>
          <w:color w:val="auto"/>
        </w:rPr>
      </w:pPr>
    </w:p>
    <w:p>
      <w:pPr>
        <w:jc w:val="both"/>
        <w:ind w:left="760" w:right="899" w:firstLine="320"/>
        <w:spacing w:after="0" w:line="266" w:lineRule="auto"/>
        <w:rPr>
          <w:sz w:val="20"/>
          <w:szCs w:val="20"/>
          <w:color w:val="auto"/>
        </w:rPr>
      </w:pPr>
      <w:r>
        <w:rPr>
          <w:rFonts w:ascii="Times New Roman" w:cs="Times New Roman" w:eastAsia="Times New Roman" w:hAnsi="Times New Roman"/>
          <w:sz w:val="16"/>
          <w:szCs w:val="16"/>
          <w:color w:val="auto"/>
        </w:rPr>
        <w:t>The existence of a holder’s right to require the Company to repurchase such holder’s notes upon a Change of Control Repurchase Event may deter a third party from acquiring the Company in a transaction which constitutes a Change of Control.</w:t>
      </w:r>
    </w:p>
    <w:p>
      <w:pPr>
        <w:spacing w:after="0" w:line="61" w:lineRule="exact"/>
        <w:rPr>
          <w:sz w:val="20"/>
          <w:szCs w:val="20"/>
          <w:color w:val="auto"/>
        </w:rPr>
      </w:pPr>
    </w:p>
    <w:p>
      <w:pPr>
        <w:ind w:left="760" w:right="939" w:firstLine="320"/>
        <w:spacing w:after="0" w:line="257" w:lineRule="auto"/>
        <w:rPr>
          <w:sz w:val="20"/>
          <w:szCs w:val="20"/>
          <w:color w:val="auto"/>
        </w:rPr>
      </w:pPr>
      <w:r>
        <w:rPr>
          <w:rFonts w:ascii="Times New Roman" w:cs="Times New Roman" w:eastAsia="Times New Roman" w:hAnsi="Times New Roman"/>
          <w:sz w:val="16"/>
          <w:szCs w:val="16"/>
          <w:color w:val="auto"/>
        </w:rPr>
        <w:t>The provisions of the indenture will not afford holders of the notes the right to require the Company to repurchase the notes in the event of a highly leveraged transaction or certain transactions with the Company’s management or Affiliates, including a reorganization, restructuring, merger or similar transaction (including, in certain circumstances, an acquisition of the Company by management or its affiliates) involving the Company that may adversely affect holders of the notes, if such transaction is not a transaction defined as a Change of Control Repurchase Event.</w:t>
      </w:r>
    </w:p>
    <w:p>
      <w:pPr>
        <w:spacing w:after="0" w:line="67" w:lineRule="exact"/>
        <w:rPr>
          <w:sz w:val="20"/>
          <w:szCs w:val="20"/>
          <w:color w:val="auto"/>
        </w:rPr>
      </w:pPr>
    </w:p>
    <w:p>
      <w:pPr>
        <w:ind w:left="760" w:right="779" w:firstLine="320"/>
        <w:spacing w:after="0" w:line="258" w:lineRule="auto"/>
        <w:rPr>
          <w:sz w:val="20"/>
          <w:szCs w:val="20"/>
          <w:color w:val="auto"/>
        </w:rPr>
      </w:pPr>
      <w:r>
        <w:rPr>
          <w:rFonts w:ascii="Times New Roman" w:cs="Times New Roman" w:eastAsia="Times New Roman" w:hAnsi="Times New Roman"/>
          <w:sz w:val="16"/>
          <w:szCs w:val="16"/>
          <w:color w:val="auto"/>
        </w:rPr>
        <w:t>The Company will comply with the applicable tender offer rules, including Rule 14e-1 under the Exchange Act, and any other applicable securities laws or regulations in connection with a Change of Control Offer. To the extent that the provisions of any securities laws or regulations conflict with the provisions of this covenant, the Company will comply with the applicable securities laws and regulations and will not be deemed to have breached its obligations under this covenant by virtue of its compliance with such securities laws or regulations.</w:t>
      </w:r>
    </w:p>
    <w:p>
      <w:pPr>
        <w:spacing w:after="0" w:line="68" w:lineRule="exact"/>
        <w:rPr>
          <w:sz w:val="20"/>
          <w:szCs w:val="20"/>
          <w:color w:val="auto"/>
        </w:rPr>
      </w:pPr>
    </w:p>
    <w:p>
      <w:pPr>
        <w:ind w:left="760" w:right="1039" w:firstLine="320"/>
        <w:spacing w:after="0" w:line="261" w:lineRule="auto"/>
        <w:rPr>
          <w:sz w:val="20"/>
          <w:szCs w:val="20"/>
          <w:color w:val="auto"/>
        </w:rPr>
      </w:pPr>
      <w:r>
        <w:rPr>
          <w:rFonts w:ascii="Times New Roman" w:cs="Times New Roman" w:eastAsia="Times New Roman" w:hAnsi="Times New Roman"/>
          <w:sz w:val="16"/>
          <w:szCs w:val="16"/>
          <w:color w:val="auto"/>
        </w:rPr>
        <w:t>For so long as the notes are admitted to the Official List of Euronext Dublin and for trading on its Global Exchange Market and the rules of such exchange so require, the Company will deliver copies of any notices delivered pursuant to the indenture in connection with a Change of Control Repurchase Event to the Companies’ Announcement Office of Euronext Dublin.</w:t>
      </w:r>
    </w:p>
    <w:p>
      <w:pPr>
        <w:spacing w:after="0" w:line="3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 Mandatory Redemption; Purchases; No Conversion or Exchange Rights</w:t>
      </w:r>
    </w:p>
    <w:p>
      <w:pPr>
        <w:spacing w:after="0" w:line="106" w:lineRule="exact"/>
        <w:rPr>
          <w:sz w:val="20"/>
          <w:szCs w:val="20"/>
          <w:color w:val="auto"/>
        </w:rPr>
      </w:pPr>
    </w:p>
    <w:p>
      <w:pPr>
        <w:ind w:left="760" w:right="919" w:firstLine="320"/>
        <w:spacing w:after="0" w:line="258" w:lineRule="auto"/>
        <w:rPr>
          <w:sz w:val="20"/>
          <w:szCs w:val="20"/>
          <w:color w:val="auto"/>
        </w:rPr>
      </w:pPr>
      <w:r>
        <w:rPr>
          <w:rFonts w:ascii="Times New Roman" w:cs="Times New Roman" w:eastAsia="Times New Roman" w:hAnsi="Times New Roman"/>
          <w:sz w:val="16"/>
          <w:szCs w:val="16"/>
          <w:color w:val="auto"/>
        </w:rPr>
        <w:t>The Company will not be required to make any mandatory redemption or sinking fund payments with respect to the notes, and the notes will not be subject to nor have the benefit of any sinking fund. In addition, other than as required under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Purchase of Notes upon a Change of Control Repurchase Event” the Company will not be required to offer to repurchase or redeem or otherwise modify the terms of any of the notes upon a Change of Control of, or other events involving, the Company or any of its subsidiaries which may adversely</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899"/>
        <w:spacing w:after="0" w:line="266" w:lineRule="auto"/>
        <w:rPr>
          <w:sz w:val="20"/>
          <w:szCs w:val="20"/>
          <w:color w:val="auto"/>
        </w:rPr>
      </w:pPr>
      <w:r>
        <w:rPr>
          <w:rFonts w:ascii="Times New Roman" w:cs="Times New Roman" w:eastAsia="Times New Roman" w:hAnsi="Times New Roman"/>
          <w:sz w:val="16"/>
          <w:szCs w:val="16"/>
          <w:color w:val="auto"/>
        </w:rPr>
        <w:t>affect the creditworthiness of the Company and the Guarantors or otherwise adversely affect the value of the notes. The Company and its affiliates may at any time and from time to time acquire the notes, whether pursuant to redemptions, tender offers, purchases in the open market, privately negotiated transactions or otherwise.</w:t>
      </w:r>
    </w:p>
    <w:p>
      <w:pPr>
        <w:spacing w:after="0" w:line="61" w:lineRule="exact"/>
        <w:rPr>
          <w:sz w:val="20"/>
          <w:szCs w:val="20"/>
          <w:color w:val="auto"/>
        </w:rPr>
      </w:pPr>
    </w:p>
    <w:p>
      <w:pPr>
        <w:ind w:left="760" w:right="859" w:firstLine="320"/>
        <w:spacing w:after="0" w:line="266" w:lineRule="auto"/>
        <w:rPr>
          <w:sz w:val="20"/>
          <w:szCs w:val="20"/>
          <w:color w:val="auto"/>
        </w:rPr>
      </w:pPr>
      <w:r>
        <w:rPr>
          <w:rFonts w:ascii="Times New Roman" w:cs="Times New Roman" w:eastAsia="Times New Roman" w:hAnsi="Times New Roman"/>
          <w:sz w:val="16"/>
          <w:szCs w:val="16"/>
          <w:color w:val="auto"/>
        </w:rPr>
        <w:t>The notes will not be convertible into or exchangeable for any of our common stock or other securities, and no holder will have any right to require us to issue or deliver shares of our capital stock or any other securities or property in respect of the notes.</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Satisfaction and Discharge and Defeasance</w:t>
      </w:r>
    </w:p>
    <w:p>
      <w:pPr>
        <w:spacing w:after="0" w:line="106" w:lineRule="exact"/>
        <w:rPr>
          <w:sz w:val="20"/>
          <w:szCs w:val="20"/>
          <w:color w:val="auto"/>
        </w:rPr>
      </w:pPr>
    </w:p>
    <w:p>
      <w:pPr>
        <w:ind w:left="760" w:right="939" w:firstLine="320"/>
        <w:spacing w:after="0" w:line="266" w:lineRule="auto"/>
        <w:rPr>
          <w:sz w:val="20"/>
          <w:szCs w:val="20"/>
          <w:color w:val="auto"/>
        </w:rPr>
      </w:pPr>
      <w:r>
        <w:rPr>
          <w:rFonts w:ascii="Times New Roman" w:cs="Times New Roman" w:eastAsia="Times New Roman" w:hAnsi="Times New Roman"/>
          <w:sz w:val="16"/>
          <w:szCs w:val="16"/>
          <w:color w:val="auto"/>
        </w:rPr>
        <w:t>The satisfaction and discharge provisions and the legal defeasance and covenant defeasance provisions of the indenture described under “Description of Debt Securities — Satisfaction and Discharge and Defeasance” in the accompanying prospectus will apply to the notes, subject to the procedures and modifications described below.</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Satisfaction and Discharge</w:t>
      </w:r>
    </w:p>
    <w:p>
      <w:pPr>
        <w:spacing w:after="0" w:line="1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In order to exercise a satisfaction and discharge of the indenture with respect to the notes:</w:t>
      </w:r>
    </w:p>
    <w:p>
      <w:pPr>
        <w:spacing w:after="0" w:line="104" w:lineRule="exact"/>
        <w:rPr>
          <w:sz w:val="20"/>
          <w:szCs w:val="20"/>
          <w:color w:val="auto"/>
        </w:rPr>
      </w:pPr>
    </w:p>
    <w:p>
      <w:pPr>
        <w:ind w:left="1380" w:hanging="304"/>
        <w:spacing w:after="0"/>
        <w:tabs>
          <w:tab w:leader="none" w:pos="1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w:t>
      </w:r>
    </w:p>
    <w:p>
      <w:pPr>
        <w:spacing w:after="0" w:line="104" w:lineRule="exact"/>
        <w:rPr>
          <w:rFonts w:ascii="Times New Roman" w:cs="Times New Roman" w:eastAsia="Times New Roman" w:hAnsi="Times New Roman"/>
          <w:sz w:val="16"/>
          <w:szCs w:val="16"/>
          <w:color w:val="auto"/>
        </w:rPr>
      </w:pPr>
    </w:p>
    <w:p>
      <w:pPr>
        <w:ind w:left="1700" w:right="879" w:hanging="303"/>
        <w:spacing w:after="0" w:line="261" w:lineRule="auto"/>
        <w:tabs>
          <w:tab w:leader="none" w:pos="170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notes that have been authenticated and delivered (except lost, stolen or destroyed notes which have been replaced or paid and notes for whose payment money has been deposited in trust or segregated and held in trust by the Company and thereafter repaid to the Company or discharged from this trust) have been delivered to the Trustee for cancellation, or</w:t>
      </w:r>
    </w:p>
    <w:p>
      <w:pPr>
        <w:spacing w:after="0" w:line="64" w:lineRule="exact"/>
        <w:rPr>
          <w:rFonts w:ascii="Times New Roman" w:cs="Times New Roman" w:eastAsia="Times New Roman" w:hAnsi="Times New Roman"/>
          <w:sz w:val="16"/>
          <w:szCs w:val="16"/>
          <w:color w:val="auto"/>
        </w:rPr>
      </w:pPr>
    </w:p>
    <w:p>
      <w:pPr>
        <w:ind w:left="1700" w:right="779" w:hanging="303"/>
        <w:spacing w:after="0" w:line="254" w:lineRule="auto"/>
        <w:tabs>
          <w:tab w:leader="none" w:pos="170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notes not delivered to the Trustee for cancellation otherwise (i) have become due and payable, (ii) will become due and payable, or are to be called for redemption, within one year or (iii) have been called for redemption, and, in any case, the Company or any Guarantor has irrevocably deposited or caused to be deposited with the Trustee as trust funds, in trust solely for the benefit of the holders of such notes, cash in euros, non-callable government obligations of any member nation of the European Union whose official currency is the euro, certificates, depository receipts or other instruments which evidence a direct ownership interest in such obligations or principal or interest payments due in respect thereof, or a combination thereof, in such amounts as will be sufficient (without consideration of any reinvestment of interest) to pay when due the principal of, premium, if any, and interest on the notes not theretofore delivered to the Trustee for cancellation;</w:t>
      </w:r>
    </w:p>
    <w:p>
      <w:pPr>
        <w:spacing w:after="0" w:line="70" w:lineRule="exact"/>
        <w:rPr>
          <w:rFonts w:ascii="Times New Roman" w:cs="Times New Roman" w:eastAsia="Times New Roman" w:hAnsi="Times New Roman"/>
          <w:sz w:val="16"/>
          <w:szCs w:val="16"/>
          <w:color w:val="auto"/>
        </w:rPr>
      </w:pPr>
    </w:p>
    <w:p>
      <w:pPr>
        <w:ind w:left="1380" w:right="859" w:hanging="304"/>
        <w:spacing w:after="0" w:line="282" w:lineRule="auto"/>
        <w:tabs>
          <w:tab w:leader="none" w:pos="1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Guarantor has paid all sums payable by it in respect of the notes under the indenture, and</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irrevocable instructions to the Trustee to apply the deposited money toward the payment of the notes at maturity or on the Redemption Date, as the case may be.</w:t>
      </w:r>
    </w:p>
    <w:p>
      <w:pPr>
        <w:spacing w:after="0" w:line="48" w:lineRule="exact"/>
        <w:rPr>
          <w:sz w:val="20"/>
          <w:szCs w:val="20"/>
          <w:color w:val="auto"/>
        </w:rPr>
      </w:pPr>
    </w:p>
    <w:p>
      <w:pPr>
        <w:ind w:left="760" w:right="799" w:firstLine="320"/>
        <w:spacing w:after="0" w:line="282" w:lineRule="auto"/>
        <w:rPr>
          <w:sz w:val="20"/>
          <w:szCs w:val="20"/>
          <w:color w:val="auto"/>
        </w:rPr>
      </w:pPr>
      <w:r>
        <w:rPr>
          <w:rFonts w:ascii="Times New Roman" w:cs="Times New Roman" w:eastAsia="Times New Roman" w:hAnsi="Times New Roman"/>
          <w:sz w:val="16"/>
          <w:szCs w:val="16"/>
          <w:color w:val="auto"/>
        </w:rPr>
        <w:t>In addition, the Company must deliver to the Trustee an Officer’s Certificate and an Opinion of Counsel stating that all conditions precedent to satisfaction and discharge have been complied with.</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Defeasance</w:t>
      </w:r>
    </w:p>
    <w:p>
      <w:pPr>
        <w:spacing w:after="0" w:line="108" w:lineRule="exact"/>
        <w:rPr>
          <w:sz w:val="20"/>
          <w:szCs w:val="20"/>
          <w:color w:val="auto"/>
        </w:rPr>
      </w:pPr>
    </w:p>
    <w:p>
      <w:pPr>
        <w:ind w:left="760" w:right="779" w:firstLine="320"/>
        <w:spacing w:after="0" w:line="282" w:lineRule="auto"/>
        <w:rPr>
          <w:sz w:val="20"/>
          <w:szCs w:val="20"/>
          <w:color w:val="auto"/>
        </w:rPr>
      </w:pPr>
      <w:r>
        <w:rPr>
          <w:rFonts w:ascii="Times New Roman" w:cs="Times New Roman" w:eastAsia="Times New Roman" w:hAnsi="Times New Roman"/>
          <w:sz w:val="16"/>
          <w:szCs w:val="16"/>
          <w:color w:val="auto"/>
        </w:rPr>
        <w:t>In order to exercise Legal Defeasance or Covenant Defeasance (as such terms are defined in the indenture) with respect to the notes:</w:t>
      </w:r>
    </w:p>
    <w:p>
      <w:pPr>
        <w:spacing w:after="0" w:line="48" w:lineRule="exact"/>
        <w:rPr>
          <w:sz w:val="20"/>
          <w:szCs w:val="20"/>
          <w:color w:val="auto"/>
        </w:rPr>
      </w:pPr>
    </w:p>
    <w:p>
      <w:pPr>
        <w:ind w:left="1380" w:right="799" w:hanging="304"/>
        <w:spacing w:after="0" w:line="256" w:lineRule="auto"/>
        <w:tabs>
          <w:tab w:leader="none" w:pos="1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must irrevocably deposit with the Trustee or other agent, as trust funds, in trust solely for the benefit of the holders of the notes, cash in euros, non-callable government obligations of any member nation of the European Union whose official currency is the euro, certificates, depository receipts or other instruments which evidence a direct ownership interest in such obligations or principal or interest payments due in respect thereof, or a combination thereof, in such amounts as will be sufficient (without consideration of any reinvestment of interest), to pay when due the principal of, premium, if any, and interest on the notes;</w:t>
      </w:r>
    </w:p>
    <w:p>
      <w:pPr>
        <w:spacing w:after="0" w:line="67" w:lineRule="exact"/>
        <w:rPr>
          <w:rFonts w:ascii="Times New Roman" w:cs="Times New Roman" w:eastAsia="Times New Roman" w:hAnsi="Times New Roman"/>
          <w:sz w:val="16"/>
          <w:szCs w:val="16"/>
          <w:color w:val="auto"/>
        </w:rPr>
      </w:pPr>
    </w:p>
    <w:p>
      <w:pPr>
        <w:ind w:left="1380" w:right="839" w:hanging="304"/>
        <w:spacing w:after="0" w:line="266" w:lineRule="auto"/>
        <w:tabs>
          <w:tab w:leader="none" w:pos="1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Legal Defeasance, the Company shall have delivered to the Trustee an Opinion of Counsel to the effect that the beneficial owners of the notes will not recognize income, gain or loss for U.S. federal income tax purposes solely as a result of the Legal Defeasance and will be subject to</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6" w:name="page37"/>
    <w:bookmarkEnd w:id="3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400" w:right="839"/>
        <w:spacing w:after="0" w:line="261" w:lineRule="auto"/>
        <w:rPr>
          <w:sz w:val="20"/>
          <w:szCs w:val="20"/>
          <w:color w:val="auto"/>
        </w:rPr>
      </w:pPr>
      <w:r>
        <w:rPr>
          <w:rFonts w:ascii="Times New Roman" w:cs="Times New Roman" w:eastAsia="Times New Roman" w:hAnsi="Times New Roman"/>
          <w:sz w:val="16"/>
          <w:szCs w:val="16"/>
          <w:color w:val="auto"/>
        </w:rPr>
        <w:t>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date hereof, or the Company having received a ruling from, or published by, the Internal Revenue Service to that effect;</w:t>
      </w:r>
    </w:p>
    <w:p>
      <w:pPr>
        <w:spacing w:after="0" w:line="65" w:lineRule="exact"/>
        <w:rPr>
          <w:sz w:val="20"/>
          <w:szCs w:val="20"/>
          <w:color w:val="auto"/>
        </w:rPr>
      </w:pPr>
    </w:p>
    <w:p>
      <w:pPr>
        <w:ind w:left="1380" w:right="1019" w:hanging="304"/>
        <w:spacing w:after="0" w:line="258" w:lineRule="auto"/>
        <w:tabs>
          <w:tab w:leader="none" w:pos="1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Covenant Defeasance, the Company shall have delivered to the Trustee an Opinion of Counsel to the effect that the beneficial owners of the notes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w:t>
      </w:r>
    </w:p>
    <w:p>
      <w:pPr>
        <w:spacing w:after="0" w:line="68" w:lineRule="exact"/>
        <w:rPr>
          <w:rFonts w:ascii="Times New Roman" w:cs="Times New Roman" w:eastAsia="Times New Roman" w:hAnsi="Times New Roman"/>
          <w:sz w:val="16"/>
          <w:szCs w:val="16"/>
          <w:color w:val="auto"/>
        </w:rPr>
      </w:pPr>
    </w:p>
    <w:p>
      <w:pPr>
        <w:ind w:left="1380" w:right="859" w:hanging="304"/>
        <w:spacing w:after="0" w:line="261" w:lineRule="auto"/>
        <w:tabs>
          <w:tab w:leader="none" w:pos="1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(as such terms are defined in the indenture)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 and</w:t>
      </w:r>
    </w:p>
    <w:p>
      <w:pPr>
        <w:spacing w:after="0" w:line="64" w:lineRule="exact"/>
        <w:rPr>
          <w:rFonts w:ascii="Times New Roman" w:cs="Times New Roman" w:eastAsia="Times New Roman" w:hAnsi="Times New Roman"/>
          <w:sz w:val="16"/>
          <w:szCs w:val="16"/>
          <w:color w:val="auto"/>
        </w:rPr>
      </w:pPr>
    </w:p>
    <w:p>
      <w:pPr>
        <w:ind w:left="1380" w:right="919" w:hanging="304"/>
        <w:spacing w:after="0" w:line="266" w:lineRule="auto"/>
        <w:tabs>
          <w:tab w:leader="none" w:pos="1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all conditions precedent provided for or relating to the Legal Defeasance or the Covenant Defeasance, as the case may be, have been complied with.</w:t>
      </w:r>
    </w:p>
    <w:p>
      <w:pPr>
        <w:spacing w:after="0" w:line="61" w:lineRule="exact"/>
        <w:rPr>
          <w:sz w:val="20"/>
          <w:szCs w:val="20"/>
          <w:color w:val="auto"/>
        </w:rPr>
      </w:pPr>
    </w:p>
    <w:p>
      <w:pPr>
        <w:ind w:left="760" w:right="779" w:firstLine="320"/>
        <w:spacing w:after="0" w:line="254" w:lineRule="auto"/>
        <w:rPr>
          <w:sz w:val="20"/>
          <w:szCs w:val="20"/>
          <w:color w:val="auto"/>
        </w:rPr>
      </w:pPr>
      <w:r>
        <w:rPr>
          <w:rFonts w:ascii="Times New Roman" w:cs="Times New Roman" w:eastAsia="Times New Roman" w:hAnsi="Times New Roman"/>
          <w:sz w:val="16"/>
          <w:szCs w:val="16"/>
          <w:color w:val="auto"/>
        </w:rPr>
        <w:t>Notwithstanding the foregoing provisions of this section, the conditions set forth in the foregoing subsections (2), (3), (4) and (5) need not be satisfied so long as, at the time the Company makes the deposit described in subsection (1), (i) no Default under clauses (1), (2) and (8) under “Events of Default—Satisfaction and Discharge and Defeasance” in the accompanying prospectus has occurred and is continuing on the date of such deposit and after giving effect thereto, and (ii) either (x) a notice of redemption has been transmitted providing for redemption of all the notes in accordance with the indenture and the requirements for such redemption shall be complied with or</w:t>
      </w:r>
    </w:p>
    <w:p>
      <w:pPr>
        <w:spacing w:after="0" w:line="1" w:lineRule="exact"/>
        <w:rPr>
          <w:sz w:val="20"/>
          <w:szCs w:val="20"/>
          <w:color w:val="auto"/>
        </w:rPr>
      </w:pPr>
    </w:p>
    <w:p>
      <w:pPr>
        <w:ind w:left="760" w:right="1139" w:hanging="4"/>
        <w:spacing w:after="0" w:line="256" w:lineRule="auto"/>
        <w:tabs>
          <w:tab w:leader="none" w:pos="98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Stated Maturity of the notes will occur within 60 days. If the conditions in the preceding sentence are satisfied, the Company shall be deemed to have exercised its Legal Defeasance option or Covenant Defeasance option, as applicable.</w:t>
      </w:r>
    </w:p>
    <w:p>
      <w:pPr>
        <w:spacing w:after="0" w:line="67" w:lineRule="exact"/>
        <w:rPr>
          <w:sz w:val="20"/>
          <w:szCs w:val="20"/>
          <w:color w:val="auto"/>
        </w:rPr>
      </w:pPr>
    </w:p>
    <w:p>
      <w:pPr>
        <w:ind w:left="760" w:right="859" w:firstLine="320"/>
        <w:spacing w:after="0" w:line="261" w:lineRule="auto"/>
        <w:rPr>
          <w:sz w:val="20"/>
          <w:szCs w:val="20"/>
          <w:color w:val="auto"/>
        </w:rPr>
      </w:pPr>
      <w:r>
        <w:rPr>
          <w:rFonts w:ascii="Times New Roman" w:cs="Times New Roman" w:eastAsia="Times New Roman" w:hAnsi="Times New Roman"/>
          <w:sz w:val="16"/>
          <w:szCs w:val="16"/>
          <w:color w:val="auto"/>
        </w:rPr>
        <w:t>If the funds deposited with the Trustee or other agent to effect Legal Defeasance or Covenant Defeasance are insufficient to pay the principal of and interest on the notes when due, then the Company’s obligations and the obligations of the Guarantors under the indenture will be revived with respect to such notes and no such defeasance will be deemed to have occurred.</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Covenants</w:t>
      </w:r>
    </w:p>
    <w:p>
      <w:pPr>
        <w:spacing w:after="0" w:line="106" w:lineRule="exact"/>
        <w:rPr>
          <w:sz w:val="20"/>
          <w:szCs w:val="20"/>
          <w:color w:val="auto"/>
        </w:rPr>
      </w:pPr>
    </w:p>
    <w:p>
      <w:pPr>
        <w:ind w:left="760" w:right="879" w:firstLine="320"/>
        <w:spacing w:after="0" w:line="266" w:lineRule="auto"/>
        <w:rPr>
          <w:sz w:val="20"/>
          <w:szCs w:val="20"/>
          <w:color w:val="auto"/>
        </w:rPr>
      </w:pPr>
      <w:r>
        <w:rPr>
          <w:rFonts w:ascii="Times New Roman" w:cs="Times New Roman" w:eastAsia="Times New Roman" w:hAnsi="Times New Roman"/>
          <w:sz w:val="16"/>
          <w:szCs w:val="16"/>
          <w:color w:val="auto"/>
        </w:rPr>
        <w:t>The indenture will also contain other covenants including, among others, those summarized in “Description of Debt Securities and Guarantees — Certain Covenants” in the accompanying prospectus and those summarized below.</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Restrictions on Sale Leaseback Transactions</w:t>
      </w:r>
    </w:p>
    <w:p>
      <w:pPr>
        <w:spacing w:after="0" w:line="108" w:lineRule="exact"/>
        <w:rPr>
          <w:sz w:val="20"/>
          <w:szCs w:val="20"/>
          <w:color w:val="auto"/>
        </w:rPr>
      </w:pPr>
    </w:p>
    <w:p>
      <w:pPr>
        <w:ind w:left="760" w:right="1339" w:firstLine="320"/>
        <w:spacing w:after="0" w:line="282" w:lineRule="auto"/>
        <w:rPr>
          <w:sz w:val="20"/>
          <w:szCs w:val="20"/>
          <w:color w:val="auto"/>
        </w:rPr>
      </w:pPr>
      <w:r>
        <w:rPr>
          <w:rFonts w:ascii="Times New Roman" w:cs="Times New Roman" w:eastAsia="Times New Roman" w:hAnsi="Times New Roman"/>
          <w:sz w:val="16"/>
          <w:szCs w:val="16"/>
          <w:color w:val="auto"/>
        </w:rPr>
        <w:t>Neither the Company nor any Domestic Subsidiary of the Company will enter into any Sale Leaseback Transaction with respect to any property unless:</w:t>
      </w:r>
    </w:p>
    <w:p>
      <w:pPr>
        <w:spacing w:after="0" w:line="48" w:lineRule="exact"/>
        <w:rPr>
          <w:sz w:val="20"/>
          <w:szCs w:val="20"/>
          <w:color w:val="auto"/>
        </w:rPr>
      </w:pPr>
    </w:p>
    <w:p>
      <w:pPr>
        <w:ind w:left="1380" w:right="819" w:hanging="304"/>
        <w:spacing w:after="0" w:line="266" w:lineRule="auto"/>
        <w:tabs>
          <w:tab w:leader="none" w:pos="1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such Domestic Subsidiary would be entitled to create a Lien on such property securing Attributable Debt without equally and ratably securing the notes pursuant to the covenant described below under the caption “— Limitation on Liens;” and</w:t>
      </w:r>
    </w:p>
    <w:p>
      <w:pPr>
        <w:spacing w:after="0" w:line="60" w:lineRule="exact"/>
        <w:rPr>
          <w:rFonts w:ascii="Times New Roman" w:cs="Times New Roman" w:eastAsia="Times New Roman" w:hAnsi="Times New Roman"/>
          <w:sz w:val="16"/>
          <w:szCs w:val="16"/>
          <w:color w:val="auto"/>
        </w:rPr>
      </w:pPr>
    </w:p>
    <w:p>
      <w:pPr>
        <w:ind w:left="1380" w:right="1039" w:hanging="304"/>
        <w:spacing w:after="0" w:line="282" w:lineRule="auto"/>
        <w:tabs>
          <w:tab w:leader="none" w:pos="1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gross proceeds received by the Company or any such Domestic Subsidiary in connection with such Sale Leaseback Transaction are at least equal to the Fair Market Value of such property.</w:t>
      </w:r>
    </w:p>
    <w:p>
      <w:pPr>
        <w:spacing w:after="0" w:line="48" w:lineRule="exact"/>
        <w:rPr>
          <w:sz w:val="20"/>
          <w:szCs w:val="20"/>
          <w:color w:val="auto"/>
        </w:rPr>
      </w:pPr>
    </w:p>
    <w:p>
      <w:pPr>
        <w:ind w:left="760" w:right="799" w:firstLine="320"/>
        <w:spacing w:after="0" w:line="256" w:lineRule="auto"/>
        <w:rPr>
          <w:sz w:val="20"/>
          <w:szCs w:val="20"/>
          <w:color w:val="auto"/>
        </w:rPr>
      </w:pPr>
      <w:r>
        <w:rPr>
          <w:rFonts w:ascii="Times New Roman" w:cs="Times New Roman" w:eastAsia="Times New Roman" w:hAnsi="Times New Roman"/>
          <w:sz w:val="16"/>
          <w:szCs w:val="16"/>
          <w:color w:val="auto"/>
        </w:rPr>
        <w:t xml:space="preserve">Notwithstanding the foregoing, the Company or any Domestic Subsidiary of the Company may enter into a Sale Leaseback Transaction if (x) during the twelve months following the effective date of the Sale Leaseback Transaction, the Company or any Domestic Subsidiary of the Company applies an amount equal to the greater of the net proceeds of such sale or transfer and the Fair Market Value of the property that the Company or the applicable Domestic Subsidiary leases in the transaction to (i) the voluntary retirement of the notes or other indebtedness of the Company or any Domestic Subsidiary of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indebtedness ranks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or senior to the notes or is indebtedness of a Subsidiary of the Company that is not a Guarantor, or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879" w:hanging="4"/>
        <w:spacing w:after="0" w:line="284" w:lineRule="auto"/>
        <w:tabs>
          <w:tab w:leader="none" w:pos="996"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acquisition, purchase, construction, development, extension or improvement of any property or assets of the Company or any Domestic Subsidiary of the Company used or to be used by or for the benefit of the Company or any Domestic Subsidiary of the Company in the ordinary course of business, or (y) the Company or such Domestic Subsidiary equally and ratably secures the notes as described below under the caption “— Limitation on Liens.”</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Limitation on Liens</w:t>
      </w:r>
    </w:p>
    <w:p>
      <w:pPr>
        <w:spacing w:after="0" w:line="108" w:lineRule="exact"/>
        <w:rPr>
          <w:sz w:val="20"/>
          <w:szCs w:val="20"/>
          <w:color w:val="auto"/>
        </w:rPr>
      </w:pPr>
    </w:p>
    <w:p>
      <w:pPr>
        <w:ind w:left="760" w:right="819" w:firstLine="320"/>
        <w:spacing w:after="0" w:line="257" w:lineRule="auto"/>
        <w:rPr>
          <w:sz w:val="20"/>
          <w:szCs w:val="20"/>
          <w:color w:val="auto"/>
        </w:rPr>
      </w:pPr>
      <w:r>
        <w:rPr>
          <w:rFonts w:ascii="Times New Roman" w:cs="Times New Roman" w:eastAsia="Times New Roman" w:hAnsi="Times New Roman"/>
          <w:sz w:val="16"/>
          <w:szCs w:val="16"/>
          <w:color w:val="auto"/>
        </w:rPr>
        <w:t>The Company will not, and will not permit any Subsidiary to, directly or indirectly, Incur or permit to exist any Lien (the “</w:t>
      </w:r>
      <w:r>
        <w:rPr>
          <w:rFonts w:ascii="Times New Roman" w:cs="Times New Roman" w:eastAsia="Times New Roman" w:hAnsi="Times New Roman"/>
          <w:sz w:val="16"/>
          <w:szCs w:val="16"/>
          <w:i w:val="1"/>
          <w:iCs w:val="1"/>
          <w:color w:val="auto"/>
        </w:rPr>
        <w:t>Initial Lien</w:t>
      </w:r>
      <w:r>
        <w:rPr>
          <w:rFonts w:ascii="Times New Roman" w:cs="Times New Roman" w:eastAsia="Times New Roman" w:hAnsi="Times New Roman"/>
          <w:sz w:val="16"/>
          <w:szCs w:val="16"/>
          <w:color w:val="auto"/>
        </w:rPr>
        <w:t>”) of any nature whatsoever on any of its properties (including Capital Stock held by the Company or such Subsidiary), whether owned on the Issue Date or thereafter acquired, securing any indebtedness for borrowed money of the Company or a Domestic Subsidiary, other than Permitted Liens, without effectively providing that the notes shall be secured equally and ratably with (or prior to) such indebtedness so secured for so long as such indebtedness is so secured.</w:t>
      </w:r>
    </w:p>
    <w:p>
      <w:pPr>
        <w:spacing w:after="0" w:line="67" w:lineRule="exact"/>
        <w:rPr>
          <w:sz w:val="20"/>
          <w:szCs w:val="20"/>
          <w:color w:val="auto"/>
        </w:rPr>
      </w:pPr>
    </w:p>
    <w:p>
      <w:pPr>
        <w:ind w:left="760" w:right="859" w:firstLine="320"/>
        <w:spacing w:after="0" w:line="266" w:lineRule="auto"/>
        <w:rPr>
          <w:sz w:val="20"/>
          <w:szCs w:val="20"/>
          <w:color w:val="auto"/>
        </w:rPr>
      </w:pPr>
      <w:r>
        <w:rPr>
          <w:rFonts w:ascii="Times New Roman" w:cs="Times New Roman" w:eastAsia="Times New Roman" w:hAnsi="Times New Roman"/>
          <w:sz w:val="16"/>
          <w:szCs w:val="16"/>
          <w:color w:val="auto"/>
        </w:rPr>
        <w:t>Any Lien created for the benefit of the holders of the notes pursuant to the preceding sentence shall provide by its terms that such Lien shall be automatically and unconditionally released and discharged upon the release and discharge of the Initial Lien.</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Governing Law</w:t>
      </w:r>
    </w:p>
    <w:p>
      <w:pPr>
        <w:spacing w:after="0" w:line="106" w:lineRule="exact"/>
        <w:rPr>
          <w:sz w:val="20"/>
          <w:szCs w:val="20"/>
          <w:color w:val="auto"/>
        </w:rPr>
      </w:pPr>
    </w:p>
    <w:p>
      <w:pPr>
        <w:ind w:left="760" w:right="1419" w:firstLine="320"/>
        <w:spacing w:after="0" w:line="282" w:lineRule="auto"/>
        <w:rPr>
          <w:sz w:val="20"/>
          <w:szCs w:val="20"/>
          <w:color w:val="auto"/>
        </w:rPr>
      </w:pPr>
      <w:r>
        <w:rPr>
          <w:rFonts w:ascii="Times New Roman" w:cs="Times New Roman" w:eastAsia="Times New Roman" w:hAnsi="Times New Roman"/>
          <w:sz w:val="16"/>
          <w:szCs w:val="16"/>
          <w:color w:val="auto"/>
        </w:rPr>
        <w:t>The indenture, the notes and the Guarantees of the notes will be governed by, and will be construed in accordance with, the laws of the State of New York.</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106" w:lineRule="exact"/>
        <w:rPr>
          <w:sz w:val="20"/>
          <w:szCs w:val="20"/>
          <w:color w:val="auto"/>
        </w:rPr>
      </w:pPr>
    </w:p>
    <w:p>
      <w:pPr>
        <w:ind w:left="760" w:right="779" w:firstLine="320"/>
        <w:spacing w:after="0" w:line="261" w:lineRule="auto"/>
        <w:rPr>
          <w:sz w:val="20"/>
          <w:szCs w:val="20"/>
          <w:color w:val="auto"/>
        </w:rPr>
      </w:pPr>
      <w:r>
        <w:rPr>
          <w:rFonts w:ascii="Times New Roman" w:cs="Times New Roman" w:eastAsia="Times New Roman" w:hAnsi="Times New Roman"/>
          <w:sz w:val="16"/>
          <w:szCs w:val="16"/>
          <w:color w:val="auto"/>
        </w:rPr>
        <w:t>Application has been made for the notes to be admitted to the Official List of Euronext Dublin and to trading on the Global Exchange Market, which is the exchange regulated market of Euronext Dublin. The Global Exchange Market is not a regulated market for the purposes of MiFID II and UK MiFIR. No assurance can be given that this application will be granted and settlement of the notes is not condition on such admission or any other listing.</w:t>
      </w:r>
    </w:p>
    <w:p>
      <w:pPr>
        <w:spacing w:after="0" w:line="65" w:lineRule="exact"/>
        <w:rPr>
          <w:sz w:val="20"/>
          <w:szCs w:val="20"/>
          <w:color w:val="auto"/>
        </w:rPr>
      </w:pPr>
    </w:p>
    <w:p>
      <w:pPr>
        <w:ind w:left="760" w:right="799" w:firstLine="320"/>
        <w:spacing w:after="0" w:line="257" w:lineRule="auto"/>
        <w:rPr>
          <w:sz w:val="20"/>
          <w:szCs w:val="20"/>
          <w:color w:val="auto"/>
        </w:rPr>
      </w:pPr>
      <w:r>
        <w:rPr>
          <w:rFonts w:ascii="Times New Roman" w:cs="Times New Roman" w:eastAsia="Times New Roman" w:hAnsi="Times New Roman"/>
          <w:sz w:val="16"/>
          <w:szCs w:val="16"/>
          <w:color w:val="auto"/>
        </w:rPr>
        <w:t xml:space="preserve">The Company will use its commercially reasonable efforts to obtain and maintain the admission of the notes to the Official List of Euronext Dublin and for trading on its Global Market Exchange for so long as the notes are outstanding;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at any time the Company determines that it will not maintain such listing, the Company will obtain prior to the delisting of the notes from Euronext Dublin, and thereafter use its commercially reasonable efforts to maintain, a listing of the notes on another internationally recognized stock exchange. The Company will notify the Trustee and Paying Agent of the listing of any of the notes on an exchange.</w:t>
      </w:r>
    </w:p>
    <w:p>
      <w:pPr>
        <w:spacing w:after="0" w:line="2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Global Securities</w:t>
      </w:r>
    </w:p>
    <w:p>
      <w:pPr>
        <w:spacing w:after="0" w:line="10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The notes will each be represented by one or more global securities in registered form without interest coupons</w:t>
      </w: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attached. The Company will issue the notes in minimum denominations of €100,000 and integral multiples of</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€1,000 in excess thereof. The notes will be issued only in registered, book-entry form. There will be one or more</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global securities deposited with a common depositary for Euroclear and Clearstream for each issue. See “— The</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Clearing Systems” below.</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The Clearing Systems</w:t>
      </w:r>
    </w:p>
    <w:p>
      <w:pPr>
        <w:spacing w:after="0" w:line="106" w:lineRule="exact"/>
        <w:rPr>
          <w:sz w:val="20"/>
          <w:szCs w:val="20"/>
          <w:color w:val="auto"/>
        </w:rPr>
      </w:pPr>
    </w:p>
    <w:p>
      <w:pPr>
        <w:ind w:left="760" w:right="899" w:firstLine="320"/>
        <w:spacing w:after="0" w:line="255" w:lineRule="auto"/>
        <w:rPr>
          <w:sz w:val="20"/>
          <w:szCs w:val="20"/>
          <w:color w:val="auto"/>
        </w:rPr>
      </w:pPr>
      <w:r>
        <w:rPr>
          <w:rFonts w:ascii="Times New Roman" w:cs="Times New Roman" w:eastAsia="Times New Roman" w:hAnsi="Times New Roman"/>
          <w:sz w:val="16"/>
          <w:szCs w:val="16"/>
          <w:color w:val="auto"/>
        </w:rPr>
        <w:t>We have obtained the information in this prospectus supplement concerning Clearstream and Euroclear and their book-entry systems and procedures from sources that we believe to be reliable. We have provided this information solely as a matter of convenience, and we make no representation or warranty of any kind with respect to this information. In addition, the description of the clearing systems in this section reflects our understanding of the rules and procedures of Clearstream and Euroclear as they are currently in effect. Those clearing systems could change their rules and procedures at any time. None of us, the underwriters, the Trustee or the Paying Agent takes any responsibility for these operations or procedures, and you are urged to contact Clearstream and Euroclear or their participants directly to discuss these matters.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Book-entry, delivery and form</w:t>
      </w:r>
    </w:p>
    <w:p>
      <w:pPr>
        <w:spacing w:after="0" w:line="108" w:lineRule="exact"/>
        <w:rPr>
          <w:sz w:val="20"/>
          <w:szCs w:val="20"/>
          <w:color w:val="auto"/>
        </w:rPr>
      </w:pPr>
    </w:p>
    <w:p>
      <w:pPr>
        <w:ind w:left="760" w:right="839" w:firstLine="320"/>
        <w:spacing w:after="0" w:line="254" w:lineRule="auto"/>
        <w:rPr>
          <w:sz w:val="20"/>
          <w:szCs w:val="20"/>
          <w:color w:val="auto"/>
        </w:rPr>
      </w:pPr>
      <w:r>
        <w:rPr>
          <w:rFonts w:ascii="Times New Roman" w:cs="Times New Roman" w:eastAsia="Times New Roman" w:hAnsi="Times New Roman"/>
          <w:sz w:val="16"/>
          <w:szCs w:val="16"/>
          <w:color w:val="auto"/>
        </w:rPr>
        <w:t>The notes will be represented by one or more global securities in registered form without interest coupons attached. Each such global note will be deposited with, or on behalf of, a common depositary and registered in the name of the nominee of the common depositary for the accounts of Clearstream and Euroclear. Except as set forth below, the global securities may be transferred, in whole and not in part, only to Euroclear or Clearstream or their respective nominees. You may hold your interests in the global securities in Europe through Clearstream or Euroclear, either as a participant in such systems or indirectly through organizations that are participants in such systems. Clearstream and Euroclear will hold interests in the global securities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71" w:lineRule="exact"/>
        <w:rPr>
          <w:sz w:val="20"/>
          <w:szCs w:val="20"/>
          <w:color w:val="auto"/>
        </w:rPr>
      </w:pPr>
    </w:p>
    <w:p>
      <w:pPr>
        <w:ind w:left="760" w:right="839" w:firstLine="320"/>
        <w:spacing w:after="0" w:line="261" w:lineRule="auto"/>
        <w:rPr>
          <w:sz w:val="20"/>
          <w:szCs w:val="20"/>
          <w:color w:val="auto"/>
        </w:rPr>
      </w:pPr>
      <w:r>
        <w:rPr>
          <w:rFonts w:ascii="Times New Roman" w:cs="Times New Roman" w:eastAsia="Times New Roman" w:hAnsi="Times New Roman"/>
          <w:sz w:val="16"/>
          <w:szCs w:val="16"/>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euros, except as described under the headings “— Issuance in Euro” and “Currency Conversion.”</w:t>
      </w:r>
    </w:p>
    <w:p>
      <w:pPr>
        <w:spacing w:after="0" w:line="65" w:lineRule="exact"/>
        <w:rPr>
          <w:sz w:val="20"/>
          <w:szCs w:val="20"/>
          <w:color w:val="auto"/>
        </w:rPr>
      </w:pPr>
    </w:p>
    <w:p>
      <w:pPr>
        <w:ind w:left="760" w:right="839" w:firstLine="320"/>
        <w:spacing w:after="0" w:line="258" w:lineRule="auto"/>
        <w:rPr>
          <w:sz w:val="20"/>
          <w:szCs w:val="20"/>
          <w:color w:val="auto"/>
        </w:rPr>
      </w:pPr>
      <w:r>
        <w:rPr>
          <w:rFonts w:ascii="Times New Roman" w:cs="Times New Roman" w:eastAsia="Times New Roman" w:hAnsi="Times New Roman"/>
          <w:sz w:val="16"/>
          <w:szCs w:val="16"/>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68" w:lineRule="exact"/>
        <w:rPr>
          <w:sz w:val="20"/>
          <w:szCs w:val="20"/>
          <w:color w:val="auto"/>
        </w:rPr>
      </w:pPr>
    </w:p>
    <w:p>
      <w:pPr>
        <w:ind w:left="760" w:right="879" w:firstLine="320"/>
        <w:spacing w:after="0" w:line="261" w:lineRule="auto"/>
        <w:rPr>
          <w:sz w:val="20"/>
          <w:szCs w:val="20"/>
          <w:color w:val="auto"/>
        </w:rPr>
      </w:pPr>
      <w:r>
        <w:rPr>
          <w:rFonts w:ascii="Times New Roman" w:cs="Times New Roman" w:eastAsia="Times New Roman" w:hAnsi="Times New Roman"/>
          <w:sz w:val="16"/>
          <w:szCs w:val="16"/>
          <w:color w:val="auto"/>
        </w:rPr>
        <w:t>The policies of Clearstream and Euroclear will govern payments, transfers, exchanges and other matters relating to an investor’s interest in the notes held by them. The Company has no responsibility for any aspect of the records kept by Clearstream or Euroclear or any of their direct or indirect participants. The Company also does not supervise these systems in any way.</w:t>
      </w:r>
    </w:p>
    <w:p>
      <w:pPr>
        <w:spacing w:after="0" w:line="65" w:lineRule="exact"/>
        <w:rPr>
          <w:sz w:val="20"/>
          <w:szCs w:val="20"/>
          <w:color w:val="auto"/>
        </w:rPr>
      </w:pPr>
    </w:p>
    <w:p>
      <w:pPr>
        <w:ind w:left="760" w:right="799" w:firstLine="320"/>
        <w:spacing w:after="0" w:line="254" w:lineRule="auto"/>
        <w:rPr>
          <w:sz w:val="20"/>
          <w:szCs w:val="20"/>
          <w:color w:val="auto"/>
        </w:rPr>
      </w:pPr>
      <w:r>
        <w:rPr>
          <w:rFonts w:ascii="Times New Roman" w:cs="Times New Roman" w:eastAsia="Times New Roman" w:hAnsi="Times New Roman"/>
          <w:sz w:val="16"/>
          <w:szCs w:val="16"/>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the Company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The Company has been advised by Clearstream and Euroclear, respectively, as follows:</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Clearstream</w:t>
      </w:r>
    </w:p>
    <w:p>
      <w:pPr>
        <w:spacing w:after="0" w:line="108" w:lineRule="exact"/>
        <w:rPr>
          <w:sz w:val="20"/>
          <w:szCs w:val="20"/>
          <w:color w:val="auto"/>
        </w:rPr>
      </w:pPr>
    </w:p>
    <w:p>
      <w:pPr>
        <w:ind w:left="760" w:right="799" w:firstLine="320"/>
        <w:spacing w:after="0" w:line="253" w:lineRule="auto"/>
        <w:rPr>
          <w:sz w:val="20"/>
          <w:szCs w:val="20"/>
          <w:color w:val="auto"/>
        </w:rPr>
      </w:pPr>
      <w:r>
        <w:rPr>
          <w:rFonts w:ascii="Times New Roman" w:cs="Times New Roman" w:eastAsia="Times New Roman" w:hAnsi="Times New Roman"/>
          <w:sz w:val="16"/>
          <w:szCs w:val="16"/>
          <w:color w:val="auto"/>
        </w:rPr>
        <w:t>Clearstream advises that it is incorporated under the laws of Luxembourg as a bank. Clearstream holds securities for its customers, which the Company refers to as “</w:t>
      </w:r>
      <w:r>
        <w:rPr>
          <w:rFonts w:ascii="Times New Roman" w:cs="Times New Roman" w:eastAsia="Times New Roman" w:hAnsi="Times New Roman"/>
          <w:sz w:val="16"/>
          <w:szCs w:val="16"/>
          <w:i w:val="1"/>
          <w:iCs w:val="1"/>
          <w:color w:val="auto"/>
        </w:rPr>
        <w:t>Clearstream Clients</w:t>
      </w:r>
      <w:r>
        <w:rPr>
          <w:rFonts w:ascii="Times New Roman" w:cs="Times New Roman" w:eastAsia="Times New Roman" w:hAnsi="Times New Roman"/>
          <w:sz w:val="16"/>
          <w:szCs w:val="16"/>
          <w:color w:val="auto"/>
        </w:rPr>
        <w:t>,” and facilitates the clearance and settlement of securities transactions between Clearstream Clients through electronic book-entry transfers between their accounts. Clearstream provides to Clearstream Clients, among other things, services for safekeeping, administration, clearance and settlement of internationally traded securities and securities lending and borrowing. Clearstream interfaces with domestic securities markets in a number of countries through established depository and custodial relationships. As a bank, Clearstream is subject to regulation by the Luxembourg Commission for the Supervision of the Financial Sector, also known as the Commission de Surveillance du Secteur Financier. Clearstream Clients are recognized financial institutions around the world, including underwriters, securities brokers and dealers, banks, trust companies, clearing corporations and certain other organizations. Indirect access to Clearstream is also available to other institutions such as banks, brokers, dealers and trust companies that clear through or maintain a custodial relationship with a Clearstream Client.</w:t>
      </w:r>
    </w:p>
    <w:p>
      <w:pPr>
        <w:spacing w:after="0" w:line="75" w:lineRule="exact"/>
        <w:rPr>
          <w:sz w:val="20"/>
          <w:szCs w:val="20"/>
          <w:color w:val="auto"/>
        </w:rPr>
      </w:pPr>
    </w:p>
    <w:p>
      <w:pPr>
        <w:ind w:left="760" w:right="919" w:firstLine="320"/>
        <w:spacing w:after="0" w:line="282" w:lineRule="auto"/>
        <w:rPr>
          <w:sz w:val="20"/>
          <w:szCs w:val="20"/>
          <w:color w:val="auto"/>
        </w:rPr>
      </w:pPr>
      <w:r>
        <w:rPr>
          <w:rFonts w:ascii="Times New Roman" w:cs="Times New Roman" w:eastAsia="Times New Roman" w:hAnsi="Times New Roman"/>
          <w:sz w:val="16"/>
          <w:szCs w:val="16"/>
          <w:color w:val="auto"/>
        </w:rPr>
        <w:t>Distributions with respect to the notes held beneficially through Clearstream will be credited to cash accounts of Clearstream Clients in accordance with its rules and procedures.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Euroclear</w:t>
      </w:r>
    </w:p>
    <w:p>
      <w:pPr>
        <w:spacing w:after="0" w:line="108" w:lineRule="exact"/>
        <w:rPr>
          <w:sz w:val="20"/>
          <w:szCs w:val="20"/>
          <w:color w:val="auto"/>
        </w:rPr>
      </w:pPr>
    </w:p>
    <w:p>
      <w:pPr>
        <w:ind w:left="760" w:right="799" w:firstLine="320"/>
        <w:spacing w:after="0" w:line="254" w:lineRule="auto"/>
        <w:rPr>
          <w:sz w:val="20"/>
          <w:szCs w:val="20"/>
          <w:color w:val="auto"/>
        </w:rPr>
      </w:pPr>
      <w:r>
        <w:rPr>
          <w:rFonts w:ascii="Times New Roman" w:cs="Times New Roman" w:eastAsia="Times New Roman" w:hAnsi="Times New Roman"/>
          <w:sz w:val="16"/>
          <w:szCs w:val="16"/>
          <w:color w:val="auto"/>
        </w:rPr>
        <w:t>Euroclear advises that the Euroclear System was created in 1968 to hold securities for its participants, which it refers to as “</w:t>
      </w:r>
      <w:r>
        <w:rPr>
          <w:rFonts w:ascii="Times New Roman" w:cs="Times New Roman" w:eastAsia="Times New Roman" w:hAnsi="Times New Roman"/>
          <w:sz w:val="16"/>
          <w:szCs w:val="16"/>
          <w:i w:val="1"/>
          <w:iCs w:val="1"/>
          <w:color w:val="auto"/>
        </w:rPr>
        <w:t>Euroclear Participants</w:t>
      </w:r>
      <w:r>
        <w:rPr>
          <w:rFonts w:ascii="Times New Roman" w:cs="Times New Roman" w:eastAsia="Times New Roman" w:hAnsi="Times New Roman"/>
          <w:sz w:val="16"/>
          <w:szCs w:val="16"/>
          <w:color w:val="auto"/>
        </w:rPr>
        <w:t>,”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The Euroclear System is operated by Euroclear, which the Company also refers to as the “</w:t>
      </w:r>
      <w:r>
        <w:rPr>
          <w:rFonts w:ascii="Times New Roman" w:cs="Times New Roman" w:eastAsia="Times New Roman" w:hAnsi="Times New Roman"/>
          <w:sz w:val="16"/>
          <w:szCs w:val="16"/>
          <w:i w:val="1"/>
          <w:iCs w:val="1"/>
          <w:color w:val="auto"/>
        </w:rPr>
        <w:t>Euroclear Operator</w:t>
      </w:r>
      <w:r>
        <w:rPr>
          <w:rFonts w:ascii="Times New Roman" w:cs="Times New Roman" w:eastAsia="Times New Roman" w:hAnsi="Times New Roman"/>
          <w:sz w:val="16"/>
          <w:szCs w:val="16"/>
          <w:color w:val="auto"/>
        </w:rPr>
        <w:t>.” Euroclear Participants include banks, including central banks, securities brokers and dealers and other professional financial intermediaries and may include the underwriters. Indirect access to the Euroclear System is also available to other firms that clear through or maintain a custodial relationship with a Euroclear Participant, either directly or indirectly.</w:t>
      </w:r>
    </w:p>
    <w:p>
      <w:pPr>
        <w:spacing w:after="0" w:line="71" w:lineRule="exact"/>
        <w:rPr>
          <w:sz w:val="20"/>
          <w:szCs w:val="20"/>
          <w:color w:val="auto"/>
        </w:rPr>
      </w:pPr>
    </w:p>
    <w:p>
      <w:pPr>
        <w:ind w:left="760" w:right="799" w:firstLine="320"/>
        <w:spacing w:after="0" w:line="255" w:lineRule="auto"/>
        <w:rPr>
          <w:sz w:val="20"/>
          <w:szCs w:val="20"/>
          <w:color w:val="auto"/>
        </w:rPr>
      </w:pPr>
      <w:r>
        <w:rPr>
          <w:rFonts w:ascii="Times New Roman" w:cs="Times New Roman" w:eastAsia="Times New Roman" w:hAnsi="Times New Roman"/>
          <w:sz w:val="16"/>
          <w:szCs w:val="16"/>
          <w:color w:val="auto"/>
        </w:rPr>
        <w:t>Securities clearance accounts and cash accounts with the Euroclear Operator are governed by the Terms and Conditions Governing Use of Euroclear and the related Operating Procedures of the Euroclear System, each as amended from time to time, and applicable Belgian law, which the Company refers to collectively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70" w:lineRule="exact"/>
        <w:rPr>
          <w:sz w:val="20"/>
          <w:szCs w:val="20"/>
          <w:color w:val="auto"/>
        </w:rPr>
      </w:pPr>
    </w:p>
    <w:p>
      <w:pPr>
        <w:ind w:left="760" w:right="839" w:firstLine="320"/>
        <w:spacing w:after="0" w:line="282" w:lineRule="auto"/>
        <w:rPr>
          <w:sz w:val="20"/>
          <w:szCs w:val="20"/>
          <w:color w:val="auto"/>
        </w:rPr>
      </w:pPr>
      <w:r>
        <w:rPr>
          <w:rFonts w:ascii="Times New Roman" w:cs="Times New Roman" w:eastAsia="Times New Roman" w:hAnsi="Times New Roman"/>
          <w:sz w:val="16"/>
          <w:szCs w:val="16"/>
          <w:color w:val="auto"/>
        </w:rPr>
        <w:t>Distributions with respect to the notes held beneficially through Euroclear will be credited to the cash accounts of Euroclear Participants in accordance with the Terms and Conditions.</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Clearance and Settlement Procedures</w:t>
      </w:r>
    </w:p>
    <w:p>
      <w:pPr>
        <w:spacing w:after="0" w:line="108" w:lineRule="exact"/>
        <w:rPr>
          <w:sz w:val="20"/>
          <w:szCs w:val="20"/>
          <w:color w:val="auto"/>
        </w:rPr>
      </w:pPr>
    </w:p>
    <w:p>
      <w:pPr>
        <w:ind w:left="760" w:right="799" w:firstLine="320"/>
        <w:spacing w:after="0" w:line="258" w:lineRule="auto"/>
        <w:rPr>
          <w:sz w:val="20"/>
          <w:szCs w:val="20"/>
          <w:color w:val="auto"/>
        </w:rPr>
      </w:pPr>
      <w:r>
        <w:rPr>
          <w:rFonts w:ascii="Times New Roman" w:cs="Times New Roman" w:eastAsia="Times New Roman" w:hAnsi="Times New Roman"/>
          <w:sz w:val="16"/>
          <w:szCs w:val="16"/>
          <w:color w:val="auto"/>
        </w:rPr>
        <w:t>The Company understands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68" w:lineRule="exact"/>
        <w:rPr>
          <w:sz w:val="20"/>
          <w:szCs w:val="20"/>
          <w:color w:val="auto"/>
        </w:rPr>
      </w:pPr>
    </w:p>
    <w:p>
      <w:pPr>
        <w:ind w:left="760" w:right="779" w:firstLine="320"/>
        <w:spacing w:after="0" w:line="292" w:lineRule="auto"/>
        <w:rPr>
          <w:sz w:val="20"/>
          <w:szCs w:val="20"/>
          <w:color w:val="auto"/>
        </w:rPr>
      </w:pPr>
      <w:r>
        <w:rPr>
          <w:rFonts w:ascii="Times New Roman" w:cs="Times New Roman" w:eastAsia="Times New Roman" w:hAnsi="Times New Roman"/>
          <w:sz w:val="15"/>
          <w:szCs w:val="15"/>
          <w:color w:val="auto"/>
        </w:rPr>
        <w:t>The Company understands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43" w:lineRule="exact"/>
        <w:rPr>
          <w:sz w:val="20"/>
          <w:szCs w:val="20"/>
          <w:color w:val="auto"/>
        </w:rPr>
      </w:pPr>
    </w:p>
    <w:p>
      <w:pPr>
        <w:ind w:left="760" w:right="919" w:firstLine="320"/>
        <w:spacing w:after="0" w:line="261" w:lineRule="auto"/>
        <w:rPr>
          <w:sz w:val="20"/>
          <w:szCs w:val="20"/>
          <w:color w:val="auto"/>
        </w:rPr>
      </w:pPr>
      <w:r>
        <w:rPr>
          <w:rFonts w:ascii="Times New Roman" w:cs="Times New Roman" w:eastAsia="Times New Roman" w:hAnsi="Times New Roman"/>
          <w:sz w:val="16"/>
          <w:szCs w:val="16"/>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65" w:lineRule="exact"/>
        <w:rPr>
          <w:sz w:val="20"/>
          <w:szCs w:val="20"/>
          <w:color w:val="auto"/>
        </w:rPr>
      </w:pPr>
    </w:p>
    <w:p>
      <w:pPr>
        <w:ind w:left="760" w:right="799" w:firstLine="320"/>
        <w:spacing w:after="0" w:line="258" w:lineRule="auto"/>
        <w:rPr>
          <w:sz w:val="20"/>
          <w:szCs w:val="20"/>
          <w:color w:val="auto"/>
        </w:rPr>
      </w:pPr>
      <w:r>
        <w:rPr>
          <w:rFonts w:ascii="Times New Roman" w:cs="Times New Roman" w:eastAsia="Times New Roman" w:hAnsi="Times New Roman"/>
          <w:sz w:val="16"/>
          <w:szCs w:val="16"/>
          <w:color w:val="auto"/>
        </w:rPr>
        <w:t>In addition, because of time-zone differences, there may be problems with completing transactions involving Clearstream and Euroclear on the same Business Day as in the United States. United States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68" w:lineRule="exact"/>
        <w:rPr>
          <w:sz w:val="20"/>
          <w:szCs w:val="20"/>
          <w:color w:val="auto"/>
        </w:rPr>
      </w:pPr>
    </w:p>
    <w:p>
      <w:pPr>
        <w:ind w:left="760" w:right="899" w:firstLine="320"/>
        <w:spacing w:after="0" w:line="258" w:lineRule="auto"/>
        <w:rPr>
          <w:sz w:val="20"/>
          <w:szCs w:val="20"/>
          <w:color w:val="auto"/>
        </w:rPr>
      </w:pPr>
      <w:r>
        <w:rPr>
          <w:rFonts w:ascii="Times New Roman" w:cs="Times New Roman" w:eastAsia="Times New Roman" w:hAnsi="Times New Roman"/>
          <w:sz w:val="16"/>
          <w:szCs w:val="16"/>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68" w:lineRule="exact"/>
        <w:rPr>
          <w:sz w:val="20"/>
          <w:szCs w:val="20"/>
          <w:color w:val="auto"/>
        </w:rPr>
      </w:pPr>
    </w:p>
    <w:p>
      <w:pPr>
        <w:jc w:val="both"/>
        <w:ind w:left="760" w:right="939" w:firstLine="320"/>
        <w:spacing w:after="0" w:line="266" w:lineRule="auto"/>
        <w:rPr>
          <w:sz w:val="20"/>
          <w:szCs w:val="20"/>
          <w:color w:val="auto"/>
        </w:rPr>
      </w:pPr>
      <w:r>
        <w:rPr>
          <w:rFonts w:ascii="Times New Roman" w:cs="Times New Roman" w:eastAsia="Times New Roman" w:hAnsi="Times New Roman"/>
          <w:sz w:val="16"/>
          <w:szCs w:val="16"/>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0" w:name="page41"/>
    <w:bookmarkEnd w:id="40"/>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Certificated Notes</w:t>
      </w:r>
    </w:p>
    <w:p>
      <w:pPr>
        <w:spacing w:after="0" w:line="106" w:lineRule="exact"/>
        <w:rPr>
          <w:sz w:val="20"/>
          <w:szCs w:val="20"/>
          <w:color w:val="auto"/>
        </w:rPr>
      </w:pPr>
    </w:p>
    <w:p>
      <w:pPr>
        <w:ind w:left="760" w:right="799" w:firstLine="320"/>
        <w:spacing w:after="0" w:line="273" w:lineRule="auto"/>
        <w:rPr>
          <w:sz w:val="20"/>
          <w:szCs w:val="20"/>
          <w:color w:val="auto"/>
        </w:rPr>
      </w:pPr>
      <w:r>
        <w:rPr>
          <w:rFonts w:ascii="Times New Roman" w:cs="Times New Roman" w:eastAsia="Times New Roman" w:hAnsi="Times New Roman"/>
          <w:sz w:val="15"/>
          <w:szCs w:val="15"/>
          <w:color w:val="auto"/>
        </w:rPr>
        <w:t>If at any time the depositary for any of the notes represented by a registered global note notifies the Company that it is unwilling or unable to continue as depositary and a successor depositary is not appointed by the Company within 90 days of such notice, it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registered global note that had been held by the depositary. In addition, the Company may at any time determine that the notes shall no longer be represented by a global note and will issue notes in definitive form in exchange for such global note pursuant to the procedure described above.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 Personal Liability of Directors, Officers, Employees and Shareholders</w:t>
      </w:r>
    </w:p>
    <w:p>
      <w:pPr>
        <w:spacing w:after="0" w:line="106" w:lineRule="exact"/>
        <w:rPr>
          <w:sz w:val="20"/>
          <w:szCs w:val="20"/>
          <w:color w:val="auto"/>
        </w:rPr>
      </w:pPr>
    </w:p>
    <w:p>
      <w:pPr>
        <w:ind w:left="760" w:right="759" w:firstLine="320"/>
        <w:spacing w:after="0" w:line="257" w:lineRule="auto"/>
        <w:rPr>
          <w:sz w:val="20"/>
          <w:szCs w:val="20"/>
          <w:color w:val="auto"/>
        </w:rPr>
      </w:pPr>
      <w:r>
        <w:rPr>
          <w:rFonts w:ascii="Times New Roman" w:cs="Times New Roman" w:eastAsia="Times New Roman" w:hAnsi="Times New Roman"/>
          <w:sz w:val="16"/>
          <w:szCs w:val="16"/>
          <w:color w:val="auto"/>
        </w:rPr>
        <w:t>No present, past or future director, member, partner, officer, employee or equityholder of the Company, any Guarantor or any of their respective Subsidiaries will have any liability for any of the Company’s or any Guarantor’s obligations under the notes or the indenture or for any claim based on, in respect of, or by reason of, such obligations or their creation (other than the Guarantors in respect of their respective Guarantees of the notes and the Company in respect of the notes). Each holder of notes by accepting a note waives and releases all such liability. The waiver and release are part of the consideration for issuance of the notes.</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106" w:lineRule="exact"/>
        <w:rPr>
          <w:sz w:val="20"/>
          <w:szCs w:val="20"/>
          <w:color w:val="auto"/>
        </w:rPr>
      </w:pPr>
    </w:p>
    <w:p>
      <w:pPr>
        <w:ind w:left="760" w:right="1039" w:firstLine="320"/>
        <w:spacing w:after="0" w:line="261" w:lineRule="auto"/>
        <w:rPr>
          <w:sz w:val="20"/>
          <w:szCs w:val="20"/>
          <w:color w:val="auto"/>
        </w:rPr>
      </w:pPr>
      <w:r>
        <w:rPr>
          <w:rFonts w:ascii="Times New Roman" w:cs="Times New Roman" w:eastAsia="Times New Roman" w:hAnsi="Times New Roman"/>
          <w:sz w:val="16"/>
          <w:szCs w:val="16"/>
          <w:color w:val="auto"/>
        </w:rPr>
        <w:t>Set forth below is a summary of certain of the defined terms used in the indenture. Reference is made to the indenture for the full definition of all such terms as well as any other capitalized terms used herein for which no definition is provided. Unless the context otherwise requires, an accounting term not otherwise defined has the meaning assigned to it in accordance with generally accepted accounting principles.</w:t>
      </w:r>
    </w:p>
    <w:p>
      <w:pPr>
        <w:spacing w:after="0" w:line="63" w:lineRule="exact"/>
        <w:rPr>
          <w:sz w:val="20"/>
          <w:szCs w:val="20"/>
          <w:color w:val="auto"/>
        </w:rPr>
      </w:pPr>
    </w:p>
    <w:p>
      <w:pPr>
        <w:ind w:left="760" w:right="839" w:firstLine="320"/>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Affiliate</w:t>
      </w:r>
      <w:r>
        <w:rPr>
          <w:rFonts w:ascii="Times New Roman" w:cs="Times New Roman" w:eastAsia="Times New Roman" w:hAnsi="Times New Roman"/>
          <w:sz w:val="16"/>
          <w:szCs w:val="16"/>
          <w:color w:val="auto"/>
        </w:rPr>
        <w:t>” means, with respect to any specified Person, any other Person directly or indirectly controlling or controlled by or under direct or indirect common control with such specified Person. For the purposes of this definition, “</w:t>
      </w:r>
      <w:r>
        <w:rPr>
          <w:rFonts w:ascii="Times New Roman" w:cs="Times New Roman" w:eastAsia="Times New Roman" w:hAnsi="Times New Roman"/>
          <w:sz w:val="16"/>
          <w:szCs w:val="16"/>
          <w:i w:val="1"/>
          <w:iCs w:val="1"/>
          <w:color w:val="auto"/>
        </w:rPr>
        <w:t>control</w:t>
      </w:r>
      <w:r>
        <w:rPr>
          <w:rFonts w:ascii="Times New Roman" w:cs="Times New Roman" w:eastAsia="Times New Roman" w:hAnsi="Times New Roman"/>
          <w:sz w:val="16"/>
          <w:szCs w:val="16"/>
          <w:color w:val="auto"/>
        </w:rPr>
        <w:t>” when used with respect to any specified Person means the power to direct the management and policies of such Person, directly or indirectly, whether through ownership of voting securities, by contract or otherwise; and the terms “</w:t>
      </w:r>
      <w:r>
        <w:rPr>
          <w:rFonts w:ascii="Times New Roman" w:cs="Times New Roman" w:eastAsia="Times New Roman" w:hAnsi="Times New Roman"/>
          <w:sz w:val="16"/>
          <w:szCs w:val="16"/>
          <w:i w:val="1"/>
          <w:iCs w:val="1"/>
          <w:color w:val="auto"/>
        </w:rPr>
        <w:t>controlling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controlled</w:t>
      </w:r>
      <w:r>
        <w:rPr>
          <w:rFonts w:ascii="Times New Roman" w:cs="Times New Roman" w:eastAsia="Times New Roman" w:hAnsi="Times New Roman"/>
          <w:sz w:val="16"/>
          <w:szCs w:val="16"/>
          <w:color w:val="auto"/>
        </w:rPr>
        <w:t>”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w:t>
      </w:r>
    </w:p>
    <w:p>
      <w:pPr>
        <w:spacing w:after="0" w:line="70" w:lineRule="exact"/>
        <w:rPr>
          <w:sz w:val="20"/>
          <w:szCs w:val="20"/>
          <w:color w:val="auto"/>
        </w:rPr>
      </w:pPr>
    </w:p>
    <w:p>
      <w:pPr>
        <w:ind w:left="760" w:right="939" w:firstLine="320"/>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Attributable Debt</w:t>
      </w:r>
      <w:r>
        <w:rPr>
          <w:rFonts w:ascii="Times New Roman" w:cs="Times New Roman" w:eastAsia="Times New Roman" w:hAnsi="Times New Roman"/>
          <w:sz w:val="16"/>
          <w:szCs w:val="16"/>
          <w:color w:val="auto"/>
        </w:rPr>
        <w:t>”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provided, however, that if such Sale Leaseback Transaction results in a Capital Lease Obligation, the amount of indebtedness represented thereby will be determined in accordance with the definition of “Capital Lease Obligations.”</w:t>
      </w:r>
    </w:p>
    <w:p>
      <w:pPr>
        <w:spacing w:after="0" w:line="67" w:lineRule="exact"/>
        <w:rPr>
          <w:sz w:val="20"/>
          <w:szCs w:val="20"/>
          <w:color w:val="auto"/>
        </w:rPr>
      </w:pPr>
    </w:p>
    <w:p>
      <w:pPr>
        <w:ind w:left="760" w:right="759" w:firstLine="320"/>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Below Investment Grade Rating Event</w:t>
      </w:r>
      <w:r>
        <w:rPr>
          <w:rFonts w:ascii="Times New Roman" w:cs="Times New Roman" w:eastAsia="Times New Roman" w:hAnsi="Times New Roman"/>
          <w:sz w:val="16"/>
          <w:szCs w:val="16"/>
          <w:color w:val="auto"/>
        </w:rPr>
        <w:t xml:space="preserve">” means the rating on the notes from each of the Rating Agencies that made a rating of the notes publicly available prior to the date of the public notice of the arrangement that could result in such Change of Control is both (i) lowered in respect of a Change of Control and (ii) below an Investment Grade Rating, in the case of each of clauses (i) and (ii), on or within 60 days after the earlier of (A) the occurrence of a Change of Control or (B) public notice of the occurrence of the Change of Control or the intention by the Company to effect a Change of Control (which period shall be extended until the ratings are announced if, during such 60-day period, the rating of such notes is under publicly announced consideration for possible downgrade by each of the Rating Agencies);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Below Investment Grade Rating Event otherwise arising by virtue of a particular reduction in rating shall not be deemed to have occurred in respect of a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879"/>
        <w:spacing w:after="0" w:line="261" w:lineRule="auto"/>
        <w:rPr>
          <w:sz w:val="20"/>
          <w:szCs w:val="20"/>
          <w:color w:val="auto"/>
        </w:rPr>
      </w:pPr>
      <w:r>
        <w:rPr>
          <w:rFonts w:ascii="Times New Roman" w:cs="Times New Roman" w:eastAsia="Times New Roman" w:hAnsi="Times New Roman"/>
          <w:sz w:val="16"/>
          <w:szCs w:val="16"/>
          <w:color w:val="auto"/>
        </w:rPr>
        <w:t>or not the applicable Change of Control shall have occurred at the time of the Below Investment Grade Rating Event). The Company shall request the Rating Agencies to make such confirmation in connection with any Change of Control and shall promptly certify to the Trustee as to whether or not such confirmation has been received or denied.</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 means the board of directors of the Company or any duly authorized committee thereof.</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Business Day</w:t>
      </w:r>
      <w:r>
        <w:rPr>
          <w:rFonts w:ascii="Times New Roman" w:cs="Times New Roman" w:eastAsia="Times New Roman" w:hAnsi="Times New Roman"/>
          <w:sz w:val="16"/>
          <w:szCs w:val="16"/>
          <w:color w:val="auto"/>
        </w:rPr>
        <w:t>” means each Monday, Tuesday, Wednesday, Thursday and Friday which is not a:</w:t>
      </w:r>
    </w:p>
    <w:p>
      <w:pPr>
        <w:spacing w:after="0" w:line="106" w:lineRule="exact"/>
        <w:rPr>
          <w:sz w:val="20"/>
          <w:szCs w:val="20"/>
          <w:color w:val="auto"/>
        </w:rPr>
      </w:pPr>
    </w:p>
    <w:p>
      <w:pPr>
        <w:ind w:left="1380" w:right="839" w:hanging="304"/>
        <w:spacing w:after="0" w:line="282" w:lineRule="auto"/>
        <w:tabs>
          <w:tab w:leader="none" w:pos="1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 on which banking institutions in the place of payment for the notes are authorized or obligated by law or executive order to close; or</w:t>
      </w:r>
    </w:p>
    <w:p>
      <w:pPr>
        <w:spacing w:after="0" w:line="48" w:lineRule="exact"/>
        <w:rPr>
          <w:rFonts w:ascii="Times New Roman" w:cs="Times New Roman" w:eastAsia="Times New Roman" w:hAnsi="Times New Roman"/>
          <w:sz w:val="16"/>
          <w:szCs w:val="16"/>
          <w:color w:val="auto"/>
        </w:rPr>
      </w:pPr>
    </w:p>
    <w:p>
      <w:pPr>
        <w:ind w:left="1380" w:right="799" w:hanging="304"/>
        <w:spacing w:after="0" w:line="282" w:lineRule="auto"/>
        <w:tabs>
          <w:tab w:leader="none" w:pos="1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 on which the Trans-European Automated Real-time Gross Settlement Express Transfer system (the T2 system), or any successor thereto, is closed.</w:t>
      </w:r>
    </w:p>
    <w:p>
      <w:pPr>
        <w:spacing w:after="0" w:line="46" w:lineRule="exact"/>
        <w:rPr>
          <w:sz w:val="20"/>
          <w:szCs w:val="20"/>
          <w:color w:val="auto"/>
        </w:rPr>
      </w:pPr>
    </w:p>
    <w:p>
      <w:pPr>
        <w:ind w:left="760" w:right="779" w:firstLine="320"/>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Capital Lease Obligations</w:t>
      </w:r>
      <w:r>
        <w:rPr>
          <w:rFonts w:ascii="Times New Roman" w:cs="Times New Roman" w:eastAsia="Times New Roman" w:hAnsi="Times New Roman"/>
          <w:sz w:val="16"/>
          <w:szCs w:val="16"/>
          <w:color w:val="auto"/>
        </w:rPr>
        <w:t>”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the indenture, the amount of such obligations at any time shall be the capitalized amount thereof at such time determined in accordance with GAAP.</w:t>
      </w:r>
    </w:p>
    <w:p>
      <w:pPr>
        <w:spacing w:after="0" w:line="64" w:lineRule="exact"/>
        <w:rPr>
          <w:sz w:val="20"/>
          <w:szCs w:val="20"/>
          <w:color w:val="auto"/>
        </w:rPr>
      </w:pPr>
    </w:p>
    <w:p>
      <w:pPr>
        <w:ind w:left="760" w:right="779" w:firstLine="320"/>
        <w:spacing w:after="0" w:line="27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Capital Stock</w:t>
      </w:r>
      <w:r>
        <w:rPr>
          <w:rFonts w:ascii="Times New Roman" w:cs="Times New Roman" w:eastAsia="Times New Roman" w:hAnsi="Times New Roman"/>
          <w:sz w:val="15"/>
          <w:szCs w:val="15"/>
          <w:color w:val="auto"/>
        </w:rPr>
        <w:t>”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Change of Control</w:t>
      </w:r>
      <w:r>
        <w:rPr>
          <w:rFonts w:ascii="Times New Roman" w:cs="Times New Roman" w:eastAsia="Times New Roman" w:hAnsi="Times New Roman"/>
          <w:sz w:val="16"/>
          <w:szCs w:val="16"/>
          <w:color w:val="auto"/>
        </w:rPr>
        <w:t>” means the occurrence of any of the following events:</w:t>
      </w:r>
    </w:p>
    <w:p>
      <w:pPr>
        <w:spacing w:after="0" w:line="106" w:lineRule="exact"/>
        <w:rPr>
          <w:sz w:val="20"/>
          <w:szCs w:val="20"/>
          <w:color w:val="auto"/>
        </w:rPr>
      </w:pPr>
    </w:p>
    <w:p>
      <w:pPr>
        <w:ind w:left="1380" w:right="799" w:hanging="304"/>
        <w:spacing w:after="0" w:line="257" w:lineRule="auto"/>
        <w:tabs>
          <w:tab w:leader="none" w:pos="1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or “group” (as such terms are used in Sections 13(d) and 14(d) of the Exchange Act)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 (other than a Wholly Owned Subsidiary);</w:t>
      </w:r>
    </w:p>
    <w:p>
      <w:pPr>
        <w:spacing w:after="0" w:line="67" w:lineRule="exact"/>
        <w:rPr>
          <w:rFonts w:ascii="Times New Roman" w:cs="Times New Roman" w:eastAsia="Times New Roman" w:hAnsi="Times New Roman"/>
          <w:sz w:val="16"/>
          <w:szCs w:val="16"/>
          <w:color w:val="auto"/>
        </w:rPr>
      </w:pPr>
    </w:p>
    <w:p>
      <w:pPr>
        <w:ind w:left="1380" w:right="839" w:hanging="304"/>
        <w:spacing w:after="0" w:line="258" w:lineRule="auto"/>
        <w:tabs>
          <w:tab w:leader="none" w:pos="1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consolidates with or merges with or into any Person or sells, assigns, conveys, transfers, leases or otherwise disposes of all or substantially all of its assets to any Person (other than a Wholly Owned Subsidiary), or any Person consolidates with or merges with or into the Company, in any such event pursuant to a transaction in which the outstanding Voting Stock of the Company is converted into or exchanged for cash, securities or other property, other than any such transaction where:</w:t>
      </w:r>
    </w:p>
    <w:p>
      <w:pPr>
        <w:spacing w:after="0" w:line="68" w:lineRule="exact"/>
        <w:rPr>
          <w:rFonts w:ascii="Times New Roman" w:cs="Times New Roman" w:eastAsia="Times New Roman" w:hAnsi="Times New Roman"/>
          <w:sz w:val="16"/>
          <w:szCs w:val="16"/>
          <w:color w:val="auto"/>
        </w:rPr>
      </w:pPr>
    </w:p>
    <w:p>
      <w:pPr>
        <w:ind w:left="1700" w:right="979" w:hanging="303"/>
        <w:spacing w:after="0" w:line="282" w:lineRule="auto"/>
        <w:tabs>
          <w:tab w:leader="none" w:pos="17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Voting Stock of the Company is changed into or exchanged for Voting Stock of the surviving corporation, and</w:t>
      </w:r>
    </w:p>
    <w:p>
      <w:pPr>
        <w:spacing w:after="0" w:line="48" w:lineRule="exact"/>
        <w:rPr>
          <w:rFonts w:ascii="Times New Roman" w:cs="Times New Roman" w:eastAsia="Times New Roman" w:hAnsi="Times New Roman"/>
          <w:sz w:val="16"/>
          <w:szCs w:val="16"/>
          <w:color w:val="auto"/>
        </w:rPr>
      </w:pPr>
    </w:p>
    <w:p>
      <w:pPr>
        <w:ind w:left="1700" w:right="859" w:hanging="303"/>
        <w:spacing w:after="0" w:line="261" w:lineRule="auto"/>
        <w:tabs>
          <w:tab w:leader="none" w:pos="17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the Voting Stock of the Company, immediately prior to such transaction own, directly or indirectly, not less than a majority of the Voting Stock of the Company, or the surviving corporation immediately after such transaction and in substantially the same proportion as before the transaction, or</w:t>
      </w:r>
    </w:p>
    <w:p>
      <w:pPr>
        <w:spacing w:after="0" w:line="64" w:lineRule="exact"/>
        <w:rPr>
          <w:rFonts w:ascii="Times New Roman" w:cs="Times New Roman" w:eastAsia="Times New Roman" w:hAnsi="Times New Roman"/>
          <w:sz w:val="16"/>
          <w:szCs w:val="16"/>
          <w:color w:val="auto"/>
        </w:rPr>
      </w:pPr>
    </w:p>
    <w:p>
      <w:pPr>
        <w:ind w:left="1380" w:right="1079" w:hanging="304"/>
        <w:spacing w:after="0" w:line="266" w:lineRule="auto"/>
        <w:tabs>
          <w:tab w:leader="none" w:pos="1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liquidated or dissolved or adopts a plan of liquidation or dissolution other than in a transaction which complies with the provisions described under “—Consolidation, Merger and Sale of Assets.”</w:t>
      </w:r>
    </w:p>
    <w:p>
      <w:pPr>
        <w:spacing w:after="0" w:line="59" w:lineRule="exact"/>
        <w:rPr>
          <w:sz w:val="20"/>
          <w:szCs w:val="20"/>
          <w:color w:val="auto"/>
        </w:rPr>
      </w:pPr>
    </w:p>
    <w:p>
      <w:pPr>
        <w:ind w:left="760" w:right="79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Change of Control Repurchase Event</w:t>
      </w:r>
      <w:r>
        <w:rPr>
          <w:rFonts w:ascii="Times New Roman" w:cs="Times New Roman" w:eastAsia="Times New Roman" w:hAnsi="Times New Roman"/>
          <w:sz w:val="16"/>
          <w:szCs w:val="16"/>
          <w:color w:val="auto"/>
        </w:rPr>
        <w:t>” means, with respect to the notes, the occurrence of a Change of Control together with a Below Investment Grade Rating Event with respect to the notes.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104" w:lineRule="exact"/>
        <w:rPr>
          <w:sz w:val="20"/>
          <w:szCs w:val="20"/>
          <w:color w:val="auto"/>
        </w:rPr>
      </w:pPr>
    </w:p>
    <w:p>
      <w:pPr>
        <w:jc w:val="both"/>
        <w:ind w:left="760" w:right="79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Commodity Price Protection Agreement</w:t>
      </w:r>
      <w:r>
        <w:rPr>
          <w:rFonts w:ascii="Times New Roman" w:cs="Times New Roman" w:eastAsia="Times New Roman" w:hAnsi="Times New Roman"/>
          <w:sz w:val="16"/>
          <w:szCs w:val="16"/>
          <w:color w:val="auto"/>
        </w:rPr>
        <w:t>” means any forward contract, commodity swap, commodity option or other similar financial agreement or arrangement relating to, or the value of which is dependent upon, fluctuations in commodity prices.</w:t>
      </w:r>
    </w:p>
    <w:p>
      <w:pPr>
        <w:spacing w:after="0" w:line="56" w:lineRule="exact"/>
        <w:rPr>
          <w:sz w:val="20"/>
          <w:szCs w:val="20"/>
          <w:color w:val="auto"/>
        </w:rPr>
      </w:pPr>
    </w:p>
    <w:p>
      <w:pPr>
        <w:ind w:left="760" w:right="979" w:firstLine="320"/>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Consolidated Net Tangible Assets</w:t>
      </w:r>
      <w:r>
        <w:rPr>
          <w:rFonts w:ascii="Times New Roman" w:cs="Times New Roman" w:eastAsia="Times New Roman" w:hAnsi="Times New Roman"/>
          <w:sz w:val="16"/>
          <w:szCs w:val="16"/>
          <w:color w:val="auto"/>
        </w:rPr>
        <w:t>” means, with respect to the Company, the total amount of assets (less applicable reserves and other properly deductible items) after deducting (i) all current liabilities (excluding the amount of liabilities which are by their terms extendable or renewable at the option of the obligor to a date more than 12 months after the date as of which the amount is being determined) and (ii) all goodwill, tradenames, trademarks, patents, unamortized debt discount and expense and other like intangible assets, all as set forth on the most recent consolidated balance sheet of the Company and its Subsidiaries.</w:t>
      </w:r>
    </w:p>
    <w:p>
      <w:pPr>
        <w:spacing w:after="0" w:line="67" w:lineRule="exact"/>
        <w:rPr>
          <w:sz w:val="20"/>
          <w:szCs w:val="20"/>
          <w:color w:val="auto"/>
        </w:rPr>
      </w:pPr>
    </w:p>
    <w:p>
      <w:pPr>
        <w:jc w:val="both"/>
        <w:ind w:left="760" w:right="95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Currency Agreement</w:t>
      </w:r>
      <w:r>
        <w:rPr>
          <w:rFonts w:ascii="Times New Roman" w:cs="Times New Roman" w:eastAsia="Times New Roman" w:hAnsi="Times New Roman"/>
          <w:sz w:val="16"/>
          <w:szCs w:val="16"/>
          <w:color w:val="auto"/>
        </w:rPr>
        <w:t>” means one or more of the following agreements which shall be entered into by one or more financial institutions: foreign exchange contracts, currency swap agreements or other similar agreements or arrangements designed to protect against the fluctuations in currency values.</w:t>
      </w:r>
    </w:p>
    <w:p>
      <w:pPr>
        <w:spacing w:after="0" w:line="9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Domestic Subsidiary</w:t>
      </w:r>
      <w:r>
        <w:rPr>
          <w:rFonts w:ascii="Times New Roman" w:cs="Times New Roman" w:eastAsia="Times New Roman" w:hAnsi="Times New Roman"/>
          <w:sz w:val="16"/>
          <w:szCs w:val="16"/>
          <w:color w:val="auto"/>
        </w:rPr>
        <w:t>” means any Subsidiary that is not a Foreign Subsidiary.</w:t>
      </w:r>
    </w:p>
    <w:p>
      <w:pPr>
        <w:spacing w:after="0" w:line="104" w:lineRule="exact"/>
        <w:rPr>
          <w:sz w:val="20"/>
          <w:szCs w:val="20"/>
          <w:color w:val="auto"/>
        </w:rPr>
      </w:pPr>
    </w:p>
    <w:p>
      <w:pPr>
        <w:ind w:left="760" w:right="111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means the Securities Exchange Act of 1934, as amended, or any successor statute, and the rules and regulations promulgated by the Commission thereunder.</w:t>
      </w:r>
    </w:p>
    <w:p>
      <w:pPr>
        <w:spacing w:after="0" w:line="44" w:lineRule="exact"/>
        <w:rPr>
          <w:sz w:val="20"/>
          <w:szCs w:val="20"/>
          <w:color w:val="auto"/>
        </w:rPr>
      </w:pPr>
    </w:p>
    <w:p>
      <w:pPr>
        <w:ind w:left="760" w:right="959" w:firstLine="320"/>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Fair Market Value</w:t>
      </w:r>
      <w:r>
        <w:rPr>
          <w:rFonts w:ascii="Times New Roman" w:cs="Times New Roman" w:eastAsia="Times New Roman" w:hAnsi="Times New Roman"/>
          <w:sz w:val="16"/>
          <w:szCs w:val="16"/>
          <w:color w:val="auto"/>
        </w:rPr>
        <w:t>” means, with respect to any asset or property, the sale value that would be obtained in an arm’s-length free market transaction between an informed and willing seller under no compulsion to sell and an informed and willing buyer under no compulsion to buy less any tax, assessment or other governmental charge payable as a result of or arising out of the disposition of such asset or property. Fair Market Value shall be determined in good faith by the Company.</w:t>
      </w:r>
    </w:p>
    <w:p>
      <w:pPr>
        <w:spacing w:after="0" w:line="64" w:lineRule="exact"/>
        <w:rPr>
          <w:sz w:val="20"/>
          <w:szCs w:val="20"/>
          <w:color w:val="auto"/>
        </w:rPr>
      </w:pPr>
    </w:p>
    <w:p>
      <w:pPr>
        <w:ind w:left="760" w:right="81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Finco Indebtedness</w:t>
      </w:r>
      <w:r>
        <w:rPr>
          <w:rFonts w:ascii="Times New Roman" w:cs="Times New Roman" w:eastAsia="Times New Roman" w:hAnsi="Times New Roman"/>
          <w:sz w:val="16"/>
          <w:szCs w:val="16"/>
          <w:color w:val="auto"/>
        </w:rPr>
        <w:t>” means indebtedness for borrowed money of Finco owed to a Person, other than the Company or any Subsidiary of the Company, that has an aggregate principal amount or committed amount in excess of $500.0 million.</w:t>
      </w:r>
    </w:p>
    <w:p>
      <w:pPr>
        <w:spacing w:after="0" w:line="56" w:lineRule="exact"/>
        <w:rPr>
          <w:sz w:val="20"/>
          <w:szCs w:val="20"/>
          <w:color w:val="auto"/>
        </w:rPr>
      </w:pPr>
    </w:p>
    <w:p>
      <w:pPr>
        <w:ind w:left="760" w:right="87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Fitch</w:t>
      </w:r>
      <w:r>
        <w:rPr>
          <w:rFonts w:ascii="Times New Roman" w:cs="Times New Roman" w:eastAsia="Times New Roman" w:hAnsi="Times New Roman"/>
          <w:sz w:val="16"/>
          <w:szCs w:val="16"/>
          <w:color w:val="auto"/>
        </w:rPr>
        <w:t>” means Fitch Ratings, Inc., also known as Fitch Ratings, or any successor to the rating agency business thereof.</w:t>
      </w:r>
    </w:p>
    <w:p>
      <w:pPr>
        <w:spacing w:after="0" w:line="44" w:lineRule="exact"/>
        <w:rPr>
          <w:sz w:val="20"/>
          <w:szCs w:val="20"/>
          <w:color w:val="auto"/>
        </w:rPr>
      </w:pPr>
    </w:p>
    <w:p>
      <w:pPr>
        <w:ind w:left="760" w:right="93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Foreign Subsidiary</w:t>
      </w:r>
      <w:r>
        <w:rPr>
          <w:rFonts w:ascii="Times New Roman" w:cs="Times New Roman" w:eastAsia="Times New Roman" w:hAnsi="Times New Roman"/>
          <w:sz w:val="16"/>
          <w:szCs w:val="16"/>
          <w:color w:val="auto"/>
        </w:rPr>
        <w:t>” means a Subsidiary that is not organized, incorporated or existing under the laws of the United States of America or any state or territory thereof or the District of Columbia or is a Subsidiary of such Foreign Subsidiary.</w:t>
      </w:r>
    </w:p>
    <w:p>
      <w:pPr>
        <w:spacing w:after="0" w:line="56" w:lineRule="exact"/>
        <w:rPr>
          <w:sz w:val="20"/>
          <w:szCs w:val="20"/>
          <w:color w:val="auto"/>
        </w:rPr>
      </w:pPr>
    </w:p>
    <w:p>
      <w:pPr>
        <w:ind w:left="760" w:right="819" w:firstLine="320"/>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GAAP</w:t>
      </w:r>
      <w:r>
        <w:rPr>
          <w:rFonts w:ascii="Times New Roman" w:cs="Times New Roman" w:eastAsia="Times New Roman" w:hAnsi="Times New Roman"/>
          <w:sz w:val="16"/>
          <w:szCs w:val="16"/>
          <w:color w:val="auto"/>
        </w:rPr>
        <w:t>”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w:t>
      </w:r>
    </w:p>
    <w:p>
      <w:pPr>
        <w:spacing w:after="0" w:line="64" w:lineRule="exact"/>
        <w:rPr>
          <w:sz w:val="20"/>
          <w:szCs w:val="20"/>
          <w:color w:val="auto"/>
        </w:rPr>
      </w:pPr>
    </w:p>
    <w:p>
      <w:pPr>
        <w:ind w:left="760" w:right="839" w:firstLine="320"/>
        <w:spacing w:after="0" w:line="32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Guarantee</w:t>
      </w:r>
      <w:r>
        <w:rPr>
          <w:rFonts w:ascii="Times New Roman" w:cs="Times New Roman" w:eastAsia="Times New Roman" w:hAnsi="Times New Roman"/>
          <w:sz w:val="15"/>
          <w:szCs w:val="15"/>
          <w:color w:val="auto"/>
        </w:rPr>
        <w:t>” means any obligation, contingent or otherwise, of any Person directly or indirectly guaranteeing any indebtedness of any other Person and any obligation, direct or indirect, contingent or otherwise, of such Person:</w:t>
      </w:r>
    </w:p>
    <w:p>
      <w:pPr>
        <w:spacing w:after="0" w:line="23" w:lineRule="exact"/>
        <w:rPr>
          <w:sz w:val="20"/>
          <w:szCs w:val="20"/>
          <w:color w:val="auto"/>
        </w:rPr>
      </w:pPr>
    </w:p>
    <w:p>
      <w:pPr>
        <w:ind w:left="1380" w:right="859" w:hanging="304"/>
        <w:spacing w:after="0" w:line="261" w:lineRule="auto"/>
        <w:tabs>
          <w:tab w:leader="none" w:pos="1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64" w:lineRule="exact"/>
        <w:rPr>
          <w:rFonts w:ascii="Times New Roman" w:cs="Times New Roman" w:eastAsia="Times New Roman" w:hAnsi="Times New Roman"/>
          <w:sz w:val="16"/>
          <w:szCs w:val="16"/>
          <w:color w:val="auto"/>
        </w:rPr>
      </w:pPr>
    </w:p>
    <w:p>
      <w:pPr>
        <w:ind w:left="1380" w:right="899" w:hanging="304"/>
        <w:spacing w:after="0" w:line="282" w:lineRule="auto"/>
        <w:tabs>
          <w:tab w:leader="none" w:pos="1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entered into for the purpose of assuring in any other manner the obligee against loss in respect thereof (in whole or in part);</w:t>
      </w:r>
    </w:p>
    <w:p>
      <w:pPr>
        <w:spacing w:after="0" w:line="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term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shall not include:</w:t>
      </w:r>
    </w:p>
    <w:p>
      <w:pPr>
        <w:spacing w:after="0" w:line="106" w:lineRule="exact"/>
        <w:rPr>
          <w:sz w:val="20"/>
          <w:szCs w:val="20"/>
          <w:color w:val="auto"/>
        </w:rPr>
      </w:pPr>
    </w:p>
    <w:p>
      <w:pPr>
        <w:ind w:left="1380" w:hanging="304"/>
        <w:spacing w:after="0"/>
        <w:tabs>
          <w:tab w:leader="none" w:pos="1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endorsements for collection or deposit in the ordinary course of business; or</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contractual commitment by one Person to invest in another Person.</w:t>
      </w:r>
    </w:p>
    <w:p>
      <w:pPr>
        <w:spacing w:after="0" w:line="1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used as a verb has a corresponding meaning.</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3" w:name="page44"/>
    <w:bookmarkEnd w:id="43"/>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both"/>
        <w:ind w:left="760" w:right="91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Guarantor</w:t>
      </w:r>
      <w:r>
        <w:rPr>
          <w:rFonts w:ascii="Times New Roman" w:cs="Times New Roman" w:eastAsia="Times New Roman" w:hAnsi="Times New Roman"/>
          <w:sz w:val="16"/>
          <w:szCs w:val="16"/>
          <w:color w:val="auto"/>
        </w:rPr>
        <w:t>” means (i) Mylan Inc., Mylan II B.V. and Utah Acquisition Sub Inc. and (ii) any other Subsidiary of the Company that Guarantees the notes from time to time, in the case of each of clauses (i) and (ii), during such periods that such entity Guarantees the notes in accordance with the terms of the indenture.</w:t>
      </w:r>
    </w:p>
    <w:p>
      <w:pPr>
        <w:spacing w:after="0" w:line="56" w:lineRule="exact"/>
        <w:rPr>
          <w:sz w:val="20"/>
          <w:szCs w:val="20"/>
          <w:color w:val="auto"/>
        </w:rPr>
      </w:pPr>
    </w:p>
    <w:p>
      <w:pPr>
        <w:jc w:val="both"/>
        <w:ind w:left="760" w:right="123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Hedging Obligations</w:t>
      </w:r>
      <w:r>
        <w:rPr>
          <w:rFonts w:ascii="Times New Roman" w:cs="Times New Roman" w:eastAsia="Times New Roman" w:hAnsi="Times New Roman"/>
          <w:sz w:val="16"/>
          <w:szCs w:val="16"/>
          <w:color w:val="auto"/>
        </w:rPr>
        <w:t>” of any Person means the obligations of such Person pursuant to any Interest Rate Agreement, Currency Agreement, Commodity Price Protection Agreement or any other similar agreement or arrangement.</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holder</w:t>
      </w:r>
      <w:r>
        <w:rPr>
          <w:rFonts w:ascii="Times New Roman" w:cs="Times New Roman" w:eastAsia="Times New Roman" w:hAnsi="Times New Roman"/>
          <w:sz w:val="16"/>
          <w:szCs w:val="16"/>
          <w:color w:val="auto"/>
        </w:rPr>
        <w:t>” means the Person in whose name a note is registered on the note register.</w:t>
      </w:r>
    </w:p>
    <w:p>
      <w:pPr>
        <w:spacing w:after="0" w:line="104" w:lineRule="exact"/>
        <w:rPr>
          <w:sz w:val="20"/>
          <w:szCs w:val="20"/>
          <w:color w:val="auto"/>
        </w:rPr>
      </w:pPr>
    </w:p>
    <w:p>
      <w:pPr>
        <w:ind w:left="760" w:right="103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Incur</w:t>
      </w:r>
      <w:r>
        <w:rPr>
          <w:rFonts w:ascii="Times New Roman" w:cs="Times New Roman" w:eastAsia="Times New Roman" w:hAnsi="Times New Roman"/>
          <w:sz w:val="16"/>
          <w:szCs w:val="16"/>
          <w:color w:val="auto"/>
        </w:rPr>
        <w:t>” means issue, assume, Guarantee, incur or otherwise become liable for. The term “</w:t>
      </w:r>
      <w:r>
        <w:rPr>
          <w:rFonts w:ascii="Times New Roman" w:cs="Times New Roman" w:eastAsia="Times New Roman" w:hAnsi="Times New Roman"/>
          <w:sz w:val="16"/>
          <w:szCs w:val="16"/>
          <w:i w:val="1"/>
          <w:iCs w:val="1"/>
          <w:color w:val="auto"/>
        </w:rPr>
        <w:t>Incurrence</w:t>
      </w:r>
      <w:r>
        <w:rPr>
          <w:rFonts w:ascii="Times New Roman" w:cs="Times New Roman" w:eastAsia="Times New Roman" w:hAnsi="Times New Roman"/>
          <w:sz w:val="16"/>
          <w:szCs w:val="16"/>
          <w:color w:val="auto"/>
        </w:rPr>
        <w:t>” when used as a noun has a correlative meaning.</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 Payment Date</w:t>
      </w:r>
      <w:r>
        <w:rPr>
          <w:rFonts w:ascii="Times New Roman" w:cs="Times New Roman" w:eastAsia="Times New Roman" w:hAnsi="Times New Roman"/>
          <w:sz w:val="16"/>
          <w:szCs w:val="16"/>
          <w:color w:val="auto"/>
        </w:rPr>
        <w:t>” means any date on which an installment of interest on the notes is scheduled to be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paid.</w:t>
      </w:r>
    </w:p>
    <w:p>
      <w:pPr>
        <w:spacing w:after="0" w:line="86" w:lineRule="exact"/>
        <w:rPr>
          <w:sz w:val="20"/>
          <w:szCs w:val="20"/>
          <w:color w:val="auto"/>
        </w:rPr>
      </w:pPr>
    </w:p>
    <w:p>
      <w:pPr>
        <w:ind w:left="760" w:right="879" w:firstLine="3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 Rate Agreement</w:t>
      </w:r>
      <w:r>
        <w:rPr>
          <w:rFonts w:ascii="Times New Roman" w:cs="Times New Roman" w:eastAsia="Times New Roman" w:hAnsi="Times New Roman"/>
          <w:sz w:val="16"/>
          <w:szCs w:val="16"/>
          <w:color w:val="auto"/>
        </w:rPr>
        <w:t>”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w:t>
      </w:r>
    </w:p>
    <w:p>
      <w:pPr>
        <w:spacing w:after="0" w:line="62" w:lineRule="exact"/>
        <w:rPr>
          <w:sz w:val="20"/>
          <w:szCs w:val="20"/>
          <w:color w:val="auto"/>
        </w:rPr>
      </w:pPr>
    </w:p>
    <w:p>
      <w:pPr>
        <w:ind w:left="760" w:right="779" w:firstLine="320"/>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Investment</w:t>
      </w:r>
      <w:r>
        <w:rPr>
          <w:rFonts w:ascii="Times New Roman" w:cs="Times New Roman" w:eastAsia="Times New Roman" w:hAnsi="Times New Roman"/>
          <w:sz w:val="16"/>
          <w:szCs w:val="16"/>
          <w:color w:val="auto"/>
        </w:rPr>
        <w:t>”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w:t>
      </w:r>
    </w:p>
    <w:p>
      <w:pPr>
        <w:spacing w:after="0" w:line="67" w:lineRule="exact"/>
        <w:rPr>
          <w:sz w:val="20"/>
          <w:szCs w:val="20"/>
          <w:color w:val="auto"/>
        </w:rPr>
      </w:pPr>
    </w:p>
    <w:p>
      <w:pPr>
        <w:ind w:left="760" w:right="859" w:firstLine="3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Investment Grade Rating</w:t>
      </w:r>
      <w:r>
        <w:rPr>
          <w:rFonts w:ascii="Times New Roman" w:cs="Times New Roman" w:eastAsia="Times New Roman" w:hAnsi="Times New Roman"/>
          <w:sz w:val="16"/>
          <w:szCs w:val="16"/>
          <w:color w:val="auto"/>
        </w:rPr>
        <w:t>” means (i) with respect to Moody’s, a rating equal to or higher than Baa3 (or the equivalent), (ii) with respect to Fitch, a rating equal to or higher than BBB- (or the equivalent) and (iii) with respect to any Rating Agency selected by the Company as a replacement for Moody’s or Fitch in accordance with the definition of “Rating Agency”, the equivalent investment grade rating from such replacement Rating Agency.</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Issue Date</w:t>
      </w:r>
      <w:r>
        <w:rPr>
          <w:rFonts w:ascii="Times New Roman" w:cs="Times New Roman" w:eastAsia="Times New Roman" w:hAnsi="Times New Roman"/>
          <w:sz w:val="16"/>
          <w:szCs w:val="16"/>
          <w:color w:val="auto"/>
        </w:rPr>
        <w:t>” means the date on which the notes are initially issued.</w:t>
      </w:r>
    </w:p>
    <w:p>
      <w:pPr>
        <w:spacing w:after="0" w:line="104" w:lineRule="exact"/>
        <w:rPr>
          <w:sz w:val="20"/>
          <w:szCs w:val="20"/>
          <w:color w:val="auto"/>
        </w:rPr>
      </w:pPr>
    </w:p>
    <w:p>
      <w:pPr>
        <w:ind w:left="760" w:right="91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Lien</w:t>
      </w:r>
      <w:r>
        <w:rPr>
          <w:rFonts w:ascii="Times New Roman" w:cs="Times New Roman" w:eastAsia="Times New Roman" w:hAnsi="Times New Roman"/>
          <w:sz w:val="16"/>
          <w:szCs w:val="16"/>
          <w:color w:val="auto"/>
        </w:rPr>
        <w:t>” means any mortgage, pledge, security interest, encumbrance, lien or charge of any kind (including any conditional sale or other title retention agreement or lease in the nature thereof).</w:t>
      </w:r>
    </w:p>
    <w:p>
      <w:pPr>
        <w:spacing w:after="0" w:line="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Moody’s</w:t>
      </w:r>
      <w:r>
        <w:rPr>
          <w:rFonts w:ascii="Times New Roman" w:cs="Times New Roman" w:eastAsia="Times New Roman" w:hAnsi="Times New Roman"/>
          <w:sz w:val="16"/>
          <w:szCs w:val="16"/>
          <w:color w:val="auto"/>
        </w:rPr>
        <w:t>” means Moody’s Investors Service, Inc., or any successor to the rating agency business thereof.</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Mylan Indentures</w:t>
      </w:r>
      <w:r>
        <w:rPr>
          <w:rFonts w:ascii="Times New Roman" w:cs="Times New Roman" w:eastAsia="Times New Roman" w:hAnsi="Times New Roman"/>
          <w:sz w:val="16"/>
          <w:szCs w:val="16"/>
          <w:color w:val="auto"/>
        </w:rPr>
        <w:t>” means the following:</w:t>
      </w:r>
    </w:p>
    <w:p>
      <w:pPr>
        <w:spacing w:after="0" w:line="106" w:lineRule="exact"/>
        <w:rPr>
          <w:sz w:val="20"/>
          <w:szCs w:val="20"/>
          <w:color w:val="auto"/>
        </w:rPr>
      </w:pPr>
    </w:p>
    <w:p>
      <w:pPr>
        <w:ind w:left="1380" w:right="1139" w:hanging="304"/>
        <w:spacing w:after="0" w:line="282" w:lineRule="auto"/>
        <w:tabs>
          <w:tab w:leader="none" w:pos="1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Indenture dated as of November 29, 2013, between Mylan Inc., as issuer, and The Bank of New York Mellon, as trustee;</w:t>
      </w:r>
    </w:p>
    <w:p>
      <w:pPr>
        <w:spacing w:after="0" w:line="48" w:lineRule="exact"/>
        <w:rPr>
          <w:rFonts w:ascii="Times New Roman" w:cs="Times New Roman" w:eastAsia="Times New Roman" w:hAnsi="Times New Roman"/>
          <w:sz w:val="16"/>
          <w:szCs w:val="16"/>
          <w:color w:val="auto"/>
        </w:rPr>
      </w:pPr>
    </w:p>
    <w:p>
      <w:pPr>
        <w:ind w:left="1380" w:right="799" w:hanging="304"/>
        <w:spacing w:after="0" w:line="282" w:lineRule="auto"/>
        <w:tabs>
          <w:tab w:leader="none" w:pos="1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supplemental indenture dated as of November 29, 2013, between Mylan Inc., as issuer, and The Bank of New York Mellon, as trustee, to the indenture dated as of November 29, 2013;</w:t>
      </w:r>
    </w:p>
    <w:p>
      <w:pPr>
        <w:spacing w:after="0" w:line="48" w:lineRule="exact"/>
        <w:rPr>
          <w:rFonts w:ascii="Times New Roman" w:cs="Times New Roman" w:eastAsia="Times New Roman" w:hAnsi="Times New Roman"/>
          <w:sz w:val="16"/>
          <w:szCs w:val="16"/>
          <w:color w:val="auto"/>
        </w:rPr>
      </w:pPr>
    </w:p>
    <w:p>
      <w:pPr>
        <w:ind w:left="1380" w:right="919" w:hanging="304"/>
        <w:spacing w:after="0" w:line="266" w:lineRule="auto"/>
        <w:tabs>
          <w:tab w:leader="none" w:pos="1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supplemental indenture dated as of February 27, 2015, among Mylan Inc., as issuer, Mylan N.V., as guarantor, and The Bank of New York Mellon, as trustee, to the indenture dated as of November 29, 2013;</w:t>
      </w:r>
    </w:p>
    <w:p>
      <w:pPr>
        <w:spacing w:after="0" w:line="60" w:lineRule="exact"/>
        <w:rPr>
          <w:rFonts w:ascii="Times New Roman" w:cs="Times New Roman" w:eastAsia="Times New Roman" w:hAnsi="Times New Roman"/>
          <w:sz w:val="16"/>
          <w:szCs w:val="16"/>
          <w:color w:val="auto"/>
        </w:rPr>
      </w:pPr>
    </w:p>
    <w:p>
      <w:pPr>
        <w:jc w:val="both"/>
        <w:ind w:left="1380" w:right="1019" w:hanging="304"/>
        <w:spacing w:after="0" w:line="317" w:lineRule="auto"/>
        <w:tabs>
          <w:tab w:leader="none" w:pos="13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supplemental indenture dated as of March 12, 2015, among Mylan Inc., as issuer, Mylan N.V., as parent, and The Bank of New York Mellon, as trustee, to the indenture dated as of November 29, 2013;</w:t>
      </w:r>
    </w:p>
    <w:p>
      <w:pPr>
        <w:spacing w:after="0" w:line="24" w:lineRule="exact"/>
        <w:rPr>
          <w:rFonts w:ascii="Times New Roman" w:cs="Times New Roman" w:eastAsia="Times New Roman" w:hAnsi="Times New Roman"/>
          <w:sz w:val="15"/>
          <w:szCs w:val="15"/>
          <w:color w:val="auto"/>
        </w:rPr>
      </w:pPr>
    </w:p>
    <w:p>
      <w:pPr>
        <w:ind w:left="1380" w:hanging="304"/>
        <w:spacing w:after="0"/>
        <w:tabs>
          <w:tab w:leader="none" w:pos="1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Fourth supplemental indenture dated as of November 16, 2020, among Mylan Inc., Viatris Inc.,</w:t>
      </w:r>
    </w:p>
    <w:p>
      <w:pPr>
        <w:spacing w:after="0" w:line="24" w:lineRule="exact"/>
        <w:rPr>
          <w:rFonts w:ascii="Times New Roman" w:cs="Times New Roman" w:eastAsia="Times New Roman" w:hAnsi="Times New Roman"/>
          <w:sz w:val="16"/>
          <w:szCs w:val="16"/>
          <w:color w:val="auto"/>
        </w:rPr>
      </w:pPr>
    </w:p>
    <w:p>
      <w:pPr>
        <w:ind w:left="1380" w:right="919"/>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Utah Acquisition Sub Inc., Mylan II B.V. and The Bank of New York Mellon, as trustee, to the indenture dated as of November 29, 2013;</w:t>
      </w:r>
    </w:p>
    <w:p>
      <w:pPr>
        <w:spacing w:after="0" w:line="63" w:lineRule="exact"/>
        <w:rPr>
          <w:rFonts w:ascii="Times New Roman" w:cs="Times New Roman" w:eastAsia="Times New Roman" w:hAnsi="Times New Roman"/>
          <w:sz w:val="16"/>
          <w:szCs w:val="16"/>
          <w:color w:val="auto"/>
        </w:rPr>
      </w:pPr>
    </w:p>
    <w:p>
      <w:pPr>
        <w:ind w:left="1380" w:right="879" w:hanging="304"/>
        <w:spacing w:after="0" w:line="282" w:lineRule="auto"/>
        <w:tabs>
          <w:tab w:leader="none" w:pos="1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Indenture dated as of June 9, 2016, among Mylan N.V., as issuer, Mylan Inc., as guarantor, and The Bank of New York Mellon, as trustee;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380" w:hanging="304"/>
        <w:spacing w:after="0"/>
        <w:tabs>
          <w:tab w:leader="none" w:pos="1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supplemental indenture dated as of November 16, 2020, among Viatris Inc., Utah Acquisition</w:t>
      </w:r>
    </w:p>
    <w:p>
      <w:pPr>
        <w:spacing w:after="0" w:line="24" w:lineRule="exact"/>
        <w:rPr>
          <w:rFonts w:ascii="Times New Roman" w:cs="Times New Roman" w:eastAsia="Times New Roman" w:hAnsi="Times New Roman"/>
          <w:sz w:val="16"/>
          <w:szCs w:val="16"/>
          <w:color w:val="auto"/>
        </w:rPr>
      </w:pPr>
    </w:p>
    <w:p>
      <w:pPr>
        <w:ind w:left="1380" w:right="879"/>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 Inc., Mylan II B.V., Mylan Inc. and The Bank of New York Mellon, as trustee, to the indenture dated as of June 9, 2016;</w:t>
      </w:r>
    </w:p>
    <w:p>
      <w:pPr>
        <w:spacing w:after="0" w:line="63" w:lineRule="exact"/>
        <w:rPr>
          <w:rFonts w:ascii="Times New Roman" w:cs="Times New Roman" w:eastAsia="Times New Roman" w:hAnsi="Times New Roman"/>
          <w:sz w:val="16"/>
          <w:szCs w:val="16"/>
          <w:color w:val="auto"/>
        </w:rPr>
      </w:pPr>
    </w:p>
    <w:p>
      <w:pPr>
        <w:ind w:left="1380" w:right="1079" w:hanging="304"/>
        <w:spacing w:after="0" w:line="282" w:lineRule="auto"/>
        <w:tabs>
          <w:tab w:leader="none" w:pos="1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Indenture dated as of November 22, 2016, among Mylan N.V., as issuer, Mylan Inc., as guarantor, and Citibank, N.A., London Branch, as trustee;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supplemental indenture dated as of November 16, 2020, among Viatris Inc., Utah Acquisition</w:t>
      </w:r>
    </w:p>
    <w:p>
      <w:pPr>
        <w:spacing w:after="0" w:line="24" w:lineRule="exact"/>
        <w:rPr>
          <w:rFonts w:ascii="Times New Roman" w:cs="Times New Roman" w:eastAsia="Times New Roman" w:hAnsi="Times New Roman"/>
          <w:sz w:val="16"/>
          <w:szCs w:val="16"/>
          <w:color w:val="auto"/>
        </w:rPr>
      </w:pPr>
    </w:p>
    <w:p>
      <w:pPr>
        <w:ind w:left="1380" w:right="859"/>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 Inc., Mylan II B.V., Mylan Inc. and Citibank, N.A., London Branch, as trustee, to the indenture dated as of November 22, 2016;</w:t>
      </w:r>
    </w:p>
    <w:p>
      <w:pPr>
        <w:spacing w:after="0" w:line="63" w:lineRule="exact"/>
        <w:rPr>
          <w:rFonts w:ascii="Times New Roman" w:cs="Times New Roman" w:eastAsia="Times New Roman" w:hAnsi="Times New Roman"/>
          <w:sz w:val="16"/>
          <w:szCs w:val="16"/>
          <w:color w:val="auto"/>
        </w:rPr>
      </w:pPr>
    </w:p>
    <w:p>
      <w:pPr>
        <w:ind w:left="1380" w:right="839" w:hanging="304"/>
        <w:spacing w:after="0" w:line="282" w:lineRule="auto"/>
        <w:tabs>
          <w:tab w:leader="none" w:pos="1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Indenture dated as of April 9, 2018, among Mylan Inc., as issuer, Mylan N.V., as guarantor, and The Bank of New York Mellon, as trustee; and</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supplemental indenture dated as of November 16, 2020, among Mylan Inc., Viatris Inc.,</w:t>
      </w:r>
    </w:p>
    <w:p>
      <w:pPr>
        <w:spacing w:after="0" w:line="24" w:lineRule="exact"/>
        <w:rPr>
          <w:rFonts w:ascii="Times New Roman" w:cs="Times New Roman" w:eastAsia="Times New Roman" w:hAnsi="Times New Roman"/>
          <w:sz w:val="16"/>
          <w:szCs w:val="16"/>
          <w:color w:val="auto"/>
        </w:rPr>
      </w:pPr>
    </w:p>
    <w:p>
      <w:pPr>
        <w:ind w:left="1380" w:right="919"/>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Utah Acquisition Sub Inc., Mylan II B.V. and The Bank of New York Mellon, as trustee, to the indenture dated as of April 9, 2018.</w:t>
      </w:r>
    </w:p>
    <w:p>
      <w:pPr>
        <w:spacing w:after="0" w:line="62" w:lineRule="exact"/>
        <w:rPr>
          <w:sz w:val="20"/>
          <w:szCs w:val="20"/>
          <w:color w:val="auto"/>
        </w:rPr>
      </w:pPr>
    </w:p>
    <w:p>
      <w:pPr>
        <w:ind w:left="760" w:right="93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Mylan Notes</w:t>
      </w:r>
      <w:r>
        <w:rPr>
          <w:rFonts w:ascii="Times New Roman" w:cs="Times New Roman" w:eastAsia="Times New Roman" w:hAnsi="Times New Roman"/>
          <w:sz w:val="16"/>
          <w:szCs w:val="16"/>
          <w:color w:val="auto"/>
        </w:rPr>
        <w:t>” means any senior notes issued under the Mylan Indentures and that remain outstanding on the Issue Date.</w:t>
      </w:r>
    </w:p>
    <w:p>
      <w:pPr>
        <w:spacing w:after="0" w:line="44" w:lineRule="exact"/>
        <w:rPr>
          <w:sz w:val="20"/>
          <w:szCs w:val="20"/>
          <w:color w:val="auto"/>
        </w:rPr>
      </w:pPr>
    </w:p>
    <w:p>
      <w:pPr>
        <w:ind w:left="760" w:right="759" w:firstLine="3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Officer’s Certificate</w:t>
      </w:r>
      <w:r>
        <w:rPr>
          <w:rFonts w:ascii="Times New Roman" w:cs="Times New Roman" w:eastAsia="Times New Roman" w:hAnsi="Times New Roman"/>
          <w:sz w:val="16"/>
          <w:szCs w:val="16"/>
          <w:color w:val="auto"/>
        </w:rPr>
        <w:t>” means a certificate signed by the chairman or executive chairman, as applicable, of the Board of Directors, the chief executive officer, the chief financial officer, the president or a vice president, a treasurer, an assistant treasurer, the controller, the secretary or an assistant secretary of the Company and delivered to the Trustee.</w:t>
      </w:r>
    </w:p>
    <w:p>
      <w:pPr>
        <w:spacing w:after="0" w:line="62" w:lineRule="exact"/>
        <w:rPr>
          <w:sz w:val="20"/>
          <w:szCs w:val="20"/>
          <w:color w:val="auto"/>
        </w:rPr>
      </w:pPr>
    </w:p>
    <w:p>
      <w:pPr>
        <w:ind w:left="760" w:right="81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Opinion of Counsel</w:t>
      </w:r>
      <w:r>
        <w:rPr>
          <w:rFonts w:ascii="Times New Roman" w:cs="Times New Roman" w:eastAsia="Times New Roman" w:hAnsi="Times New Roman"/>
          <w:sz w:val="16"/>
          <w:szCs w:val="16"/>
          <w:color w:val="auto"/>
        </w:rPr>
        <w:t>” means a written opinion from legal counsel, who is reasonably acceptable to the Trustee, delivered to the Trustee. The counsel may be an employee of or counsel to the Company, any Subsidiary of the Company.</w:t>
      </w:r>
    </w:p>
    <w:p>
      <w:pPr>
        <w:spacing w:after="0" w:line="56" w:lineRule="exact"/>
        <w:rPr>
          <w:sz w:val="20"/>
          <w:szCs w:val="20"/>
          <w:color w:val="auto"/>
        </w:rPr>
      </w:pPr>
    </w:p>
    <w:p>
      <w:pPr>
        <w:ind w:left="760" w:right="93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Paying Agent</w:t>
      </w:r>
      <w:r>
        <w:rPr>
          <w:rFonts w:ascii="Times New Roman" w:cs="Times New Roman" w:eastAsia="Times New Roman" w:hAnsi="Times New Roman"/>
          <w:sz w:val="16"/>
          <w:szCs w:val="16"/>
          <w:color w:val="auto"/>
        </w:rPr>
        <w:t>” means any Person appointed by the Company to distribute amounts payable by the Company on the notes.</w:t>
      </w:r>
    </w:p>
    <w:p>
      <w:pPr>
        <w:spacing w:after="0" w:line="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Permitted Liens</w:t>
      </w:r>
      <w:r>
        <w:rPr>
          <w:rFonts w:ascii="Times New Roman" w:cs="Times New Roman" w:eastAsia="Times New Roman" w:hAnsi="Times New Roman"/>
          <w:sz w:val="16"/>
          <w:szCs w:val="16"/>
          <w:color w:val="auto"/>
        </w:rPr>
        <w:t>” means, with respect to any Person:</w:t>
      </w:r>
    </w:p>
    <w:p>
      <w:pPr>
        <w:spacing w:after="0" w:line="106" w:lineRule="exact"/>
        <w:rPr>
          <w:sz w:val="20"/>
          <w:szCs w:val="20"/>
          <w:color w:val="auto"/>
        </w:rPr>
      </w:pPr>
    </w:p>
    <w:p>
      <w:pPr>
        <w:ind w:left="1380" w:right="779" w:hanging="304"/>
        <w:spacing w:after="0" w:line="256" w:lineRule="auto"/>
        <w:tabs>
          <w:tab w:leader="none" w:pos="1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performance bonds or obligations of a like nature or deposits as security for contested taxes or import duties or for the payment of rent, in each case Incurred in the ordinary course of business;</w:t>
      </w:r>
    </w:p>
    <w:p>
      <w:pPr>
        <w:spacing w:after="0" w:line="67" w:lineRule="exact"/>
        <w:rPr>
          <w:rFonts w:ascii="Times New Roman" w:cs="Times New Roman" w:eastAsia="Times New Roman" w:hAnsi="Times New Roman"/>
          <w:sz w:val="16"/>
          <w:szCs w:val="16"/>
          <w:color w:val="auto"/>
        </w:rPr>
      </w:pPr>
    </w:p>
    <w:p>
      <w:pPr>
        <w:ind w:left="1380" w:right="819" w:hanging="304"/>
        <w:spacing w:after="0" w:line="253" w:lineRule="auto"/>
        <w:tabs>
          <w:tab w:leader="none" w:pos="1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depositary institution;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(A) such deposit account is not a dedicated cash collateral account and is not subject to restrictions against access by the Company in excess of those set forth by regulations promulgated by the Federal Reserve Board and</w:t>
      </w:r>
    </w:p>
    <w:p>
      <w:pPr>
        <w:spacing w:after="0" w:line="2" w:lineRule="exact"/>
        <w:rPr>
          <w:rFonts w:ascii="Times New Roman" w:cs="Times New Roman" w:eastAsia="Times New Roman" w:hAnsi="Times New Roman"/>
          <w:sz w:val="16"/>
          <w:szCs w:val="16"/>
          <w:color w:val="auto"/>
        </w:rPr>
      </w:pPr>
    </w:p>
    <w:p>
      <w:pPr>
        <w:ind w:left="1380" w:right="1019"/>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such deposit account is not intended by the Company or any Subsidiary of the Company to provide collateral to the depositary institution;</w:t>
      </w:r>
    </w:p>
    <w:p>
      <w:pPr>
        <w:spacing w:after="0" w:line="63" w:lineRule="exact"/>
        <w:rPr>
          <w:rFonts w:ascii="Times New Roman" w:cs="Times New Roman" w:eastAsia="Times New Roman" w:hAnsi="Times New Roman"/>
          <w:sz w:val="16"/>
          <w:szCs w:val="16"/>
          <w:color w:val="auto"/>
        </w:rPr>
      </w:pPr>
    </w:p>
    <w:p>
      <w:pPr>
        <w:ind w:left="1380" w:right="1219" w:hanging="304"/>
        <w:spacing w:after="0" w:line="282" w:lineRule="auto"/>
        <w:tabs>
          <w:tab w:leader="none" w:pos="1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for taxes, assessments or other governmental charges or claims, in each case not yet subject to penalties for non-payment or which are being contested in good faith by appropriate proceedings;</w:t>
      </w:r>
    </w:p>
    <w:p>
      <w:pPr>
        <w:spacing w:after="0" w:line="48" w:lineRule="exact"/>
        <w:rPr>
          <w:rFonts w:ascii="Times New Roman" w:cs="Times New Roman" w:eastAsia="Times New Roman" w:hAnsi="Times New Roman"/>
          <w:sz w:val="16"/>
          <w:szCs w:val="16"/>
          <w:color w:val="auto"/>
        </w:rPr>
      </w:pPr>
    </w:p>
    <w:p>
      <w:pPr>
        <w:ind w:left="1380" w:right="879" w:hanging="304"/>
        <w:spacing w:after="0" w:line="282" w:lineRule="auto"/>
        <w:tabs>
          <w:tab w:leader="none" w:pos="1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issuers of performance and surety bonds or bid bonds or letters of credit issued pursuant to the request of and for the account of such Person in the ordinary course of its business;</w:t>
      </w:r>
    </w:p>
    <w:p>
      <w:pPr>
        <w:spacing w:after="0" w:line="48" w:lineRule="exact"/>
        <w:rPr>
          <w:rFonts w:ascii="Times New Roman" w:cs="Times New Roman" w:eastAsia="Times New Roman" w:hAnsi="Times New Roman"/>
          <w:sz w:val="16"/>
          <w:szCs w:val="16"/>
          <w:color w:val="auto"/>
        </w:rPr>
      </w:pPr>
    </w:p>
    <w:p>
      <w:pPr>
        <w:ind w:left="1380" w:right="1039" w:hanging="304"/>
        <w:spacing w:after="0" w:line="282" w:lineRule="auto"/>
        <w:tabs>
          <w:tab w:leader="none" w:pos="1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minor survey exceptions, minor encumbrances, easements or reservations of, or rights of others for, licenses, rights-of-way, sewers, electric lines, telegraph and telephone lines and other similar purposes,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5" w:name="page46"/>
    <w:bookmarkEnd w:id="4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400" w:right="859"/>
        <w:spacing w:after="0" w:line="261" w:lineRule="auto"/>
        <w:rPr>
          <w:sz w:val="20"/>
          <w:szCs w:val="20"/>
          <w:color w:val="auto"/>
        </w:rPr>
      </w:pPr>
      <w:r>
        <w:rPr>
          <w:rFonts w:ascii="Times New Roman" w:cs="Times New Roman" w:eastAsia="Times New Roman" w:hAnsi="Times New Roman"/>
          <w:sz w:val="16"/>
          <w:szCs w:val="16"/>
          <w:color w:val="auto"/>
        </w:rPr>
        <w:t>or zoning or other restrictions as to the use of real property or Liens incidental to the conduct of the business of such Person or to the ownership of its properties which were not Incurred in connection with indebtedness and which do not in the aggregate materially adversely affect the value of such properties or materially impair their use in the operation of the business of such Person;</w:t>
      </w:r>
    </w:p>
    <w:p>
      <w:pPr>
        <w:spacing w:after="0" w:line="65" w:lineRule="exact"/>
        <w:rPr>
          <w:sz w:val="20"/>
          <w:szCs w:val="20"/>
          <w:color w:val="auto"/>
        </w:rPr>
      </w:pPr>
    </w:p>
    <w:p>
      <w:pPr>
        <w:ind w:left="1380" w:right="879" w:hanging="304"/>
        <w:spacing w:after="0" w:line="282"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indebtedness Incurred after the Issue Date in respect of Purchase Money Indebtedness and refinancing indebtedness in respect thereof;</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existing on the Issue Date;</w:t>
      </w:r>
    </w:p>
    <w:p>
      <w:pPr>
        <w:spacing w:after="0" w:line="104" w:lineRule="exact"/>
        <w:rPr>
          <w:rFonts w:ascii="Times New Roman" w:cs="Times New Roman" w:eastAsia="Times New Roman" w:hAnsi="Times New Roman"/>
          <w:sz w:val="16"/>
          <w:szCs w:val="16"/>
          <w:color w:val="auto"/>
        </w:rPr>
      </w:pPr>
    </w:p>
    <w:p>
      <w:pPr>
        <w:ind w:left="1380" w:right="859" w:hanging="304"/>
        <w:spacing w:after="0" w:line="266"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on property or shares of Capital Stock of another Person at the time such other Person becomes a Subsidiary of such Person;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Liens may not extend to any other property owned by such Person or any of its Subsidiaries (other than assets and property affixed or appurtenant thereto);</w:t>
      </w:r>
    </w:p>
    <w:p>
      <w:pPr>
        <w:spacing w:after="0" w:line="60" w:lineRule="exact"/>
        <w:rPr>
          <w:rFonts w:ascii="Times New Roman" w:cs="Times New Roman" w:eastAsia="Times New Roman" w:hAnsi="Times New Roman"/>
          <w:sz w:val="16"/>
          <w:szCs w:val="16"/>
          <w:color w:val="auto"/>
        </w:rPr>
      </w:pPr>
    </w:p>
    <w:p>
      <w:pPr>
        <w:ind w:left="1380" w:right="799" w:hanging="304"/>
        <w:spacing w:after="0" w:line="261"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on property at the time such Person or any of its Subsidiaries acquires the property, including any acquisition by means of a merger or consolidation with or into such Person or a Subsidiary of such Person;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Liens may not extend to any other property owned by such Person or any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(other than assets and property affixed or appurtenant thereto);</w:t>
      </w:r>
    </w:p>
    <w:p>
      <w:pPr>
        <w:spacing w:after="0" w:line="64" w:lineRule="exact"/>
        <w:rPr>
          <w:rFonts w:ascii="Times New Roman" w:cs="Times New Roman" w:eastAsia="Times New Roman" w:hAnsi="Times New Roman"/>
          <w:sz w:val="16"/>
          <w:szCs w:val="16"/>
          <w:color w:val="auto"/>
        </w:rPr>
      </w:pPr>
    </w:p>
    <w:p>
      <w:pPr>
        <w:ind w:left="1380" w:right="839" w:hanging="304"/>
        <w:spacing w:after="0" w:line="282"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indebtedness or other obligations of a Subsidiary of such Person owing to such Person or a wholly-owned subsidiary of such Person;</w:t>
      </w:r>
    </w:p>
    <w:p>
      <w:pPr>
        <w:spacing w:after="0" w:line="48" w:lineRule="exact"/>
        <w:rPr>
          <w:rFonts w:ascii="Times New Roman" w:cs="Times New Roman" w:eastAsia="Times New Roman" w:hAnsi="Times New Roman"/>
          <w:sz w:val="16"/>
          <w:szCs w:val="16"/>
          <w:color w:val="auto"/>
        </w:rPr>
      </w:pPr>
    </w:p>
    <w:p>
      <w:pPr>
        <w:ind w:left="1380" w:right="779" w:hanging="304"/>
        <w:spacing w:after="0" w:line="261"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Hedging Obligations so long as such Hedging Obligations are not entered into for speculative purposes, it being understood that any Hedging Obligations entered into in connection with the issuance of the Company’s or any of its Subsidiaries’ outstanding or future indebtedness shall not be considered speculative;</w:t>
      </w:r>
    </w:p>
    <w:p>
      <w:pPr>
        <w:spacing w:after="0" w:line="64" w:lineRule="exact"/>
        <w:rPr>
          <w:rFonts w:ascii="Times New Roman" w:cs="Times New Roman" w:eastAsia="Times New Roman" w:hAnsi="Times New Roman"/>
          <w:sz w:val="16"/>
          <w:szCs w:val="16"/>
          <w:color w:val="auto"/>
        </w:rPr>
      </w:pPr>
    </w:p>
    <w:p>
      <w:pPr>
        <w:ind w:left="1380" w:right="1059" w:hanging="304"/>
        <w:spacing w:after="0" w:line="282"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Lien on accounts receivable and related assets of the types specified in the definition of “Qualified Receivables Transaction” incurred in connection with a Qualified Receivables Transaction;</w:t>
      </w:r>
    </w:p>
    <w:p>
      <w:pPr>
        <w:spacing w:after="0" w:line="48" w:lineRule="exact"/>
        <w:rPr>
          <w:rFonts w:ascii="Times New Roman" w:cs="Times New Roman" w:eastAsia="Times New Roman" w:hAnsi="Times New Roman"/>
          <w:sz w:val="16"/>
          <w:szCs w:val="16"/>
          <w:color w:val="auto"/>
        </w:rPr>
      </w:pPr>
    </w:p>
    <w:p>
      <w:pPr>
        <w:ind w:left="1380" w:right="819" w:hanging="304"/>
        <w:spacing w:after="0" w:line="282"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Liens in favor of the Company or any Guarantor and (b) Liens on the property of any Subsidiary of the Company in favor of any other Subsidiary of the Company;</w:t>
      </w:r>
    </w:p>
    <w:p>
      <w:pPr>
        <w:spacing w:after="0" w:line="48" w:lineRule="exact"/>
        <w:rPr>
          <w:rFonts w:ascii="Times New Roman" w:cs="Times New Roman" w:eastAsia="Times New Roman" w:hAnsi="Times New Roman"/>
          <w:sz w:val="16"/>
          <w:szCs w:val="16"/>
          <w:color w:val="auto"/>
        </w:rPr>
      </w:pPr>
    </w:p>
    <w:p>
      <w:pPr>
        <w:ind w:left="1380" w:right="1119" w:hanging="304"/>
        <w:spacing w:after="0" w:line="266"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leases, subleases, licenses or sublicenses granted to third parties entered into in the ordinary course of business which do not materially interfere with the conduct of the business of the Company and its Subsidiaries and which do not secure any indebtedness;</w:t>
      </w:r>
    </w:p>
    <w:p>
      <w:pPr>
        <w:spacing w:after="0" w:line="60" w:lineRule="exact"/>
        <w:rPr>
          <w:rFonts w:ascii="Times New Roman" w:cs="Times New Roman" w:eastAsia="Times New Roman" w:hAnsi="Times New Roman"/>
          <w:sz w:val="16"/>
          <w:szCs w:val="16"/>
          <w:color w:val="auto"/>
        </w:rPr>
      </w:pPr>
    </w:p>
    <w:p>
      <w:pPr>
        <w:ind w:left="1380" w:right="779" w:hanging="304"/>
        <w:spacing w:after="0" w:line="258"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judgments, decrees, orders or awards for the payment of money not constituting an event of default in respect of which the Company or any of its Subsidiaries shall in good faith be prosecuting an appeal or proceedings for review, which appeal or proceedings shall not have been finally terminated, or in respect of which the period within which such appeal or proceedings may be initiated shall not have expired;</w:t>
      </w:r>
    </w:p>
    <w:p>
      <w:pPr>
        <w:spacing w:after="0" w:line="6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created for the benefit of (or to secure) the notes (or the Guarantees of the notes);</w:t>
      </w:r>
    </w:p>
    <w:p>
      <w:pPr>
        <w:spacing w:after="0" w:line="104" w:lineRule="exact"/>
        <w:rPr>
          <w:rFonts w:ascii="Times New Roman" w:cs="Times New Roman" w:eastAsia="Times New Roman" w:hAnsi="Times New Roman"/>
          <w:sz w:val="16"/>
          <w:szCs w:val="16"/>
          <w:color w:val="auto"/>
        </w:rPr>
      </w:pPr>
    </w:p>
    <w:p>
      <w:pPr>
        <w:ind w:left="1380" w:right="819" w:hanging="304"/>
        <w:spacing w:after="0" w:line="266"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60" w:lineRule="exact"/>
        <w:rPr>
          <w:rFonts w:ascii="Times New Roman" w:cs="Times New Roman" w:eastAsia="Times New Roman" w:hAnsi="Times New Roman"/>
          <w:sz w:val="16"/>
          <w:szCs w:val="16"/>
          <w:color w:val="auto"/>
        </w:rPr>
      </w:pPr>
    </w:p>
    <w:p>
      <w:pPr>
        <w:ind w:left="1380" w:right="819" w:hanging="304"/>
        <w:spacing w:after="0" w:line="282"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out of conditional sale, title retention, consignment or similar arrangements for sale of goods entered into by the Company or any Subsidiary of the Company in the ordinary course of business;</w:t>
      </w:r>
    </w:p>
    <w:p>
      <w:pPr>
        <w:spacing w:after="0" w:line="48" w:lineRule="exact"/>
        <w:rPr>
          <w:rFonts w:ascii="Times New Roman" w:cs="Times New Roman" w:eastAsia="Times New Roman" w:hAnsi="Times New Roman"/>
          <w:sz w:val="16"/>
          <w:szCs w:val="16"/>
          <w:color w:val="auto"/>
        </w:rPr>
      </w:pPr>
    </w:p>
    <w:p>
      <w:pPr>
        <w:ind w:left="1380" w:right="859" w:hanging="304"/>
        <w:spacing w:after="0" w:line="282"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customs and revenue authorities arising as a matter of law to secure payment of customs duties in connection with the importation of goods in the ordinary course of business;</w:t>
      </w:r>
    </w:p>
    <w:p>
      <w:pPr>
        <w:spacing w:after="0" w:line="48" w:lineRule="exact"/>
        <w:rPr>
          <w:rFonts w:ascii="Times New Roman" w:cs="Times New Roman" w:eastAsia="Times New Roman" w:hAnsi="Times New Roman"/>
          <w:sz w:val="16"/>
          <w:szCs w:val="16"/>
          <w:color w:val="auto"/>
        </w:rPr>
      </w:pPr>
    </w:p>
    <w:p>
      <w:pPr>
        <w:ind w:left="1380" w:right="879" w:hanging="304"/>
        <w:spacing w:after="0" w:line="261" w:lineRule="auto"/>
        <w:tabs>
          <w:tab w:leader="none" w:pos="1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 of a collection bank arising under Section 4-210 of the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6" w:name="page47"/>
    <w:bookmarkEnd w:id="4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380" w:hanging="304"/>
        <w:spacing w:after="0"/>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pledges or deposits made in the ordinary course of business to secure liability to insurance carriers;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grants of software and other technology licenses in the ordinary course of business;</w:t>
      </w:r>
    </w:p>
    <w:p>
      <w:pPr>
        <w:spacing w:after="0" w:line="104" w:lineRule="exact"/>
        <w:rPr>
          <w:rFonts w:ascii="Times New Roman" w:cs="Times New Roman" w:eastAsia="Times New Roman" w:hAnsi="Times New Roman"/>
          <w:sz w:val="16"/>
          <w:szCs w:val="16"/>
          <w:color w:val="auto"/>
        </w:rPr>
      </w:pPr>
    </w:p>
    <w:p>
      <w:pPr>
        <w:ind w:left="1380" w:right="919" w:hanging="304"/>
        <w:spacing w:after="0" w:line="282"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equipment of the Company or any Subsidiary of the Company granted in the ordinary course of business to the Company’s or such Subsidiary’s supplier at which such equipment is located;</w:t>
      </w:r>
    </w:p>
    <w:p>
      <w:pPr>
        <w:spacing w:after="0" w:line="48" w:lineRule="exact"/>
        <w:rPr>
          <w:rFonts w:ascii="Times New Roman" w:cs="Times New Roman" w:eastAsia="Times New Roman" w:hAnsi="Times New Roman"/>
          <w:sz w:val="16"/>
          <w:szCs w:val="16"/>
          <w:color w:val="auto"/>
        </w:rPr>
      </w:pPr>
    </w:p>
    <w:p>
      <w:pPr>
        <w:ind w:left="1380" w:right="999" w:hanging="304"/>
        <w:spacing w:after="0" w:line="282"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from Uniform Commercial Code financing statement filings regarding operating leases or consignments entered into by the Company and its Subsidiaries in the ordinary course of business;</w:t>
      </w:r>
    </w:p>
    <w:p>
      <w:pPr>
        <w:spacing w:after="0" w:line="48" w:lineRule="exact"/>
        <w:rPr>
          <w:rFonts w:ascii="Times New Roman" w:cs="Times New Roman" w:eastAsia="Times New Roman" w:hAnsi="Times New Roman"/>
          <w:sz w:val="16"/>
          <w:szCs w:val="16"/>
          <w:color w:val="auto"/>
        </w:rPr>
      </w:pPr>
    </w:p>
    <w:p>
      <w:pPr>
        <w:ind w:left="1380" w:right="919" w:hanging="304"/>
        <w:spacing w:after="0" w:line="282"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incurred to secure cash management services or to implement cash pooling or sweep arrangements to permit satisfaction of overdraft or similar obligations in the ordinary course of business;</w:t>
      </w:r>
    </w:p>
    <w:p>
      <w:pPr>
        <w:spacing w:after="0" w:line="48" w:lineRule="exact"/>
        <w:rPr>
          <w:rFonts w:ascii="Times New Roman" w:cs="Times New Roman" w:eastAsia="Times New Roman" w:hAnsi="Times New Roman"/>
          <w:sz w:val="16"/>
          <w:szCs w:val="16"/>
          <w:color w:val="auto"/>
        </w:rPr>
      </w:pPr>
    </w:p>
    <w:p>
      <w:pPr>
        <w:ind w:left="1380" w:right="879" w:hanging="304"/>
        <w:spacing w:after="0" w:line="261"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by virtue of any statutory or common law provisions relating to banker’s liens, rights of set-off or similar rights and remedies as to deposit accounts or other funds maintained with a depositary or financial institution or as to purchase orders and other agreements entered into with customers in the ordinary course of business;</w:t>
      </w:r>
    </w:p>
    <w:p>
      <w:pPr>
        <w:spacing w:after="0" w:line="64" w:lineRule="exact"/>
        <w:rPr>
          <w:rFonts w:ascii="Times New Roman" w:cs="Times New Roman" w:eastAsia="Times New Roman" w:hAnsi="Times New Roman"/>
          <w:sz w:val="16"/>
          <w:szCs w:val="16"/>
          <w:color w:val="auto"/>
        </w:rPr>
      </w:pPr>
    </w:p>
    <w:p>
      <w:pPr>
        <w:ind w:left="1380" w:right="859" w:hanging="304"/>
        <w:spacing w:after="0" w:line="282"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encumbrance or restriction (including put and call arrangements) with respect to Capital Stock of any joint venture or similar arrangement pursuant to any joint venture or similar agreement;</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securities that are the subject of repurchase agreements;</w:t>
      </w:r>
    </w:p>
    <w:p>
      <w:pPr>
        <w:spacing w:after="0" w:line="102" w:lineRule="exact"/>
        <w:rPr>
          <w:rFonts w:ascii="Times New Roman" w:cs="Times New Roman" w:eastAsia="Times New Roman" w:hAnsi="Times New Roman"/>
          <w:sz w:val="16"/>
          <w:szCs w:val="16"/>
          <w:color w:val="auto"/>
        </w:rPr>
      </w:pPr>
    </w:p>
    <w:p>
      <w:pPr>
        <w:ind w:left="1380" w:right="1019" w:hanging="304"/>
        <w:spacing w:after="0" w:line="285"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securing insurance premiums financing arrangements;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Liens are limited to the applicable unearned insurance premiums;</w:t>
      </w:r>
    </w:p>
    <w:p>
      <w:pPr>
        <w:spacing w:after="0" w:line="45"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solely from precautionary Uniform Commercial Code financing statements or similar filings;</w:t>
      </w:r>
    </w:p>
    <w:p>
      <w:pPr>
        <w:spacing w:after="0" w:line="104" w:lineRule="exact"/>
        <w:rPr>
          <w:rFonts w:ascii="Times New Roman" w:cs="Times New Roman" w:eastAsia="Times New Roman" w:hAnsi="Times New Roman"/>
          <w:sz w:val="16"/>
          <w:szCs w:val="16"/>
          <w:color w:val="auto"/>
        </w:rPr>
      </w:pPr>
    </w:p>
    <w:p>
      <w:pPr>
        <w:ind w:left="1380" w:right="859" w:hanging="304"/>
        <w:spacing w:after="0" w:line="266"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ground leases in respect of real property on which facilities owned or leased by the Company or any of its Subsidiaries are located and other Liens affecting the interest of any landlord (and any underlying landlord) of any real property leased by the Company or any Subsidiary of the Company;</w:t>
      </w:r>
    </w:p>
    <w:p>
      <w:pPr>
        <w:spacing w:after="0" w:line="60" w:lineRule="exact"/>
        <w:rPr>
          <w:rFonts w:ascii="Times New Roman" w:cs="Times New Roman" w:eastAsia="Times New Roman" w:hAnsi="Times New Roman"/>
          <w:sz w:val="16"/>
          <w:szCs w:val="16"/>
          <w:color w:val="auto"/>
        </w:rPr>
      </w:pPr>
    </w:p>
    <w:p>
      <w:pPr>
        <w:ind w:left="1380" w:right="959" w:hanging="304"/>
        <w:spacing w:after="0" w:line="266"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to secure any Refinancing (or successive Refinancings) as a whole, or in part, of any indebtedness secured by any Lien referred to in the foregoing clauses (7), (8), (9), (10), (11), (12) or (14);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w:t>
      </w:r>
    </w:p>
    <w:p>
      <w:pPr>
        <w:spacing w:after="0" w:line="60" w:lineRule="exact"/>
        <w:rPr>
          <w:rFonts w:ascii="Times New Roman" w:cs="Times New Roman" w:eastAsia="Times New Roman" w:hAnsi="Times New Roman"/>
          <w:sz w:val="16"/>
          <w:szCs w:val="16"/>
          <w:color w:val="auto"/>
        </w:rPr>
      </w:pPr>
    </w:p>
    <w:p>
      <w:pPr>
        <w:ind w:left="1700" w:right="819" w:hanging="303"/>
        <w:spacing w:after="0" w:line="261" w:lineRule="auto"/>
        <w:tabs>
          <w:tab w:leader="none" w:pos="170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new Lien shall be limited to all or part of the same property (plus improvements on such property) and assets that secured or, under the written agreements pursuant to which the original Lien arose, could secure the original Lien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improvements and accessions to such property or proceeds or distributions thereof); and</w:t>
      </w:r>
    </w:p>
    <w:p>
      <w:pPr>
        <w:spacing w:after="0" w:line="64" w:lineRule="exact"/>
        <w:rPr>
          <w:rFonts w:ascii="Times New Roman" w:cs="Times New Roman" w:eastAsia="Times New Roman" w:hAnsi="Times New Roman"/>
          <w:sz w:val="16"/>
          <w:szCs w:val="16"/>
          <w:color w:val="auto"/>
        </w:rPr>
      </w:pPr>
    </w:p>
    <w:p>
      <w:pPr>
        <w:ind w:left="1700" w:right="799" w:hanging="303"/>
        <w:spacing w:after="0" w:line="258" w:lineRule="auto"/>
        <w:tabs>
          <w:tab w:leader="none" w:pos="170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indebtedness secured by such Lien at such time is not increased to any amount greater than the sum of (i) the outstanding principal amount or, if greater, committed amount of the indebtedness described under the foregoing clauses (7), (8), (9), (10), (11), (12) or (14) at the time the original Lien became a Permitted Lien and (ii) an amount necessary to pay any fees and expenses, including premiums, related to such refinancing, refunding, extension, renewal or replacement;</w:t>
      </w:r>
    </w:p>
    <w:p>
      <w:pPr>
        <w:spacing w:after="0" w:line="68" w:lineRule="exact"/>
        <w:rPr>
          <w:rFonts w:ascii="Times New Roman" w:cs="Times New Roman" w:eastAsia="Times New Roman" w:hAnsi="Times New Roman"/>
          <w:sz w:val="16"/>
          <w:szCs w:val="16"/>
          <w:color w:val="auto"/>
        </w:rPr>
      </w:pPr>
    </w:p>
    <w:p>
      <w:pPr>
        <w:ind w:left="1380" w:right="1199" w:hanging="304"/>
        <w:spacing w:after="0" w:line="282"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incurred in the ordinary course of business by any Subsidiary of the Company, so long as such Subsidiary is maintained as a special purpose self-insurance Subsidiary of the Company;</w:t>
      </w:r>
    </w:p>
    <w:p>
      <w:pPr>
        <w:spacing w:after="0" w:line="48" w:lineRule="exact"/>
        <w:rPr>
          <w:rFonts w:ascii="Times New Roman" w:cs="Times New Roman" w:eastAsia="Times New Roman" w:hAnsi="Times New Roman"/>
          <w:sz w:val="16"/>
          <w:szCs w:val="16"/>
          <w:color w:val="auto"/>
        </w:rPr>
      </w:pPr>
    </w:p>
    <w:p>
      <w:pPr>
        <w:ind w:left="1380" w:right="819" w:hanging="304"/>
        <w:spacing w:after="0" w:line="261"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equity interests of any Person formed for the purposes of engaging in activities in the renewable energy sector (including refined coal) that qualify for federal tax benefits allocable to the Company and its Subsidiaries in which the Company or any Subsidiary of the Company has made an investment and Liens on the rights of the Company and its Subsidiaries under any agreement relating to any such investment;</w:t>
      </w:r>
    </w:p>
    <w:p>
      <w:pPr>
        <w:spacing w:after="0" w:line="62" w:lineRule="exact"/>
        <w:rPr>
          <w:rFonts w:ascii="Times New Roman" w:cs="Times New Roman" w:eastAsia="Times New Roman" w:hAnsi="Times New Roman"/>
          <w:sz w:val="16"/>
          <w:szCs w:val="16"/>
          <w:color w:val="auto"/>
        </w:rPr>
      </w:pPr>
    </w:p>
    <w:p>
      <w:pPr>
        <w:ind w:left="1380" w:right="799" w:hanging="304"/>
        <w:spacing w:after="0" w:line="262" w:lineRule="auto"/>
        <w:tabs>
          <w:tab w:leader="none" w:pos="1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Lien arising under Article 24, 25 or 26 of the general terms and conditions (</w:t>
      </w:r>
      <w:r>
        <w:rPr>
          <w:rFonts w:ascii="Times New Roman" w:cs="Times New Roman" w:eastAsia="Times New Roman" w:hAnsi="Times New Roman"/>
          <w:sz w:val="16"/>
          <w:szCs w:val="16"/>
          <w:i w:val="1"/>
          <w:iCs w:val="1"/>
          <w:color w:val="auto"/>
        </w:rPr>
        <w:t>Algemene Bank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Voorwaarden</w:t>
      </w:r>
      <w:r>
        <w:rPr>
          <w:rFonts w:ascii="Times New Roman" w:cs="Times New Roman" w:eastAsia="Times New Roman" w:hAnsi="Times New Roman"/>
          <w:sz w:val="16"/>
          <w:szCs w:val="16"/>
          <w:color w:val="auto"/>
        </w:rPr>
        <w:t>) of any member of the Dutch Bankers’ Association (</w:t>
      </w:r>
      <w:r>
        <w:rPr>
          <w:rFonts w:ascii="Times New Roman" w:cs="Times New Roman" w:eastAsia="Times New Roman" w:hAnsi="Times New Roman"/>
          <w:sz w:val="16"/>
          <w:szCs w:val="16"/>
          <w:i w:val="1"/>
          <w:iCs w:val="1"/>
          <w:color w:val="auto"/>
        </w:rPr>
        <w:t>Nederlandse Vereniging van Banken</w:t>
      </w:r>
      <w:r>
        <w:rPr>
          <w:rFonts w:ascii="Times New Roman" w:cs="Times New Roman" w:eastAsia="Times New Roman" w:hAnsi="Times New Roman"/>
          <w:sz w:val="16"/>
          <w:szCs w:val="16"/>
          <w:color w:val="auto"/>
        </w:rPr>
        <w: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similar term applied by a financial institution in the Netherlands pursuant to its general terms and conditions;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7" w:name="page48"/>
    <w:bookmarkEnd w:id="47"/>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380" w:right="899" w:hanging="304"/>
        <w:spacing w:after="0" w:line="282" w:lineRule="auto"/>
        <w:tabs>
          <w:tab w:leader="none" w:pos="1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netting or set-off arrangement entered into by the Company or any Subsidiary of the Company in the ordinary course of its banking arrangements for the purpose of netting debt and credit balances;</w:t>
      </w:r>
    </w:p>
    <w:p>
      <w:pPr>
        <w:spacing w:after="0" w:line="48" w:lineRule="exact"/>
        <w:rPr>
          <w:rFonts w:ascii="Times New Roman" w:cs="Times New Roman" w:eastAsia="Times New Roman" w:hAnsi="Times New Roman"/>
          <w:sz w:val="16"/>
          <w:szCs w:val="16"/>
          <w:color w:val="auto"/>
        </w:rPr>
      </w:pPr>
    </w:p>
    <w:p>
      <w:pPr>
        <w:ind w:left="1380" w:right="799" w:hanging="304"/>
        <w:spacing w:after="0" w:line="266" w:lineRule="auto"/>
        <w:tabs>
          <w:tab w:leader="none" w:pos="1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Lien, including any netting or set-off, arising by operation of law as a result of the existence of a fiscal unity (</w:t>
      </w:r>
      <w:r>
        <w:rPr>
          <w:rFonts w:ascii="Times New Roman" w:cs="Times New Roman" w:eastAsia="Times New Roman" w:hAnsi="Times New Roman"/>
          <w:sz w:val="16"/>
          <w:szCs w:val="16"/>
          <w:i w:val="1"/>
          <w:iCs w:val="1"/>
          <w:color w:val="auto"/>
        </w:rPr>
        <w:t>fiscale eenheid</w:t>
      </w:r>
      <w:r>
        <w:rPr>
          <w:rFonts w:ascii="Times New Roman" w:cs="Times New Roman" w:eastAsia="Times New Roman" w:hAnsi="Times New Roman"/>
          <w:sz w:val="16"/>
          <w:szCs w:val="16"/>
          <w:color w:val="auto"/>
        </w:rPr>
        <w:t>) for Dutch tax purposes of which any Subsidiary of the Company is or has been a member;</w:t>
      </w:r>
    </w:p>
    <w:p>
      <w:pPr>
        <w:spacing w:after="0" w:line="60"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cash and cash equivalents deposited as cash collateral on letters of credit;</w:t>
      </w:r>
    </w:p>
    <w:p>
      <w:pPr>
        <w:spacing w:after="0" w:line="104" w:lineRule="exact"/>
        <w:rPr>
          <w:rFonts w:ascii="Times New Roman" w:cs="Times New Roman" w:eastAsia="Times New Roman" w:hAnsi="Times New Roman"/>
          <w:sz w:val="16"/>
          <w:szCs w:val="16"/>
          <w:color w:val="auto"/>
        </w:rPr>
      </w:pPr>
    </w:p>
    <w:p>
      <w:pPr>
        <w:ind w:left="1380" w:right="1039" w:hanging="304"/>
        <w:spacing w:after="0" w:line="266" w:lineRule="auto"/>
        <w:tabs>
          <w:tab w:leader="none" w:pos="1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“earnest money” or similar deposits or other cash advances in connection with acquisitions or consisting of an agreement to dispose of any property in a disposition, including customary rights and restrictions contained in such agreements; and</w:t>
      </w:r>
    </w:p>
    <w:p>
      <w:pPr>
        <w:spacing w:after="0" w:line="60" w:lineRule="exact"/>
        <w:rPr>
          <w:rFonts w:ascii="Times New Roman" w:cs="Times New Roman" w:eastAsia="Times New Roman" w:hAnsi="Times New Roman"/>
          <w:sz w:val="16"/>
          <w:szCs w:val="16"/>
          <w:color w:val="auto"/>
        </w:rPr>
      </w:pPr>
    </w:p>
    <w:p>
      <w:pPr>
        <w:jc w:val="both"/>
        <w:ind w:left="1380" w:right="859" w:hanging="304"/>
        <w:spacing w:after="0" w:line="266" w:lineRule="auto"/>
        <w:tabs>
          <w:tab w:leader="none" w:pos="1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Liens securing indebtedness in an aggregate principal amount for the Company and its Subsidiaries not exceeding at the time such Lien is created or assumed the greater of (i) $1,300 million and (ii) 15% of Consolidated Net Tangible Assets, at any one time outstanding.</w:t>
      </w:r>
    </w:p>
    <w:p>
      <w:pPr>
        <w:spacing w:after="0" w:line="61" w:lineRule="exact"/>
        <w:rPr>
          <w:sz w:val="20"/>
          <w:szCs w:val="20"/>
          <w:color w:val="auto"/>
        </w:rPr>
      </w:pPr>
    </w:p>
    <w:p>
      <w:pPr>
        <w:ind w:left="760" w:right="839" w:firstLine="320"/>
        <w:spacing w:after="0" w:line="257" w:lineRule="auto"/>
        <w:rPr>
          <w:sz w:val="20"/>
          <w:szCs w:val="20"/>
          <w:color w:val="auto"/>
        </w:rPr>
      </w:pPr>
      <w:r>
        <w:rPr>
          <w:rFonts w:ascii="Times New Roman" w:cs="Times New Roman" w:eastAsia="Times New Roman" w:hAnsi="Times New Roman"/>
          <w:sz w:val="16"/>
          <w:szCs w:val="16"/>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Company may, in its sole discretion, classify or reclassify such item of Permitted Liens (or any portion thereof) in any manner that complies with this definition and the Company may divide and classify a Lien in more than one of the types of Permitted Liens in one of the above clauses.</w:t>
      </w:r>
    </w:p>
    <w:p>
      <w:pPr>
        <w:spacing w:after="0" w:line="65" w:lineRule="exact"/>
        <w:rPr>
          <w:sz w:val="20"/>
          <w:szCs w:val="20"/>
          <w:color w:val="auto"/>
        </w:rPr>
      </w:pPr>
    </w:p>
    <w:p>
      <w:pPr>
        <w:ind w:left="760" w:right="93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w:t>
      </w:r>
      <w:r>
        <w:rPr>
          <w:rFonts w:ascii="Times New Roman" w:cs="Times New Roman" w:eastAsia="Times New Roman" w:hAnsi="Times New Roman"/>
          <w:sz w:val="16"/>
          <w:szCs w:val="16"/>
          <w:color w:val="auto"/>
        </w:rPr>
        <w:t>” means any individual, corporation, company (including any limited liability company), association, partnership, joint venture, trust, unincorporated organization, government or any agency or political subdivision thereof or any other entity.</w:t>
      </w:r>
    </w:p>
    <w:p>
      <w:pPr>
        <w:spacing w:after="0" w:line="56" w:lineRule="exact"/>
        <w:rPr>
          <w:sz w:val="20"/>
          <w:szCs w:val="20"/>
          <w:color w:val="auto"/>
        </w:rPr>
      </w:pPr>
    </w:p>
    <w:p>
      <w:pPr>
        <w:jc w:val="both"/>
        <w:ind w:left="760" w:right="919" w:firstLine="3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Preferred Stock</w:t>
      </w:r>
      <w:r>
        <w:rPr>
          <w:rFonts w:ascii="Times New Roman" w:cs="Times New Roman" w:eastAsia="Times New Roman" w:hAnsi="Times New Roman"/>
          <w:sz w:val="16"/>
          <w:szCs w:val="16"/>
          <w:color w:val="auto"/>
        </w:rPr>
        <w:t>,”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62" w:lineRule="exact"/>
        <w:rPr>
          <w:sz w:val="20"/>
          <w:szCs w:val="20"/>
          <w:color w:val="auto"/>
        </w:rPr>
      </w:pPr>
    </w:p>
    <w:p>
      <w:pPr>
        <w:ind w:left="760" w:right="119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Property</w:t>
      </w:r>
      <w:r>
        <w:rPr>
          <w:rFonts w:ascii="Times New Roman" w:cs="Times New Roman" w:eastAsia="Times New Roman" w:hAnsi="Times New Roman"/>
          <w:sz w:val="16"/>
          <w:szCs w:val="16"/>
          <w:color w:val="auto"/>
        </w:rPr>
        <w:t>” means any right or interest in or to property of any kind whatsoever, whether real, personal or mixed and whether tangible or intangible, including, without limitation, Capital Stock.</w:t>
      </w:r>
    </w:p>
    <w:p>
      <w:pPr>
        <w:spacing w:after="0" w:line="44" w:lineRule="exact"/>
        <w:rPr>
          <w:sz w:val="20"/>
          <w:szCs w:val="20"/>
          <w:color w:val="auto"/>
        </w:rPr>
      </w:pPr>
    </w:p>
    <w:p>
      <w:pPr>
        <w:ind w:left="760" w:right="819" w:firstLine="320"/>
        <w:spacing w:after="0" w:line="28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Purchase Money Indebtedness</w:t>
      </w:r>
      <w:r>
        <w:rPr>
          <w:rFonts w:ascii="Times New Roman" w:cs="Times New Roman" w:eastAsia="Times New Roman" w:hAnsi="Times New Roman"/>
          <w:sz w:val="15"/>
          <w:szCs w:val="15"/>
          <w:color w:val="auto"/>
        </w:rPr>
        <w:t xml:space="preserve">” means indebtedness Incurred to finance the acquisition, development, construction or lease by the Company or a Subsidiary of the Company of Property, including additions and improvements thereto, where the maturity of such indebtedness does not exceed the anticipated useful life of the Property being financed;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such indebtedness is Incurred within 270 days after the completion of the acquisition, development, construction or lease of such Property by the Company or such Subsidiary.</w:t>
      </w:r>
    </w:p>
    <w:p>
      <w:pPr>
        <w:spacing w:after="0" w:line="51" w:lineRule="exact"/>
        <w:rPr>
          <w:sz w:val="20"/>
          <w:szCs w:val="20"/>
          <w:color w:val="auto"/>
        </w:rPr>
      </w:pPr>
    </w:p>
    <w:p>
      <w:pPr>
        <w:ind w:left="760" w:right="77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Qualified Receivables Transaction</w:t>
      </w:r>
      <w:r>
        <w:rPr>
          <w:rFonts w:ascii="Times New Roman" w:cs="Times New Roman" w:eastAsia="Times New Roman" w:hAnsi="Times New Roman"/>
          <w:sz w:val="16"/>
          <w:szCs w:val="16"/>
          <w:color w:val="auto"/>
        </w:rPr>
        <w:t>” means any transaction or series of transactions that may be entered into by the Company or any of its Subsidiaries pursuant to which the Company or any of its Subsidiaries may sell, convey or otherwise transfer to:</w:t>
      </w:r>
    </w:p>
    <w:p>
      <w:pPr>
        <w:spacing w:after="0" w:line="58" w:lineRule="exact"/>
        <w:rPr>
          <w:sz w:val="20"/>
          <w:szCs w:val="20"/>
          <w:color w:val="auto"/>
        </w:rPr>
      </w:pPr>
    </w:p>
    <w:p>
      <w:pPr>
        <w:ind w:left="1380" w:hanging="304"/>
        <w:spacing w:after="0"/>
        <w:tabs>
          <w:tab w:leader="none" w:pos="1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Receivables Entity (in the case of a transfer by the Company or any of its Subsidiaries), or</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Person (in the case of a transfer by a Receivables Entity),</w:t>
      </w:r>
    </w:p>
    <w:p>
      <w:pPr>
        <w:spacing w:after="0" w:line="104" w:lineRule="exact"/>
        <w:rPr>
          <w:sz w:val="20"/>
          <w:szCs w:val="20"/>
          <w:color w:val="auto"/>
        </w:rPr>
      </w:pPr>
    </w:p>
    <w:p>
      <w:pPr>
        <w:ind w:left="760" w:right="779" w:firstLine="320"/>
        <w:spacing w:after="0" w:line="256" w:lineRule="auto"/>
        <w:rPr>
          <w:sz w:val="20"/>
          <w:szCs w:val="20"/>
          <w:color w:val="auto"/>
        </w:rPr>
      </w:pPr>
      <w:r>
        <w:rPr>
          <w:rFonts w:ascii="Times New Roman" w:cs="Times New Roman" w:eastAsia="Times New Roman" w:hAnsi="Times New Roman"/>
          <w:sz w:val="16"/>
          <w:szCs w:val="16"/>
          <w:color w:val="auto"/>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financing terms, covenants, termination events and other provisions thereof shall be market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determined in good faith by the chief financial officer of the Company).</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8" w:name="page49"/>
    <w:bookmarkEnd w:id="48"/>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ind w:left="760" w:right="939" w:firstLine="3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Rating Agencies</w:t>
      </w:r>
      <w:r>
        <w:rPr>
          <w:rFonts w:ascii="Times New Roman" w:cs="Times New Roman" w:eastAsia="Times New Roman" w:hAnsi="Times New Roman"/>
          <w:sz w:val="16"/>
          <w:szCs w:val="16"/>
          <w:color w:val="auto"/>
        </w:rPr>
        <w:t>” means (1) each of Moody’s and Fitch and (2) if any one or more of Moody’s or Fitch shall not make a rating of the notes publicly available, any one or more, as applicable, “nationally recognized statistical rating organization” within the meaning of Section 3(a)(62) of the Exchange Act selected by the Company as a replacement agency for any one or more, as applicable, of Moody’s or Fitch.</w:t>
      </w:r>
    </w:p>
    <w:p>
      <w:pPr>
        <w:spacing w:after="0" w:line="62" w:lineRule="exact"/>
        <w:rPr>
          <w:sz w:val="20"/>
          <w:szCs w:val="20"/>
          <w:color w:val="auto"/>
        </w:rPr>
      </w:pPr>
    </w:p>
    <w:p>
      <w:pPr>
        <w:ind w:left="760" w:right="919" w:firstLine="3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Receivables Entity</w:t>
      </w:r>
      <w:r>
        <w:rPr>
          <w:rFonts w:ascii="Times New Roman" w:cs="Times New Roman" w:eastAsia="Times New Roman" w:hAnsi="Times New Roman"/>
          <w:sz w:val="16"/>
          <w:szCs w:val="16"/>
          <w:color w:val="auto"/>
        </w:rPr>
        <w:t>”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of clause (a) or (b):</w:t>
      </w:r>
    </w:p>
    <w:p>
      <w:pPr>
        <w:spacing w:after="0" w:line="64" w:lineRule="exact"/>
        <w:rPr>
          <w:sz w:val="20"/>
          <w:szCs w:val="20"/>
          <w:color w:val="auto"/>
        </w:rPr>
      </w:pPr>
    </w:p>
    <w:p>
      <w:pPr>
        <w:ind w:left="1380" w:hanging="304"/>
        <w:spacing w:after="0"/>
        <w:tabs>
          <w:tab w:leader="none" w:pos="1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portion of the indebtedness or any other obligations (contingent or otherwise) of such entity:</w:t>
      </w:r>
    </w:p>
    <w:p>
      <w:pPr>
        <w:spacing w:after="0" w:line="104" w:lineRule="exact"/>
        <w:rPr>
          <w:rFonts w:ascii="Times New Roman" w:cs="Times New Roman" w:eastAsia="Times New Roman" w:hAnsi="Times New Roman"/>
          <w:sz w:val="16"/>
          <w:szCs w:val="16"/>
          <w:color w:val="auto"/>
        </w:rPr>
      </w:pPr>
    </w:p>
    <w:p>
      <w:pPr>
        <w:ind w:left="1700" w:right="1419" w:hanging="303"/>
        <w:spacing w:after="0" w:line="266" w:lineRule="auto"/>
        <w:tabs>
          <w:tab w:leader="none" w:pos="17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Guaranteed by the Company or any Subsidiary of the Company (excluding Guarantees of obligations (other than the principal of, and interest on, indebtedness) pursuant to Standard Securitization Undertakings),</w:t>
      </w:r>
    </w:p>
    <w:p>
      <w:pPr>
        <w:spacing w:after="0" w:line="60" w:lineRule="exact"/>
        <w:rPr>
          <w:rFonts w:ascii="Times New Roman" w:cs="Times New Roman" w:eastAsia="Times New Roman" w:hAnsi="Times New Roman"/>
          <w:sz w:val="16"/>
          <w:szCs w:val="16"/>
          <w:color w:val="auto"/>
        </w:rPr>
      </w:pPr>
    </w:p>
    <w:p>
      <w:pPr>
        <w:ind w:left="1700" w:right="1039" w:hanging="303"/>
        <w:spacing w:after="0" w:line="282" w:lineRule="auto"/>
        <w:tabs>
          <w:tab w:leader="none" w:pos="17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recourse to or obligates the Company or any Subsidiary of the Company in any way (other than pursuant to Standard Securitization Undertakings), or</w:t>
      </w:r>
    </w:p>
    <w:p>
      <w:pPr>
        <w:spacing w:after="0" w:line="48" w:lineRule="exact"/>
        <w:rPr>
          <w:rFonts w:ascii="Times New Roman" w:cs="Times New Roman" w:eastAsia="Times New Roman" w:hAnsi="Times New Roman"/>
          <w:sz w:val="16"/>
          <w:szCs w:val="16"/>
          <w:color w:val="auto"/>
        </w:rPr>
      </w:pPr>
    </w:p>
    <w:p>
      <w:pPr>
        <w:ind w:left="1700" w:right="1179" w:hanging="303"/>
        <w:spacing w:after="0" w:line="266" w:lineRule="auto"/>
        <w:tabs>
          <w:tab w:leader="none" w:pos="17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subjects any property or asset of the Company or any Subsidiary of the Company, directly or indirectly, contingently or otherwise, to the satisfaction thereof (other than pursuant to Standard Securitization Undertakings);</w:t>
      </w:r>
    </w:p>
    <w:p>
      <w:pPr>
        <w:spacing w:after="0" w:line="60" w:lineRule="exact"/>
        <w:rPr>
          <w:rFonts w:ascii="Times New Roman" w:cs="Times New Roman" w:eastAsia="Times New Roman" w:hAnsi="Times New Roman"/>
          <w:sz w:val="16"/>
          <w:szCs w:val="16"/>
          <w:color w:val="auto"/>
        </w:rPr>
      </w:pPr>
    </w:p>
    <w:p>
      <w:pPr>
        <w:ind w:left="1380" w:right="799" w:hanging="304"/>
        <w:spacing w:after="0" w:line="261" w:lineRule="auto"/>
        <w:tabs>
          <w:tab w:leader="none" w:pos="1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w:t>
      </w:r>
    </w:p>
    <w:p>
      <w:pPr>
        <w:spacing w:after="0" w:line="64" w:lineRule="exact"/>
        <w:rPr>
          <w:rFonts w:ascii="Times New Roman" w:cs="Times New Roman" w:eastAsia="Times New Roman" w:hAnsi="Times New Roman"/>
          <w:sz w:val="16"/>
          <w:szCs w:val="16"/>
          <w:color w:val="auto"/>
        </w:rPr>
      </w:pPr>
    </w:p>
    <w:p>
      <w:pPr>
        <w:ind w:left="1380" w:right="1159" w:hanging="304"/>
        <w:spacing w:after="0" w:line="266" w:lineRule="auto"/>
        <w:tabs>
          <w:tab w:leader="none" w:pos="1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an entity to which neither the Company nor any Subsidiary of the Company has any obligation to maintain or preserve such entity’s financial condition or cause such entity to achieve certain levels of operating results.</w:t>
      </w:r>
    </w:p>
    <w:p>
      <w:pPr>
        <w:spacing w:after="0" w:line="61" w:lineRule="exact"/>
        <w:rPr>
          <w:sz w:val="20"/>
          <w:szCs w:val="20"/>
          <w:color w:val="auto"/>
        </w:rPr>
      </w:pPr>
    </w:p>
    <w:p>
      <w:pPr>
        <w:ind w:left="760" w:right="779" w:firstLine="320"/>
        <w:spacing w:after="0" w:line="282" w:lineRule="auto"/>
        <w:rPr>
          <w:sz w:val="20"/>
          <w:szCs w:val="20"/>
          <w:color w:val="auto"/>
        </w:rPr>
      </w:pPr>
      <w:r>
        <w:rPr>
          <w:rFonts w:ascii="Times New Roman" w:cs="Times New Roman" w:eastAsia="Times New Roman" w:hAnsi="Times New Roman"/>
          <w:sz w:val="16"/>
          <w:szCs w:val="16"/>
          <w:color w:val="auto"/>
        </w:rPr>
        <w:t>Any such designation shall be evidenced to the Trustee by filing with the Trustee an Officer’s Certificate giving effect to such designation and certifying that such designation complied with the foregoing conditions.</w:t>
      </w:r>
    </w:p>
    <w:p>
      <w:pPr>
        <w:spacing w:after="0" w:line="46" w:lineRule="exact"/>
        <w:rPr>
          <w:sz w:val="20"/>
          <w:szCs w:val="20"/>
          <w:color w:val="auto"/>
        </w:rPr>
      </w:pPr>
    </w:p>
    <w:p>
      <w:pPr>
        <w:ind w:left="760" w:right="93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Redemption Date</w:t>
      </w:r>
      <w:r>
        <w:rPr>
          <w:rFonts w:ascii="Times New Roman" w:cs="Times New Roman" w:eastAsia="Times New Roman" w:hAnsi="Times New Roman"/>
          <w:sz w:val="16"/>
          <w:szCs w:val="16"/>
          <w:color w:val="auto"/>
        </w:rPr>
        <w:t>” when used with respect to any of the notes to be redeemed, means the date fixed for such redemption by or pursuant to the indenture.</w:t>
      </w:r>
    </w:p>
    <w:p>
      <w:pPr>
        <w:spacing w:after="0" w:line="44" w:lineRule="exact"/>
        <w:rPr>
          <w:sz w:val="20"/>
          <w:szCs w:val="20"/>
          <w:color w:val="auto"/>
        </w:rPr>
      </w:pPr>
    </w:p>
    <w:p>
      <w:pPr>
        <w:ind w:left="760" w:right="99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Redemption Price</w:t>
      </w:r>
      <w:r>
        <w:rPr>
          <w:rFonts w:ascii="Times New Roman" w:cs="Times New Roman" w:eastAsia="Times New Roman" w:hAnsi="Times New Roman"/>
          <w:sz w:val="16"/>
          <w:szCs w:val="16"/>
          <w:color w:val="auto"/>
        </w:rPr>
        <w:t>” when used with respect to any of the notes to be redeemed, means the price specified in such note at which it is to be redeemed pursuant to the indenture.</w:t>
      </w:r>
    </w:p>
    <w:p>
      <w:pPr>
        <w:spacing w:after="0" w:line="44" w:lineRule="exact"/>
        <w:rPr>
          <w:sz w:val="20"/>
          <w:szCs w:val="20"/>
          <w:color w:val="auto"/>
        </w:rPr>
      </w:pPr>
    </w:p>
    <w:p>
      <w:pPr>
        <w:ind w:left="760" w:right="77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Refinance</w:t>
      </w:r>
      <w:r>
        <w:rPr>
          <w:rFonts w:ascii="Times New Roman" w:cs="Times New Roman" w:eastAsia="Times New Roman" w:hAnsi="Times New Roman"/>
          <w:sz w:val="16"/>
          <w:szCs w:val="16"/>
          <w:color w:val="auto"/>
        </w:rPr>
        <w:t>” means, in respect of any indebtedness, to refinance, extend, renew, refund, repay, prepay, purchase, redeem, defease or retire, or to issue other indebtedness in exchange or replacement for, such indebtedness. “</w:t>
      </w:r>
      <w:r>
        <w:rPr>
          <w:rFonts w:ascii="Times New Roman" w:cs="Times New Roman" w:eastAsia="Times New Roman" w:hAnsi="Times New Roman"/>
          <w:sz w:val="16"/>
          <w:szCs w:val="16"/>
          <w:i w:val="1"/>
          <w:iCs w:val="1"/>
          <w:color w:val="auto"/>
        </w:rPr>
        <w:t>Refinancing</w:t>
      </w:r>
      <w:r>
        <w:rPr>
          <w:rFonts w:ascii="Times New Roman" w:cs="Times New Roman" w:eastAsia="Times New Roman" w:hAnsi="Times New Roman"/>
          <w:sz w:val="16"/>
          <w:szCs w:val="16"/>
          <w:color w:val="auto"/>
        </w:rPr>
        <w:t>” has a correlative meaning.</w:t>
      </w:r>
    </w:p>
    <w:p>
      <w:pPr>
        <w:spacing w:after="0" w:line="56" w:lineRule="exact"/>
        <w:rPr>
          <w:sz w:val="20"/>
          <w:szCs w:val="20"/>
          <w:color w:val="auto"/>
        </w:rPr>
      </w:pPr>
    </w:p>
    <w:p>
      <w:pPr>
        <w:ind w:left="760" w:right="779" w:firstLine="320"/>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Sale Leaseback Transaction</w:t>
      </w:r>
      <w:r>
        <w:rPr>
          <w:rFonts w:ascii="Times New Roman" w:cs="Times New Roman" w:eastAsia="Times New Roman" w:hAnsi="Times New Roman"/>
          <w:sz w:val="16"/>
          <w:szCs w:val="16"/>
          <w:color w:val="auto"/>
        </w:rPr>
        <w:t>”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w:t>
      </w:r>
    </w:p>
    <w:p>
      <w:pPr>
        <w:spacing w:after="0" w:line="67" w:lineRule="exact"/>
        <w:rPr>
          <w:sz w:val="20"/>
          <w:szCs w:val="20"/>
          <w:color w:val="auto"/>
        </w:rPr>
      </w:pPr>
    </w:p>
    <w:p>
      <w:pPr>
        <w:ind w:left="760" w:right="115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means the Securities Act of 1933, as amended, or any successor statute, and the rules and regulations promulgated by the Commission thereunder.</w:t>
      </w:r>
    </w:p>
    <w:p>
      <w:pPr>
        <w:spacing w:after="0" w:line="44" w:lineRule="exact"/>
        <w:rPr>
          <w:sz w:val="20"/>
          <w:szCs w:val="20"/>
          <w:color w:val="auto"/>
        </w:rPr>
      </w:pPr>
    </w:p>
    <w:p>
      <w:pPr>
        <w:ind w:left="760" w:right="87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Standard Securitization Undertakings</w:t>
      </w:r>
      <w:r>
        <w:rPr>
          <w:rFonts w:ascii="Times New Roman" w:cs="Times New Roman" w:eastAsia="Times New Roman" w:hAnsi="Times New Roman"/>
          <w:sz w:val="16"/>
          <w:szCs w:val="16"/>
          <w:color w:val="auto"/>
        </w:rPr>
        <w:t>” means representations, warranties, covenants and indemnities entered into by the Company or any Subsidiary of the Company that, taken as a whole, are customary in an accounts receivable transaction.</w:t>
      </w:r>
    </w:p>
    <w:p>
      <w:pPr>
        <w:spacing w:after="0" w:line="56" w:lineRule="exact"/>
        <w:rPr>
          <w:sz w:val="20"/>
          <w:szCs w:val="20"/>
          <w:color w:val="auto"/>
        </w:rPr>
      </w:pPr>
    </w:p>
    <w:p>
      <w:pPr>
        <w:ind w:left="760" w:right="79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Stated Maturity</w:t>
      </w:r>
      <w:r>
        <w:rPr>
          <w:rFonts w:ascii="Times New Roman" w:cs="Times New Roman" w:eastAsia="Times New Roman" w:hAnsi="Times New Roman"/>
          <w:sz w:val="16"/>
          <w:szCs w:val="16"/>
          <w:color w:val="auto"/>
        </w:rPr>
        <w:t>” means, when used with respect to any indebtedness or any installment of interest thereon, the dates specified in such indebtedness as the fixed date on which the principal of such indebtedness or such installment of interest, as the case may be, is due and payable.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49" w:name="page50"/>
    <w:bookmarkEnd w:id="49"/>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Subsidiary</w:t>
      </w:r>
      <w:r>
        <w:rPr>
          <w:rFonts w:ascii="Times New Roman" w:cs="Times New Roman" w:eastAsia="Times New Roman" w:hAnsi="Times New Roman"/>
          <w:sz w:val="16"/>
          <w:szCs w:val="16"/>
          <w:color w:val="auto"/>
        </w:rPr>
        <w:t>” means, with respect to any specified Person:</w:t>
      </w:r>
    </w:p>
    <w:p>
      <w:pPr>
        <w:spacing w:after="0" w:line="106" w:lineRule="exact"/>
        <w:rPr>
          <w:sz w:val="20"/>
          <w:szCs w:val="20"/>
          <w:color w:val="auto"/>
        </w:rPr>
      </w:pPr>
    </w:p>
    <w:p>
      <w:pPr>
        <w:ind w:left="1380" w:right="819" w:hanging="304"/>
        <w:spacing w:after="0" w:line="257" w:lineRule="auto"/>
        <w:tabs>
          <w:tab w:leader="none" w:pos="1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67" w:lineRule="exact"/>
        <w:rPr>
          <w:rFonts w:ascii="Times New Roman" w:cs="Times New Roman" w:eastAsia="Times New Roman" w:hAnsi="Times New Roman"/>
          <w:sz w:val="16"/>
          <w:szCs w:val="16"/>
          <w:color w:val="auto"/>
        </w:rPr>
      </w:pPr>
    </w:p>
    <w:p>
      <w:pPr>
        <w:ind w:left="1380" w:right="959" w:hanging="304"/>
        <w:spacing w:after="0" w:line="266" w:lineRule="auto"/>
        <w:tabs>
          <w:tab w:leader="none" w:pos="1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59" w:lineRule="exact"/>
        <w:rPr>
          <w:sz w:val="20"/>
          <w:szCs w:val="20"/>
          <w:color w:val="auto"/>
        </w:rPr>
      </w:pPr>
    </w:p>
    <w:p>
      <w:pPr>
        <w:jc w:val="both"/>
        <w:ind w:left="760" w:right="879" w:firstLine="32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Triggering Indebtedness</w:t>
      </w:r>
      <w:r>
        <w:rPr>
          <w:rFonts w:ascii="Times New Roman" w:cs="Times New Roman" w:eastAsia="Times New Roman" w:hAnsi="Times New Roman"/>
          <w:sz w:val="16"/>
          <w:szCs w:val="16"/>
          <w:color w:val="auto"/>
        </w:rPr>
        <w:t>” means indebtedness for borrowed money of the Company owed to a Person, other than the Company or any Subsidiary of the Company, that has an aggregate principal amount or committed amount in excess of $500.0 million.</w:t>
      </w:r>
    </w:p>
    <w:p>
      <w:pPr>
        <w:spacing w:after="0" w:line="56" w:lineRule="exact"/>
        <w:rPr>
          <w:sz w:val="20"/>
          <w:szCs w:val="20"/>
          <w:color w:val="auto"/>
        </w:rPr>
      </w:pPr>
    </w:p>
    <w:p>
      <w:pPr>
        <w:ind w:left="760" w:right="879" w:firstLine="3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Voting Stock</w:t>
      </w:r>
      <w:r>
        <w:rPr>
          <w:rFonts w:ascii="Times New Roman" w:cs="Times New Roman" w:eastAsia="Times New Roman" w:hAnsi="Times New Roman"/>
          <w:sz w:val="16"/>
          <w:szCs w:val="16"/>
          <w:color w:val="auto"/>
        </w:rPr>
        <w:t>”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62" w:lineRule="exact"/>
        <w:rPr>
          <w:sz w:val="20"/>
          <w:szCs w:val="20"/>
          <w:color w:val="auto"/>
        </w:rPr>
      </w:pPr>
    </w:p>
    <w:p>
      <w:pPr>
        <w:ind w:left="760" w:right="779" w:firstLine="3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Wholly Owned Subsidiary</w:t>
      </w:r>
      <w:r>
        <w:rPr>
          <w:rFonts w:ascii="Times New Roman" w:cs="Times New Roman" w:eastAsia="Times New Roman" w:hAnsi="Times New Roman"/>
          <w:sz w:val="16"/>
          <w:szCs w:val="16"/>
          <w:color w:val="auto"/>
        </w:rPr>
        <w:t>” means a Subsidiary of the Company of which the Company owns all of the Capital Stock, directly or indirectly, other than directors’ qualifying shares.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0" w:name="page51"/>
    <w:bookmarkEnd w:id="50"/>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 FEDERAL INCOME TAX CONSEQUENCES</w:t>
      </w:r>
    </w:p>
    <w:p>
      <w:pPr>
        <w:spacing w:after="0" w:line="106" w:lineRule="exact"/>
        <w:rPr>
          <w:sz w:val="20"/>
          <w:szCs w:val="20"/>
          <w:color w:val="auto"/>
        </w:rPr>
      </w:pPr>
    </w:p>
    <w:p>
      <w:pPr>
        <w:ind w:left="760" w:right="799" w:firstLine="320"/>
        <w:spacing w:after="0" w:line="253" w:lineRule="auto"/>
        <w:rPr>
          <w:sz w:val="20"/>
          <w:szCs w:val="20"/>
          <w:color w:val="auto"/>
        </w:rPr>
      </w:pPr>
      <w:r>
        <w:rPr>
          <w:rFonts w:ascii="Times New Roman" w:cs="Times New Roman" w:eastAsia="Times New Roman" w:hAnsi="Times New Roman"/>
          <w:sz w:val="16"/>
          <w:szCs w:val="16"/>
          <w:color w:val="auto"/>
        </w:rPr>
        <w:t>The following is a summary of certain U.S. federal income tax consequences relating to the purchase, ownership and disposition of the notes, but does not purport to be a complete analysis of all the potential tax considerations relating thereto. This summary is based upon the provisions of the Internal Revenue Code of 1986, as amended (the “Code”), U.S. Treasury regulations promulgated thereunder (which we refer to in this prospectus supplement as “Treasury Regulations”), judicial decisions, published positions of the Internal Revenue Service (which we refer to in this prospectus supplement as the “IRS”) and other applicable authorities, all as of the date hereof. These authorities may be changed, possibly with retroactive effect, so as to result in U.S. federal income tax consequences different from those set forth below. We have not sought any ruling from the IRS with respect to the statements made and the conclusions reached in the following summary, and there can be no assurance that the IRS will agree with such statements and conclusions or that such statements and conclusions, if challenged by the IRS, will be sustained by a court.</w:t>
      </w:r>
    </w:p>
    <w:p>
      <w:pPr>
        <w:spacing w:after="0" w:line="77" w:lineRule="exact"/>
        <w:rPr>
          <w:sz w:val="20"/>
          <w:szCs w:val="20"/>
          <w:color w:val="auto"/>
        </w:rPr>
      </w:pPr>
    </w:p>
    <w:p>
      <w:pPr>
        <w:ind w:left="760" w:right="839" w:firstLine="320"/>
        <w:spacing w:after="0" w:line="256" w:lineRule="auto"/>
        <w:rPr>
          <w:sz w:val="20"/>
          <w:szCs w:val="20"/>
          <w:color w:val="auto"/>
        </w:rPr>
      </w:pPr>
      <w:r>
        <w:rPr>
          <w:rFonts w:ascii="Times New Roman" w:cs="Times New Roman" w:eastAsia="Times New Roman" w:hAnsi="Times New Roman"/>
          <w:sz w:val="16"/>
          <w:szCs w:val="16"/>
          <w:color w:val="auto"/>
        </w:rPr>
        <w:t>This summary is limited to holders who purchase the notes upon their initial issuance at their initial issue price (which will equal the first price at which a substantial amount of notes is sold to the public for cash) and who hold the notes as capital assets within the meaning of Section 1221 of the Code (generally, property held for investment). This summary does not address the effect of the alternative minimum tax, U.S. federal estate or gift tax laws or the tax considerations arising under the laws of any foreign, or U.S. state or local jurisdiction. In addition, this discussion does not address tax considerations applicable to an investor’s particular circumstances or to investors that may be subject to special tax rules, including, without limitation:</w:t>
      </w:r>
    </w:p>
    <w:p>
      <w:pPr>
        <w:spacing w:after="0" w:line="68" w:lineRule="exact"/>
        <w:rPr>
          <w:sz w:val="20"/>
          <w:szCs w:val="20"/>
          <w:color w:val="auto"/>
        </w:rPr>
      </w:pPr>
    </w:p>
    <w:p>
      <w:pPr>
        <w:ind w:left="1380" w:hanging="304"/>
        <w:spacing w:after="0"/>
        <w:tabs>
          <w:tab w:leader="none" w:pos="1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insurance companies, or other financial institutions;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subject to the alternative minimum tax;</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organizations;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in securities or commodities;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traders in securities that elect to use a mark-to-market method of accounting for their securities holdings;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 corporations, partnerships or other pass-through entities;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expatriates and certain former citizens or long-term residents of the United States;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holders (as defined below) whose functional currency is not the U.S. Dollar;</w:t>
      </w:r>
    </w:p>
    <w:p>
      <w:pPr>
        <w:spacing w:after="0" w:line="104" w:lineRule="exact"/>
        <w:rPr>
          <w:rFonts w:ascii="Times New Roman" w:cs="Times New Roman" w:eastAsia="Times New Roman" w:hAnsi="Times New Roman"/>
          <w:sz w:val="16"/>
          <w:szCs w:val="16"/>
          <w:color w:val="auto"/>
        </w:rPr>
      </w:pPr>
    </w:p>
    <w:p>
      <w:pPr>
        <w:ind w:left="1380" w:right="899" w:hanging="304"/>
        <w:spacing w:after="0" w:line="282" w:lineRule="auto"/>
        <w:tabs>
          <w:tab w:leader="none" w:pos="1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hold the notes as a position in a hedging transaction, “straddle,” “conversion transaction” or other risk reduction transaction; or</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deemed to sell the notes under the constructive sale provisions of the Code.</w:t>
      </w:r>
    </w:p>
    <w:p>
      <w:pPr>
        <w:spacing w:after="0" w:line="104" w:lineRule="exact"/>
        <w:rPr>
          <w:sz w:val="20"/>
          <w:szCs w:val="20"/>
          <w:color w:val="auto"/>
        </w:rPr>
      </w:pPr>
    </w:p>
    <w:p>
      <w:pPr>
        <w:ind w:left="760" w:right="839" w:firstLine="320"/>
        <w:spacing w:after="0" w:line="257" w:lineRule="auto"/>
        <w:rPr>
          <w:sz w:val="20"/>
          <w:szCs w:val="20"/>
          <w:color w:val="auto"/>
        </w:rPr>
      </w:pPr>
      <w:r>
        <w:rPr>
          <w:rFonts w:ascii="Times New Roman" w:cs="Times New Roman" w:eastAsia="Times New Roman" w:hAnsi="Times New Roman"/>
          <w:sz w:val="16"/>
          <w:szCs w:val="16"/>
          <w:color w:val="auto"/>
        </w:rPr>
        <w:t>If a partnership (or any entity or arrangement treated as a partnership) or other pass-through entity for U.S. federal income tax purposes is a beneficial owner of a note, the treatment of a partner in the partnership or member in such other entity generally will depend on the status of the partner or member and the activities of the partnership or such other entity. Partnerships or other pass-through entities, and partners in such partnerships or members in such other entities, should consult their tax advisors about the U.S. federal income tax consequences of purchasing, owning and disposing of the notes.</w:t>
      </w:r>
    </w:p>
    <w:p>
      <w:pPr>
        <w:spacing w:after="0" w:line="67" w:lineRule="exact"/>
        <w:rPr>
          <w:sz w:val="20"/>
          <w:szCs w:val="20"/>
          <w:color w:val="auto"/>
        </w:rPr>
      </w:pPr>
    </w:p>
    <w:p>
      <w:pPr>
        <w:ind w:left="760" w:right="899" w:firstLine="320"/>
        <w:spacing w:after="0" w:line="256" w:lineRule="auto"/>
        <w:rPr>
          <w:sz w:val="20"/>
          <w:szCs w:val="20"/>
          <w:color w:val="auto"/>
        </w:rPr>
      </w:pPr>
      <w:r>
        <w:rPr>
          <w:rFonts w:ascii="Times New Roman" w:cs="Times New Roman" w:eastAsia="Times New Roman" w:hAnsi="Times New Roman"/>
          <w:sz w:val="16"/>
          <w:szCs w:val="16"/>
          <w:color w:val="auto"/>
        </w:rPr>
        <w:t>THIS SUMMARY OF U.S. FEDERAL INCOME TAX CONSEQUENCES IS FOR GENERAL INFORMATION ONLY AND IS NOT TAX ADVICE. YOU ARE URGED TO CONSULT YOUR TAX ADVISOR WITH RESPECT TO THE APPLICATION OF THE U.S. FEDERAL INCOME TAX LAWS TO YOUR PARTICULAR SITUATION IN CONNECTION WITH THE PURCHASE, OWNERSHIP AND DISPOSITION OF THE NOTES AS WELL AS ANY TAX CONSEQUENCES ARISING UNDER THE FEDERAL ESTATE OR GIFT TAX RULES OR UNDER THE LAWS OF ANY STATE, LOCAL, FOREIGN OR OTHER TAXING JURISDICTION OR UNDER ANY APPLICABLE TAX TREATY.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Additional Payments</w:t>
      </w:r>
    </w:p>
    <w:p>
      <w:pPr>
        <w:spacing w:after="0" w:line="106" w:lineRule="exact"/>
        <w:rPr>
          <w:sz w:val="20"/>
          <w:szCs w:val="20"/>
          <w:color w:val="auto"/>
        </w:rPr>
      </w:pPr>
    </w:p>
    <w:p>
      <w:pPr>
        <w:ind w:left="760" w:right="819" w:firstLine="320"/>
        <w:spacing w:after="0" w:line="266" w:lineRule="auto"/>
        <w:rPr>
          <w:sz w:val="20"/>
          <w:szCs w:val="20"/>
          <w:color w:val="auto"/>
        </w:rPr>
      </w:pPr>
      <w:r>
        <w:rPr>
          <w:rFonts w:ascii="Times New Roman" w:cs="Times New Roman" w:eastAsia="Times New Roman" w:hAnsi="Times New Roman"/>
          <w:sz w:val="16"/>
          <w:szCs w:val="16"/>
          <w:color w:val="auto"/>
        </w:rPr>
        <w:t>Including as described under the heading “— Purchase of Notes upon a Change of Control Repurchase Event”, we may be required to pay you an amount in excess of stated interest and principal in certain circumstances. The possibility of such payments may implicate special rules under Treasury Regulations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1" w:name="page52"/>
    <w:bookmarkEnd w:id="51"/>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779"/>
        <w:spacing w:after="0" w:line="273" w:lineRule="auto"/>
        <w:rPr>
          <w:sz w:val="20"/>
          <w:szCs w:val="20"/>
          <w:color w:val="auto"/>
        </w:rPr>
      </w:pPr>
      <w:r>
        <w:rPr>
          <w:rFonts w:ascii="Times New Roman" w:cs="Times New Roman" w:eastAsia="Times New Roman" w:hAnsi="Times New Roman"/>
          <w:sz w:val="15"/>
          <w:szCs w:val="15"/>
          <w:color w:val="auto"/>
        </w:rPr>
        <w:t>governing “nonfunctional currency contingent payment debt instruments.” We intend to take the position that the notes should not be treated as nonfunctional currency contingent payment debt instruments because of the possibility of these additional payments. This position is based in part on assumptions regarding the remote possibility, as of the date of issuance of the notes, that such additional amount will be paid. Our position is binding on you, unless you explicitly disclose to the IRS on your tax return for the year during which you acquire the notes that you are taking a different position. However, the IRS may take a contrary position from that described above, which could affect the timing and character of your income on the notes. You should consult your tax advisors regarding the application of the nonfunctional currency contingent payment debt instrument rules to the notes. The remainder of this discussion assumes that the notes are not treated as nonfunctional currency contingent payment debt instruments.</w:t>
      </w: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Consequences to U.S. holders</w:t>
      </w:r>
    </w:p>
    <w:p>
      <w:pPr>
        <w:spacing w:after="0" w:line="106" w:lineRule="exact"/>
        <w:rPr>
          <w:sz w:val="20"/>
          <w:szCs w:val="20"/>
          <w:color w:val="auto"/>
        </w:rPr>
      </w:pPr>
    </w:p>
    <w:p>
      <w:pPr>
        <w:ind w:left="760" w:right="839" w:firstLine="320"/>
        <w:spacing w:after="0" w:line="261" w:lineRule="auto"/>
        <w:rPr>
          <w:sz w:val="20"/>
          <w:szCs w:val="20"/>
          <w:color w:val="auto"/>
        </w:rPr>
      </w:pPr>
      <w:r>
        <w:rPr>
          <w:rFonts w:ascii="Times New Roman" w:cs="Times New Roman" w:eastAsia="Times New Roman" w:hAnsi="Times New Roman"/>
          <w:sz w:val="16"/>
          <w:szCs w:val="16"/>
          <w:color w:val="auto"/>
        </w:rPr>
        <w:t>The following is a summary of certain U.S. federal income tax consequences that will apply to you if you are a U.S. holder of the notes. Certain consequences to “non-U.S. holders” of the notes are described under</w:t>
      </w:r>
    </w:p>
    <w:p>
      <w:pPr>
        <w:spacing w:after="0" w:line="1" w:lineRule="exact"/>
        <w:rPr>
          <w:sz w:val="20"/>
          <w:szCs w:val="20"/>
          <w:color w:val="auto"/>
        </w:rPr>
      </w:pPr>
    </w:p>
    <w:p>
      <w:pPr>
        <w:ind w:left="760" w:right="919"/>
        <w:spacing w:after="0" w:line="261" w:lineRule="auto"/>
        <w:rPr>
          <w:sz w:val="20"/>
          <w:szCs w:val="20"/>
          <w:color w:val="auto"/>
        </w:rPr>
      </w:pPr>
      <w:r>
        <w:rPr>
          <w:rFonts w:ascii="Times New Roman" w:cs="Times New Roman" w:eastAsia="Times New Roman" w:hAnsi="Times New Roman"/>
          <w:sz w:val="16"/>
          <w:szCs w:val="16"/>
          <w:color w:val="auto"/>
        </w:rPr>
        <w:t>“— Consequences to non-U.S. holders” below. For purposes of this discussion, a “U.S. holder” means a beneficial owner of a note that is:</w:t>
      </w:r>
    </w:p>
    <w:p>
      <w:pPr>
        <w:spacing w:after="0" w:line="64" w:lineRule="exact"/>
        <w:rPr>
          <w:sz w:val="20"/>
          <w:szCs w:val="20"/>
          <w:color w:val="auto"/>
        </w:rPr>
      </w:pPr>
    </w:p>
    <w:p>
      <w:pPr>
        <w:ind w:left="1380" w:hanging="304"/>
        <w:spacing w:after="0"/>
        <w:tabs>
          <w:tab w:leader="none" w:pos="1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citizen or resident of the United States;</w:t>
      </w:r>
    </w:p>
    <w:p>
      <w:pPr>
        <w:spacing w:after="0" w:line="104" w:lineRule="exact"/>
        <w:rPr>
          <w:rFonts w:ascii="Times New Roman" w:cs="Times New Roman" w:eastAsia="Times New Roman" w:hAnsi="Times New Roman"/>
          <w:sz w:val="16"/>
          <w:szCs w:val="16"/>
          <w:color w:val="auto"/>
        </w:rPr>
      </w:pPr>
    </w:p>
    <w:p>
      <w:pPr>
        <w:ind w:left="1380" w:right="959" w:hanging="304"/>
        <w:spacing w:after="0" w:line="266" w:lineRule="auto"/>
        <w:tabs>
          <w:tab w:leader="none" w:pos="1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0"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104" w:lineRule="exact"/>
        <w:rPr>
          <w:rFonts w:ascii="Times New Roman" w:cs="Times New Roman" w:eastAsia="Times New Roman" w:hAnsi="Times New Roman"/>
          <w:sz w:val="16"/>
          <w:szCs w:val="16"/>
          <w:color w:val="auto"/>
        </w:rPr>
      </w:pPr>
    </w:p>
    <w:p>
      <w:pPr>
        <w:ind w:left="1380" w:right="859" w:hanging="304"/>
        <w:spacing w:after="0" w:line="266" w:lineRule="auto"/>
        <w:tabs>
          <w:tab w:leader="none" w:pos="1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that (1) is subject to the primary supervision of a U.S. court and one or more U.S. persons have the authority to control all substantial decisions of the trust, or (2) has a valid election in effect under applicable Treasury Regulations to be treated as a U.S. person.</w:t>
      </w:r>
    </w:p>
    <w:p>
      <w:pPr>
        <w:spacing w:after="0" w:line="2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Payments of interest on the notes</w:t>
      </w:r>
    </w:p>
    <w:p>
      <w:pPr>
        <w:spacing w:after="0" w:line="108" w:lineRule="exact"/>
        <w:rPr>
          <w:sz w:val="20"/>
          <w:szCs w:val="20"/>
          <w:color w:val="auto"/>
        </w:rPr>
      </w:pPr>
    </w:p>
    <w:p>
      <w:pPr>
        <w:ind w:left="760" w:right="779" w:firstLine="320"/>
        <w:spacing w:after="0" w:line="269" w:lineRule="auto"/>
        <w:rPr>
          <w:sz w:val="20"/>
          <w:szCs w:val="20"/>
          <w:color w:val="auto"/>
        </w:rPr>
      </w:pPr>
      <w:r>
        <w:rPr>
          <w:rFonts w:ascii="Times New Roman" w:cs="Times New Roman" w:eastAsia="Times New Roman" w:hAnsi="Times New Roman"/>
          <w:sz w:val="15"/>
          <w:szCs w:val="15"/>
          <w:color w:val="auto"/>
        </w:rPr>
        <w:t>If you are a cash method taxpayer (including most individual U.S. holders), you will be required to include in ordinary income the U.S. dollar value of the euro-denominated interest payment received on a note based on the spot rate of exchange on the date of receipt, regardless of whether the payment is converted to U.S. dollars at that time. You will not recognize exchange gain or loss on the receipt of interest income, but may recognize exchange gain or loss attributable to the actual disposition of the euro received; see “—Transactions in Euros,” below. “Spot rate” generally means a currency exchange rate that reflects a market exchange rate available to the public for euro. If you are an accrual method taxpayer, you will accrue interest income on a note in euros and translate the amount accrued into U.S. dollars based on the average exchange rate in effect during the interest accrual period, or portion thereof, within the taxable year, or, at your election, at the spot rate of exchange on (a) the last day of the accrual period, or the last day of the taxable year within such accrual period if the accrual period spans more than one taxable year or</w:t>
      </w:r>
    </w:p>
    <w:p>
      <w:pPr>
        <w:spacing w:after="0" w:line="5" w:lineRule="exact"/>
        <w:rPr>
          <w:sz w:val="20"/>
          <w:szCs w:val="20"/>
          <w:color w:val="auto"/>
        </w:rPr>
      </w:pPr>
    </w:p>
    <w:p>
      <w:pPr>
        <w:ind w:left="760" w:right="819" w:hanging="4"/>
        <w:spacing w:after="0" w:line="256" w:lineRule="auto"/>
        <w:tabs>
          <w:tab w:leader="none" w:pos="98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of receipt if such date is within five Business Days of the last day of the accrual period or taxable year. Such election must be applied consistently by you to all debt instruments from year to year and can be changed only with the consent of the IRS.</w:t>
      </w:r>
    </w:p>
    <w:p>
      <w:pPr>
        <w:spacing w:after="0" w:line="67" w:lineRule="exact"/>
        <w:rPr>
          <w:sz w:val="20"/>
          <w:szCs w:val="20"/>
          <w:color w:val="auto"/>
        </w:rPr>
      </w:pPr>
    </w:p>
    <w:p>
      <w:pPr>
        <w:ind w:left="760" w:right="999" w:firstLine="320"/>
        <w:spacing w:after="0" w:line="256" w:lineRule="auto"/>
        <w:rPr>
          <w:sz w:val="20"/>
          <w:szCs w:val="20"/>
          <w:color w:val="auto"/>
        </w:rPr>
      </w:pPr>
      <w:r>
        <w:rPr>
          <w:rFonts w:ascii="Times New Roman" w:cs="Times New Roman" w:eastAsia="Times New Roman" w:hAnsi="Times New Roman"/>
          <w:sz w:val="16"/>
          <w:szCs w:val="16"/>
          <w:color w:val="auto"/>
        </w:rPr>
        <w:t>The average rate for an accrual period (or partial period) is the simple average of the spot rates for each Business Day of such period, or other average exchange rate for the period reasonably derived and consistently applied by you. If you are an accrual method taxpayer, you will also recognize foreign currency exchange gain or loss on the receipt of an interest payment equal to the difference between (a) the value of the euro received as interest, as translated into U.S. dollars using the spot rate on the date of receipt, and (b) the U.S. dollar amount previously included in income with respect to such payment. Such foreign currency exchange gain or loss will be treated as ordinary income or loss.</w:t>
      </w:r>
    </w:p>
    <w:p>
      <w:pPr>
        <w:spacing w:after="0" w:line="68" w:lineRule="exact"/>
        <w:rPr>
          <w:sz w:val="20"/>
          <w:szCs w:val="20"/>
          <w:color w:val="auto"/>
        </w:rPr>
      </w:pPr>
    </w:p>
    <w:p>
      <w:pPr>
        <w:ind w:left="760" w:right="899" w:firstLine="320"/>
        <w:spacing w:after="0" w:line="261" w:lineRule="auto"/>
        <w:rPr>
          <w:sz w:val="20"/>
          <w:szCs w:val="20"/>
          <w:color w:val="auto"/>
        </w:rPr>
      </w:pPr>
      <w:r>
        <w:rPr>
          <w:rFonts w:ascii="Times New Roman" w:cs="Times New Roman" w:eastAsia="Times New Roman" w:hAnsi="Times New Roman"/>
          <w:sz w:val="16"/>
          <w:szCs w:val="16"/>
          <w:color w:val="auto"/>
        </w:rPr>
        <w:t>Your tax basis in the euro you receive as interest will be the U.S. dollar value of such euro at the spot rate in effect on the date of receipt of the euro. If you receive interest in the form of euro and subsequently sell those euro, or if you are considered to receive euro and those euro are considered to be sold for U.S. dollars on your behalf, additional tax consequences may apply as described in “— Transactions in Euro”.</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2" w:name="page53"/>
    <w:bookmarkEnd w:id="52"/>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Sale, exchange, redemption or other taxable disposition of the notes</w:t>
      </w:r>
    </w:p>
    <w:p>
      <w:pPr>
        <w:spacing w:after="0" w:line="108" w:lineRule="exact"/>
        <w:rPr>
          <w:sz w:val="20"/>
          <w:szCs w:val="20"/>
          <w:color w:val="auto"/>
        </w:rPr>
      </w:pPr>
    </w:p>
    <w:p>
      <w:pPr>
        <w:ind w:left="760" w:right="779" w:firstLine="320"/>
        <w:spacing w:after="0" w:line="253" w:lineRule="auto"/>
        <w:rPr>
          <w:sz w:val="20"/>
          <w:szCs w:val="20"/>
          <w:color w:val="auto"/>
        </w:rPr>
      </w:pPr>
      <w:r>
        <w:rPr>
          <w:rFonts w:ascii="Times New Roman" w:cs="Times New Roman" w:eastAsia="Times New Roman" w:hAnsi="Times New Roman"/>
          <w:sz w:val="16"/>
          <w:szCs w:val="16"/>
          <w:color w:val="auto"/>
        </w:rPr>
        <w:t>Upon the sale, exchange, retirement at maturity, redemption or other taxable disposition of a note, except as noted below with respect to foreign currency exchange gain or loss, a U.S. holder generally will recognize capital gain or loss equal to the difference, if any, between (i) the amount realized by such U.S. holder on such disposition (except to the extent the amount is attributable to accrued but unpaid interest not previously included in income, which generally will be taxable as ordinary income) and (ii) the U.S. holder’s adjusted tax basis in the note. Your adjusted tax basis generally will be the U.S. dollar value of the euro used to purchase the notes calculated at the spot rate of exchange on the date of purchase, and your amount realized upon disposition generally will be the U.S. dollar value of the euro received calculated at the spot rate of exchange on the date of disposition. However, if a note is traded on an established securities market, (i) a cash basis taxpayer (or, upon election, an accrual basis taxpayer) will determine the U.S. dollar values of its adjusted tax basis and its amount realized by translating euro amounts at the spot rate of exchange on the settlement date of the purchase or disposition, respectively, or (ii) a non-electing accrual basis taxpayer will determine the U.S. dollar values of its adjusted tax basis and its amount realized by translating euro amounts at the spot rate of exchange on the trade date of the purchase or disposition, respectively. The election available to accrual method taxpayers discussed above must be applied consistently by the U.S. holder to all debt instruments from year to year and can be changed only with the consent of the IRS.</w:t>
      </w:r>
    </w:p>
    <w:p>
      <w:pPr>
        <w:spacing w:after="0" w:line="70" w:lineRule="exact"/>
        <w:rPr>
          <w:sz w:val="20"/>
          <w:szCs w:val="20"/>
          <w:color w:val="auto"/>
        </w:rPr>
      </w:pPr>
    </w:p>
    <w:p>
      <w:pPr>
        <w:ind w:left="760" w:right="939" w:firstLine="320"/>
        <w:spacing w:after="0" w:line="257" w:lineRule="auto"/>
        <w:rPr>
          <w:sz w:val="20"/>
          <w:szCs w:val="20"/>
          <w:color w:val="auto"/>
        </w:rPr>
      </w:pPr>
      <w:r>
        <w:rPr>
          <w:rFonts w:ascii="Times New Roman" w:cs="Times New Roman" w:eastAsia="Times New Roman" w:hAnsi="Times New Roman"/>
          <w:sz w:val="16"/>
          <w:szCs w:val="16"/>
          <w:color w:val="auto"/>
        </w:rPr>
        <w:t>Such capital gain or loss (except to the extent attributable to foreign currency exchange gain or loss) will be long-term capital gain or loss if, at the time of such disposition, you have held the note for more than one year, or short-term capital gain or loss if, at the time of such disposition, you have held the note for one year or less. Long-term capital gains recognized by certain non-corporate U.S. holders, including individuals, currently are taxed at preferential rates. Short-term capital gains are taxed at ordinary income rates. The deductibility of capital losses is subject to limitations.</w:t>
      </w:r>
    </w:p>
    <w:p>
      <w:pPr>
        <w:spacing w:after="0" w:line="67" w:lineRule="exact"/>
        <w:rPr>
          <w:sz w:val="20"/>
          <w:szCs w:val="20"/>
          <w:color w:val="auto"/>
        </w:rPr>
      </w:pPr>
    </w:p>
    <w:p>
      <w:pPr>
        <w:ind w:left="760" w:right="859" w:firstLine="320"/>
        <w:spacing w:after="0" w:line="254" w:lineRule="auto"/>
        <w:rPr>
          <w:sz w:val="20"/>
          <w:szCs w:val="20"/>
          <w:color w:val="auto"/>
        </w:rPr>
      </w:pPr>
      <w:r>
        <w:rPr>
          <w:rFonts w:ascii="Times New Roman" w:cs="Times New Roman" w:eastAsia="Times New Roman" w:hAnsi="Times New Roman"/>
          <w:sz w:val="16"/>
          <w:szCs w:val="16"/>
          <w:color w:val="auto"/>
        </w:rPr>
        <w:t>Any gain or loss realized upon the sale, exchange, retirement at maturity, redemption or other taxable disposition of the notes will generally be treated as ordinary income or loss to the extent that the gain or loss is attributable to fluctuations in the euro to U.S. dollar exchange rate during the period in which you held such note. Such foreign currency exchange gain or loss will equal the difference between (i) the U.S. dollar value of the euro purchase price for the notes, determined on the date the notes are disposed of, and (ii) the U.S. dollar value of the euro purchase price for the notes, determined on the date you acquired the note (or, in each case, determined on the settlement date if the notes are traded on an established securities market and you are either a cash method taxpayer or electing accrual method taxpayer). You will only recognize such foreign currency exchange gain or loss to the extent of total gain or loss, respectively, realized on the sale, exchange, retirement at maturity, redemption or other taxable disposition of the notes.</w:t>
      </w:r>
    </w:p>
    <w:p>
      <w:pPr>
        <w:spacing w:after="0" w:line="3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Transactions in Euros</w:t>
      </w:r>
    </w:p>
    <w:p>
      <w:pPr>
        <w:spacing w:after="0" w:line="108" w:lineRule="exact"/>
        <w:rPr>
          <w:sz w:val="20"/>
          <w:szCs w:val="20"/>
          <w:color w:val="auto"/>
        </w:rPr>
      </w:pPr>
    </w:p>
    <w:p>
      <w:pPr>
        <w:ind w:left="760" w:right="799" w:firstLine="320"/>
        <w:spacing w:after="0" w:line="253" w:lineRule="auto"/>
        <w:rPr>
          <w:sz w:val="20"/>
          <w:szCs w:val="20"/>
          <w:color w:val="auto"/>
        </w:rPr>
      </w:pPr>
      <w:r>
        <w:rPr>
          <w:rFonts w:ascii="Times New Roman" w:cs="Times New Roman" w:eastAsia="Times New Roman" w:hAnsi="Times New Roman"/>
          <w:sz w:val="16"/>
          <w:szCs w:val="16"/>
          <w:color w:val="auto"/>
        </w:rPr>
        <w:t>Your tax basis in the euro you receive as interest on, or on sale, exchange, retirement at maturity, redemption or other taxable disposition, of a note will be the U.S. dollar value of such euro at the spot rate in effect on the date of receipt of the euro. The amount of gain or loss recognized on a subsequent sale or other disposition of such euros will equal the difference between (i) the amount of U.S. dollars, or the fair market value in U.S. dollar of the other property received in such sale or other disposition and (ii) your adjusted tax basis in the euro. As discussed above, if the notes are traded on an established securities market, a cash basis U.S. holder (or an electing accrual basis U.S. holder) will determine the U.S. dollar value of the euros by translating the euros received at the spot rate of exchange on the settlement date of the purchase or the sale, exchange, retirement at maturity, redemption or other taxable disposition. In addition, when you purchase a note with previously owned euros, you will have taxable gain or loss (as applicable) if your adjusted tax basis in the euros is different from the U.S. dollar fair market value of such note on the date of purchase. Any such gain or loss is foreign currency exchange gain or loss taxable as ordinary income or loss.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Reportable Transactions</w:t>
      </w:r>
    </w:p>
    <w:p>
      <w:pPr>
        <w:spacing w:after="0" w:line="108" w:lineRule="exact"/>
        <w:rPr>
          <w:sz w:val="20"/>
          <w:szCs w:val="20"/>
          <w:color w:val="auto"/>
        </w:rPr>
      </w:pPr>
    </w:p>
    <w:p>
      <w:pPr>
        <w:ind w:left="760" w:right="939" w:firstLine="320"/>
        <w:spacing w:after="0" w:line="257" w:lineRule="auto"/>
        <w:rPr>
          <w:sz w:val="20"/>
          <w:szCs w:val="20"/>
          <w:color w:val="auto"/>
        </w:rPr>
      </w:pPr>
      <w:r>
        <w:rPr>
          <w:rFonts w:ascii="Times New Roman" w:cs="Times New Roman" w:eastAsia="Times New Roman" w:hAnsi="Times New Roman"/>
          <w:sz w:val="16"/>
          <w:szCs w:val="16"/>
          <w:color w:val="auto"/>
        </w:rPr>
        <w:t>In general, Treasury Regulations require the reporting to the IRS of any foreign currency loss claimed by you from a sale, exchange, redemption or other taxable disposition of your note or foreign currency received in respect of such note to the extent that the amount of the loss equals or exceeds certain threshold amounts. You should consult your own tax advisors concerning your reporting obligations, if any, with respect to your investment in the notes, including any requirement to file IRS Form 8886 (Reportable Transaction Disclosure Statement) with your tax return.</w:t>
      </w:r>
    </w:p>
    <w:p>
      <w:pPr>
        <w:spacing w:after="0" w:line="2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Medicare tax on investment income</w:t>
      </w:r>
    </w:p>
    <w:p>
      <w:pPr>
        <w:spacing w:after="0" w:line="108" w:lineRule="exact"/>
        <w:rPr>
          <w:sz w:val="20"/>
          <w:szCs w:val="20"/>
          <w:color w:val="auto"/>
        </w:rPr>
      </w:pPr>
    </w:p>
    <w:p>
      <w:pPr>
        <w:ind w:left="760" w:right="779" w:firstLine="320"/>
        <w:spacing w:after="0" w:line="253" w:lineRule="auto"/>
        <w:rPr>
          <w:sz w:val="20"/>
          <w:szCs w:val="20"/>
          <w:color w:val="auto"/>
        </w:rPr>
      </w:pPr>
      <w:r>
        <w:rPr>
          <w:rFonts w:ascii="Times New Roman" w:cs="Times New Roman" w:eastAsia="Times New Roman" w:hAnsi="Times New Roman"/>
          <w:sz w:val="16"/>
          <w:szCs w:val="16"/>
          <w:color w:val="auto"/>
        </w:rPr>
        <w:t>A U.S. holder that is an individual, estate or trust that does not fall into a special class of trusts that is exempt from such tax will be subject to a 3.8% tax on the lesser of (1) the U.S. holder’s “net investment income” (in the case of individuals) or “undistributed net investment income” (in the case of estates and trusts) for the relevant taxable year and (2) the excess of the U.S. holder’s “modified adjusted gross income” (in the case of individuals) or “adjusted gross income” (in the case of estates and trusts) for the taxable year over a certain threshold (which in the case of individuals will be $200,000 for an unmarried individual, $250,000 for a married taxpayer filing a joint return (or a surviving spouse), or $125,000 for a married individual filing a separate return) (the “Medicare Tax”). For this purpose, “net investment income” generally includes the interest paid on the notes, as well as gain from the sale of the notes, unless such interest or gain is derived in the ordinary course of the conduct of a trade or business (other than a trade or business that consists of certain passive or trading activities). U.S. holders that are individuals, estates or trusts should consult their own tax advisors regarding the applicability of the Medicare Tax to their income and gains in respect of their investment in the notes.</w:t>
      </w:r>
    </w:p>
    <w:p>
      <w:pPr>
        <w:spacing w:after="0" w:line="2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Backup withholding and information reporting</w:t>
      </w:r>
    </w:p>
    <w:p>
      <w:pPr>
        <w:spacing w:after="0" w:line="108" w:lineRule="exact"/>
        <w:rPr>
          <w:sz w:val="20"/>
          <w:szCs w:val="20"/>
          <w:color w:val="auto"/>
        </w:rPr>
      </w:pPr>
    </w:p>
    <w:p>
      <w:pPr>
        <w:ind w:left="760" w:right="859" w:firstLine="320"/>
        <w:spacing w:after="0" w:line="282" w:lineRule="auto"/>
        <w:rPr>
          <w:sz w:val="20"/>
          <w:szCs w:val="20"/>
          <w:color w:val="auto"/>
        </w:rPr>
      </w:pPr>
      <w:r>
        <w:rPr>
          <w:rFonts w:ascii="Times New Roman" w:cs="Times New Roman" w:eastAsia="Times New Roman" w:hAnsi="Times New Roman"/>
          <w:sz w:val="16"/>
          <w:szCs w:val="16"/>
          <w:color w:val="auto"/>
        </w:rPr>
        <w:t>We are required to furnish to the record holders of the notes, other than corporations and other exempt holders, and to the IRS information with respect to interest paid on the notes.</w:t>
      </w:r>
    </w:p>
    <w:p>
      <w:pPr>
        <w:spacing w:after="0" w:line="48" w:lineRule="exact"/>
        <w:rPr>
          <w:sz w:val="20"/>
          <w:szCs w:val="20"/>
          <w:color w:val="auto"/>
        </w:rPr>
      </w:pPr>
    </w:p>
    <w:p>
      <w:pPr>
        <w:ind w:left="760" w:right="819" w:firstLine="320"/>
        <w:spacing w:after="0" w:line="253" w:lineRule="auto"/>
        <w:rPr>
          <w:sz w:val="20"/>
          <w:szCs w:val="20"/>
          <w:color w:val="auto"/>
        </w:rPr>
      </w:pPr>
      <w:r>
        <w:rPr>
          <w:rFonts w:ascii="Times New Roman" w:cs="Times New Roman" w:eastAsia="Times New Roman" w:hAnsi="Times New Roman"/>
          <w:sz w:val="16"/>
          <w:szCs w:val="16"/>
          <w:color w:val="auto"/>
        </w:rPr>
        <w:t>You may be subject to backup withholding with respect to interest paid on the notes or with respect to proceeds received from a disposition of the notes. Certain holders (including, among others, corporations and certain tax-exempt organizations) generally are not subject to backup withholding. You will be subject to backup withholding if you are not otherwise exempt and you (i) fail to furnish your taxpayer identification number (which we refer to in this prospectus supplement as “TIN”), which, for an individual, is ordinarily his or her social security number; (ii) furnish an incorrect TIN; (iii) are notified by the IRS that you have failed to properly report payments of interest or dividends; or (iv) fail to certify, under penalties of perjury, that you have furnished a correct TIN and that the IRS has not notified you that you are subject to backup withholding. Backup withholding is not an additional tax, but, rather, is a method of tax collection. The backup withholding rate is currently 24%. You generally will be entitled to credit any amounts withheld under the backup withholding rules against your U.S. federal income tax liability provided that the required information is furnished to the IRS in a timely manner.</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Consequences to non-U.S. holders</w:t>
      </w:r>
    </w:p>
    <w:p>
      <w:pPr>
        <w:spacing w:after="0" w:line="106" w:lineRule="exact"/>
        <w:rPr>
          <w:sz w:val="20"/>
          <w:szCs w:val="20"/>
          <w:color w:val="auto"/>
        </w:rPr>
      </w:pPr>
    </w:p>
    <w:p>
      <w:pPr>
        <w:ind w:left="760" w:right="839" w:firstLine="320"/>
        <w:spacing w:after="0" w:line="266" w:lineRule="auto"/>
        <w:rPr>
          <w:sz w:val="20"/>
          <w:szCs w:val="20"/>
          <w:color w:val="auto"/>
        </w:rPr>
      </w:pPr>
      <w:r>
        <w:rPr>
          <w:rFonts w:ascii="Times New Roman" w:cs="Times New Roman" w:eastAsia="Times New Roman" w:hAnsi="Times New Roman"/>
          <w:sz w:val="16"/>
          <w:szCs w:val="16"/>
          <w:color w:val="auto"/>
        </w:rPr>
        <w:t>The following is a summary of certain U.S. federal income tax consequences that will apply to you if you are a non-U.S. holder of the notes. For purposes of this discussion, a “non-U.S. holder” means a beneficial owner of a note that is not a U.S. holder.</w:t>
      </w:r>
    </w:p>
    <w:p>
      <w:pPr>
        <w:spacing w:after="0" w:line="27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Payments of interest on the notes</w:t>
      </w:r>
    </w:p>
    <w:p>
      <w:pPr>
        <w:spacing w:after="0" w:line="108" w:lineRule="exact"/>
        <w:rPr>
          <w:sz w:val="20"/>
          <w:szCs w:val="20"/>
          <w:color w:val="auto"/>
        </w:rPr>
      </w:pPr>
    </w:p>
    <w:p>
      <w:pPr>
        <w:ind w:left="760" w:right="819" w:firstLine="320"/>
        <w:spacing w:after="0" w:line="261" w:lineRule="auto"/>
        <w:rPr>
          <w:sz w:val="20"/>
          <w:szCs w:val="20"/>
          <w:color w:val="auto"/>
        </w:rPr>
      </w:pPr>
      <w:r>
        <w:rPr>
          <w:rFonts w:ascii="Times New Roman" w:cs="Times New Roman" w:eastAsia="Times New Roman" w:hAnsi="Times New Roman"/>
          <w:sz w:val="16"/>
          <w:szCs w:val="16"/>
          <w:color w:val="auto"/>
        </w:rPr>
        <w:t>Generally, subject to the discussion under “— Backup withholding and information reporting” and “— Foreign Account Tax Compliance” below, interest income paid to a non-U.S. holder on a note that is not effectively connected with a U.S. trade or business will not be subject to a U.S. withholding tax under the “portfolio interest exemption,” provided that the non-U.S. holder:</w:t>
      </w:r>
    </w:p>
    <w:p>
      <w:pPr>
        <w:spacing w:after="0" w:line="65" w:lineRule="exact"/>
        <w:rPr>
          <w:sz w:val="20"/>
          <w:szCs w:val="20"/>
          <w:color w:val="auto"/>
        </w:rPr>
      </w:pPr>
    </w:p>
    <w:p>
      <w:pPr>
        <w:ind w:left="1380" w:right="839" w:hanging="304"/>
        <w:spacing w:after="0" w:line="282" w:lineRule="auto"/>
        <w:tabs>
          <w:tab w:leader="none" w:pos="13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own, actually or constructively, 10% or more of the total combined voting power of all classes of our stock entitled to vote;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4" w:name="page55"/>
    <w:bookmarkEnd w:id="5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380" w:right="1099" w:hanging="304"/>
        <w:spacing w:after="0" w:line="282" w:lineRule="auto"/>
        <w:tabs>
          <w:tab w:leader="none" w:pos="1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 “controlled foreign corporation” with respect to which we are, directly or indirectly, a “related person”;</w:t>
      </w:r>
    </w:p>
    <w:p>
      <w:pPr>
        <w:spacing w:after="0" w:line="48" w:lineRule="exact"/>
        <w:rPr>
          <w:rFonts w:ascii="Times New Roman" w:cs="Times New Roman" w:eastAsia="Times New Roman" w:hAnsi="Times New Roman"/>
          <w:sz w:val="16"/>
          <w:szCs w:val="16"/>
          <w:color w:val="auto"/>
        </w:rPr>
      </w:pPr>
    </w:p>
    <w:p>
      <w:pPr>
        <w:ind w:left="1380" w:right="819" w:hanging="304"/>
        <w:spacing w:after="0" w:line="282" w:lineRule="auto"/>
        <w:tabs>
          <w:tab w:leader="none" w:pos="1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 bank receiving interest pursuant to a loan agreement entered into in the ordinary course of its trade or business; and</w:t>
      </w:r>
    </w:p>
    <w:p>
      <w:pPr>
        <w:spacing w:after="0" w:line="48" w:lineRule="exact"/>
        <w:rPr>
          <w:rFonts w:ascii="Times New Roman" w:cs="Times New Roman" w:eastAsia="Times New Roman" w:hAnsi="Times New Roman"/>
          <w:sz w:val="16"/>
          <w:szCs w:val="16"/>
          <w:color w:val="auto"/>
        </w:rPr>
      </w:pPr>
    </w:p>
    <w:p>
      <w:pPr>
        <w:ind w:left="1380" w:right="899" w:hanging="304"/>
        <w:spacing w:after="0" w:line="261" w:lineRule="auto"/>
        <w:tabs>
          <w:tab w:leader="none" w:pos="1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its name and address, and certifies, under penalties of perjury, that it is not a U.S. person (which certification may be made on an IRS Form W-8BEN or IRS Form W-8BEN-E (or successor form)), or holds its notes through certain foreign intermediaries and the non-U.S. holder and the foreign intermediaries satisfy the certification requirements of applicable Treasury Regulations.</w:t>
      </w:r>
    </w:p>
    <w:p>
      <w:pPr>
        <w:spacing w:after="0" w:line="65" w:lineRule="exact"/>
        <w:rPr>
          <w:sz w:val="20"/>
          <w:szCs w:val="20"/>
          <w:color w:val="auto"/>
        </w:rPr>
      </w:pPr>
    </w:p>
    <w:p>
      <w:pPr>
        <w:ind w:left="760" w:right="799" w:firstLine="320"/>
        <w:spacing w:after="0" w:line="253" w:lineRule="auto"/>
        <w:rPr>
          <w:sz w:val="20"/>
          <w:szCs w:val="20"/>
          <w:color w:val="auto"/>
        </w:rPr>
      </w:pPr>
      <w:r>
        <w:rPr>
          <w:rFonts w:ascii="Times New Roman" w:cs="Times New Roman" w:eastAsia="Times New Roman" w:hAnsi="Times New Roman"/>
          <w:sz w:val="16"/>
          <w:szCs w:val="16"/>
          <w:color w:val="auto"/>
        </w:rPr>
        <w:t>If you cannot satisfy the requirements described above, you will be subject to the 30% U.S. federal withholding tax with respect to payments of interest on the notes, unless you provide us with a properly executed (1) IRS Form W-8BEN or IRS Form W-8BEN-E (or successor form) claiming an exemption from or reduction in withholding under the benefit of an applicable U.S. income tax treaty or (2) IRS Form W-8ECI (or successor form) stating that the interest is not subject to withholding tax because it is effectively connected with the conduct of a U.S. trade or business. Except to the extent otherwise provided under an applicable income tax treaty, if you are engaged in a trade or business in the United States and interest on a note is effectively connected with your conduct of that trade or business, you will be subject to U.S. federal income tax on that interest on a net income basis (although you will be exempt from the 30% withholding tax, provided the certification requirements described above are satisfied) in the same manner as if you were a U.S. person, as defined under the Code. In addition, if you are a foreign corporation, you may be subject to a branch profits tax equal to 30% (or lower rate as may be prescribed under an applicable U.S. income tax treaty) of your earnings and profits for the taxable year, subject to adjustments, that are effectively connected with your conduct of a trade or business in the United States.</w:t>
      </w:r>
    </w:p>
    <w:p>
      <w:pPr>
        <w:spacing w:after="0" w:line="2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Sale, exchange, redemption or other taxable disposition of the notes</w:t>
      </w:r>
    </w:p>
    <w:p>
      <w:pPr>
        <w:spacing w:after="0" w:line="108" w:lineRule="exact"/>
        <w:rPr>
          <w:sz w:val="20"/>
          <w:szCs w:val="20"/>
          <w:color w:val="auto"/>
        </w:rPr>
      </w:pPr>
    </w:p>
    <w:p>
      <w:pPr>
        <w:ind w:left="760" w:right="919" w:firstLine="320"/>
        <w:spacing w:after="0" w:line="258" w:lineRule="auto"/>
        <w:rPr>
          <w:sz w:val="20"/>
          <w:szCs w:val="20"/>
          <w:color w:val="auto"/>
        </w:rPr>
      </w:pPr>
      <w:r>
        <w:rPr>
          <w:rFonts w:ascii="Times New Roman" w:cs="Times New Roman" w:eastAsia="Times New Roman" w:hAnsi="Times New Roman"/>
          <w:sz w:val="16"/>
          <w:szCs w:val="16"/>
          <w:color w:val="auto"/>
        </w:rPr>
        <w:t>Subject to the discussion below under “— Backup withholding and information reporting” and “— Foreign Account Tax Compliance,” and except to the extent otherwise provided under an applicable income tax treaty, any gain realized by a non-U.S. holder on the sale, exchange, redemption or other disposition of a note (except with respect to accrued and unpaid interest, which would be taxable as described above) generally will not be subject to U.S. federal income tax unless:</w:t>
      </w:r>
    </w:p>
    <w:p>
      <w:pPr>
        <w:spacing w:after="0" w:line="68" w:lineRule="exact"/>
        <w:rPr>
          <w:sz w:val="20"/>
          <w:szCs w:val="20"/>
          <w:color w:val="auto"/>
        </w:rPr>
      </w:pPr>
    </w:p>
    <w:p>
      <w:pPr>
        <w:ind w:left="1380" w:right="1159" w:hanging="304"/>
        <w:spacing w:after="0" w:line="266" w:lineRule="auto"/>
        <w:tabs>
          <w:tab w:leader="none" w:pos="13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your conduct of a trade or business in the United States (and, if required under an applicable income tax treaty, is attributable to the non-U.S. holder’s permanent establishment or fixed base in the United States); or</w:t>
      </w:r>
    </w:p>
    <w:p>
      <w:pPr>
        <w:spacing w:after="0" w:line="60" w:lineRule="exact"/>
        <w:rPr>
          <w:rFonts w:ascii="Times New Roman" w:cs="Times New Roman" w:eastAsia="Times New Roman" w:hAnsi="Times New Roman"/>
          <w:sz w:val="16"/>
          <w:szCs w:val="16"/>
          <w:color w:val="auto"/>
        </w:rPr>
      </w:pPr>
    </w:p>
    <w:p>
      <w:pPr>
        <w:ind w:left="1380" w:right="899" w:hanging="304"/>
        <w:spacing w:after="0" w:line="282" w:lineRule="auto"/>
        <w:tabs>
          <w:tab w:leader="none" w:pos="13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an individual who is present in the United States for 183 days or more in the taxable year of sale, exchange or other disposition, and certain conditions are met.</w:t>
      </w:r>
    </w:p>
    <w:p>
      <w:pPr>
        <w:spacing w:after="0" w:line="48" w:lineRule="exact"/>
        <w:rPr>
          <w:sz w:val="20"/>
          <w:szCs w:val="20"/>
          <w:color w:val="auto"/>
        </w:rPr>
      </w:pPr>
    </w:p>
    <w:p>
      <w:pPr>
        <w:ind w:left="760" w:right="799" w:firstLine="320"/>
        <w:spacing w:after="0" w:line="254" w:lineRule="auto"/>
        <w:rPr>
          <w:sz w:val="20"/>
          <w:szCs w:val="20"/>
          <w:color w:val="auto"/>
        </w:rPr>
      </w:pPr>
      <w:r>
        <w:rPr>
          <w:rFonts w:ascii="Times New Roman" w:cs="Times New Roman" w:eastAsia="Times New Roman" w:hAnsi="Times New Roman"/>
          <w:sz w:val="16"/>
          <w:szCs w:val="16"/>
          <w:color w:val="auto"/>
        </w:rPr>
        <w:t>If your gain is described in the first bullet point above, you generally will be subject to U.S. federal income tax on the net gain derived from the sale. If you are a corporation, then you may also be required to pay a branch profits tax at a 30% rate (or such lower rate as may be prescribed under an applicable U.S. income tax treaty) on any such effectively connected gain. If you are an individual described in the second bullet point above, you will be subject to a flat 30% U.S. federal income tax on the U.S. source capital gain derived from the sale, exchange or other disposition (or at a reduced rate under an applicable income tax treaty), which may be offset by U.S. source capital losses, even though you are not considered a resident of the United States. You should consult any applicable income tax treaties that may provide for different rules. In addition, you are urged to consult your tax advisors regarding the tax consequences of the acquisition, ownership and disposition of the notes.</w:t>
      </w:r>
    </w:p>
    <w:p>
      <w:pPr>
        <w:spacing w:after="0" w:line="20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Backup withholding and information reporting</w:t>
      </w:r>
    </w:p>
    <w:p>
      <w:pPr>
        <w:spacing w:after="0" w:line="108" w:lineRule="exact"/>
        <w:rPr>
          <w:sz w:val="20"/>
          <w:szCs w:val="20"/>
          <w:color w:val="auto"/>
        </w:rPr>
      </w:pPr>
    </w:p>
    <w:p>
      <w:pPr>
        <w:ind w:left="760" w:right="839" w:firstLine="320"/>
        <w:spacing w:after="0" w:line="257" w:lineRule="auto"/>
        <w:rPr>
          <w:sz w:val="20"/>
          <w:szCs w:val="20"/>
          <w:color w:val="auto"/>
        </w:rPr>
      </w:pPr>
      <w:r>
        <w:rPr>
          <w:rFonts w:ascii="Times New Roman" w:cs="Times New Roman" w:eastAsia="Times New Roman" w:hAnsi="Times New Roman"/>
          <w:sz w:val="16"/>
          <w:szCs w:val="16"/>
          <w:color w:val="auto"/>
        </w:rPr>
        <w:t>If you are a non-U.S. holder, in general, you will not be subject to backup withholding and information reporting with respect to payments that we make to you provided that we do not have actual knowledge or reason to know that you are a U.S. person and you have given us the statement described above under “— Payments of interest on the notes.” In addition, you will not be subject to backup withholding or information reporting with respect to the proceeds of the sale of a note within the United States or conducted through certain U.S.-related financial intermediaries, if the payor receives the statement described above and does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5" w:name="page56"/>
    <w:bookmarkEnd w:id="5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819"/>
        <w:spacing w:after="0" w:line="257" w:lineRule="auto"/>
        <w:rPr>
          <w:sz w:val="20"/>
          <w:szCs w:val="20"/>
          <w:color w:val="auto"/>
        </w:rPr>
      </w:pPr>
      <w:r>
        <w:rPr>
          <w:rFonts w:ascii="Times New Roman" w:cs="Times New Roman" w:eastAsia="Times New Roman" w:hAnsi="Times New Roman"/>
          <w:sz w:val="16"/>
          <w:szCs w:val="16"/>
          <w:color w:val="auto"/>
        </w:rPr>
        <w:t>not have actual knowledge or reason to know that you are a U.S. person, as defined under the Code, or you otherwise establish an exemption. However, we will be required to report annually to the IRS and to you the amount of, and the tax withheld with respect to, any interest paid to you and any proceeds from the sale or other taxable disposition (including a retirement or redemption) of the notes regardless of whether any tax was actually withheld. Copies of these information returns may also be made available under the provisions of a specific treaty or agreement to the tax authorities of the country in which you reside.</w:t>
      </w:r>
    </w:p>
    <w:p>
      <w:pPr>
        <w:spacing w:after="0" w:line="67" w:lineRule="exact"/>
        <w:rPr>
          <w:sz w:val="20"/>
          <w:szCs w:val="20"/>
          <w:color w:val="auto"/>
        </w:rPr>
      </w:pPr>
    </w:p>
    <w:p>
      <w:pPr>
        <w:ind w:left="760" w:right="879" w:firstLine="320"/>
        <w:spacing w:after="0" w:line="317" w:lineRule="auto"/>
        <w:rPr>
          <w:sz w:val="20"/>
          <w:szCs w:val="20"/>
          <w:color w:val="auto"/>
        </w:rPr>
      </w:pPr>
      <w:r>
        <w:rPr>
          <w:rFonts w:ascii="Times New Roman" w:cs="Times New Roman" w:eastAsia="Times New Roman" w:hAnsi="Times New Roman"/>
          <w:sz w:val="15"/>
          <w:szCs w:val="15"/>
          <w:color w:val="auto"/>
        </w:rPr>
        <w:t>You generally will be entitled to credit any amounts withheld under the backup withholding rules against your U.S. federal income tax liability provided that the required information is furnished to the IRS in a timely manner.</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Foreign Account Tax Compliance</w:t>
      </w:r>
    </w:p>
    <w:p>
      <w:pPr>
        <w:spacing w:after="0" w:line="106" w:lineRule="exact"/>
        <w:rPr>
          <w:sz w:val="20"/>
          <w:szCs w:val="20"/>
          <w:color w:val="auto"/>
        </w:rPr>
      </w:pPr>
    </w:p>
    <w:p>
      <w:pPr>
        <w:ind w:left="760" w:right="779" w:firstLine="320"/>
        <w:spacing w:after="0" w:line="252" w:lineRule="auto"/>
        <w:rPr>
          <w:sz w:val="20"/>
          <w:szCs w:val="20"/>
          <w:color w:val="auto"/>
        </w:rPr>
      </w:pPr>
      <w:r>
        <w:rPr>
          <w:rFonts w:ascii="Times New Roman" w:cs="Times New Roman" w:eastAsia="Times New Roman" w:hAnsi="Times New Roman"/>
          <w:sz w:val="16"/>
          <w:szCs w:val="16"/>
          <w:color w:val="auto"/>
        </w:rPr>
        <w:t>Sections 1471 through 1474 of the Code (referred to as “FATCA”) and Treasury Regulations thereunder, when applicable, generally impose a U.S. federal withholding tax of 30% on any U.S.-source interest paid on debt obligations, such as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information regarding U.S. account holders of such institution (which includes certain equity and debt holders of such institution, as well as certain account holders that are foreign entities with U.S. owners); (ii) the non-financial foreign entity either certifies it does not have any “substantial U.S. owners” (as defined in the Code) or furnishes identifying information regarding each substantial U.S. owner (generally by providing the applicable IRS Form W-8BEN or IRS Form W-8BEN-E (or any successor form)); or (iii) the foreign financial institution or non-financial foreign entity otherwise qualifies for an exemption from these rules and provides appropriate documentation (such as the applicable IRS Form W-8BEN or IRS Form W-8BEN-E (or any successor form)). While such withholding would have applied also to payments of gross proceeds from the sale or other disposition (including any redemption) of the notes on or after January 1, 2019, proposed Treasury Regulations eliminate such withholding on payments of gross proceeds entirely. Taxpayers generally may rely on these proposed Treasury Regulations until final Treasury Regulations are issued. An applicable intergovernmental agreement regarding FATCA between the United States and a foreign jurisdiction may modify the rules discussed in this paragraph.</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You should consult your tax advisor regarding the implications of FATCA on your investment in the notes.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6" w:name="page57"/>
    <w:bookmarkEnd w:id="5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DUTCH TAX CONSIDERATIONS</w:t>
      </w:r>
    </w:p>
    <w:p>
      <w:pPr>
        <w:spacing w:after="0" w:line="106" w:lineRule="exact"/>
        <w:rPr>
          <w:sz w:val="20"/>
          <w:szCs w:val="20"/>
          <w:color w:val="auto"/>
        </w:rPr>
      </w:pPr>
    </w:p>
    <w:p>
      <w:pPr>
        <w:ind w:left="760" w:right="859" w:firstLine="320"/>
        <w:spacing w:after="0" w:line="257" w:lineRule="auto"/>
        <w:rPr>
          <w:sz w:val="20"/>
          <w:szCs w:val="20"/>
          <w:color w:val="auto"/>
        </w:rPr>
      </w:pPr>
      <w:r>
        <w:rPr>
          <w:rFonts w:ascii="Times New Roman" w:cs="Times New Roman" w:eastAsia="Times New Roman" w:hAnsi="Times New Roman"/>
          <w:sz w:val="16"/>
          <w:szCs w:val="16"/>
          <w:color w:val="auto"/>
        </w:rPr>
        <w:t>This section outlines certain material Dutch withholding tax consequences of payments of principal or interest made by a Dutch Guarantor in respect of the notes. This section does not purport to describe all possible tax considerations or consequences that may be relevant to a holder or prospective holder of notes and does not purport to deal with the tax consequences applicable to all categories of investors, some of which (such as trusts or similar arrangements) may be subject to special rules. In view of its general nature, this section should be treated with corresponding cautions.</w:t>
      </w:r>
    </w:p>
    <w:p>
      <w:pPr>
        <w:spacing w:after="0" w:line="67" w:lineRule="exact"/>
        <w:rPr>
          <w:sz w:val="20"/>
          <w:szCs w:val="20"/>
          <w:color w:val="auto"/>
        </w:rPr>
      </w:pPr>
    </w:p>
    <w:p>
      <w:pPr>
        <w:ind w:left="760" w:right="899" w:firstLine="320"/>
        <w:spacing w:after="0" w:line="257" w:lineRule="auto"/>
        <w:rPr>
          <w:sz w:val="20"/>
          <w:szCs w:val="20"/>
          <w:color w:val="auto"/>
        </w:rPr>
      </w:pPr>
      <w:r>
        <w:rPr>
          <w:rFonts w:ascii="Times New Roman" w:cs="Times New Roman" w:eastAsia="Times New Roman" w:hAnsi="Times New Roman"/>
          <w:sz w:val="16"/>
          <w:szCs w:val="16"/>
          <w:color w:val="auto"/>
        </w:rPr>
        <w:t>This section is based on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67" w:lineRule="exact"/>
        <w:rPr>
          <w:sz w:val="20"/>
          <w:szCs w:val="20"/>
          <w:color w:val="auto"/>
        </w:rPr>
      </w:pPr>
    </w:p>
    <w:p>
      <w:pPr>
        <w:ind w:left="760" w:right="799" w:firstLine="320"/>
        <w:spacing w:after="0" w:line="261" w:lineRule="auto"/>
        <w:rPr>
          <w:sz w:val="20"/>
          <w:szCs w:val="20"/>
          <w:color w:val="auto"/>
        </w:rPr>
      </w:pPr>
      <w:r>
        <w:rPr>
          <w:rFonts w:ascii="Times New Roman" w:cs="Times New Roman" w:eastAsia="Times New Roman" w:hAnsi="Times New Roman"/>
          <w:sz w:val="16"/>
          <w:szCs w:val="16"/>
          <w:color w:val="auto"/>
        </w:rPr>
        <w:t>This section is intended as general information only and is not Dutch tax advice or a description of the material Dutch tax consequences relating to the acquisition, holding and disposal of the notes. Holders or prospective holders of notes should consult their own tax advisor regarding the Dutch tax consequences relating to the acquisition, holding and disposal of the notes in light of their particular circumstances.</w:t>
      </w:r>
    </w:p>
    <w:p>
      <w:pPr>
        <w:spacing w:after="0" w:line="65" w:lineRule="exact"/>
        <w:rPr>
          <w:sz w:val="20"/>
          <w:szCs w:val="20"/>
          <w:color w:val="auto"/>
        </w:rPr>
      </w:pPr>
    </w:p>
    <w:p>
      <w:pPr>
        <w:ind w:left="760" w:right="839" w:firstLine="320"/>
        <w:spacing w:after="0" w:line="261" w:lineRule="auto"/>
        <w:rPr>
          <w:sz w:val="20"/>
          <w:szCs w:val="20"/>
          <w:color w:val="auto"/>
        </w:rPr>
      </w:pPr>
      <w:r>
        <w:rPr>
          <w:rFonts w:ascii="Times New Roman" w:cs="Times New Roman" w:eastAsia="Times New Roman" w:hAnsi="Times New Roman"/>
          <w:sz w:val="16"/>
          <w:szCs w:val="16"/>
          <w:color w:val="auto"/>
        </w:rPr>
        <w:t>This section does not describe any Dutch tax considerations or consequences arising from the Dutch Minimum Tax Act 2024 (</w:t>
      </w:r>
      <w:r>
        <w:rPr>
          <w:rFonts w:ascii="Times New Roman" w:cs="Times New Roman" w:eastAsia="Times New Roman" w:hAnsi="Times New Roman"/>
          <w:sz w:val="16"/>
          <w:szCs w:val="16"/>
          <w:i w:val="1"/>
          <w:iCs w:val="1"/>
          <w:color w:val="auto"/>
        </w:rPr>
        <w:t>Wet minimumbelasting 2024</w:t>
      </w:r>
      <w:r>
        <w:rPr>
          <w:rFonts w:ascii="Times New Roman" w:cs="Times New Roman" w:eastAsia="Times New Roman" w:hAnsi="Times New Roman"/>
          <w:sz w:val="16"/>
          <w:szCs w:val="16"/>
          <w:color w:val="auto"/>
        </w:rPr>
        <w:t>; the Dutch implementation of Directive (EU) 2022/2523 of</w:t>
      </w:r>
    </w:p>
    <w:p>
      <w:pPr>
        <w:spacing w:after="0" w:line="1" w:lineRule="exact"/>
        <w:rPr>
          <w:sz w:val="20"/>
          <w:szCs w:val="20"/>
          <w:color w:val="auto"/>
        </w:rPr>
      </w:pPr>
    </w:p>
    <w:p>
      <w:pPr>
        <w:ind w:left="760" w:right="1019"/>
        <w:spacing w:after="0" w:line="261" w:lineRule="auto"/>
        <w:rPr>
          <w:sz w:val="20"/>
          <w:szCs w:val="20"/>
          <w:color w:val="auto"/>
        </w:rPr>
      </w:pPr>
      <w:r>
        <w:rPr>
          <w:rFonts w:ascii="Times New Roman" w:cs="Times New Roman" w:eastAsia="Times New Roman" w:hAnsi="Times New Roman"/>
          <w:sz w:val="16"/>
          <w:szCs w:val="16"/>
          <w:color w:val="auto"/>
        </w:rPr>
        <w:t>14 December 2022 on ensuring a global minimum level of taxation for multinational enterprise groups and large-scale domestic groups in the European Union) which may be relevant for a particular holder.</w:t>
      </w:r>
    </w:p>
    <w:p>
      <w:pPr>
        <w:spacing w:after="0" w:line="3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Withholding Tax</w:t>
      </w:r>
    </w:p>
    <w:p>
      <w:pPr>
        <w:spacing w:after="0" w:line="106" w:lineRule="exact"/>
        <w:rPr>
          <w:sz w:val="20"/>
          <w:szCs w:val="20"/>
          <w:color w:val="auto"/>
        </w:rPr>
      </w:pPr>
    </w:p>
    <w:p>
      <w:pPr>
        <w:ind w:left="760" w:right="819" w:firstLine="320"/>
        <w:spacing w:after="0" w:line="257" w:lineRule="auto"/>
        <w:rPr>
          <w:sz w:val="20"/>
          <w:szCs w:val="20"/>
          <w:color w:val="auto"/>
        </w:rPr>
      </w:pPr>
      <w:r>
        <w:rPr>
          <w:rFonts w:ascii="Times New Roman" w:cs="Times New Roman" w:eastAsia="Times New Roman" w:hAnsi="Times New Roman"/>
          <w:sz w:val="16"/>
          <w:szCs w:val="16"/>
          <w:color w:val="auto"/>
        </w:rPr>
        <w:t>All payments of principal or interest made by or on behalf of a Dutch Guarantor under the notes may be made free of withholding or deduction of, for or on account of any taxes of whatever nature imposed, levied, withheld or assessed by the Netherlands or any political subdivision or taxing authority thereof or therein, except that Dutch withholding tax at a rate of 25.8% (rate for 2026) may apply with respect to payments of interest made or deemed to be made by or on behalf of a Dutch Guarantor, if the interest payments are made or deemed to be made to a Related Entity (as defined below), if such Related Entity:</w:t>
      </w:r>
    </w:p>
    <w:p>
      <w:pPr>
        <w:spacing w:after="0" w:line="65" w:lineRule="exact"/>
        <w:rPr>
          <w:sz w:val="20"/>
          <w:szCs w:val="20"/>
          <w:color w:val="auto"/>
        </w:rPr>
      </w:pPr>
    </w:p>
    <w:p>
      <w:pPr>
        <w:ind w:left="1380" w:right="1459" w:hanging="304"/>
        <w:spacing w:after="0" w:line="262" w:lineRule="auto"/>
        <w:tabs>
          <w:tab w:leader="none" w:pos="1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considered to be resident (</w:t>
      </w:r>
      <w:r>
        <w:rPr>
          <w:rFonts w:ascii="Times New Roman" w:cs="Times New Roman" w:eastAsia="Times New Roman" w:hAnsi="Times New Roman"/>
          <w:sz w:val="16"/>
          <w:szCs w:val="16"/>
          <w:i w:val="1"/>
          <w:iCs w:val="1"/>
          <w:color w:val="auto"/>
        </w:rPr>
        <w:t>gevestigd</w:t>
      </w:r>
      <w:r>
        <w:rPr>
          <w:rFonts w:ascii="Times New Roman" w:cs="Times New Roman" w:eastAsia="Times New Roman" w:hAnsi="Times New Roman"/>
          <w:sz w:val="16"/>
          <w:szCs w:val="16"/>
          <w:color w:val="auto"/>
        </w:rPr>
        <w:t>) in a jurisdiction that is listed in the yearly updated Dutch Regulation on low-taxing states and non-cooperative jurisdictions for tax purposes (</w:t>
      </w:r>
      <w:r>
        <w:rPr>
          <w:rFonts w:ascii="Times New Roman" w:cs="Times New Roman" w:eastAsia="Times New Roman" w:hAnsi="Times New Roman"/>
          <w:sz w:val="16"/>
          <w:szCs w:val="16"/>
          <w:i w:val="1"/>
          <w:iCs w:val="1"/>
          <w:color w:val="auto"/>
        </w:rPr>
        <w:t>Regeling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laagbelastende staten en niet-coöperatieve rechtsgebieden voor belastingdoeleinden</w:t>
      </w:r>
      <w:r>
        <w:rPr>
          <w:rFonts w:ascii="Times New Roman" w:cs="Times New Roman" w:eastAsia="Times New Roman" w:hAnsi="Times New Roman"/>
          <w:sz w:val="16"/>
          <w:szCs w:val="16"/>
          <w:color w:val="auto"/>
        </w:rPr>
        <w:t>) (a “Listed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Jurisdiction”); or</w:t>
      </w:r>
    </w:p>
    <w:p>
      <w:pPr>
        <w:spacing w:after="0" w:line="63" w:lineRule="exact"/>
        <w:rPr>
          <w:rFonts w:ascii="Times New Roman" w:cs="Times New Roman" w:eastAsia="Times New Roman" w:hAnsi="Times New Roman"/>
          <w:sz w:val="16"/>
          <w:szCs w:val="16"/>
          <w:color w:val="auto"/>
        </w:rPr>
      </w:pPr>
    </w:p>
    <w:p>
      <w:pPr>
        <w:ind w:left="1380" w:right="1579" w:hanging="304"/>
        <w:spacing w:after="0" w:line="282" w:lineRule="auto"/>
        <w:tabs>
          <w:tab w:leader="none" w:pos="1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a permanent establishment located in a Listed Jurisdiction to which the interest payment is attributable; or</w:t>
      </w:r>
    </w:p>
    <w:p>
      <w:pPr>
        <w:spacing w:after="0" w:line="48" w:lineRule="exact"/>
        <w:rPr>
          <w:rFonts w:ascii="Times New Roman" w:cs="Times New Roman" w:eastAsia="Times New Roman" w:hAnsi="Times New Roman"/>
          <w:sz w:val="16"/>
          <w:szCs w:val="16"/>
          <w:color w:val="auto"/>
        </w:rPr>
      </w:pPr>
    </w:p>
    <w:p>
      <w:pPr>
        <w:ind w:left="1380" w:right="879" w:hanging="304"/>
        <w:spacing w:after="0" w:line="266" w:lineRule="auto"/>
        <w:tabs>
          <w:tab w:leader="none" w:pos="1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entitled to the interest payment with the main purpose or one of the main purposes of avoiding taxation for another person or entity and there is an artificial arrangement or transaction or a series of artificial arrangements or transactions; or</w:t>
      </w:r>
    </w:p>
    <w:p>
      <w:pPr>
        <w:spacing w:after="0" w:line="60" w:lineRule="exact"/>
        <w:rPr>
          <w:rFonts w:ascii="Times New Roman" w:cs="Times New Roman" w:eastAsia="Times New Roman" w:hAnsi="Times New Roman"/>
          <w:sz w:val="16"/>
          <w:szCs w:val="16"/>
          <w:color w:val="auto"/>
        </w:rPr>
      </w:pPr>
    </w:p>
    <w:p>
      <w:pPr>
        <w:ind w:left="1380" w:right="839" w:hanging="304"/>
        <w:spacing w:after="0" w:line="282" w:lineRule="auto"/>
        <w:tabs>
          <w:tab w:leader="none" w:pos="1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considered to be the recipient of the interest in its jurisdiction of residence because such jurisdiction treats another entity as the recipient of the interest (a hybrid mismatch); or</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resident in any jurisdiction (also a hybrid mismatch); or</w:t>
      </w:r>
    </w:p>
    <w:p>
      <w:pPr>
        <w:spacing w:after="0" w:line="102" w:lineRule="exact"/>
        <w:rPr>
          <w:rFonts w:ascii="Times New Roman" w:cs="Times New Roman" w:eastAsia="Times New Roman" w:hAnsi="Times New Roman"/>
          <w:sz w:val="16"/>
          <w:szCs w:val="16"/>
          <w:color w:val="auto"/>
        </w:rPr>
      </w:pPr>
    </w:p>
    <w:p>
      <w:pPr>
        <w:ind w:left="1380" w:right="779" w:hanging="304"/>
        <w:spacing w:after="0" w:line="280" w:lineRule="auto"/>
        <w:tabs>
          <w:tab w:leader="none" w:pos="138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is a reverse hybrid (within the meaning of Article 2(11) of the Dutch Corporate Income Tax Act; </w:t>
      </w:r>
      <w:r>
        <w:rPr>
          <w:rFonts w:ascii="Times New Roman" w:cs="Times New Roman" w:eastAsia="Times New Roman" w:hAnsi="Times New Roman"/>
          <w:sz w:val="15"/>
          <w:szCs w:val="15"/>
          <w:i w:val="1"/>
          <w:iCs w:val="1"/>
          <w:color w:val="auto"/>
        </w:rPr>
        <w:t>Wet op de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vennootschapsbelasting 1969</w:t>
      </w:r>
      <w:r>
        <w:rPr>
          <w:rFonts w:ascii="Times New Roman" w:cs="Times New Roman" w:eastAsia="Times New Roman" w:hAnsi="Times New Roman"/>
          <w:sz w:val="15"/>
          <w:szCs w:val="15"/>
          <w:color w:val="auto"/>
        </w:rPr>
        <w:t>), if and to the extent (x) there is a participant in the reverse hybrid holding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Qualifying Interest in the reverse hybrid, (y) the jurisdiction of residence of such participant treats the reverse hybrid as transparent for tax purposes and (z) such participant would have been subject to Dutch withholding tax in respect of the payments of interest without the interposition of the reverse hybrid,</w:t>
      </w:r>
    </w:p>
    <w:p>
      <w:pPr>
        <w:spacing w:after="0" w:line="7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all within the meaning of the Dutch Withholding Tax Act 2021 (</w:t>
      </w:r>
      <w:r>
        <w:rPr>
          <w:rFonts w:ascii="Times New Roman" w:cs="Times New Roman" w:eastAsia="Times New Roman" w:hAnsi="Times New Roman"/>
          <w:sz w:val="16"/>
          <w:szCs w:val="16"/>
          <w:i w:val="1"/>
          <w:iCs w:val="1"/>
          <w:color w:val="auto"/>
        </w:rPr>
        <w:t>Wet bronbelasting 2021</w:t>
      </w:r>
      <w:r>
        <w:rPr>
          <w:rFonts w:ascii="Times New Roman" w:cs="Times New Roman" w:eastAsia="Times New Roman" w:hAnsi="Times New Roman"/>
          <w:sz w:val="16"/>
          <w:szCs w:val="16"/>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7" w:name="page58"/>
    <w:bookmarkEnd w:id="57"/>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For purposes of this section:</w:t>
      </w:r>
    </w:p>
    <w:p>
      <w:pPr>
        <w:spacing w:after="0" w:line="104" w:lineRule="exact"/>
        <w:rPr>
          <w:sz w:val="20"/>
          <w:szCs w:val="20"/>
          <w:color w:val="auto"/>
        </w:rPr>
      </w:pPr>
    </w:p>
    <w:p>
      <w:pPr>
        <w:ind w:left="1380" w:right="979" w:hanging="304"/>
        <w:spacing w:after="0" w:line="266" w:lineRule="auto"/>
        <w:tabs>
          <w:tab w:leader="none" w:pos="1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Entity” means an entity (i) that has a Qualifying Interest in a Dutch Guarantor, (ii) in which a Dutch Guarantor has a Qualifying Interest or (iii) in which a third party has a Qualifying Interest if such third party also has a Qualifying Interest in a Dutch Guarantor.</w:t>
      </w:r>
    </w:p>
    <w:p>
      <w:pPr>
        <w:spacing w:after="0" w:line="60" w:lineRule="exact"/>
        <w:rPr>
          <w:rFonts w:ascii="Times New Roman" w:cs="Times New Roman" w:eastAsia="Times New Roman" w:hAnsi="Times New Roman"/>
          <w:sz w:val="16"/>
          <w:szCs w:val="16"/>
          <w:color w:val="auto"/>
        </w:rPr>
      </w:pPr>
    </w:p>
    <w:p>
      <w:pPr>
        <w:ind w:left="1380" w:right="779" w:hanging="304"/>
        <w:spacing w:after="0" w:line="258" w:lineRule="auto"/>
        <w:tabs>
          <w:tab w:leader="none" w:pos="1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“Qualifying Interest” means a direct or indirectly held interest – either by an entity individually or, if an entity is part of a Qualifying Unity, jointly – 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Times New Roman" w:cs="Times New Roman" w:eastAsia="Times New Roman" w:hAnsi="Times New Roman"/>
          <w:sz w:val="16"/>
          <w:szCs w:val="16"/>
          <w:i w:val="1"/>
          <w:iCs w:val="1"/>
          <w:color w:val="auto"/>
        </w:rPr>
        <w:t>vrijheid van vestiging</w:t>
      </w:r>
      <w:r>
        <w:rPr>
          <w:rFonts w:ascii="Times New Roman" w:cs="Times New Roman" w:eastAsia="Times New Roman" w:hAnsi="Times New Roman"/>
          <w:sz w:val="16"/>
          <w:szCs w:val="16"/>
          <w:color w:val="auto"/>
        </w:rPr>
        <w:t>)).</w:t>
      </w:r>
    </w:p>
    <w:p>
      <w:pPr>
        <w:spacing w:after="0" w:line="68" w:lineRule="exact"/>
        <w:rPr>
          <w:rFonts w:ascii="Times New Roman" w:cs="Times New Roman" w:eastAsia="Times New Roman" w:hAnsi="Times New Roman"/>
          <w:sz w:val="16"/>
          <w:szCs w:val="16"/>
          <w:color w:val="auto"/>
        </w:rPr>
      </w:pPr>
    </w:p>
    <w:p>
      <w:pPr>
        <w:jc w:val="both"/>
        <w:ind w:left="1380" w:right="919" w:hanging="304"/>
        <w:spacing w:after="0" w:line="282" w:lineRule="auto"/>
        <w:tabs>
          <w:tab w:leader="none" w:pos="1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“Qualifying Unity” means entities acting together with the main purpose or one of the main purposes of avoiding Dutch conditional withholding tax at the level of any of those entities (</w:t>
      </w:r>
      <w:r>
        <w:rPr>
          <w:rFonts w:ascii="Times New Roman" w:cs="Times New Roman" w:eastAsia="Times New Roman" w:hAnsi="Times New Roman"/>
          <w:sz w:val="16"/>
          <w:szCs w:val="16"/>
          <w:i w:val="1"/>
          <w:iCs w:val="1"/>
          <w:color w:val="auto"/>
        </w:rPr>
        <w:t>kwalificerende eenheid</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8" w:name="page59"/>
    <w:bookmarkEnd w:id="58"/>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CERTAIN ERISA CONSIDERATIONS</w:t>
      </w:r>
    </w:p>
    <w:p>
      <w:pPr>
        <w:spacing w:after="0" w:line="106" w:lineRule="exact"/>
        <w:rPr>
          <w:sz w:val="20"/>
          <w:szCs w:val="20"/>
          <w:color w:val="auto"/>
        </w:rPr>
      </w:pPr>
    </w:p>
    <w:p>
      <w:pPr>
        <w:ind w:left="760" w:right="879" w:firstLine="320"/>
        <w:spacing w:after="0" w:line="256" w:lineRule="auto"/>
        <w:rPr>
          <w:sz w:val="20"/>
          <w:szCs w:val="20"/>
          <w:color w:val="auto"/>
        </w:rPr>
      </w:pPr>
      <w:r>
        <w:rPr>
          <w:rFonts w:ascii="Times New Roman" w:cs="Times New Roman" w:eastAsia="Times New Roman" w:hAnsi="Times New Roman"/>
          <w:sz w:val="16"/>
          <w:szCs w:val="16"/>
          <w:color w:val="auto"/>
        </w:rPr>
        <w:t>The following is a summary of certain considerations associated with the purchase and holding of the notes, including any interest therein, by (i) employee benefit plans that are subject to Title I of the U.S. Employee Retirement Income Security Act of 1974, as amended (“ERISA”), (ii) plans, individual retirement accounts and other arrangements that are subject to Section 4975 of the Code or provisions under any U.S. or non-U.S. federal, state, local or other laws or regulations that are similar to such provisions of ERISA or the Code (collectively, “Similar Laws”), and (iii) entities whose underlying assets are considered to include “plan assets” of any such plan, account or arrangement (each as described in clauses (i), (ii), and (iii) referred to herein, a “Plan”).</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General fiduciary matters</w:t>
      </w:r>
    </w:p>
    <w:p>
      <w:pPr>
        <w:spacing w:after="0" w:line="106" w:lineRule="exact"/>
        <w:rPr>
          <w:sz w:val="20"/>
          <w:szCs w:val="20"/>
          <w:color w:val="auto"/>
        </w:rPr>
      </w:pPr>
    </w:p>
    <w:p>
      <w:pPr>
        <w:ind w:left="760" w:right="819" w:firstLine="320"/>
        <w:spacing w:after="0" w:line="254" w:lineRule="auto"/>
        <w:rPr>
          <w:sz w:val="20"/>
          <w:szCs w:val="20"/>
          <w:color w:val="auto"/>
        </w:rPr>
      </w:pPr>
      <w:r>
        <w:rPr>
          <w:rFonts w:ascii="Times New Roman" w:cs="Times New Roman" w:eastAsia="Times New Roman" w:hAnsi="Times New Roman"/>
          <w:sz w:val="16"/>
          <w:szCs w:val="16"/>
          <w:color w:val="auto"/>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such a Covered Plan or the management or disposition of the assets of such a Covered Plan, or who renders investment advice for a fee or other compensation to such a Covered Plan, is generally considered to be a fiduciary of the Covered Plan. It is not intended that any of the Issuer, the underwriters, or their respective affiliates (the “Transaction Parties”) will act in a fiduciary capacity with respect to any Covered Plan in connection with its investment in a note, or any interest therein, offered pursuant to this prospectus supplement.</w:t>
      </w:r>
    </w:p>
    <w:p>
      <w:pPr>
        <w:spacing w:after="0" w:line="73" w:lineRule="exact"/>
        <w:rPr>
          <w:sz w:val="20"/>
          <w:szCs w:val="20"/>
          <w:color w:val="auto"/>
        </w:rPr>
      </w:pPr>
    </w:p>
    <w:p>
      <w:pPr>
        <w:ind w:left="760" w:right="779" w:firstLine="320"/>
        <w:spacing w:after="0" w:line="255" w:lineRule="auto"/>
        <w:rPr>
          <w:sz w:val="20"/>
          <w:szCs w:val="20"/>
          <w:color w:val="auto"/>
        </w:rPr>
      </w:pPr>
      <w:r>
        <w:rPr>
          <w:rFonts w:ascii="Times New Roman" w:cs="Times New Roman" w:eastAsia="Times New Roman" w:hAnsi="Times New Roman"/>
          <w:sz w:val="16"/>
          <w:szCs w:val="16"/>
          <w:color w:val="auto"/>
        </w:rPr>
        <w:t>In considering an investment in the notes, or any interest therein, with a portion of the assets of any Plan, a fiduciary should determine whether the investment is in accordance with the documents and instruments governing the Plan and the applicable provisions of ERISA, the Code and any Similar Law relating to a fiduciary’s duties to the Plan including, without limitation, the prudence, diversification, delegation of control, conflicts of interest and prohibited transaction provisions of ERISA, the Code and any other applicable Similar Laws. A fiduciary of a Plan should consider the Plan’s particular circumstances and all of the facts and circumstances of the investment, including, but not limited to, the matters discussed above under “Risk Factors,” in determining whether an investment in the notes, or any interest therein, satisfies these requirements.</w:t>
      </w:r>
    </w:p>
    <w:p>
      <w:pPr>
        <w:spacing w:after="0" w:line="2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Prohibited transaction issues</w:t>
      </w:r>
    </w:p>
    <w:p>
      <w:pPr>
        <w:spacing w:after="0" w:line="106" w:lineRule="exact"/>
        <w:rPr>
          <w:sz w:val="20"/>
          <w:szCs w:val="20"/>
          <w:color w:val="auto"/>
        </w:rPr>
      </w:pPr>
    </w:p>
    <w:p>
      <w:pPr>
        <w:ind w:left="760" w:right="819" w:firstLine="320"/>
        <w:spacing w:after="0" w:line="256" w:lineRule="auto"/>
        <w:rPr>
          <w:sz w:val="20"/>
          <w:szCs w:val="20"/>
          <w:color w:val="auto"/>
        </w:rPr>
      </w:pPr>
      <w:r>
        <w:rPr>
          <w:rFonts w:ascii="Times New Roman" w:cs="Times New Roman" w:eastAsia="Times New Roman" w:hAnsi="Times New Roman"/>
          <w:sz w:val="16"/>
          <w:szCs w:val="16"/>
          <w:color w:val="auto"/>
        </w:rPr>
        <w:t>Section 406 of ERISA and Section 4975 of the Code prohibit Covered Plans from engaging in specified transactions involving plan assets with persons or entities who are “parties in interest”, within the meaning of Section 3(14)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Covered Plan that engages in such a non-exempt prohibited transaction may be subject to penalties and liabilities under ERISA and the Code.</w:t>
      </w:r>
    </w:p>
    <w:p>
      <w:pPr>
        <w:spacing w:after="0" w:line="68" w:lineRule="exact"/>
        <w:rPr>
          <w:sz w:val="20"/>
          <w:szCs w:val="20"/>
          <w:color w:val="auto"/>
        </w:rPr>
      </w:pPr>
    </w:p>
    <w:p>
      <w:pPr>
        <w:ind w:left="760" w:right="779" w:firstLine="320"/>
        <w:spacing w:after="0" w:line="252" w:lineRule="auto"/>
        <w:rPr>
          <w:sz w:val="20"/>
          <w:szCs w:val="20"/>
          <w:color w:val="auto"/>
        </w:rPr>
      </w:pPr>
      <w:r>
        <w:rPr>
          <w:rFonts w:ascii="Times New Roman" w:cs="Times New Roman" w:eastAsia="Times New Roman" w:hAnsi="Times New Roman"/>
          <w:sz w:val="16"/>
          <w:szCs w:val="16"/>
          <w:color w:val="auto"/>
        </w:rPr>
        <w:t>For example, the acquisition and/or holding of the notes, or any interest therein, by a Covered Plan with respect to which a Transaction Party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or “PTCEs”, that may apply to the acquisition and holding of the notes, or any interest therein. These class exemptions include, without limitation, PTCE 84-14 covering transactions determined by independent qualified professional asset managers, PTCE 90-1 covering insurance company pooled separate accounts, PTCE 91-38 covering bank collective investment funds, PTCE 95-60 covering insurance company general accounts and PTCE 96-23 covering transactions determined by in-house asset managers. In addition, Section 408(b)(17) of ERISA and Section 4975(d)(20) of the Code provide relief from the prohibited transaction provisions of ERISA and</w:t>
      </w:r>
    </w:p>
    <w:p>
      <w:pPr>
        <w:spacing w:after="0" w:line="6" w:lineRule="exact"/>
        <w:rPr>
          <w:sz w:val="20"/>
          <w:szCs w:val="20"/>
          <w:color w:val="auto"/>
        </w:rPr>
      </w:pPr>
    </w:p>
    <w:p>
      <w:pPr>
        <w:ind w:left="760" w:right="859"/>
        <w:spacing w:after="0" w:line="253" w:lineRule="auto"/>
        <w:rPr>
          <w:sz w:val="20"/>
          <w:szCs w:val="20"/>
          <w:color w:val="auto"/>
        </w:rPr>
      </w:pPr>
      <w:r>
        <w:rPr>
          <w:rFonts w:ascii="Times New Roman" w:cs="Times New Roman" w:eastAsia="Times New Roman" w:hAnsi="Times New Roman"/>
          <w:sz w:val="16"/>
          <w:szCs w:val="16"/>
          <w:color w:val="auto"/>
        </w:rPr>
        <w:t>Section 4975 of the Code for certain transactions between a Covered Plan and a person that is a party in interest or disqualified person with respect to the Covered Plan solely by reason of providing services to the Covered Plan or having a relationship with such a service provider, provided that neither the person transacting with the Covered Plan nor any of its affiliates has or exercises any discretionary authority or control or renders any investment advice with respect to the assets of the Covered Plan involved in the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59" w:name="page60"/>
    <w:bookmarkEnd w:id="59"/>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839"/>
        <w:spacing w:after="0" w:line="258" w:lineRule="auto"/>
        <w:rPr>
          <w:sz w:val="20"/>
          <w:szCs w:val="20"/>
          <w:color w:val="auto"/>
        </w:rPr>
      </w:pPr>
      <w:r>
        <w:rPr>
          <w:rFonts w:ascii="Times New Roman" w:cs="Times New Roman" w:eastAsia="Times New Roman" w:hAnsi="Times New Roman"/>
          <w:sz w:val="16"/>
          <w:szCs w:val="16"/>
          <w:color w:val="auto"/>
        </w:rPr>
        <w:t>transaction and provided further that the Covered Plan pays no more than, and receives no less than, adequate consideration in connection with the transaction. There can be no assurance that any of the foregoing exemptions or any other exemption will be available with respect to all possible prohibited transactions that may arise in connection with the acquisition and holding of the notes, or any interest therein, or that all of the conditions of any such exemption will be satisfied.</w:t>
      </w:r>
    </w:p>
    <w:p>
      <w:pPr>
        <w:spacing w:after="0" w:line="68" w:lineRule="exact"/>
        <w:rPr>
          <w:sz w:val="20"/>
          <w:szCs w:val="20"/>
          <w:color w:val="auto"/>
        </w:rPr>
      </w:pPr>
    </w:p>
    <w:p>
      <w:pPr>
        <w:ind w:left="760" w:right="979" w:firstLine="320"/>
        <w:spacing w:after="0" w:line="261" w:lineRule="auto"/>
        <w:rPr>
          <w:sz w:val="20"/>
          <w:szCs w:val="20"/>
          <w:color w:val="auto"/>
        </w:rPr>
      </w:pPr>
      <w:r>
        <w:rPr>
          <w:rFonts w:ascii="Times New Roman" w:cs="Times New Roman" w:eastAsia="Times New Roman" w:hAnsi="Times New Roman"/>
          <w:sz w:val="16"/>
          <w:szCs w:val="16"/>
          <w:color w:val="auto"/>
        </w:rPr>
        <w:t>Plans that are “governmental plans” (as defined in Section 3(32) of ERISA and Section 414(d) of the Code), certain “church plans” (as defined in Section 3(33) of ERISA and Section 414(e) of the Code) and non-U.S. plans (as described in Section 4(b)(4) of ERISA) are not subject to the requirements of ERISA or Section 4975 of the Code but may be subject to similar provisions under other applicable Similar Laws.</w:t>
      </w:r>
    </w:p>
    <w:p>
      <w:pPr>
        <w:spacing w:after="0" w:line="65" w:lineRule="exact"/>
        <w:rPr>
          <w:sz w:val="20"/>
          <w:szCs w:val="20"/>
          <w:color w:val="auto"/>
        </w:rPr>
      </w:pPr>
    </w:p>
    <w:p>
      <w:pPr>
        <w:jc w:val="both"/>
        <w:ind w:left="760" w:right="1099" w:firstLine="320"/>
        <w:spacing w:after="0" w:line="266" w:lineRule="auto"/>
        <w:rPr>
          <w:sz w:val="20"/>
          <w:szCs w:val="20"/>
          <w:color w:val="auto"/>
        </w:rPr>
      </w:pPr>
      <w:r>
        <w:rPr>
          <w:rFonts w:ascii="Times New Roman" w:cs="Times New Roman" w:eastAsia="Times New Roman" w:hAnsi="Times New Roman"/>
          <w:sz w:val="16"/>
          <w:szCs w:val="16"/>
          <w:color w:val="auto"/>
        </w:rPr>
        <w:t>Because of the foregoing, the notes, or any interest therein, should not be purchased or held by any person investing plan assets of any Plan, unless such purchase and holding will not constitute or result in a non-exempt prohibited transaction under ERISA or the Code or a similar violation of any applicable Similar Laws.</w:t>
      </w:r>
    </w:p>
    <w:p>
      <w:pPr>
        <w:spacing w:after="0" w:line="2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Representation</w:t>
      </w:r>
    </w:p>
    <w:p>
      <w:pPr>
        <w:spacing w:after="0" w:line="106" w:lineRule="exact"/>
        <w:rPr>
          <w:sz w:val="20"/>
          <w:szCs w:val="20"/>
          <w:color w:val="auto"/>
        </w:rPr>
      </w:pPr>
    </w:p>
    <w:p>
      <w:pPr>
        <w:ind w:left="760" w:right="779" w:firstLine="320"/>
        <w:spacing w:after="0" w:line="257" w:lineRule="auto"/>
        <w:rPr>
          <w:sz w:val="20"/>
          <w:szCs w:val="20"/>
          <w:color w:val="auto"/>
        </w:rPr>
      </w:pPr>
      <w:r>
        <w:rPr>
          <w:rFonts w:ascii="Times New Roman" w:cs="Times New Roman" w:eastAsia="Times New Roman" w:hAnsi="Times New Roman"/>
          <w:sz w:val="16"/>
          <w:szCs w:val="16"/>
          <w:color w:val="auto"/>
        </w:rPr>
        <w:t>By acceptance of a note, or any interest therein, each purchaser and subsequent transferee of the note, or any interest therein, will be deemed to have represented and warranted that either (i) no portion of the assets used by such purchaser or transferee to invest in the note, or any interest therein, constitutes plan assets of any Plan or (ii) the investment in the note, or any interest therein, by such purchaser or transferee will not constitute or result in a non-exempt prohibited transaction under Section 406 of ERISA or Section 4975 of the Code or a similar violation under any applicable Similar Laws.</w:t>
      </w:r>
    </w:p>
    <w:p>
      <w:pPr>
        <w:spacing w:after="0" w:line="67" w:lineRule="exact"/>
        <w:rPr>
          <w:sz w:val="20"/>
          <w:szCs w:val="20"/>
          <w:color w:val="auto"/>
        </w:rPr>
      </w:pPr>
    </w:p>
    <w:p>
      <w:pPr>
        <w:ind w:left="760" w:right="819" w:firstLine="320"/>
        <w:spacing w:after="0" w:line="257" w:lineRule="auto"/>
        <w:rPr>
          <w:sz w:val="20"/>
          <w:szCs w:val="20"/>
          <w:color w:val="auto"/>
        </w:rPr>
      </w:pPr>
      <w:r>
        <w:rPr>
          <w:rFonts w:ascii="Times New Roman" w:cs="Times New Roman" w:eastAsia="Times New Roman" w:hAnsi="Times New Roman"/>
          <w:sz w:val="16"/>
          <w:szCs w:val="16"/>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the notes, or any interest therein, on behalf of, or with the assets of, any Plan, consult with their counsel regarding the potential applicability of ERISA, Section 4975 of the Code and any Similar Laws to such investment and whether an exemption would be applicable to the purchase and holding of the notes, or any interest therein.</w:t>
      </w:r>
    </w:p>
    <w:p>
      <w:pPr>
        <w:spacing w:after="0" w:line="67" w:lineRule="exact"/>
        <w:rPr>
          <w:sz w:val="20"/>
          <w:szCs w:val="20"/>
          <w:color w:val="auto"/>
        </w:rPr>
      </w:pPr>
    </w:p>
    <w:p>
      <w:pPr>
        <w:ind w:left="760" w:right="819" w:firstLine="320"/>
        <w:spacing w:after="0" w:line="261" w:lineRule="auto"/>
        <w:rPr>
          <w:sz w:val="20"/>
          <w:szCs w:val="20"/>
          <w:color w:val="auto"/>
        </w:rPr>
      </w:pPr>
      <w:r>
        <w:rPr>
          <w:rFonts w:ascii="Times New Roman" w:cs="Times New Roman" w:eastAsia="Times New Roman" w:hAnsi="Times New Roman"/>
          <w:sz w:val="16"/>
          <w:szCs w:val="16"/>
          <w:color w:val="auto"/>
        </w:rPr>
        <w:t>The sale of notes, or any interest therein, to a Plan is in no respect a representation or recommendation by any Transaction Party that such an investment meets all relevant legal requirements with respect to investments by Plans generally or any particular Plan or that such an investment is appropriate or advisable for Plans generally or any particular Plan.</w:t>
      </w:r>
    </w:p>
    <w:p>
      <w:pPr>
        <w:spacing w:after="0" w:line="65" w:lineRule="exact"/>
        <w:rPr>
          <w:sz w:val="20"/>
          <w:szCs w:val="20"/>
          <w:color w:val="auto"/>
        </w:rPr>
      </w:pPr>
    </w:p>
    <w:p>
      <w:pPr>
        <w:ind w:left="760" w:right="919" w:firstLine="320"/>
        <w:spacing w:after="0" w:line="261" w:lineRule="auto"/>
        <w:rPr>
          <w:sz w:val="20"/>
          <w:szCs w:val="20"/>
          <w:color w:val="auto"/>
        </w:rPr>
      </w:pPr>
      <w:r>
        <w:rPr>
          <w:rFonts w:ascii="Times New Roman" w:cs="Times New Roman" w:eastAsia="Times New Roman" w:hAnsi="Times New Roman"/>
          <w:sz w:val="16"/>
          <w:szCs w:val="16"/>
          <w:color w:val="auto"/>
        </w:rPr>
        <w:t>Purchasers of the notes, or any interest therein, have the exclusive responsibility for ensuring, to the extent applicable, that their purchase and holding of the notes, or any interest therein, complies with the relevant legal requirements, including the fiduciary responsibility rules of ERISA and any applicable Similar Laws, and does not violate the prohibited transaction rules of ERISA, the Code or any applicable Similar Laws.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60" w:name="page61"/>
    <w:bookmarkEnd w:id="60"/>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UNDERWRITING</w:t>
      </w:r>
    </w:p>
    <w:p>
      <w:pPr>
        <w:spacing w:after="0" w:line="106" w:lineRule="exact"/>
        <w:rPr>
          <w:sz w:val="20"/>
          <w:szCs w:val="20"/>
          <w:color w:val="auto"/>
        </w:rPr>
      </w:pPr>
    </w:p>
    <w:p>
      <w:pPr>
        <w:ind w:left="760" w:right="899" w:firstLine="320"/>
        <w:spacing w:after="0" w:line="258" w:lineRule="auto"/>
        <w:rPr>
          <w:sz w:val="20"/>
          <w:szCs w:val="20"/>
          <w:color w:val="auto"/>
        </w:rPr>
      </w:pPr>
      <w:r>
        <w:rPr>
          <w:rFonts w:ascii="Times New Roman" w:cs="Times New Roman" w:eastAsia="Times New Roman" w:hAnsi="Times New Roman"/>
          <w:sz w:val="16"/>
          <w:szCs w:val="16"/>
          <w:color w:val="auto"/>
        </w:rPr>
        <w:t>BNP PARIBAS, Citigroup Global Markets Limited and Goldman Sachs &amp; Co. LLC are acting as representatives of the underwriters named below. Subject to the terms and conditions stated in the underwriting agreement among the Issuer, the Initial Guarantors and the representatives, we have agreed to sell to each underwriter, and each underwriter has severally and not jointly agreed to purchase from us, the principal amount of notes that appears opposite its name in the table below:</w:t>
      </w:r>
    </w:p>
    <w:p>
      <w:pPr>
        <w:spacing w:after="0" w:line="178"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6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0" w:type="dxa"/>
            <w:vAlign w:val="bottom"/>
          </w:tcPr>
          <w:p>
            <w:pPr>
              <w:spacing w:after="0"/>
              <w:rPr>
                <w:sz w:val="1"/>
                <w:szCs w:val="1"/>
                <w:color w:val="auto"/>
              </w:rPr>
            </w:pPr>
          </w:p>
        </w:tc>
      </w:tr>
      <w:tr>
        <w:trPr>
          <w:trHeight w:val="168"/>
        </w:trPr>
        <w:tc>
          <w:tcPr>
            <w:tcW w:w="61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of Notes</w:t>
            </w:r>
          </w:p>
        </w:tc>
        <w:tc>
          <w:tcPr>
            <w:tcW w:w="0" w:type="dxa"/>
            <w:vAlign w:val="bottom"/>
          </w:tcPr>
          <w:p>
            <w:pPr>
              <w:spacing w:after="0"/>
              <w:rPr>
                <w:sz w:val="1"/>
                <w:szCs w:val="1"/>
                <w:color w:val="auto"/>
              </w:rPr>
            </w:pPr>
          </w:p>
        </w:tc>
      </w:tr>
      <w:tr>
        <w:trPr>
          <w:trHeight w:val="22"/>
        </w:trPr>
        <w:tc>
          <w:tcPr>
            <w:tcW w:w="6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BNP PARIBAS</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€​112,450,000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Citigroup Global Markets Limited</w:t>
            </w:r>
          </w:p>
        </w:tc>
        <w:tc>
          <w:tcPr>
            <w:tcW w:w="34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€112,450,000</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Goldman Sachs &amp; Co. LLC</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€112,450,000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Barclays Bank PLC</w:t>
            </w:r>
          </w:p>
        </w:tc>
        <w:tc>
          <w:tcPr>
            <w:tcW w:w="34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65,000,000</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Deutsche Bank AG, London Branch</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65,000,000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DNB Carnegie, a part of DNB Bank ASA</w:t>
            </w:r>
          </w:p>
        </w:tc>
        <w:tc>
          <w:tcPr>
            <w:tcW w:w="34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65,000,000</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ING Bank N.V., Belgian Branch</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13,000,000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J.P. Morgan Securities plc</w:t>
            </w:r>
          </w:p>
        </w:tc>
        <w:tc>
          <w:tcPr>
            <w:tcW w:w="34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13,000,000</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Merrill Lynch International</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13,000,000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Mizuho International plc</w:t>
            </w:r>
          </w:p>
        </w:tc>
        <w:tc>
          <w:tcPr>
            <w:tcW w:w="34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13,000,000</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Morgan Stanley &amp; Co. International plc</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13,000,000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PNC Capital Markets LLC</w:t>
            </w:r>
          </w:p>
        </w:tc>
        <w:tc>
          <w:tcPr>
            <w:tcW w:w="34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13,000,000</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SMBC Bank International plc</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13,000,000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Scotiabank (Ireland) Designated Activity Company</w:t>
            </w:r>
          </w:p>
        </w:tc>
        <w:tc>
          <w:tcPr>
            <w:tcW w:w="34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6,500,000</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Société Générale</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6,500,000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Standard Chartered Bank</w:t>
            </w:r>
          </w:p>
        </w:tc>
        <w:tc>
          <w:tcPr>
            <w:tcW w:w="34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6,500,000</w:t>
            </w:r>
          </w:p>
        </w:tc>
        <w:tc>
          <w:tcPr>
            <w:tcW w:w="0" w:type="dxa"/>
            <w:vAlign w:val="bottom"/>
          </w:tcPr>
          <w:p>
            <w:pPr>
              <w:spacing w:after="0"/>
              <w:rPr>
                <w:sz w:val="1"/>
                <w:szCs w:val="1"/>
                <w:color w:val="auto"/>
              </w:rPr>
            </w:pPr>
          </w:p>
        </w:tc>
      </w:tr>
      <w:tr>
        <w:trPr>
          <w:trHeight w:val="22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Academy Securities, Inc.</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3,575,000</w:t>
            </w:r>
          </w:p>
        </w:tc>
        <w:tc>
          <w:tcPr>
            <w:tcW w:w="0" w:type="dxa"/>
            <w:vAlign w:val="bottom"/>
          </w:tcPr>
          <w:p>
            <w:pPr>
              <w:spacing w:after="0"/>
              <w:rPr>
                <w:sz w:val="1"/>
                <w:szCs w:val="1"/>
                <w:color w:val="auto"/>
              </w:rPr>
            </w:pPr>
          </w:p>
        </w:tc>
      </w:tr>
      <w:tr>
        <w:trPr>
          <w:trHeight w:val="222"/>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R. Seelaus &amp; Co., LLC</w:t>
            </w:r>
          </w:p>
        </w:tc>
        <w:tc>
          <w:tcPr>
            <w:tcW w:w="340" w:type="dxa"/>
            <w:vAlign w:val="bottom"/>
          </w:tcPr>
          <w:p>
            <w:pPr>
              <w:spacing w:after="0"/>
              <w:rPr>
                <w:sz w:val="19"/>
                <w:szCs w:val="19"/>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3,575,000</w:t>
            </w:r>
          </w:p>
        </w:tc>
        <w:tc>
          <w:tcPr>
            <w:tcW w:w="0" w:type="dxa"/>
            <w:vAlign w:val="bottom"/>
          </w:tcPr>
          <w:p>
            <w:pPr>
              <w:spacing w:after="0"/>
              <w:rPr>
                <w:sz w:val="1"/>
                <w:szCs w:val="1"/>
                <w:color w:val="auto"/>
              </w:rPr>
            </w:pPr>
          </w:p>
        </w:tc>
      </w:tr>
      <w:tr>
        <w:trPr>
          <w:trHeight w:val="262"/>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€650,000,000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60" w:right="859" w:firstLine="320"/>
        <w:spacing w:after="0" w:line="266" w:lineRule="auto"/>
        <w:rPr>
          <w:sz w:val="20"/>
          <w:szCs w:val="20"/>
          <w:color w:val="auto"/>
        </w:rPr>
      </w:pPr>
      <w:r>
        <w:rPr>
          <w:rFonts w:ascii="Times New Roman" w:cs="Times New Roman" w:eastAsia="Times New Roman" w:hAnsi="Times New Roman"/>
          <w:sz w:val="16"/>
          <w:szCs w:val="16"/>
          <w:color w:val="auto"/>
        </w:rPr>
        <w:t>The underwriting agreement provides that the obligations of the underwriters to purchase the notes included in this offering are subject to approval of legal matters by counsel and to other conditions. The underwriters have agreed to purchase all of the notes if any of them are purchased.</w:t>
      </w:r>
    </w:p>
    <w:p>
      <w:pPr>
        <w:spacing w:after="0" w:line="61" w:lineRule="exact"/>
        <w:rPr>
          <w:sz w:val="20"/>
          <w:szCs w:val="20"/>
          <w:color w:val="auto"/>
        </w:rPr>
      </w:pPr>
    </w:p>
    <w:p>
      <w:pPr>
        <w:ind w:left="760" w:right="759" w:firstLine="320"/>
        <w:spacing w:after="0" w:line="257" w:lineRule="auto"/>
        <w:rPr>
          <w:sz w:val="20"/>
          <w:szCs w:val="20"/>
          <w:color w:val="auto"/>
        </w:rPr>
      </w:pPr>
      <w:r>
        <w:rPr>
          <w:rFonts w:ascii="Times New Roman" w:cs="Times New Roman" w:eastAsia="Times New Roman" w:hAnsi="Times New Roman"/>
          <w:sz w:val="16"/>
          <w:szCs w:val="16"/>
          <w:color w:val="auto"/>
        </w:rPr>
        <w:t>The underwriters initially propose to offer the notes to the public at the public offering price that appears on the cover page of this prospectus supplement. The underwriters may offer the notes to certain dealers at prices that represent a concession not in excess of 0.250% of the principal amount of the notes. Any underwriter may allow, and any such dealer may reallow, a concession not in excess of 0.150% of the principal amount of the notes to certain other dealers. The underwriters may offer and sell notes through certain of their affiliates. The underwriters reserve the right to withdraw, cancel or modify offers to the public and to reject orders in whole or in part.</w:t>
      </w:r>
    </w:p>
    <w:p>
      <w:pPr>
        <w:spacing w:after="0" w:line="67" w:lineRule="exact"/>
        <w:rPr>
          <w:sz w:val="20"/>
          <w:szCs w:val="20"/>
          <w:color w:val="auto"/>
        </w:rPr>
      </w:pPr>
    </w:p>
    <w:p>
      <w:pPr>
        <w:ind w:left="760" w:right="1139" w:firstLine="320"/>
        <w:spacing w:after="0" w:line="282" w:lineRule="auto"/>
        <w:rPr>
          <w:sz w:val="20"/>
          <w:szCs w:val="20"/>
          <w:color w:val="auto"/>
        </w:rPr>
      </w:pPr>
      <w:r>
        <w:rPr>
          <w:rFonts w:ascii="Times New Roman" w:cs="Times New Roman" w:eastAsia="Times New Roman" w:hAnsi="Times New Roman"/>
          <w:sz w:val="16"/>
          <w:szCs w:val="16"/>
          <w:color w:val="auto"/>
        </w:rPr>
        <w:t>The following table shows the underwriting discount to be paid to the underwriters in connection with this offering (expressed as a percentage of the principal amount of the notes).</w:t>
      </w:r>
    </w:p>
    <w:p>
      <w:pPr>
        <w:spacing w:after="0" w:line="175" w:lineRule="exact"/>
        <w:rPr>
          <w:sz w:val="20"/>
          <w:szCs w:val="20"/>
          <w:color w:val="auto"/>
        </w:rPr>
      </w:pPr>
    </w:p>
    <w:tbl>
      <w:tblPr>
        <w:tblLayout w:type="fixed"/>
        <w:tblInd w:w="760" w:type="dxa"/>
        <w:tblCellMar>
          <w:top w:w="0" w:type="dxa"/>
          <w:left w:w="0" w:type="dxa"/>
          <w:bottom w:w="0" w:type="dxa"/>
          <w:right w:w="0" w:type="dxa"/>
        </w:tblCellMar>
      </w:tblPr>
      <w:tr>
        <w:trPr>
          <w:trHeight w:val="168"/>
        </w:trPr>
        <w:tc>
          <w:tcPr>
            <w:tcW w:w="3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Paid by us</w:t>
            </w:r>
          </w:p>
        </w:tc>
      </w:tr>
      <w:tr>
        <w:trPr>
          <w:trHeight w:val="22"/>
        </w:trPr>
        <w:tc>
          <w:tcPr>
            <w:tcW w:w="3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note</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0.400%</w:t>
            </w: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92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€2,600,000</w:t>
            </w:r>
          </w:p>
        </w:tc>
      </w:tr>
    </w:tbl>
    <w:p>
      <w:pPr>
        <w:spacing w:after="0" w:line="1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In the underwriting agreement, we have agreed that:</w:t>
      </w:r>
    </w:p>
    <w:p>
      <w:pPr>
        <w:spacing w:after="0" w:line="104" w:lineRule="exact"/>
        <w:rPr>
          <w:sz w:val="20"/>
          <w:szCs w:val="20"/>
          <w:color w:val="auto"/>
        </w:rPr>
      </w:pPr>
    </w:p>
    <w:p>
      <w:pPr>
        <w:jc w:val="both"/>
        <w:ind w:left="1380" w:right="939" w:hanging="304"/>
        <w:spacing w:after="0" w:line="282" w:lineRule="auto"/>
        <w:tabs>
          <w:tab w:leader="none" w:pos="13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not offer or sell any of our debt securities (other than the notes) from the date of this prospectus supplement through and including the date of settlement without the prior consent of the representatives.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61" w:name="page62"/>
    <w:bookmarkEnd w:id="61"/>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380" w:right="839" w:hanging="304"/>
        <w:spacing w:after="0" w:line="266" w:lineRule="auto"/>
        <w:tabs>
          <w:tab w:leader="none" w:pos="1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underwriting discount discussed above, we will pay our expenses related to the offering, which we estimate will be €1.7 million. The rate used to convert expenses payable in U.S. dollars to euro was U.S. $1.1563 = €1.00, which is the exchange rate reported by Bloomberg on June 12, 2026.</w:t>
      </w:r>
    </w:p>
    <w:p>
      <w:pPr>
        <w:spacing w:after="0" w:line="60" w:lineRule="exact"/>
        <w:rPr>
          <w:rFonts w:ascii="Times New Roman" w:cs="Times New Roman" w:eastAsia="Times New Roman" w:hAnsi="Times New Roman"/>
          <w:sz w:val="16"/>
          <w:szCs w:val="16"/>
          <w:color w:val="auto"/>
        </w:rPr>
      </w:pPr>
    </w:p>
    <w:p>
      <w:pPr>
        <w:ind w:left="1380" w:right="839" w:hanging="304"/>
        <w:spacing w:after="0" w:line="266" w:lineRule="auto"/>
        <w:tabs>
          <w:tab w:leader="none" w:pos="1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indemnify the underwriters against certain liabilities, including liabilities under the Securities Act of 1933, as amended, or contribute to payments that the underwriters may be required to make in respect of those liabilities.</w:t>
      </w:r>
    </w:p>
    <w:p>
      <w:pPr>
        <w:spacing w:after="0" w:line="61" w:lineRule="exact"/>
        <w:rPr>
          <w:sz w:val="20"/>
          <w:szCs w:val="20"/>
          <w:color w:val="auto"/>
        </w:rPr>
      </w:pPr>
    </w:p>
    <w:p>
      <w:pPr>
        <w:ind w:left="760" w:right="819" w:firstLine="320"/>
        <w:spacing w:after="0" w:line="254" w:lineRule="auto"/>
        <w:rPr>
          <w:sz w:val="20"/>
          <w:szCs w:val="20"/>
          <w:color w:val="auto"/>
        </w:rPr>
      </w:pPr>
      <w:r>
        <w:rPr>
          <w:rFonts w:ascii="Times New Roman" w:cs="Times New Roman" w:eastAsia="Times New Roman" w:hAnsi="Times New Roman"/>
          <w:sz w:val="16"/>
          <w:szCs w:val="16"/>
          <w:color w:val="auto"/>
        </w:rPr>
        <w:t>The notes are a new issue of securities for which there is currently no established trading market. Application has been made for the notes to be admitted to the Official List of Euronext Dublin and to trading on the Global Exchange Market, which is the exchange regulated market of Euronext Dublin. We cannot assure you that this application will be approved or that, if approved, such listing will be maintained. The Global Exchange Market is not a regulated market for the purposes of MiFID II and UK MiFIR. The underwriters have advised us that they intend to make a market in the notes prior to the commencement of any trading on the Global Exchange Market,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that you receive when you sell will be favorable.</w:t>
      </w:r>
    </w:p>
    <w:p>
      <w:pPr>
        <w:spacing w:after="0" w:line="71" w:lineRule="exact"/>
        <w:rPr>
          <w:sz w:val="20"/>
          <w:szCs w:val="20"/>
          <w:color w:val="auto"/>
        </w:rPr>
      </w:pPr>
    </w:p>
    <w:p>
      <w:pPr>
        <w:ind w:left="760" w:right="779" w:firstLine="320"/>
        <w:spacing w:after="0" w:line="254" w:lineRule="auto"/>
        <w:rPr>
          <w:sz w:val="20"/>
          <w:szCs w:val="20"/>
          <w:color w:val="auto"/>
        </w:rPr>
      </w:pPr>
      <w:r>
        <w:rPr>
          <w:rFonts w:ascii="Times New Roman" w:cs="Times New Roman" w:eastAsia="Times New Roman" w:hAnsi="Times New Roman"/>
          <w:sz w:val="16"/>
          <w:szCs w:val="16"/>
          <w:color w:val="auto"/>
        </w:rPr>
        <w:t>In connection with the offering of the notes, the underwriters may engage in overallotment, stabilizing transactions and syndicate covering transactions in accordance with Regulation M under the Exchange Act.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cause the price of the notes to be higher than it would otherwise be in the absence of those transactions. If the underwriters engage in stabilizing or syndicate covering transactions, they may discontinue them at any time.</w:t>
      </w:r>
    </w:p>
    <w:p>
      <w:pPr>
        <w:spacing w:after="0" w:line="73" w:lineRule="exact"/>
        <w:rPr>
          <w:sz w:val="20"/>
          <w:szCs w:val="20"/>
          <w:color w:val="auto"/>
        </w:rPr>
      </w:pPr>
    </w:p>
    <w:p>
      <w:pPr>
        <w:ind w:left="760" w:right="799" w:firstLine="320"/>
        <w:spacing w:after="0" w:line="282" w:lineRule="auto"/>
        <w:rPr>
          <w:sz w:val="20"/>
          <w:szCs w:val="20"/>
          <w:color w:val="auto"/>
        </w:rPr>
      </w:pPr>
      <w:r>
        <w:rPr>
          <w:rFonts w:ascii="Times New Roman" w:cs="Times New Roman" w:eastAsia="Times New Roman" w:hAnsi="Times New Roman"/>
          <w:sz w:val="16"/>
          <w:szCs w:val="16"/>
          <w:color w:val="auto"/>
        </w:rPr>
        <w:t>Standard Chartered Bank will not effect any offers or sales of any notes in the United States unless it is through one or more U.S. registered broker-dealers as permitted by the regulations of FINRA.</w:t>
      </w:r>
    </w:p>
    <w:p>
      <w:pPr>
        <w:spacing w:after="0" w:line="48" w:lineRule="exact"/>
        <w:rPr>
          <w:sz w:val="20"/>
          <w:szCs w:val="20"/>
          <w:color w:val="auto"/>
        </w:rPr>
      </w:pPr>
    </w:p>
    <w:p>
      <w:pPr>
        <w:ind w:left="760" w:right="799" w:firstLine="320"/>
        <w:spacing w:after="0" w:line="255" w:lineRule="auto"/>
        <w:rPr>
          <w:sz w:val="20"/>
          <w:szCs w:val="20"/>
          <w:color w:val="auto"/>
        </w:rPr>
      </w:pPr>
      <w:r>
        <w:rPr>
          <w:rFonts w:ascii="Times New Roman" w:cs="Times New Roman" w:eastAsia="Times New Roman" w:hAnsi="Times New Roman"/>
          <w:sz w:val="16"/>
          <w:szCs w:val="16"/>
          <w:color w:val="auto"/>
        </w:rPr>
        <w:t>We expect that delivery of the notes will be made against payment therefor on or about June 17, 2026, which will be the third business day following the date of pricing of the notes (such settlement cycle being herein referred to as “T+3”). Under Rule 15c6-1 under the Exchange Act, trades in the secondary market generally are required to settle in one business day, unless the parties to any such trade expressly agree otherwise. Accordingly, purchasers who wish to trade notes prior to one business day preceding the closing date will be required, by virtue of the fact that the notes initially will settle T+3, to specify an alternate settlement cycle at the time of any such trade to prevent a failed settlement. Purchasers of notes who wish to trade notes prior to one business day before settlement should consult their own advisor.</w:t>
      </w:r>
    </w:p>
    <w:p>
      <w:pPr>
        <w:spacing w:after="0" w:line="70" w:lineRule="exact"/>
        <w:rPr>
          <w:sz w:val="20"/>
          <w:szCs w:val="20"/>
          <w:color w:val="auto"/>
        </w:rPr>
      </w:pPr>
    </w:p>
    <w:p>
      <w:pPr>
        <w:ind w:left="760" w:right="879" w:firstLine="320"/>
        <w:spacing w:after="0" w:line="256" w:lineRule="auto"/>
        <w:rPr>
          <w:sz w:val="20"/>
          <w:szCs w:val="20"/>
          <w:color w:val="auto"/>
        </w:rPr>
      </w:pPr>
      <w:r>
        <w:rPr>
          <w:rFonts w:ascii="Times New Roman" w:cs="Times New Roman" w:eastAsia="Times New Roman" w:hAnsi="Times New Roman"/>
          <w:sz w:val="16"/>
          <w:szCs w:val="16"/>
          <w:color w:val="auto"/>
        </w:rPr>
        <w:t>Certain of the underwriters and their affiliates have in the past provided, and may in the future provide, investment banking, commercial banking, derivative transactions and financial advisory services to us and our affiliates in the ordinary course of business for which they have received and may continue to receive customary fees and commissions. In addition, we intend to use the net proceeds from this offering to fund the repayment of amounts borrowed under the Revolving Credit Facility in June 2026 in connection with the repayment of the 2026 Senior Notes. Certain of the underwriters and/or their affiliates are lenders under the Revolving Credit Facility and, as a result, may receive a portion of the net proceeds from this offering. See “Use of Proceeds.”</w:t>
      </w:r>
    </w:p>
    <w:p>
      <w:pPr>
        <w:spacing w:after="0" w:line="68" w:lineRule="exact"/>
        <w:rPr>
          <w:sz w:val="20"/>
          <w:szCs w:val="20"/>
          <w:color w:val="auto"/>
        </w:rPr>
      </w:pPr>
    </w:p>
    <w:p>
      <w:pPr>
        <w:ind w:left="760" w:right="839" w:firstLine="320"/>
        <w:spacing w:after="0" w:line="254" w:lineRule="auto"/>
        <w:rPr>
          <w:sz w:val="20"/>
          <w:szCs w:val="20"/>
          <w:color w:val="auto"/>
        </w:rPr>
      </w:pPr>
      <w:r>
        <w:rPr>
          <w:rFonts w:ascii="Times New Roman" w:cs="Times New Roman" w:eastAsia="Times New Roman" w:hAnsi="Times New Roman"/>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62" w:name="page63"/>
    <w:bookmarkEnd w:id="62"/>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879"/>
        <w:spacing w:after="0" w:line="261" w:lineRule="auto"/>
        <w:rPr>
          <w:sz w:val="20"/>
          <w:szCs w:val="20"/>
          <w:color w:val="auto"/>
        </w:rPr>
      </w:pPr>
      <w:r>
        <w:rPr>
          <w:rFonts w:ascii="Times New Roman" w:cs="Times New Roman" w:eastAsia="Times New Roman" w:hAnsi="Times New Roman"/>
          <w:sz w:val="16"/>
          <w:szCs w:val="16"/>
          <w:color w:val="auto"/>
        </w:rPr>
        <w:t>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Conflicts of Interest</w:t>
      </w:r>
    </w:p>
    <w:p>
      <w:pPr>
        <w:spacing w:after="0" w:line="106" w:lineRule="exact"/>
        <w:rPr>
          <w:sz w:val="20"/>
          <w:szCs w:val="20"/>
          <w:color w:val="auto"/>
        </w:rPr>
      </w:pPr>
    </w:p>
    <w:p>
      <w:pPr>
        <w:ind w:left="760" w:right="839" w:firstLine="320"/>
        <w:spacing w:after="0" w:line="254" w:lineRule="auto"/>
        <w:rPr>
          <w:sz w:val="20"/>
          <w:szCs w:val="20"/>
          <w:color w:val="auto"/>
        </w:rPr>
      </w:pPr>
      <w:r>
        <w:rPr>
          <w:rFonts w:ascii="Times New Roman" w:cs="Times New Roman" w:eastAsia="Times New Roman" w:hAnsi="Times New Roman"/>
          <w:sz w:val="16"/>
          <w:szCs w:val="16"/>
          <w:color w:val="auto"/>
        </w:rPr>
        <w:t>Respective affiliates of certain of the underwriters are lenders under our Revolving Credit Facility. Any amounts borrowed under the Revolving Credit Facility in connection with the repayment of the 2026 Senior Notes will be repaid using net proceeds from this offering and, as a result, such affiliates may receive in excess of 5% of the net proceeds of this offering, not including underwriting compensation. The receipt by any such underwriter and its affiliates of an aggregate amount in excess of 5% of the net proceeds from this offering would constitute a “conflict of interest” under FINRA Rule 5121 for each such underwriter. Consequently, this offering will be conducted in accordance with the applicable requirements of FINRA Rule 5121. FINRA Rule 5121 requires prominent disclosure of the nature of the conflict of interest in the prospectus supplement for the public offering. Pursuant to FINRA Rule 5121(a)(1)(C), the appointment of a qualified independent underwriter is not necessary in connection with this offering as the securities offered are expected to be investment grade rated.</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Selling Restrictions</w:t>
      </w:r>
    </w:p>
    <w:p>
      <w:pPr>
        <w:spacing w:after="0" w:line="106" w:lineRule="exact"/>
        <w:rPr>
          <w:sz w:val="20"/>
          <w:szCs w:val="20"/>
          <w:color w:val="auto"/>
        </w:rPr>
      </w:pPr>
    </w:p>
    <w:p>
      <w:pPr>
        <w:ind w:left="760" w:right="879" w:firstLine="320"/>
        <w:spacing w:after="0" w:line="258" w:lineRule="auto"/>
        <w:rPr>
          <w:sz w:val="20"/>
          <w:szCs w:val="20"/>
          <w:color w:val="auto"/>
        </w:rPr>
      </w:pPr>
      <w:r>
        <w:rPr>
          <w:rFonts w:ascii="Times New Roman" w:cs="Times New Roman" w:eastAsia="Times New Roman" w:hAnsi="Times New Roman"/>
          <w:sz w:val="16"/>
          <w:szCs w:val="16"/>
          <w:color w:val="auto"/>
        </w:rPr>
        <w:t>The notes are offered for sale in those jurisdictions in the United States, Europe and elsewhere where it is lawful to make such offers. The notes will not be offered, sold or delivered directly or indirectly, nor will this prospectus supplement or any other offering material relating to the notes be distributed, in or from any jurisdiction except under circumstances that will result in compliance with the applicable laws and regulations thereof and that will not impose any obligations on us except as set forth in the underwriting agreement.</w:t>
      </w:r>
    </w:p>
    <w:p>
      <w:pPr>
        <w:spacing w:after="0" w:line="1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Canada</w:t>
      </w:r>
    </w:p>
    <w:p>
      <w:pPr>
        <w:spacing w:after="0" w:line="108" w:lineRule="exact"/>
        <w:rPr>
          <w:sz w:val="20"/>
          <w:szCs w:val="20"/>
          <w:color w:val="auto"/>
        </w:rPr>
      </w:pPr>
    </w:p>
    <w:p>
      <w:pPr>
        <w:ind w:left="760" w:right="759" w:firstLine="320"/>
        <w:spacing w:after="0" w:line="258" w:lineRule="auto"/>
        <w:rPr>
          <w:sz w:val="20"/>
          <w:szCs w:val="20"/>
          <w:color w:val="auto"/>
        </w:rPr>
      </w:pPr>
      <w:r>
        <w:rPr>
          <w:rFonts w:ascii="Times New Roman" w:cs="Times New Roman" w:eastAsia="Times New Roman" w:hAnsi="Times New Roman"/>
          <w:sz w:val="16"/>
          <w:szCs w:val="16"/>
          <w:color w:val="auto"/>
        </w:rPr>
        <w:t xml:space="preserve">The notes may be sold in Canada only to purchasers purchasing, or deemed to be purchasing, as principal that are accredited investors, as defined in National Instrument 45-106 </w:t>
      </w:r>
      <w:r>
        <w:rPr>
          <w:rFonts w:ascii="Times New Roman" w:cs="Times New Roman" w:eastAsia="Times New Roman" w:hAnsi="Times New Roman"/>
          <w:sz w:val="16"/>
          <w:szCs w:val="16"/>
          <w:i w:val="1"/>
          <w:iCs w:val="1"/>
          <w:color w:val="auto"/>
        </w:rPr>
        <w:t>Prospectus Exemptions</w:t>
      </w:r>
      <w:r>
        <w:rPr>
          <w:rFonts w:ascii="Times New Roman" w:cs="Times New Roman" w:eastAsia="Times New Roman" w:hAnsi="Times New Roman"/>
          <w:sz w:val="16"/>
          <w:szCs w:val="16"/>
          <w:color w:val="auto"/>
        </w:rPr>
        <w:t xml:space="preserve"> or subsection 73.3(1) of the </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xml:space="preserve"> (Ontario), and are permitted clients, as defined in National Instrument 31-103 </w:t>
      </w:r>
      <w:r>
        <w:rPr>
          <w:rFonts w:ascii="Times New Roman" w:cs="Times New Roman" w:eastAsia="Times New Roman" w:hAnsi="Times New Roman"/>
          <w:sz w:val="16"/>
          <w:szCs w:val="16"/>
          <w:i w:val="1"/>
          <w:iCs w:val="1"/>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Requirements, Exemptions and Ongoing Registrant Obligations</w:t>
      </w:r>
      <w:r>
        <w:rPr>
          <w:rFonts w:ascii="Times New Roman" w:cs="Times New Roman" w:eastAsia="Times New Roman" w:hAnsi="Times New Roman"/>
          <w:sz w:val="16"/>
          <w:szCs w:val="16"/>
          <w:color w:val="auto"/>
        </w:rPr>
        <w:t>. Any resale of the notes must be made in accordance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an exemption from, or in a transaction not subject to, the prospectus requirements of applicable securities laws.</w:t>
      </w:r>
    </w:p>
    <w:p>
      <w:pPr>
        <w:spacing w:after="0" w:line="68" w:lineRule="exact"/>
        <w:rPr>
          <w:sz w:val="20"/>
          <w:szCs w:val="20"/>
          <w:color w:val="auto"/>
        </w:rPr>
      </w:pPr>
    </w:p>
    <w:p>
      <w:pPr>
        <w:ind w:left="760" w:right="959" w:firstLine="320"/>
        <w:spacing w:after="0" w:line="257" w:lineRule="auto"/>
        <w:rPr>
          <w:sz w:val="20"/>
          <w:szCs w:val="20"/>
          <w:color w:val="auto"/>
        </w:rPr>
      </w:pPr>
      <w:r>
        <w:rPr>
          <w:rFonts w:ascii="Times New Roman" w:cs="Times New Roman" w:eastAsia="Times New Roman" w:hAnsi="Times New Roman"/>
          <w:sz w:val="16"/>
          <w:szCs w:val="16"/>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7" w:lineRule="exact"/>
        <w:rPr>
          <w:sz w:val="20"/>
          <w:szCs w:val="20"/>
          <w:color w:val="auto"/>
        </w:rPr>
      </w:pPr>
    </w:p>
    <w:p>
      <w:pPr>
        <w:ind w:left="760" w:right="819" w:firstLine="320"/>
        <w:spacing w:after="0" w:line="261" w:lineRule="auto"/>
        <w:rPr>
          <w:sz w:val="20"/>
          <w:szCs w:val="20"/>
          <w:color w:val="auto"/>
        </w:rPr>
      </w:pPr>
      <w:r>
        <w:rPr>
          <w:rFonts w:ascii="Times New Roman" w:cs="Times New Roman" w:eastAsia="Times New Roman" w:hAnsi="Times New Roman"/>
          <w:sz w:val="16"/>
          <w:szCs w:val="16"/>
          <w:color w:val="auto"/>
        </w:rPr>
        <w:t xml:space="preserve">If applicable, 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6"/>
          <w:szCs w:val="16"/>
          <w:i w:val="1"/>
          <w:iCs w:val="1"/>
          <w:color w:val="auto"/>
        </w:rPr>
        <w:t>Underwriting Conflicts</w:t>
      </w:r>
      <w:r>
        <w:rPr>
          <w:rFonts w:ascii="Times New Roman" w:cs="Times New Roman" w:eastAsia="Times New Roman" w:hAnsi="Times New Roman"/>
          <w:sz w:val="16"/>
          <w:szCs w:val="16"/>
          <w:color w:val="auto"/>
        </w:rPr>
        <w:t xml:space="preserve"> (NI 33-105), the underwriters are not required to comply with the disclosure requirements of NI 33-105 regarding underwriter conflicts of interest in connection with this offering.</w:t>
      </w:r>
    </w:p>
    <w:p>
      <w:pPr>
        <w:spacing w:after="0" w:line="15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the European Economic Area</w:t>
      </w:r>
    </w:p>
    <w:p>
      <w:pPr>
        <w:spacing w:after="0" w:line="108" w:lineRule="exact"/>
        <w:rPr>
          <w:sz w:val="20"/>
          <w:szCs w:val="20"/>
          <w:color w:val="auto"/>
        </w:rPr>
      </w:pPr>
    </w:p>
    <w:p>
      <w:pPr>
        <w:ind w:left="760" w:right="819" w:firstLine="320"/>
        <w:spacing w:after="0" w:line="273" w:lineRule="auto"/>
        <w:rPr>
          <w:sz w:val="20"/>
          <w:szCs w:val="20"/>
          <w:color w:val="auto"/>
        </w:rPr>
      </w:pPr>
      <w:r>
        <w:rPr>
          <w:rFonts w:ascii="Times New Roman" w:cs="Times New Roman" w:eastAsia="Times New Roman" w:hAnsi="Times New Roman"/>
          <w:sz w:val="15"/>
          <w:szCs w:val="15"/>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63" w:name="page64"/>
    <w:bookmarkEnd w:id="63"/>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the United Kingdom</w:t>
      </w:r>
    </w:p>
    <w:p>
      <w:pPr>
        <w:spacing w:after="0" w:line="108" w:lineRule="exact"/>
        <w:rPr>
          <w:sz w:val="20"/>
          <w:szCs w:val="20"/>
          <w:color w:val="auto"/>
        </w:rPr>
      </w:pPr>
    </w:p>
    <w:p>
      <w:pPr>
        <w:ind w:left="760" w:right="799" w:firstLine="320"/>
        <w:spacing w:after="0" w:line="273" w:lineRule="auto"/>
        <w:rPr>
          <w:sz w:val="20"/>
          <w:szCs w:val="20"/>
          <w:color w:val="auto"/>
        </w:rPr>
      </w:pPr>
      <w:r>
        <w:rPr>
          <w:rFonts w:ascii="Times New Roman" w:cs="Times New Roman" w:eastAsia="Times New Roman" w:hAnsi="Times New Roman"/>
          <w:sz w:val="15"/>
          <w:szCs w:val="15"/>
          <w:color w:val="auto"/>
        </w:rPr>
        <w:t>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(“EUWA”); nor</w:t>
      </w:r>
    </w:p>
    <w:p>
      <w:pPr>
        <w:ind w:left="760" w:right="979" w:hanging="4"/>
        <w:spacing w:after="0" w:line="252" w:lineRule="auto"/>
        <w:tabs>
          <w:tab w:leader="none" w:pos="99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qualified investor as defined in paragraph 15 of Schedule 1 to the Public Offers and Admissions to Trading Regulations 2024 (the “POATRs”).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74" w:lineRule="exact"/>
        <w:rPr>
          <w:sz w:val="20"/>
          <w:szCs w:val="20"/>
          <w:color w:val="auto"/>
        </w:rPr>
      </w:pPr>
    </w:p>
    <w:p>
      <w:pPr>
        <w:ind w:left="760" w:right="859" w:firstLine="320"/>
        <w:spacing w:after="0" w:line="253" w:lineRule="auto"/>
        <w:rPr>
          <w:sz w:val="20"/>
          <w:szCs w:val="20"/>
          <w:color w:val="auto"/>
        </w:rPr>
      </w:pPr>
      <w:r>
        <w:rPr>
          <w:rFonts w:ascii="Times New Roman" w:cs="Times New Roman" w:eastAsia="Times New Roman" w:hAnsi="Times New Roman"/>
          <w:sz w:val="16"/>
          <w:szCs w:val="16"/>
          <w:color w:val="auto"/>
        </w:rPr>
        <w:t>In the UK, this prospectus supplement and any other material in relation to the notes are being distributed only to, and are directed only at, persons who are “qualified investors” (as defined in paragraph 15 of Schedule 1 to the POATRs) who are (i) persons having professional experience in matters relating to investments falling within Article 19(5) of the Financial Services and Markets Act 2000 (Financial Promotion) Order 2005 (as amended, the “Order”), or (ii) persons falling within Article 49(2)(a) to (d) (“high net worth companies, unincorporated associations etc.”) of the Order, or (iii)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In the UK, any investment or investment activity to which this prospectus supplement relates is available only to, and will be engaged in only with, Relevant Persons. This prospectus supplement and its contents are confidential and should not be distributed, published or reproduced (in whole or in part) or disclosed by any recipients to any other person in the UK. Any person in the UK that is not a Relevant Person should not act or rely on this prospectus supplement or its contents. The notes are not being offered to the public in the UK.</w:t>
      </w:r>
    </w:p>
    <w:p>
      <w:pPr>
        <w:spacing w:after="0" w:line="2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Switzerland</w:t>
      </w:r>
    </w:p>
    <w:p>
      <w:pPr>
        <w:spacing w:after="0" w:line="108" w:lineRule="exact"/>
        <w:rPr>
          <w:sz w:val="20"/>
          <w:szCs w:val="20"/>
          <w:color w:val="auto"/>
        </w:rPr>
      </w:pPr>
    </w:p>
    <w:p>
      <w:pPr>
        <w:ind w:left="760" w:right="999" w:firstLine="320"/>
        <w:spacing w:after="0" w:line="261" w:lineRule="auto"/>
        <w:rPr>
          <w:sz w:val="20"/>
          <w:szCs w:val="20"/>
          <w:color w:val="auto"/>
        </w:rPr>
      </w:pPr>
      <w:r>
        <w:rPr>
          <w:rFonts w:ascii="Times New Roman" w:cs="Times New Roman" w:eastAsia="Times New Roman" w:hAnsi="Times New Roman"/>
          <w:sz w:val="16"/>
          <w:szCs w:val="16"/>
          <w:color w:val="auto"/>
        </w:rPr>
        <w:t>This prospectus supplement and the accompanying prospectus does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w:t>
      </w:r>
    </w:p>
    <w:p>
      <w:pPr>
        <w:spacing w:after="0" w:line="65" w:lineRule="exact"/>
        <w:rPr>
          <w:sz w:val="20"/>
          <w:szCs w:val="20"/>
          <w:color w:val="auto"/>
        </w:rPr>
      </w:pPr>
    </w:p>
    <w:p>
      <w:pPr>
        <w:ind w:left="1380" w:hanging="304"/>
        <w:spacing w:after="0"/>
        <w:tabs>
          <w:tab w:leader="none" w:pos="1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person which is a professional client as defined under the FinSA; or</w:t>
      </w:r>
    </w:p>
    <w:p>
      <w:pPr>
        <w:spacing w:after="0" w:line="104" w:lineRule="exact"/>
        <w:rPr>
          <w:rFonts w:ascii="Times New Roman" w:cs="Times New Roman" w:eastAsia="Times New Roman" w:hAnsi="Times New Roman"/>
          <w:sz w:val="16"/>
          <w:szCs w:val="16"/>
          <w:color w:val="auto"/>
        </w:rPr>
      </w:pPr>
    </w:p>
    <w:p>
      <w:pPr>
        <w:ind w:left="1380" w:right="1139" w:hanging="304"/>
        <w:spacing w:after="0" w:line="282" w:lineRule="auto"/>
        <w:tabs>
          <w:tab w:leader="none" w:pos="1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other circumstances falling within Article 36 FinSA in connection with Article 44 of the Swiss Financial Services Ordinance,</w:t>
      </w:r>
    </w:p>
    <w:p>
      <w:pPr>
        <w:spacing w:after="0" w:line="46" w:lineRule="exact"/>
        <w:rPr>
          <w:sz w:val="20"/>
          <w:szCs w:val="20"/>
          <w:color w:val="auto"/>
        </w:rPr>
      </w:pPr>
    </w:p>
    <w:p>
      <w:pPr>
        <w:ind w:left="760" w:right="919"/>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 such offer of notes shall require the Company or any underwriter to publish a prospectus pursuant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Article 35 FinSA.</w:t>
      </w:r>
    </w:p>
    <w:p>
      <w:pPr>
        <w:spacing w:after="0" w:line="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The notes have not been and will not be listed or admitted to trading on a trading venue in Switzerland.</w:t>
      </w:r>
    </w:p>
    <w:p>
      <w:pPr>
        <w:spacing w:after="0" w:line="104" w:lineRule="exact"/>
        <w:rPr>
          <w:sz w:val="20"/>
          <w:szCs w:val="20"/>
          <w:color w:val="auto"/>
        </w:rPr>
      </w:pPr>
    </w:p>
    <w:p>
      <w:pPr>
        <w:ind w:left="760" w:right="819" w:firstLine="320"/>
        <w:spacing w:after="0" w:line="261" w:lineRule="auto"/>
        <w:rPr>
          <w:sz w:val="20"/>
          <w:szCs w:val="20"/>
          <w:color w:val="auto"/>
        </w:rPr>
      </w:pPr>
      <w:r>
        <w:rPr>
          <w:rFonts w:ascii="Times New Roman" w:cs="Times New Roman" w:eastAsia="Times New Roman" w:hAnsi="Times New Roman"/>
          <w:sz w:val="16"/>
          <w:szCs w:val="16"/>
          <w:color w:val="auto"/>
        </w:rPr>
        <w:t>Neither this prospectus supplement, the accompanying prospectus nor any other offering or marketing material relating to the notes constitutes a prospectus as such term is understood pursuant to the FinSA and neither this prospectus supplement nor any other offering or marketing material relating to the notes may be publicly distributed or otherwise made publicly available in Switzerland.</w:t>
      </w:r>
    </w:p>
    <w:p>
      <w:pPr>
        <w:spacing w:after="0" w:line="2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Hong Kong</w:t>
      </w:r>
    </w:p>
    <w:p>
      <w:pPr>
        <w:spacing w:after="0" w:line="108" w:lineRule="exact"/>
        <w:rPr>
          <w:sz w:val="20"/>
          <w:szCs w:val="20"/>
          <w:color w:val="auto"/>
        </w:rPr>
      </w:pPr>
    </w:p>
    <w:p>
      <w:pPr>
        <w:ind w:left="760" w:right="779" w:firstLine="320"/>
        <w:spacing w:after="0" w:line="255" w:lineRule="auto"/>
        <w:rPr>
          <w:sz w:val="20"/>
          <w:szCs w:val="20"/>
          <w:color w:val="auto"/>
        </w:rPr>
      </w:pPr>
      <w:r>
        <w:rPr>
          <w:rFonts w:ascii="Times New Roman" w:cs="Times New Roman" w:eastAsia="Times New Roman" w:hAnsi="Times New Roman"/>
          <w:sz w:val="16"/>
          <w:szCs w:val="16"/>
          <w:color w:val="auto"/>
        </w:rPr>
        <w:t>Each underwriter (i)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64" w:name="page65"/>
    <w:bookmarkEnd w:id="6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999"/>
        <w:spacing w:after="0" w:line="261" w:lineRule="auto"/>
        <w:rPr>
          <w:sz w:val="20"/>
          <w:szCs w:val="20"/>
          <w:color w:val="auto"/>
        </w:rPr>
      </w:pPr>
      <w:r>
        <w:rPr>
          <w:rFonts w:ascii="Times New Roman" w:cs="Times New Roman" w:eastAsia="Times New Roman" w:hAnsi="Times New Roman"/>
          <w:sz w:val="16"/>
          <w:szCs w:val="16"/>
          <w:color w:val="auto"/>
        </w:rPr>
        <w:t>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6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Japan</w:t>
      </w:r>
    </w:p>
    <w:p>
      <w:pPr>
        <w:spacing w:after="0" w:line="108" w:lineRule="exact"/>
        <w:rPr>
          <w:sz w:val="20"/>
          <w:szCs w:val="20"/>
          <w:color w:val="auto"/>
        </w:rPr>
      </w:pPr>
    </w:p>
    <w:p>
      <w:pPr>
        <w:ind w:left="760" w:right="879" w:firstLine="320"/>
        <w:spacing w:after="0" w:line="255" w:lineRule="auto"/>
        <w:rPr>
          <w:sz w:val="20"/>
          <w:szCs w:val="20"/>
          <w:color w:val="auto"/>
        </w:rPr>
      </w:pPr>
      <w:r>
        <w:rPr>
          <w:rFonts w:ascii="Times New Roman" w:cs="Times New Roman" w:eastAsia="Times New Roman" w:hAnsi="Times New Roman"/>
          <w:sz w:val="16"/>
          <w:szCs w:val="16"/>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Singapore</w:t>
      </w:r>
    </w:p>
    <w:p>
      <w:pPr>
        <w:spacing w:after="0" w:line="108" w:lineRule="exact"/>
        <w:rPr>
          <w:sz w:val="20"/>
          <w:szCs w:val="20"/>
          <w:color w:val="auto"/>
        </w:rPr>
      </w:pPr>
    </w:p>
    <w:p>
      <w:pPr>
        <w:ind w:left="760" w:right="799" w:firstLine="320"/>
        <w:spacing w:after="0" w:line="253" w:lineRule="auto"/>
        <w:rPr>
          <w:sz w:val="20"/>
          <w:szCs w:val="20"/>
          <w:color w:val="auto"/>
        </w:rPr>
      </w:pPr>
      <w:r>
        <w:rPr>
          <w:rFonts w:ascii="Times New Roman" w:cs="Times New Roman" w:eastAsia="Times New Roman" w:hAnsi="Times New Roman"/>
          <w:sz w:val="16"/>
          <w:szCs w:val="16"/>
          <w:color w:val="auto"/>
        </w:rPr>
        <w:t>Each underwriter has acknowledged that this prospectus supplement and the accompanying prospectus has not been registered as a prospectus with the Monetary Authority of Singapore. Accordingly, each underwriter has represented, warranted and agreed (1) that it has not offered or sold any notes or (2)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77" w:lineRule="exact"/>
        <w:rPr>
          <w:sz w:val="20"/>
          <w:szCs w:val="20"/>
          <w:color w:val="auto"/>
        </w:rPr>
      </w:pPr>
    </w:p>
    <w:p>
      <w:pPr>
        <w:ind w:left="760" w:right="779" w:firstLine="320"/>
        <w:spacing w:after="0" w:line="257" w:lineRule="auto"/>
        <w:rPr>
          <w:sz w:val="20"/>
          <w:szCs w:val="20"/>
          <w:color w:val="auto"/>
        </w:rPr>
      </w:pPr>
      <w:r>
        <w:rPr>
          <w:rFonts w:ascii="Times New Roman" w:cs="Times New Roman" w:eastAsia="Times New Roman" w:hAnsi="Times New Roman"/>
          <w:sz w:val="16"/>
          <w:szCs w:val="16"/>
          <w:color w:val="auto"/>
        </w:rPr>
        <w:t>Singapore SFA Product Classification — In connection with Section 309B of the SFA and the CMP Regulations 2018, unless otherwise specified before an offer of notes, the Company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Australia</w:t>
      </w:r>
    </w:p>
    <w:p>
      <w:pPr>
        <w:spacing w:after="0" w:line="1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This prospectus supplement:</w:t>
      </w:r>
    </w:p>
    <w:p>
      <w:pPr>
        <w:spacing w:after="0" w:line="104" w:lineRule="exact"/>
        <w:rPr>
          <w:sz w:val="20"/>
          <w:szCs w:val="20"/>
          <w:color w:val="auto"/>
        </w:rPr>
      </w:pPr>
    </w:p>
    <w:p>
      <w:pPr>
        <w:ind w:left="1380" w:right="1079" w:hanging="304"/>
        <w:spacing w:after="0" w:line="282" w:lineRule="auto"/>
        <w:tabs>
          <w:tab w:leader="none" w:pos="13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constitute a disclosure document or a prospectus under Chapter 6D.2 of the Corporations Act 2001 (Cth) (the “Corporations Act”);</w:t>
      </w:r>
    </w:p>
    <w:p>
      <w:pPr>
        <w:spacing w:after="0" w:line="48" w:lineRule="exact"/>
        <w:rPr>
          <w:rFonts w:ascii="Times New Roman" w:cs="Times New Roman" w:eastAsia="Times New Roman" w:hAnsi="Times New Roman"/>
          <w:sz w:val="16"/>
          <w:szCs w:val="16"/>
          <w:color w:val="auto"/>
        </w:rPr>
      </w:pPr>
    </w:p>
    <w:p>
      <w:pPr>
        <w:ind w:left="1380" w:right="959" w:hanging="304"/>
        <w:spacing w:after="0" w:line="266" w:lineRule="auto"/>
        <w:tabs>
          <w:tab w:leader="none" w:pos="13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60" w:lineRule="exact"/>
        <w:rPr>
          <w:rFonts w:ascii="Times New Roman" w:cs="Times New Roman" w:eastAsia="Times New Roman" w:hAnsi="Times New Roman"/>
          <w:sz w:val="16"/>
          <w:szCs w:val="16"/>
          <w:color w:val="auto"/>
        </w:rPr>
      </w:pPr>
    </w:p>
    <w:p>
      <w:pPr>
        <w:ind w:left="1380" w:right="839" w:hanging="304"/>
        <w:spacing w:after="0" w:line="261" w:lineRule="auto"/>
        <w:tabs>
          <w:tab w:leader="none" w:pos="13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only be provided in Australia to select investors who are able to demonstrate that they fall within one or more of the categories of investors, available under section 708 of the Corporations Act</w:t>
      </w:r>
    </w:p>
    <w:p>
      <w:pPr>
        <w:ind w:left="1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 Investors”).</w:t>
      </w:r>
    </w:p>
    <w:p>
      <w:pPr>
        <w:spacing w:after="0" w:line="88" w:lineRule="exact"/>
        <w:rPr>
          <w:sz w:val="20"/>
          <w:szCs w:val="20"/>
          <w:color w:val="auto"/>
        </w:rPr>
      </w:pPr>
    </w:p>
    <w:p>
      <w:pPr>
        <w:ind w:left="760" w:right="879" w:firstLine="320"/>
        <w:spacing w:after="0" w:line="257" w:lineRule="auto"/>
        <w:rPr>
          <w:sz w:val="20"/>
          <w:szCs w:val="20"/>
          <w:color w:val="auto"/>
        </w:rPr>
      </w:pPr>
      <w:r>
        <w:rPr>
          <w:rFonts w:ascii="Times New Roman" w:cs="Times New Roman" w:eastAsia="Times New Roman" w:hAnsi="Times New Roman"/>
          <w:sz w:val="16"/>
          <w:szCs w:val="16"/>
          <w:color w:val="auto"/>
        </w:rPr>
        <w:t>The notes may not be directly or indirectly offered for subscription or purchased or sold, and no invitations to subscribe for or buy the notes may be issued, and no draft or definitive prospectus supplement, advertisement or other offering material relating to any notes may be distributed in Australia, except where disclosure to investors is not required under Chapter 6D of the Corporations Act or is otherwise in compliance with all applicable Australian laws and regulations. By submitting an application for the notes, you represent and warrant to us that you are an Exempt Investor.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65" w:name="page66"/>
    <w:bookmarkEnd w:id="6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779" w:firstLine="320"/>
        <w:spacing w:after="0" w:line="256" w:lineRule="auto"/>
        <w:rPr>
          <w:sz w:val="20"/>
          <w:szCs w:val="20"/>
          <w:color w:val="auto"/>
        </w:rPr>
      </w:pPr>
      <w:r>
        <w:rPr>
          <w:rFonts w:ascii="Times New Roman" w:cs="Times New Roman" w:eastAsia="Times New Roman" w:hAnsi="Times New Roman"/>
          <w:sz w:val="16"/>
          <w:szCs w:val="16"/>
          <w:color w:val="auto"/>
        </w:rPr>
        <w:t>As any offer of notes under this document will be made without disclosure in Australia under Chapter 6D.2 of the Corporations Act, the offer of those notes for resale in Australia within 12 months may, under section 707 of the Corporations Act, require disclosure to investors under Chapter 6D.2 if none of the exemptions in section 708 applies to that resale. By applying for the notes you undertake to us that you will not, for a period of 12 months from the date of issue of the notes, offer, transfer, assign or otherwise alienate those notes to investors in Australia except in circumstances where disclosure to investors is not required under Chapter 6D.2 of the Corporations Act or where a compliant disclosure document is prepared and lodged with ASIC.</w:t>
      </w:r>
    </w:p>
    <w:p>
      <w:pPr>
        <w:spacing w:after="0" w:line="3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Dubai</w:t>
      </w:r>
    </w:p>
    <w:p>
      <w:pPr>
        <w:spacing w:after="0" w:line="1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This prospectus supplement relates to an Exempt Offer in accordance with the Markets Law, DIFC Law No.</w:t>
      </w:r>
    </w:p>
    <w:p>
      <w:pPr>
        <w:spacing w:after="0" w:line="25" w:lineRule="exact"/>
        <w:rPr>
          <w:sz w:val="20"/>
          <w:szCs w:val="20"/>
          <w:color w:val="auto"/>
        </w:rPr>
      </w:pPr>
    </w:p>
    <w:p>
      <w:pPr>
        <w:ind w:left="760" w:right="799"/>
        <w:spacing w:after="0" w:line="252" w:lineRule="auto"/>
        <w:rPr>
          <w:sz w:val="20"/>
          <w:szCs w:val="20"/>
          <w:color w:val="auto"/>
        </w:rPr>
      </w:pPr>
      <w:r>
        <w:rPr>
          <w:rFonts w:ascii="Times New Roman" w:cs="Times New Roman" w:eastAsia="Times New Roman" w:hAnsi="Times New Roman"/>
          <w:sz w:val="16"/>
          <w:szCs w:val="16"/>
          <w:color w:val="auto"/>
        </w:rPr>
        <w:t>1 of 2012, as amended. This prospectus supplement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document. The notes to which this document relates may be illiquid and/or subject to restrictions on their resale. Prospective purchasers of the securities offered should conduct their own due diligence on the notes. If you do not understand the contents of this prospectus supplement you should consult an authorized financial advisor.</w:t>
      </w:r>
    </w:p>
    <w:p>
      <w:pPr>
        <w:spacing w:after="0" w:line="72" w:lineRule="exact"/>
        <w:rPr>
          <w:sz w:val="20"/>
          <w:szCs w:val="20"/>
          <w:color w:val="auto"/>
        </w:rPr>
      </w:pPr>
    </w:p>
    <w:p>
      <w:pPr>
        <w:ind w:left="760" w:right="819" w:firstLine="320"/>
        <w:spacing w:after="0" w:line="261" w:lineRule="auto"/>
        <w:rPr>
          <w:sz w:val="20"/>
          <w:szCs w:val="20"/>
          <w:color w:val="auto"/>
        </w:rPr>
      </w:pPr>
      <w:r>
        <w:rPr>
          <w:rFonts w:ascii="Times New Roman" w:cs="Times New Roman" w:eastAsia="Times New Roman" w:hAnsi="Times New Roman"/>
          <w:sz w:val="16"/>
          <w:szCs w:val="16"/>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2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Taiwan</w:t>
      </w:r>
    </w:p>
    <w:p>
      <w:pPr>
        <w:spacing w:after="0" w:line="108" w:lineRule="exact"/>
        <w:rPr>
          <w:sz w:val="20"/>
          <w:szCs w:val="20"/>
          <w:color w:val="auto"/>
        </w:rPr>
      </w:pPr>
    </w:p>
    <w:p>
      <w:pPr>
        <w:ind w:left="760" w:right="899" w:firstLine="320"/>
        <w:spacing w:after="0" w:line="257" w:lineRule="auto"/>
        <w:rPr>
          <w:sz w:val="20"/>
          <w:szCs w:val="20"/>
          <w:color w:val="auto"/>
        </w:rPr>
      </w:pPr>
      <w:r>
        <w:rPr>
          <w:rFonts w:ascii="Times New Roman" w:cs="Times New Roman" w:eastAsia="Times New Roman" w:hAnsi="Times New Roman"/>
          <w:sz w:val="16"/>
          <w:szCs w:val="16"/>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w:t>
      </w:r>
    </w:p>
    <w:p>
      <w:pPr>
        <w:spacing w:after="0" w:line="29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the United Arab Emirates</w:t>
      </w:r>
    </w:p>
    <w:p>
      <w:pPr>
        <w:spacing w:after="0" w:line="108" w:lineRule="exact"/>
        <w:rPr>
          <w:sz w:val="20"/>
          <w:szCs w:val="20"/>
          <w:color w:val="auto"/>
        </w:rPr>
      </w:pPr>
    </w:p>
    <w:p>
      <w:pPr>
        <w:jc w:val="both"/>
        <w:ind w:left="760" w:right="919" w:firstLine="320"/>
        <w:spacing w:after="0" w:line="275" w:lineRule="auto"/>
        <w:rPr>
          <w:sz w:val="20"/>
          <w:szCs w:val="20"/>
          <w:color w:val="auto"/>
        </w:rPr>
      </w:pPr>
      <w:r>
        <w:rPr>
          <w:rFonts w:ascii="Times New Roman" w:cs="Times New Roman" w:eastAsia="Times New Roman" w:hAnsi="Times New Roman"/>
          <w:sz w:val="15"/>
          <w:szCs w:val="15"/>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w:t>
      </w:r>
    </w:p>
    <w:p>
      <w:pPr>
        <w:ind w:left="760" w:right="779"/>
        <w:spacing w:after="0" w:line="253" w:lineRule="auto"/>
        <w:rPr>
          <w:sz w:val="20"/>
          <w:szCs w:val="20"/>
          <w:color w:val="auto"/>
        </w:rPr>
      </w:pPr>
      <w:r>
        <w:rPr>
          <w:rFonts w:ascii="Times New Roman" w:cs="Times New Roman" w:eastAsia="Times New Roman" w:hAnsi="Times New Roman"/>
          <w:sz w:val="16"/>
          <w:szCs w:val="16"/>
          <w:color w:val="auto"/>
        </w:rPr>
        <w:t>Further, this prospectus supplement and the accompanying prospectus does not constitute a public offer of securities in the United Arab Emirates (including the Dubai International Financial Centre) and is not intended to be a public offer. This prospectus supplement and the accompanying prospectus has not been approved by or filed with the Central Bank of the United Arab Emirates, the Securities and Commodities Authority, Financial Services Regulatory Authority (FSRA) or the Dubai Financial Services Authority.</w:t>
      </w:r>
    </w:p>
    <w:p>
      <w:pPr>
        <w:spacing w:after="0" w:line="3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i w:val="1"/>
          <w:iCs w:val="1"/>
          <w:color w:val="auto"/>
        </w:rPr>
        <w:t>Notice to prospective investors in Brazil</w:t>
      </w:r>
    </w:p>
    <w:p>
      <w:pPr>
        <w:spacing w:after="0" w:line="108" w:lineRule="exact"/>
        <w:rPr>
          <w:sz w:val="20"/>
          <w:szCs w:val="20"/>
          <w:color w:val="auto"/>
        </w:rPr>
      </w:pPr>
    </w:p>
    <w:p>
      <w:pPr>
        <w:ind w:left="760" w:right="779" w:firstLine="320"/>
        <w:spacing w:after="0" w:line="255" w:lineRule="auto"/>
        <w:rPr>
          <w:sz w:val="20"/>
          <w:szCs w:val="20"/>
          <w:color w:val="auto"/>
        </w:rPr>
      </w:pPr>
      <w:r>
        <w:rPr>
          <w:rFonts w:ascii="Times New Roman" w:cs="Times New Roman" w:eastAsia="Times New Roman" w:hAnsi="Times New Roman"/>
          <w:sz w:val="16"/>
          <w:szCs w:val="16"/>
          <w:color w:val="auto"/>
        </w:rPr>
        <w:t>The offer and sale of the notes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notes will be authorized for trading on organized non-Brazilian securities markets and may only be offered to Brazilian Professional Investors (as defined by applicable CVM regulation), who may only acquire the notes through a non-Brazilian account, with settlement outside Brazil in non-Brazilian currency. The trading of these notes on regulated securities markets in Brazil is prohibited.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VALIDITY OF THE NOTES AND THE GUARANTEES</w:t>
      </w:r>
    </w:p>
    <w:p>
      <w:pPr>
        <w:spacing w:after="0" w:line="106" w:lineRule="exact"/>
        <w:rPr>
          <w:sz w:val="20"/>
          <w:szCs w:val="20"/>
          <w:color w:val="auto"/>
        </w:rPr>
      </w:pPr>
    </w:p>
    <w:p>
      <w:pPr>
        <w:ind w:left="760" w:right="859" w:firstLine="320"/>
        <w:spacing w:after="0" w:line="258" w:lineRule="auto"/>
        <w:rPr>
          <w:sz w:val="20"/>
          <w:szCs w:val="20"/>
          <w:color w:val="auto"/>
        </w:rPr>
      </w:pPr>
      <w:r>
        <w:rPr>
          <w:rFonts w:ascii="Times New Roman" w:cs="Times New Roman" w:eastAsia="Times New Roman" w:hAnsi="Times New Roman"/>
          <w:sz w:val="16"/>
          <w:szCs w:val="16"/>
          <w:color w:val="auto"/>
        </w:rPr>
        <w:t>Certain legal matters in connection with this offering, including the validity of the notes and the guarantees with respect to New York law, will be passed upon for us by Cravath, Swaine &amp; Moore LLP, New York, New York. Certain legal matters with respect to Dutch and Pennsylvania law will be passed upon by NautaDutilh N.V. and Parker Poe Adams &amp; Bernstein LLP, respectively. The underwriters have been represented in connection with this offering by Simpson Thacher &amp; Bartlett LLP, New York, New York.</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06" w:lineRule="exact"/>
        <w:rPr>
          <w:sz w:val="20"/>
          <w:szCs w:val="20"/>
          <w:color w:val="auto"/>
        </w:rPr>
      </w:pPr>
    </w:p>
    <w:p>
      <w:pPr>
        <w:ind w:left="760" w:right="799" w:firstLine="320"/>
        <w:spacing w:after="0" w:line="257" w:lineRule="auto"/>
        <w:rPr>
          <w:sz w:val="20"/>
          <w:szCs w:val="20"/>
          <w:color w:val="auto"/>
        </w:rPr>
      </w:pPr>
      <w:r>
        <w:rPr>
          <w:rFonts w:ascii="Times New Roman" w:cs="Times New Roman" w:eastAsia="Times New Roman" w:hAnsi="Times New Roman"/>
          <w:sz w:val="16"/>
          <w:szCs w:val="16"/>
          <w:color w:val="auto"/>
        </w:rPr>
        <w:t>The financial statements of Viatris Inc. as of December 31, 2025 and 2024, and for each of the three years in the period ended December 31, 2025, incorporated by reference in this prospectus supplement, and the effectiveness of Viatris Inc.’s internal control over financial reporting as of December 31, 2025, have been audited by Deloitte &amp; Touche LLP, an independent registered public accounting firm, as stated in their reports. Such consolidated financial statements are incorporated herein by reference in reliance upon the reports of such firm given on the authority as experts in accounting and auditing.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67" w:name="page68"/>
    <w:bookmarkEnd w:id="67"/>
    <w:p>
      <w:pPr>
        <w:ind w:left="8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161925</wp:posOffset>
            </wp:positionV>
            <wp:extent cx="1685925" cy="4502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168592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w:t>
      </w:r>
    </w:p>
    <w:p>
      <w:pPr>
        <w:spacing w:after="0" w:line="6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6"/>
          <w:szCs w:val="26"/>
          <w:b w:val="1"/>
          <w:bCs w:val="1"/>
          <w:color w:val="auto"/>
        </w:rPr>
        <w:t>VIATRIS INC.</w:t>
      </w:r>
    </w:p>
    <w:p>
      <w:pPr>
        <w:spacing w:after="0" w:line="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DEBT SECURITIES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RIGHTS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UNITS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GUARANTEES OF DEBT SECURITIES</w:t>
      </w:r>
    </w:p>
    <w:p>
      <w:pPr>
        <w:spacing w:after="0" w:line="76" w:lineRule="exact"/>
        <w:rPr>
          <w:sz w:val="20"/>
          <w:szCs w:val="20"/>
          <w:color w:val="auto"/>
        </w:rPr>
      </w:pPr>
    </w:p>
    <w:p>
      <w:pPr>
        <w:jc w:val="both"/>
        <w:ind w:left="860" w:right="859"/>
        <w:spacing w:after="0" w:line="258" w:lineRule="auto"/>
        <w:rPr>
          <w:sz w:val="20"/>
          <w:szCs w:val="20"/>
          <w:color w:val="auto"/>
        </w:rPr>
      </w:pPr>
      <w:r>
        <w:rPr>
          <w:rFonts w:ascii="Times New Roman" w:cs="Times New Roman" w:eastAsia="Times New Roman" w:hAnsi="Times New Roman"/>
          <w:sz w:val="16"/>
          <w:szCs w:val="16"/>
          <w:color w:val="auto"/>
        </w:rPr>
        <w:t>Viatris Inc. may, from time to time, offer and sell debt securities, common stock, preferred stock, warrants, rights and units, and Mylan Inc., Mylan II B.V. and Utah Acquisition Sub Inc. may guarantee the principal of, and premium (if any) and interest on, any such debt securities of Viatris Inc. The debt securities may be convertible into or exercisable or exchangeable for common stock of Viatris Inc., other securities of Viatris Inc. or the debt or equity securities of one or more other entities.</w:t>
      </w:r>
    </w:p>
    <w:p>
      <w:pPr>
        <w:spacing w:after="0" w:line="56" w:lineRule="exact"/>
        <w:rPr>
          <w:sz w:val="20"/>
          <w:szCs w:val="20"/>
          <w:color w:val="auto"/>
        </w:rPr>
      </w:pPr>
    </w:p>
    <w:p>
      <w:pPr>
        <w:jc w:val="both"/>
        <w:ind w:left="860" w:right="859"/>
        <w:spacing w:after="0" w:line="282" w:lineRule="auto"/>
        <w:rPr>
          <w:sz w:val="20"/>
          <w:szCs w:val="20"/>
          <w:color w:val="auto"/>
        </w:rPr>
      </w:pPr>
      <w:r>
        <w:rPr>
          <w:rFonts w:ascii="Times New Roman" w:cs="Times New Roman" w:eastAsia="Times New Roman" w:hAnsi="Times New Roman"/>
          <w:sz w:val="16"/>
          <w:szCs w:val="16"/>
          <w:color w:val="auto"/>
        </w:rPr>
        <w:t>We refer to the debt securities and the guarantees thereof, common stock, preferred stock, warrants, rights and units of Viatris Inc. registered hereunder collectively as the “securities” in this prospectus.</w:t>
      </w:r>
    </w:p>
    <w:p>
      <w:pPr>
        <w:spacing w:after="0" w:line="24" w:lineRule="exact"/>
        <w:rPr>
          <w:sz w:val="20"/>
          <w:szCs w:val="20"/>
          <w:color w:val="auto"/>
        </w:rPr>
      </w:pPr>
    </w:p>
    <w:p>
      <w:pPr>
        <w:jc w:val="both"/>
        <w:ind w:left="860" w:right="879"/>
        <w:spacing w:after="0" w:line="261" w:lineRule="auto"/>
        <w:rPr>
          <w:sz w:val="20"/>
          <w:szCs w:val="20"/>
          <w:color w:val="auto"/>
        </w:rPr>
      </w:pPr>
      <w:r>
        <w:rPr>
          <w:rFonts w:ascii="Times New Roman" w:cs="Times New Roman" w:eastAsia="Times New Roman" w:hAnsi="Times New Roman"/>
          <w:sz w:val="16"/>
          <w:szCs w:val="16"/>
          <w:color w:val="auto"/>
        </w:rPr>
        <w:t>In addition, selling securityholders to be named in a prospectus supplement may, from time to time, offer and sell securities in such amounts and on such terms as are set forth in such prospectus supplement. Unless otherwise set forth in a prospectus supplement, we will not receive any proceeds from any sale of the securities by any selling securityholder.</w:t>
      </w:r>
    </w:p>
    <w:p>
      <w:pPr>
        <w:spacing w:after="0" w:line="53" w:lineRule="exact"/>
        <w:rPr>
          <w:sz w:val="20"/>
          <w:szCs w:val="20"/>
          <w:color w:val="auto"/>
        </w:rPr>
      </w:pPr>
    </w:p>
    <w:p>
      <w:pPr>
        <w:jc w:val="both"/>
        <w:ind w:left="860" w:right="859"/>
        <w:spacing w:after="0" w:line="255" w:lineRule="auto"/>
        <w:rPr>
          <w:sz w:val="20"/>
          <w:szCs w:val="20"/>
          <w:color w:val="auto"/>
        </w:rPr>
      </w:pPr>
      <w:r>
        <w:rPr>
          <w:rFonts w:ascii="Times New Roman" w:cs="Times New Roman" w:eastAsia="Times New Roman" w:hAnsi="Times New Roman"/>
          <w:sz w:val="16"/>
          <w:szCs w:val="16"/>
          <w:color w:val="auto"/>
        </w:rPr>
        <w:t>This prospectus describes some of the general terms that may apply to the offering of securities registered hereunder. The specific terms of each series or class of the securities to be offered, and any other information relating to such offering of securities, will be set forth in the applicable prospectus supplement or the applicable free writing prospectus. The applicable prospectus supplement or free writing prospectus will also contain information, where applicable, about material U.S. federal and Dutch income tax consequences relating to, and any listing on a securities exchange of, the securities offered by such prospectus supplement or free writing prospectus. Any prospectus supplement or free writing prospectus may add to, update or change the information in this prospectus.</w:t>
      </w:r>
    </w:p>
    <w:p>
      <w:pPr>
        <w:spacing w:after="0" w:line="58" w:lineRule="exact"/>
        <w:rPr>
          <w:sz w:val="20"/>
          <w:szCs w:val="20"/>
          <w:color w:val="auto"/>
        </w:rPr>
      </w:pPr>
    </w:p>
    <w:p>
      <w:pPr>
        <w:jc w:val="both"/>
        <w:ind w:left="860" w:right="859"/>
        <w:spacing w:after="0" w:line="255" w:lineRule="auto"/>
        <w:rPr>
          <w:sz w:val="20"/>
          <w:szCs w:val="20"/>
          <w:color w:val="auto"/>
        </w:rPr>
      </w:pPr>
      <w:r>
        <w:rPr>
          <w:rFonts w:ascii="Times New Roman" w:cs="Times New Roman" w:eastAsia="Times New Roman" w:hAnsi="Times New Roman"/>
          <w:sz w:val="16"/>
          <w:szCs w:val="16"/>
          <w:color w:val="auto"/>
        </w:rPr>
        <w:t>The securities may be offered directly by us or any selling securityholder, as applicable, through one or more underwriters, dealers or agents or directly to purchasers, or through a combination of such methods, on a continuous or delayed basis. The names of any underwriters, dealers or agents and any purchase price, fee, commission or discount arrangement between us or any selling securityholder and them or among them will be set forth, or will be calculable from the information set forth, in the applicable prospectus supplement or free writing prospectus. See “About this Prospectus” and “Plan of Distribution” for more information. No securities may be sold without delivery of this prospectus and the applicable prospectus supplement or free writing prospectus describing the method and terms of the offering of such series of securities.</w:t>
      </w:r>
    </w:p>
    <w:p>
      <w:pPr>
        <w:spacing w:after="0" w:line="46" w:lineRule="exact"/>
        <w:rPr>
          <w:sz w:val="20"/>
          <w:szCs w:val="20"/>
          <w:color w:val="auto"/>
        </w:rPr>
      </w:pPr>
    </w:p>
    <w:p>
      <w:pPr>
        <w:jc w:val="both"/>
        <w:ind w:left="860" w:right="859"/>
        <w:spacing w:after="0" w:line="257" w:lineRule="auto"/>
        <w:rPr>
          <w:sz w:val="20"/>
          <w:szCs w:val="20"/>
          <w:color w:val="auto"/>
        </w:rPr>
      </w:pPr>
      <w:r>
        <w:rPr>
          <w:rFonts w:ascii="Times New Roman" w:cs="Times New Roman" w:eastAsia="Times New Roman" w:hAnsi="Times New Roman"/>
          <w:sz w:val="16"/>
          <w:szCs w:val="16"/>
          <w:color w:val="auto"/>
        </w:rPr>
        <w:t>Our common stock is listed on the NASDAQ Stock Market (“NASDAQ”) under the symbol “VTRS”. On May 7, 2025, the last reported sale price of our common stock on NASDAQ was $8.60 per share. Our principal executive offices are located at 1000 Mylan Boulevard, Canonsburg, Pennsylvania 15317, and our telephone number is</w:t>
      </w:r>
    </w:p>
    <w:p>
      <w:pPr>
        <w:spacing w:after="0" w:line="2" w:lineRule="exact"/>
        <w:rPr>
          <w:sz w:val="20"/>
          <w:szCs w:val="20"/>
          <w:color w:val="auto"/>
        </w:rPr>
      </w:pPr>
    </w:p>
    <w:p>
      <w:pPr>
        <w:jc w:val="both"/>
        <w:ind w:left="860" w:right="859" w:hanging="8"/>
        <w:spacing w:after="0" w:line="254" w:lineRule="auto"/>
        <w:tabs>
          <w:tab w:leader="none" w:pos="130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514-1800. Our Internet website address is www.viatris.com. The contents of our website are not incorporated by reference in this prospectus (except for the information expressly incorporated herein by reference as described in “Incorporation of Certain Documents by Reference”) and shall not be deemed “filed” under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69850</wp:posOffset>
            </wp:positionV>
            <wp:extent cx="97663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156" w:lineRule="exact"/>
        <w:rPr>
          <w:sz w:val="20"/>
          <w:szCs w:val="20"/>
          <w:color w:val="auto"/>
        </w:rPr>
      </w:pPr>
    </w:p>
    <w:p>
      <w:pPr>
        <w:jc w:val="both"/>
        <w:ind w:left="860" w:right="859"/>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Investing in the securities involves risks. You should carefully consider the information referred to under the heading “Risk Factors” on page </w:t>
      </w:r>
      <w:r>
        <w:rPr>
          <w:rFonts w:ascii="Times New Roman" w:cs="Times New Roman" w:eastAsia="Times New Roman" w:hAnsi="Times New Roman"/>
          <w:sz w:val="16"/>
          <w:szCs w:val="16"/>
          <w:b w:val="1"/>
          <w:bCs w:val="1"/>
          <w:u w:val="single" w:color="auto"/>
          <w:color w:val="0000EE"/>
        </w:rPr>
        <w:t>7</w:t>
      </w:r>
      <w:r>
        <w:rPr>
          <w:rFonts w:ascii="Times New Roman" w:cs="Times New Roman" w:eastAsia="Times New Roman" w:hAnsi="Times New Roman"/>
          <w:sz w:val="16"/>
          <w:szCs w:val="16"/>
          <w:b w:val="1"/>
          <w:bCs w:val="1"/>
          <w:color w:val="auto"/>
        </w:rPr>
        <w:t xml:space="preserve"> of this prospectus and under any similar headings in any applicable prospectus supplement or free writing prospectus and in the documents that are incorporated by reference into this prospectus.</w:t>
      </w:r>
    </w:p>
    <w:p>
      <w:pPr>
        <w:spacing w:after="0" w:line="49" w:lineRule="exact"/>
        <w:rPr>
          <w:sz w:val="20"/>
          <w:szCs w:val="20"/>
          <w:color w:val="auto"/>
        </w:rPr>
      </w:pPr>
    </w:p>
    <w:p>
      <w:pPr>
        <w:jc w:val="both"/>
        <w:ind w:left="860" w:right="859"/>
        <w:spacing w:after="0" w:line="268"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55245</wp:posOffset>
            </wp:positionV>
            <wp:extent cx="97663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976630" cy="762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Prospectus dated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116205</wp:posOffset>
            </wp:positionV>
            <wp:extent cx="622427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68" w:name="page69"/>
    <w:bookmarkEnd w:id="68"/>
    <w:tbl>
      <w:tblPr>
        <w:tblLayout w:type="fixed"/>
        <w:tblInd w:w="760" w:type="dxa"/>
        <w:tblCellMar>
          <w:top w:w="0" w:type="dxa"/>
          <w:left w:w="0" w:type="dxa"/>
          <w:bottom w:w="0" w:type="dxa"/>
          <w:right w:w="0" w:type="dxa"/>
        </w:tblCellMar>
      </w:tblPr>
      <w:tr>
        <w:trPr>
          <w:trHeight w:val="149"/>
        </w:trPr>
        <w:tc>
          <w:tcPr>
            <w:tcW w:w="692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80" w:type="dxa"/>
            <w:vAlign w:val="bottom"/>
            <w:gridSpan w:val="7"/>
          </w:tcPr>
          <w:p>
            <w:pPr>
              <w:ind w:left="3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0000EE"/>
                <w:w w:val="97"/>
              </w:rPr>
              <w:t>ABOUT THIS PROSPECTUS</w:t>
            </w:r>
          </w:p>
        </w:tc>
        <w:tc>
          <w:tcPr>
            <w:tcW w:w="4940" w:type="dxa"/>
            <w:vAlign w:val="bottom"/>
            <w:gridSpan w:val="10"/>
            <w:shd w:val="clear" w:color="auto" w:fill="CCEEFF"/>
          </w:tcPr>
          <w:p>
            <w:pPr>
              <w:spacing w:after="0"/>
              <w:rPr>
                <w:sz w:val="21"/>
                <w:szCs w:val="21"/>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00" w:type="dxa"/>
            <w:vAlign w:val="bottom"/>
            <w:gridSpan w:val="20"/>
          </w:tcPr>
          <w:p>
            <w:pPr>
              <w:spacing w:after="0" w:line="168" w:lineRule="exact"/>
              <w:rPr>
                <w:sz w:val="20"/>
                <w:szCs w:val="20"/>
                <w:color w:val="auto"/>
              </w:rPr>
            </w:pPr>
            <w:r>
              <w:rPr>
                <w:rFonts w:ascii="Times New Roman" w:cs="Times New Roman" w:eastAsia="Times New Roman" w:hAnsi="Times New Roman"/>
                <w:sz w:val="16"/>
                <w:szCs w:val="16"/>
                <w:color w:val="0000EE"/>
              </w:rPr>
              <w:t>WHERE YOU CAN FIND MORE INFORMATION</w:t>
            </w:r>
          </w:p>
        </w:tc>
        <w:tc>
          <w:tcPr>
            <w:tcW w:w="56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6"/>
                <w:szCs w:val="16"/>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480" w:type="dxa"/>
            <w:vAlign w:val="bottom"/>
            <w:gridSpan w:val="1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8"/>
              </w:rPr>
              <w:t>INCORPORATION OF CERTAIN DOCUMENTS BY REFERENCE</w:t>
            </w:r>
          </w:p>
        </w:tc>
        <w:tc>
          <w:tcPr>
            <w:tcW w:w="2420" w:type="dxa"/>
            <w:vAlign w:val="bottom"/>
            <w:gridSpan w:val="2"/>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00" w:type="dxa"/>
            <w:vAlign w:val="bottom"/>
            <w:gridSpan w:val="20"/>
          </w:tcPr>
          <w:p>
            <w:pPr>
              <w:spacing w:after="0" w:line="168" w:lineRule="exact"/>
              <w:rPr>
                <w:sz w:val="20"/>
                <w:szCs w:val="20"/>
                <w:color w:val="auto"/>
              </w:rPr>
            </w:pPr>
            <w:r>
              <w:rPr>
                <w:rFonts w:ascii="Times New Roman" w:cs="Times New Roman" w:eastAsia="Times New Roman" w:hAnsi="Times New Roman"/>
                <w:sz w:val="16"/>
                <w:szCs w:val="16"/>
                <w:color w:val="0000EE"/>
              </w:rPr>
              <w:t>CAUTIONARY LANGUAGE REGARDING FORWARD-LOOKING STATEMENTS</w:t>
            </w:r>
          </w:p>
        </w:tc>
        <w:tc>
          <w:tcPr>
            <w:tcW w:w="56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6"/>
                <w:szCs w:val="16"/>
                <w:color w:val="0000EE"/>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00" w:type="dxa"/>
            <w:vAlign w:val="bottom"/>
            <w:gridSpan w:val="2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OUR COMPANY</w:t>
            </w:r>
          </w:p>
        </w:tc>
        <w:tc>
          <w:tcPr>
            <w:tcW w:w="56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114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99"/>
              </w:rPr>
              <w:t>RISK FACTORS</w:t>
            </w:r>
          </w:p>
        </w:tc>
        <w:tc>
          <w:tcPr>
            <w:tcW w:w="5760" w:type="dxa"/>
            <w:vAlign w:val="bottom"/>
            <w:gridSpan w:val="17"/>
          </w:tcPr>
          <w:p>
            <w:pPr>
              <w:spacing w:after="0"/>
              <w:rPr>
                <w:sz w:val="14"/>
                <w:szCs w:val="14"/>
                <w:color w:val="auto"/>
              </w:rPr>
            </w:pPr>
          </w:p>
        </w:tc>
        <w:tc>
          <w:tcPr>
            <w:tcW w:w="56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6"/>
                <w:szCs w:val="16"/>
                <w:color w:val="0000EE"/>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900" w:type="dxa"/>
            <w:vAlign w:val="bottom"/>
            <w:gridSpan w:val="2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SELLING SECURITYHOLDERS</w:t>
            </w:r>
          </w:p>
        </w:tc>
        <w:tc>
          <w:tcPr>
            <w:tcW w:w="56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200" w:type="dxa"/>
            <w:vAlign w:val="bottom"/>
            <w:gridSpan w:val="12"/>
          </w:tcPr>
          <w:p>
            <w:pPr>
              <w:spacing w:after="0" w:line="168" w:lineRule="exact"/>
              <w:rPr>
                <w:sz w:val="20"/>
                <w:szCs w:val="20"/>
                <w:color w:val="auto"/>
              </w:rPr>
            </w:pPr>
            <w:r>
              <w:rPr>
                <w:rFonts w:ascii="Times New Roman" w:cs="Times New Roman" w:eastAsia="Times New Roman" w:hAnsi="Times New Roman"/>
                <w:sz w:val="16"/>
                <w:szCs w:val="16"/>
                <w:color w:val="0000EE"/>
              </w:rPr>
              <w:t>USE OF PROCEEDS</w:t>
            </w:r>
          </w:p>
        </w:tc>
        <w:tc>
          <w:tcPr>
            <w:tcW w:w="4700" w:type="dxa"/>
            <w:vAlign w:val="bottom"/>
            <w:gridSpan w:val="8"/>
          </w:tcPr>
          <w:p>
            <w:pPr>
              <w:spacing w:after="0"/>
              <w:rPr>
                <w:sz w:val="14"/>
                <w:szCs w:val="14"/>
                <w:color w:val="auto"/>
              </w:rPr>
            </w:pPr>
          </w:p>
        </w:tc>
        <w:tc>
          <w:tcPr>
            <w:tcW w:w="56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6"/>
                <w:szCs w:val="16"/>
                <w:color w:val="0000EE"/>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00" w:type="dxa"/>
            <w:vAlign w:val="bottom"/>
            <w:gridSpan w:val="2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DESCRIPTION OF DEBT SECURITIES AND GUARANTEES</w:t>
            </w:r>
          </w:p>
        </w:tc>
        <w:tc>
          <w:tcPr>
            <w:tcW w:w="56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10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0000EE"/>
            </w:tcBorders>
          </w:tcPr>
          <w:p>
            <w:pPr>
              <w:spacing w:after="0"/>
              <w:rPr>
                <w:sz w:val="14"/>
                <w:szCs w:val="14"/>
                <w:color w:val="auto"/>
              </w:rPr>
            </w:pPr>
          </w:p>
        </w:tc>
        <w:tc>
          <w:tcPr>
            <w:tcW w:w="4160" w:type="dxa"/>
            <w:vAlign w:val="bottom"/>
            <w:tcBorders>
              <w:top w:val="single" w:sz="8" w:color="0000EE"/>
            </w:tcBorders>
            <w:gridSpan w:val="17"/>
          </w:tcPr>
          <w:p>
            <w:pPr>
              <w:spacing w:after="0" w:line="168" w:lineRule="exact"/>
              <w:rPr>
                <w:sz w:val="20"/>
                <w:szCs w:val="20"/>
                <w:color w:val="auto"/>
              </w:rPr>
            </w:pPr>
            <w:r>
              <w:rPr>
                <w:rFonts w:ascii="Times New Roman" w:cs="Times New Roman" w:eastAsia="Times New Roman" w:hAnsi="Times New Roman"/>
                <w:sz w:val="16"/>
                <w:szCs w:val="16"/>
                <w:color w:val="0000EE"/>
              </w:rPr>
              <w:t>DESCRIPTION OF CAPITAL STOCK</w:t>
            </w:r>
          </w:p>
        </w:tc>
        <w:tc>
          <w:tcPr>
            <w:tcW w:w="2740" w:type="dxa"/>
            <w:vAlign w:val="bottom"/>
            <w:tcBorders>
              <w:top w:val="single" w:sz="8" w:color="CCEEFF"/>
            </w:tcBorders>
            <w:gridSpan w:val="3"/>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60" w:type="dxa"/>
            <w:vAlign w:val="bottom"/>
            <w:tcBorders>
              <w:top w:val="single" w:sz="8" w:color="0000EE"/>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21</w:t>
            </w:r>
          </w:p>
        </w:tc>
        <w:tc>
          <w:tcPr>
            <w:tcW w:w="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00" w:type="dxa"/>
            <w:vAlign w:val="bottom"/>
            <w:gridSpan w:val="2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DESCRIPTION OF WARRANTS</w:t>
            </w:r>
          </w:p>
        </w:tc>
        <w:tc>
          <w:tcPr>
            <w:tcW w:w="560" w:type="dxa"/>
            <w:vAlign w:val="bottom"/>
            <w:gridSpan w:val="3"/>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rPr>
              <w:t>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0000EE"/>
            </w:tcBorders>
          </w:tcPr>
          <w:p>
            <w:pPr>
              <w:spacing w:after="0"/>
              <w:rPr>
                <w:sz w:val="14"/>
                <w:szCs w:val="14"/>
                <w:color w:val="auto"/>
              </w:rPr>
            </w:pPr>
          </w:p>
        </w:tc>
        <w:tc>
          <w:tcPr>
            <w:tcW w:w="2180" w:type="dxa"/>
            <w:vAlign w:val="bottom"/>
            <w:tcBorders>
              <w:top w:val="single" w:sz="8" w:color="0000EE"/>
            </w:tcBorders>
            <w:gridSpan w:val="11"/>
          </w:tcPr>
          <w:p>
            <w:pPr>
              <w:spacing w:after="0" w:line="168" w:lineRule="exact"/>
              <w:rPr>
                <w:sz w:val="20"/>
                <w:szCs w:val="20"/>
                <w:color w:val="auto"/>
              </w:rPr>
            </w:pPr>
            <w:r>
              <w:rPr>
                <w:rFonts w:ascii="Times New Roman" w:cs="Times New Roman" w:eastAsia="Times New Roman" w:hAnsi="Times New Roman"/>
                <w:sz w:val="16"/>
                <w:szCs w:val="16"/>
                <w:color w:val="0000EE"/>
              </w:rPr>
              <w:t>DESCRIPTION OF RIGHTS</w:t>
            </w:r>
          </w:p>
        </w:tc>
        <w:tc>
          <w:tcPr>
            <w:tcW w:w="4720" w:type="dxa"/>
            <w:vAlign w:val="bottom"/>
            <w:tcBorders>
              <w:top w:val="single" w:sz="8" w:color="CCEEFF"/>
            </w:tcBorders>
            <w:gridSpan w:val="9"/>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60" w:type="dxa"/>
            <w:vAlign w:val="bottom"/>
            <w:tcBorders>
              <w:top w:val="single" w:sz="8" w:color="0000EE"/>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28</w:t>
            </w:r>
          </w:p>
        </w:tc>
        <w:tc>
          <w:tcPr>
            <w:tcW w:w="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780" w:type="dxa"/>
            <w:vAlign w:val="bottom"/>
            <w:tcBorders>
              <w:bottom w:val="single" w:sz="8" w:color="0000EE"/>
            </w:tcBorders>
            <w:gridSpan w:val="7"/>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7"/>
              </w:rPr>
              <w:t>DESCRIPTION OF UNITS</w:t>
            </w:r>
          </w:p>
        </w:tc>
        <w:tc>
          <w:tcPr>
            <w:tcW w:w="5120" w:type="dxa"/>
            <w:vAlign w:val="bottom"/>
            <w:tcBorders>
              <w:bottom w:val="single" w:sz="8" w:color="CCEEFF"/>
            </w:tcBorders>
            <w:gridSpan w:val="13"/>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29</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00" w:type="dxa"/>
            <w:vAlign w:val="bottom"/>
            <w:gridSpan w:val="20"/>
          </w:tcPr>
          <w:p>
            <w:pPr>
              <w:spacing w:after="0" w:line="168" w:lineRule="exact"/>
              <w:rPr>
                <w:sz w:val="20"/>
                <w:szCs w:val="20"/>
                <w:color w:val="auto"/>
              </w:rPr>
            </w:pPr>
            <w:r>
              <w:rPr>
                <w:rFonts w:ascii="Times New Roman" w:cs="Times New Roman" w:eastAsia="Times New Roman" w:hAnsi="Times New Roman"/>
                <w:sz w:val="16"/>
                <w:szCs w:val="16"/>
                <w:color w:val="0000EE"/>
              </w:rPr>
              <w:t>PLAN OF DISTRIBUTION</w:t>
            </w:r>
          </w:p>
        </w:tc>
        <w:tc>
          <w:tcPr>
            <w:tcW w:w="56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6"/>
                <w:szCs w:val="16"/>
                <w:color w:val="0000EE"/>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280" w:type="dxa"/>
            <w:vAlign w:val="bottom"/>
            <w:tcBorders>
              <w:bottom w:val="single" w:sz="8" w:color="0000EE"/>
            </w:tcBorders>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6"/>
              </w:rPr>
              <w:t>LEGAL MATTERS</w:t>
            </w:r>
          </w:p>
        </w:tc>
        <w:tc>
          <w:tcPr>
            <w:tcW w:w="5620" w:type="dxa"/>
            <w:vAlign w:val="bottom"/>
            <w:tcBorders>
              <w:bottom w:val="single" w:sz="8" w:color="CCEEFF"/>
            </w:tcBorders>
            <w:gridSpan w:val="16"/>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33</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900" w:type="dxa"/>
            <w:vAlign w:val="bottom"/>
            <w:gridSpan w:val="20"/>
          </w:tcPr>
          <w:p>
            <w:pPr>
              <w:spacing w:after="0" w:line="168" w:lineRule="exact"/>
              <w:rPr>
                <w:sz w:val="20"/>
                <w:szCs w:val="20"/>
                <w:color w:val="auto"/>
              </w:rPr>
            </w:pPr>
            <w:r>
              <w:rPr>
                <w:rFonts w:ascii="Times New Roman" w:cs="Times New Roman" w:eastAsia="Times New Roman" w:hAnsi="Times New Roman"/>
                <w:sz w:val="16"/>
                <w:szCs w:val="16"/>
                <w:color w:val="0000EE"/>
              </w:rPr>
              <w:t>EXPERTS</w:t>
            </w:r>
          </w:p>
        </w:tc>
        <w:tc>
          <w:tcPr>
            <w:tcW w:w="56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6"/>
                <w:szCs w:val="16"/>
                <w:color w:val="0000EE"/>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0000EE"/>
            </w:tcBorders>
            <w:vMerge w:val="restart"/>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3020" w:type="dxa"/>
            <w:vAlign w:val="bottom"/>
            <w:tcBorders>
              <w:bottom w:val="single" w:sz="8" w:color="0000EE"/>
            </w:tcBorders>
            <w:gridSpan w:val="1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8"/>
              </w:rPr>
              <w:t>ENFORCEABILITY OF CIVIL LIABILITIES</w:t>
            </w:r>
          </w:p>
        </w:tc>
        <w:tc>
          <w:tcPr>
            <w:tcW w:w="3880" w:type="dxa"/>
            <w:vAlign w:val="bottom"/>
            <w:tcBorders>
              <w:bottom w:val="single" w:sz="8" w:color="CCEEFF"/>
            </w:tcBorders>
            <w:gridSpan w:val="6"/>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35</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0000EE"/>
            </w:tcBorders>
          </w:tcPr>
          <w:p>
            <w:pPr>
              <w:spacing w:after="0"/>
              <w:rPr>
                <w:sz w:val="14"/>
                <w:szCs w:val="14"/>
                <w:color w:val="auto"/>
              </w:rPr>
            </w:pPr>
          </w:p>
        </w:tc>
        <w:tc>
          <w:tcPr>
            <w:tcW w:w="3500" w:type="dxa"/>
            <w:vAlign w:val="bottom"/>
            <w:tcBorders>
              <w:bottom w:val="single" w:sz="8" w:color="0000EE"/>
            </w:tcBorders>
            <w:gridSpan w:val="16"/>
          </w:tcPr>
          <w:p>
            <w:pPr>
              <w:spacing w:after="0" w:line="168" w:lineRule="exact"/>
              <w:rPr>
                <w:sz w:val="20"/>
                <w:szCs w:val="20"/>
                <w:color w:val="auto"/>
              </w:rPr>
            </w:pPr>
            <w:r>
              <w:rPr>
                <w:rFonts w:ascii="Times New Roman" w:cs="Times New Roman" w:eastAsia="Times New Roman" w:hAnsi="Times New Roman"/>
                <w:sz w:val="16"/>
                <w:szCs w:val="16"/>
                <w:color w:val="0000EE"/>
                <w:w w:val="97"/>
              </w:rPr>
              <w:t>CERTAIN INSOLVENCY LAW CONSIDERATIONS</w:t>
            </w:r>
          </w:p>
        </w:tc>
        <w:tc>
          <w:tcPr>
            <w:tcW w:w="3400" w:type="dxa"/>
            <w:vAlign w:val="bottom"/>
            <w:gridSpan w:val="4"/>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0000EE"/>
                <w:w w:val="87"/>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69" w:name="page70"/>
    <w:bookmarkEnd w:id="69"/>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06" w:lineRule="exact"/>
        <w:rPr>
          <w:sz w:val="20"/>
          <w:szCs w:val="20"/>
          <w:color w:val="auto"/>
        </w:rPr>
      </w:pPr>
    </w:p>
    <w:p>
      <w:pPr>
        <w:jc w:val="both"/>
        <w:ind w:left="760" w:right="759"/>
        <w:spacing w:after="0" w:line="252" w:lineRule="auto"/>
        <w:rPr>
          <w:sz w:val="20"/>
          <w:szCs w:val="20"/>
          <w:color w:val="auto"/>
        </w:rPr>
      </w:pPr>
      <w:r>
        <w:rPr>
          <w:rFonts w:ascii="Times New Roman" w:cs="Times New Roman" w:eastAsia="Times New Roman" w:hAnsi="Times New Roman"/>
          <w:sz w:val="16"/>
          <w:szCs w:val="16"/>
          <w:color w:val="auto"/>
        </w:rPr>
        <w:t xml:space="preserve">This prospectus is a part of a registration statement on Form S-3 (the “Registration Statement”) that we filed with the U.S. Securities and Exchange Commission (the “SEC”) as a “well-known seasoned issuer” (“WKSI”) as defined in Rule 405 of the Securities Act of 1933, as amended (the “Securities Act”), using an automatic “shelf” registration process. By registering securities under the Registration Statement using this process, we or any selling securityholder may offer and sell any combination of the securities described in this prospectus from time to time in one or more offerings in any manner described under the heading “Plan of Distribution” in this prospectus. This prospectus provides you with a general description of the securities we or any selling securityholder may offer. Each time we sell securities, we will provide a prospectus supplement containing specific information about the terms of the applicable offering. We may also provide one or more free writing prospectuses containing material information relating to the applicable offering. Any prospectus supplement or free writing prospectus that we provide you may add to, update or change the information in this prospectus or in any documents incorporated by reference in this prospectus. If there is any inconsistency between the information in this prospectus and any prospectus supplement or free writing prospectus, you should rely on the information in such prospectus supplement or free writing prospectus;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information in any of these documents is inconsistent with any information in another document having a later date, the information in the document having the later date modifies or supersedes, as applicable, the information in the document having an earlier date. You should read carefully this prospectus and any prospectus supplement or free writing prospectus together with the additional information described under the headings “Where You Can Find More Information” and “Incorporation of Certain Documents by Reference” in this prospectus.</w:t>
      </w:r>
    </w:p>
    <w:p>
      <w:pPr>
        <w:spacing w:after="0" w:line="77" w:lineRule="exact"/>
        <w:rPr>
          <w:sz w:val="20"/>
          <w:szCs w:val="20"/>
          <w:color w:val="auto"/>
        </w:rPr>
      </w:pPr>
    </w:p>
    <w:p>
      <w:pPr>
        <w:jc w:val="both"/>
        <w:ind w:left="760" w:right="759"/>
        <w:spacing w:after="0" w:line="255" w:lineRule="auto"/>
        <w:rPr>
          <w:sz w:val="20"/>
          <w:szCs w:val="20"/>
          <w:color w:val="auto"/>
        </w:rPr>
      </w:pPr>
      <w:r>
        <w:rPr>
          <w:rFonts w:ascii="Times New Roman" w:cs="Times New Roman" w:eastAsia="Times New Roman" w:hAnsi="Times New Roman"/>
          <w:sz w:val="16"/>
          <w:szCs w:val="16"/>
          <w:color w:val="auto"/>
        </w:rPr>
        <w:t>The securities may be offered directly by us or any selling securityholder, as applicable, through one or more underwriters, dealers or agents or directly to purchasers, or through a combination of such methods, on a continuous or delayed basis. The names of any underwriters, dealers or agents and any purchase price, fee, commission or discount arrangement between us or any selling securityholder and them or among them will be set forth, or will be calculable from the information set forth, in the applicable prospectus supplement or free writing prospectus. See “Plan of Distribution” for more information. No securities may be sold without delivery of this prospectus and the applicable prospectus supplement or free writing prospectus describing the method and terms of the offering of such series of securities.</w:t>
      </w:r>
    </w:p>
    <w:p>
      <w:pPr>
        <w:spacing w:after="0" w:line="68" w:lineRule="exact"/>
        <w:rPr>
          <w:sz w:val="20"/>
          <w:szCs w:val="20"/>
          <w:color w:val="auto"/>
        </w:rPr>
      </w:pPr>
    </w:p>
    <w:p>
      <w:pPr>
        <w:jc w:val="both"/>
        <w:ind w:left="760" w:right="759"/>
        <w:spacing w:after="0" w:line="254" w:lineRule="auto"/>
        <w:rPr>
          <w:sz w:val="20"/>
          <w:szCs w:val="20"/>
          <w:color w:val="auto"/>
        </w:rPr>
      </w:pPr>
      <w:r>
        <w:rPr>
          <w:rFonts w:ascii="Times New Roman" w:cs="Times New Roman" w:eastAsia="Times New Roman" w:hAnsi="Times New Roman"/>
          <w:sz w:val="16"/>
          <w:szCs w:val="16"/>
          <w:b w:val="1"/>
          <w:bCs w:val="1"/>
          <w:color w:val="auto"/>
        </w:rPr>
        <w:t>We are responsible for the information contained in this prospectus and any prospectus supplement or free writing prospectus or incorporated by reference herein or therein. We have not authorized anyone to provide you with information or make any representation that is different from or inconsistent with, or in addition to, such information and we take no responsibility for any other information that others may give you. You should not assume that the information contained or incorporated by reference in this prospectus or any prospectus supplement or free writing prospectus is correct as of any date after the date of the document containing the information. Since the respective dates of the prospectus contained in the Registration Statement and any prospectus supplement or free writing prospectus, our business, financial condition, results of operations and prospects may have changed. Except as required by law, we undertake no obligation to update any information contained or incorporated by reference herein for revisions or changes after the date of this prospectus.</w:t>
      </w:r>
    </w:p>
    <w:p>
      <w:pPr>
        <w:spacing w:after="0" w:line="68" w:lineRule="exact"/>
        <w:rPr>
          <w:sz w:val="20"/>
          <w:szCs w:val="20"/>
          <w:color w:val="auto"/>
        </w:rPr>
      </w:pPr>
    </w:p>
    <w:p>
      <w:pPr>
        <w:jc w:val="both"/>
        <w:ind w:left="760" w:right="779"/>
        <w:spacing w:after="0" w:line="262" w:lineRule="auto"/>
        <w:rPr>
          <w:sz w:val="20"/>
          <w:szCs w:val="20"/>
          <w:color w:val="auto"/>
        </w:rPr>
      </w:pPr>
      <w:r>
        <w:rPr>
          <w:rFonts w:ascii="Times New Roman" w:cs="Times New Roman" w:eastAsia="Times New Roman" w:hAnsi="Times New Roman"/>
          <w:sz w:val="16"/>
          <w:szCs w:val="16"/>
          <w:b w:val="1"/>
          <w:bCs w:val="1"/>
          <w:color w:val="auto"/>
        </w:rPr>
        <w:t>This prospectus and any prospectus supplement or free writing prospectus do not constitute an offer to sell, or a solicitation of an offer to buy, any securities other than the securities registered pursuant to the Registration Statement and do not constitute an offer to sell, or a solicitation of an offer to buy, any securities in any jurisdiction in which, or from any person to whom, it is unlawful to make such an offer or solicitation.</w:t>
      </w:r>
    </w:p>
    <w:p>
      <w:pPr>
        <w:spacing w:after="0" w:line="64"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In this prospectus, unless otherwise indicated herein or the context otherwise indicates, the terms the “Company,” “Viatris,” “our,” “us” and “we” refer to Viatris Inc., a Delaware corporation, and, where appropriate, its consolidated subsidiaries, except where it is clear from the context that the terms mean only Viatris Inc. “Utah Acquisition Sub Inc.” refers to Utah Acquisition Sub Inc., a Delaware corporation, and, where appropriate, its consolidated subsidiaries, except where it is clear from the context that the term means only Utah Acquisition Sub Inc. “Mylan II B.V.” refers to Mylan II B.V., a private limited liability company (</w:t>
      </w:r>
      <w:r>
        <w:rPr>
          <w:rFonts w:ascii="Times New Roman" w:cs="Times New Roman" w:eastAsia="Times New Roman" w:hAnsi="Times New Roman"/>
          <w:sz w:val="16"/>
          <w:szCs w:val="16"/>
          <w:i w:val="1"/>
          <w:iCs w:val="1"/>
          <w:color w:val="auto"/>
        </w:rPr>
        <w:t>besloten vennootschap met beperkte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aansprakelijkheid</w:t>
      </w:r>
      <w:r>
        <w:rPr>
          <w:rFonts w:ascii="Times New Roman" w:cs="Times New Roman" w:eastAsia="Times New Roman" w:hAnsi="Times New Roman"/>
          <w:sz w:val="16"/>
          <w:szCs w:val="16"/>
          <w:color w:val="auto"/>
        </w:rPr>
        <w:t>) incorporated and existing under the laws of the Netherlands, and, where appropriate,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subsidiaries, except where it is clear from the context that the term means only Mylan II B.V. “Mylan Inc.” refers to Mylan Inc., a Pennsylvania corporation, and, where appropriate, its consolidated subsidiaries, except where it is clear from the context that the term means only Mylan Inc. Unless otherwise indicated in this prospectus or the context otherwise indicates, the “guarantors” means Utah Acquisition Sub Inc., Mylan II B.V. and Mylan Inc.</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0" w:name="page71"/>
    <w:bookmarkEnd w:id="70"/>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06" w:lineRule="exact"/>
        <w:rPr>
          <w:sz w:val="20"/>
          <w:szCs w:val="20"/>
          <w:color w:val="auto"/>
        </w:rPr>
      </w:pPr>
    </w:p>
    <w:p>
      <w:pPr>
        <w:jc w:val="both"/>
        <w:ind w:left="760" w:right="759"/>
        <w:spacing w:after="0" w:line="255" w:lineRule="auto"/>
        <w:rPr>
          <w:sz w:val="20"/>
          <w:szCs w:val="20"/>
          <w:color w:val="auto"/>
        </w:rPr>
      </w:pPr>
      <w:r>
        <w:rPr>
          <w:rFonts w:ascii="Times New Roman" w:cs="Times New Roman" w:eastAsia="Times New Roman" w:hAnsi="Times New Roman"/>
          <w:sz w:val="16"/>
          <w:szCs w:val="16"/>
          <w:color w:val="auto"/>
        </w:rPr>
        <w:t>Viatris files annual, quarterly and current reports, proxy statements and other information with the SEC under the Exchange Act. The SEC maintains an Internet website from which interested parties can electronically access our SEC filings, including the Registration Statement of which this prospectus is a part and the exhibits and schedules thereto. The address of that site is http://www.sec.gov. We also make available free of charge on our Internet website address, www.viatris.com, all materials that we electronically file with the SEC. The contents of the SEC’s website and our website are not incorporated by reference in this prospectus (except for the information expressly incorporated herein by reference as described in “Incorporation of Certain Documents by Reference”) and shall not be deemed “filed” under the Exchange Act.</w:t>
      </w:r>
    </w:p>
    <w:p>
      <w:pPr>
        <w:spacing w:after="0" w:line="70"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We have filed with the SEC the Registration Statement, including exhibits and schedules to the Registration Statement, of which this prospectus is a part, under the Securities Act, pursuant to which the securities offered by this prospectus are registered. This prospectus does not contain all of the information set forth in the Registration Statement or the exhibits and schedules thereto, as permitted by the rules and regulations of the SEC. For further information about us and the securities, you should refer to the Registration Statement, of which this prospectus is a part, including the exhibits and schedules to the Registration Statement. This prospectus and any prospectus supplement or free writing prospectus summarize what we consider to be material provisions of certain documents. Statements contained in this prospectus or any prospectus supplement or free writing prospectus as to the contents of any contract or other document referred to in this prospectus or any prospectus supplement or free writing prospectus are not necessarily complete and, where that contract or other document is an exhibit to the Registration Statement or incorporated by reference therein, each statement is qualified in all respects by the exhibit or incorporated document to which the reference relates.</w:t>
      </w:r>
    </w:p>
    <w:p>
      <w:pPr>
        <w:spacing w:after="0" w:line="75" w:lineRule="exact"/>
        <w:rPr>
          <w:sz w:val="20"/>
          <w:szCs w:val="20"/>
          <w:color w:val="auto"/>
        </w:rPr>
      </w:pPr>
    </w:p>
    <w:p>
      <w:pPr>
        <w:jc w:val="both"/>
        <w:ind w:left="760" w:right="759"/>
        <w:spacing w:after="0" w:line="256" w:lineRule="auto"/>
        <w:rPr>
          <w:sz w:val="20"/>
          <w:szCs w:val="20"/>
          <w:color w:val="auto"/>
        </w:rPr>
      </w:pPr>
      <w:r>
        <w:rPr>
          <w:rFonts w:ascii="Times New Roman" w:cs="Times New Roman" w:eastAsia="Times New Roman" w:hAnsi="Times New Roman"/>
          <w:sz w:val="16"/>
          <w:szCs w:val="16"/>
          <w:color w:val="auto"/>
        </w:rPr>
        <w:t>Moreover, the documents included as exhibits to the Registration Statement of which this prospectus forms a part or incorporated by reference into this prospectus or the applicable prospectus supplement or free writing prospectus are intended to provide you with information regarding the terms of such documents and not to provide any other factual or disclosure information about us or the other parties to such documents. Such documents may contain representations, warranties, covenants and other agreements by each of the parties to the applicable document. These representations, warranties, covenants and other agreements have been made solely for the benefit of the other parties to the applicable document and:</w:t>
      </w:r>
    </w:p>
    <w:p>
      <w:pPr>
        <w:spacing w:after="0" w:line="68" w:lineRule="exact"/>
        <w:rPr>
          <w:sz w:val="20"/>
          <w:szCs w:val="20"/>
          <w:color w:val="auto"/>
        </w:rPr>
      </w:pPr>
    </w:p>
    <w:p>
      <w:pPr>
        <w:ind w:left="1380" w:right="779" w:hanging="304"/>
        <w:spacing w:after="0" w:line="282" w:lineRule="auto"/>
        <w:tabs>
          <w:tab w:leader="none" w:pos="1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should not in any instance be treated as categorical statements of fact, but rather as a way of allocating the risk among the parties to such documents if those statements prove to be inaccurate;</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be qualified by disclosures that were made to the other party in connection with the negotiation of the applicable document, which disclosures are not necessarily reflected in the document;</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apply standards of materiality in ways that are different from what may be viewed as material to you or other investors; and</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were made only as of the date of the applicable document or such other date or dates as may be specified in the document and are subject to more recent developments.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1" w:name="page72"/>
    <w:bookmarkEnd w:id="71"/>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OF CERTAIN DOCUMENTS BY REFERENCE</w:t>
      </w:r>
    </w:p>
    <w:p>
      <w:pPr>
        <w:spacing w:after="0" w:line="106"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We “incorporate by reference” certain information into this prospectus from certain documents that Viatris has filed with the SEC. This information is considered to be part of this prospectus, except for any information that is superseded or modified by information included directly in this prospectus. This prospectus incorporates by reference the documents set forth below (other than information furnished pursuant to Item 2.02 or Item 7.01 of a Current Report on Form 8-K) that Viatris has previously filed with the SEC. These documents contain important information about us, including our financial condition, results of operations and descriptions of our businesses.</w:t>
      </w:r>
    </w:p>
    <w:p>
      <w:pPr>
        <w:spacing w:after="0" w:line="67" w:lineRule="exact"/>
        <w:rPr>
          <w:sz w:val="20"/>
          <w:szCs w:val="20"/>
          <w:color w:val="auto"/>
        </w:rPr>
      </w:pPr>
    </w:p>
    <w:p>
      <w:pPr>
        <w:ind w:left="1380" w:right="779" w:hanging="304"/>
        <w:spacing w:after="0" w:line="282" w:lineRule="auto"/>
        <w:tabs>
          <w:tab w:leader="none" w:pos="1380" w:val="left"/>
        </w:tabs>
        <w:numPr>
          <w:ilvl w:val="0"/>
          <w:numId w:val="60"/>
        </w:numPr>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auto"/>
          </w:rPr>
          <w:t xml:space="preserve">Annual Report on Form 10-K of Viatris for the year ended December 31, 2024, filed on </w:t>
        </w:r>
        <w:r>
          <w:rPr>
            <w:rFonts w:ascii="Times New Roman" w:cs="Times New Roman" w:eastAsia="Times New Roman" w:hAnsi="Times New Roman"/>
            <w:sz w:val="16"/>
            <w:szCs w:val="16"/>
            <w:u w:val="single" w:color="auto"/>
            <w:color w:val="0000EE"/>
          </w:rPr>
          <w:t>February 27,</w:t>
        </w:r>
      </w:hyperlink>
      <w:r>
        <w:rPr>
          <w:rFonts w:ascii="Times New Roman" w:cs="Times New Roman" w:eastAsia="Times New Roman" w:hAnsi="Times New Roman"/>
          <w:sz w:val="16"/>
          <w:szCs w:val="16"/>
          <w:color w:val="auto"/>
        </w:rPr>
        <w:t xml:space="preserve"> </w:t>
      </w:r>
      <w:hyperlink r:id="rId90">
        <w:r>
          <w:rPr>
            <w:rFonts w:ascii="Times New Roman" w:cs="Times New Roman" w:eastAsia="Times New Roman" w:hAnsi="Times New Roman"/>
            <w:sz w:val="16"/>
            <w:szCs w:val="16"/>
            <w:u w:val="single" w:color="auto"/>
            <w:color w:val="0000EE"/>
          </w:rPr>
          <w:t>2025</w:t>
        </w:r>
        <w:r>
          <w:rPr>
            <w:rFonts w:ascii="Times New Roman" w:cs="Times New Roman" w:eastAsia="Times New Roman" w:hAnsi="Times New Roman"/>
            <w:sz w:val="16"/>
            <w:szCs w:val="16"/>
            <w:color w:val="000000"/>
          </w:rPr>
          <w:t>, as amended by Amendment No. 1 on Form 10-K/A, filed on</w:t>
        </w:r>
        <w:r>
          <w:rPr>
            <w:rFonts w:ascii="Times New Roman" w:cs="Times New Roman" w:eastAsia="Times New Roman" w:hAnsi="Times New Roman"/>
            <w:sz w:val="16"/>
            <w:szCs w:val="16"/>
            <w:color w:val="0000EE"/>
          </w:rPr>
          <w:t xml:space="preserve"> </w:t>
        </w:r>
      </w:hyperlink>
      <w:hyperlink r:id="rId91">
        <w:r>
          <w:rPr>
            <w:rFonts w:ascii="Times New Roman" w:cs="Times New Roman" w:eastAsia="Times New Roman" w:hAnsi="Times New Roman"/>
            <w:sz w:val="16"/>
            <w:szCs w:val="16"/>
            <w:u w:val="single" w:color="auto"/>
            <w:color w:val="0000EE"/>
          </w:rPr>
          <w:t>April 30, 2025</w:t>
        </w:r>
      </w:hyperlink>
      <w:hyperlink r:id="rId90">
        <w:r>
          <w:rPr>
            <w:rFonts w:ascii="Times New Roman" w:cs="Times New Roman" w:eastAsia="Times New Roman" w:hAnsi="Times New Roman"/>
            <w:sz w:val="16"/>
            <w:szCs w:val="16"/>
            <w:color w:val="000000"/>
          </w:rPr>
          <w:t>;</w:t>
        </w:r>
      </w:hyperlink>
    </w:p>
    <w:p>
      <w:pPr>
        <w:spacing w:after="0" w:line="48" w:lineRule="exact"/>
        <w:rPr>
          <w:rFonts w:ascii="Times New Roman" w:cs="Times New Roman" w:eastAsia="Times New Roman" w:hAnsi="Times New Roman"/>
          <w:sz w:val="16"/>
          <w:szCs w:val="16"/>
          <w:color w:val="0000EE"/>
        </w:rPr>
      </w:pPr>
    </w:p>
    <w:p>
      <w:pPr>
        <w:ind w:left="1380" w:hanging="304"/>
        <w:spacing w:after="0"/>
        <w:tabs>
          <w:tab w:leader="none" w:pos="1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Quarterly Report on Form 10-Q of Viatris for the quarter ended March 31, 2025, filed on </w:t>
      </w:r>
      <w:hyperlink r:id="rId92">
        <w:r>
          <w:rPr>
            <w:rFonts w:ascii="Times New Roman" w:cs="Times New Roman" w:eastAsia="Times New Roman" w:hAnsi="Times New Roman"/>
            <w:sz w:val="16"/>
            <w:szCs w:val="16"/>
            <w:u w:val="single" w:color="auto"/>
            <w:color w:val="0000EE"/>
          </w:rPr>
          <w:t>May 8, 2025</w:t>
        </w:r>
      </w:hyperlink>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Current Reports on Form 8-K of Viatris, filed on </w:t>
      </w:r>
      <w:hyperlink r:id="rId93">
        <w:r>
          <w:rPr>
            <w:rFonts w:ascii="Times New Roman" w:cs="Times New Roman" w:eastAsia="Times New Roman" w:hAnsi="Times New Roman"/>
            <w:sz w:val="16"/>
            <w:szCs w:val="16"/>
            <w:u w:val="single" w:color="auto"/>
            <w:color w:val="0000EE"/>
          </w:rPr>
          <w:t>February 27, 2025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(Item 8.01 only), </w:t>
      </w:r>
      <w:hyperlink r:id="rId94">
        <w:r>
          <w:rPr>
            <w:rFonts w:ascii="Times New Roman" w:cs="Times New Roman" w:eastAsia="Times New Roman" w:hAnsi="Times New Roman"/>
            <w:sz w:val="16"/>
            <w:szCs w:val="16"/>
            <w:u w:val="single" w:color="auto"/>
            <w:color w:val="0000EE"/>
          </w:rPr>
          <w:t>May 5, 2025</w:t>
        </w:r>
      </w:hyperlink>
      <w:r>
        <w:rPr>
          <w:rFonts w:ascii="Times New Roman" w:cs="Times New Roman" w:eastAsia="Times New Roman" w:hAnsi="Times New Roman"/>
          <w:sz w:val="16"/>
          <w:szCs w:val="16"/>
          <w:color w:val="auto"/>
        </w:rPr>
        <w:t xml:space="preserve"> (Item 5.02 only) and </w:t>
      </w:r>
      <w:hyperlink r:id="rId95">
        <w:r>
          <w:rPr>
            <w:rFonts w:ascii="Times New Roman" w:cs="Times New Roman" w:eastAsia="Times New Roman" w:hAnsi="Times New Roman"/>
            <w:sz w:val="16"/>
            <w:szCs w:val="16"/>
            <w:u w:val="single" w:color="auto"/>
            <w:color w:val="0000EE"/>
          </w:rPr>
          <w:t>May 8, 2025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(Item 8.01 only); and</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our capital stock contained in </w:t>
      </w:r>
      <w:hyperlink r:id="rId96">
        <w:r>
          <w:rPr>
            <w:rFonts w:ascii="Times New Roman" w:cs="Times New Roman" w:eastAsia="Times New Roman" w:hAnsi="Times New Roman"/>
            <w:sz w:val="16"/>
            <w:szCs w:val="16"/>
            <w:u w:val="single" w:color="auto"/>
            <w:color w:val="0000EE"/>
          </w:rPr>
          <w:t>Exhibit 4.9</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to the Annual Report on Form 10-K of Viatris for the year ended December 31, 2023, filed on </w:t>
      </w:r>
      <w:hyperlink r:id="rId97">
        <w:r>
          <w:rPr>
            <w:rFonts w:ascii="Times New Roman" w:cs="Times New Roman" w:eastAsia="Times New Roman" w:hAnsi="Times New Roman"/>
            <w:sz w:val="16"/>
            <w:szCs w:val="16"/>
            <w:u w:val="single" w:color="auto"/>
            <w:color w:val="0000EE"/>
          </w:rPr>
          <w:t>February 28, 2024</w:t>
        </w:r>
      </w:hyperlink>
      <w:r>
        <w:rPr>
          <w:rFonts w:ascii="Times New Roman" w:cs="Times New Roman" w:eastAsia="Times New Roman" w:hAnsi="Times New Roman"/>
          <w:sz w:val="16"/>
          <w:szCs w:val="16"/>
          <w:color w:val="auto"/>
        </w:rPr>
        <w:t>, as supplemented by any subsequent amendments and reports filed for the purpose of updating such description.</w:t>
      </w:r>
    </w:p>
    <w:p>
      <w:pPr>
        <w:spacing w:after="0" w:line="61" w:lineRule="exact"/>
        <w:rPr>
          <w:rFonts w:ascii="Times New Roman" w:cs="Times New Roman" w:eastAsia="Times New Roman" w:hAnsi="Times New Roman"/>
          <w:sz w:val="16"/>
          <w:szCs w:val="16"/>
          <w:color w:val="auto"/>
        </w:rPr>
      </w:pPr>
    </w:p>
    <w:p>
      <w:pPr>
        <w:jc w:val="both"/>
        <w:ind w:left="760" w:right="779"/>
        <w:spacing w:after="0" w:line="258" w:lineRule="auto"/>
        <w:rPr>
          <w:sz w:val="20"/>
          <w:szCs w:val="20"/>
          <w:color w:val="auto"/>
        </w:rPr>
      </w:pPr>
      <w:r>
        <w:rPr>
          <w:rFonts w:ascii="Times New Roman" w:cs="Times New Roman" w:eastAsia="Times New Roman" w:hAnsi="Times New Roman"/>
          <w:sz w:val="16"/>
          <w:szCs w:val="16"/>
          <w:color w:val="auto"/>
        </w:rPr>
        <w:t>In addition, we hereby further incorporate by reference into this prospectus additional documents that Viatris may file with the SEC pursuant to Sections 13(a), 13(c), 14 or 15(d) of the Exchange Act on and after the date of this prospectus until all of the securities offered pursuant to this prospectus have been sold or the offering of such securities hereunder has been terminated (other than any report or document, or portion of a report or document, that is furnished under applicable SEC rules rather than “filed”).</w:t>
      </w:r>
    </w:p>
    <w:p>
      <w:pPr>
        <w:spacing w:after="0" w:line="68" w:lineRule="exact"/>
        <w:rPr>
          <w:rFonts w:ascii="Times New Roman" w:cs="Times New Roman" w:eastAsia="Times New Roman" w:hAnsi="Times New Roman"/>
          <w:sz w:val="16"/>
          <w:szCs w:val="16"/>
          <w:color w:val="auto"/>
        </w:rPr>
      </w:pPr>
    </w:p>
    <w:p>
      <w:pPr>
        <w:jc w:val="both"/>
        <w:ind w:left="760" w:right="779"/>
        <w:spacing w:after="0" w:line="258" w:lineRule="auto"/>
        <w:rPr>
          <w:sz w:val="20"/>
          <w:szCs w:val="20"/>
          <w:color w:val="auto"/>
        </w:rPr>
      </w:pPr>
      <w:r>
        <w:rPr>
          <w:rFonts w:ascii="Times New Roman" w:cs="Times New Roman" w:eastAsia="Times New Roman" w:hAnsi="Times New Roman"/>
          <w:sz w:val="16"/>
          <w:szCs w:val="16"/>
          <w:color w:val="auto"/>
        </w:rPr>
        <w:t>Any statement contained herein or in any document incorporated by reference herein shall be deemed modified or superseded for purposes of this prospectus to the extent that a statement contained herein or in any subsequently filed document which is also incorporated by reference herein modifies or supersedes such statement. Any such statement so modified or superseded shall not be deemed to constitute a part of this prospectus, except as so modified or superseded.</w:t>
      </w:r>
    </w:p>
    <w:p>
      <w:pPr>
        <w:spacing w:after="0" w:line="68" w:lineRule="exact"/>
        <w:rPr>
          <w:rFonts w:ascii="Times New Roman" w:cs="Times New Roman" w:eastAsia="Times New Roman" w:hAnsi="Times New Roman"/>
          <w:sz w:val="16"/>
          <w:szCs w:val="16"/>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You can obtain any of the documents incorporated by reference into this prospectus from the SEC, through the SEC’s website at the address described above or from us by requesting them in writing or by telephone at the following address:</w:t>
      </w:r>
    </w:p>
    <w:p>
      <w:pPr>
        <w:spacing w:after="0" w:line="109" w:lineRule="exact"/>
        <w:rPr>
          <w:rFonts w:ascii="Times New Roman" w:cs="Times New Roman" w:eastAsia="Times New Roman" w:hAnsi="Times New Roman"/>
          <w:sz w:val="16"/>
          <w:szCs w:val="16"/>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Viatris Inc.</w:t>
      </w:r>
    </w:p>
    <w:p>
      <w:pPr>
        <w:spacing w:after="0" w:line="25" w:lineRule="exact"/>
        <w:rPr>
          <w:rFonts w:ascii="Times New Roman" w:cs="Times New Roman" w:eastAsia="Times New Roman" w:hAnsi="Times New Roman"/>
          <w:sz w:val="16"/>
          <w:szCs w:val="16"/>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Attention: Investor Relations</w:t>
      </w:r>
    </w:p>
    <w:p>
      <w:pPr>
        <w:spacing w:after="0" w:line="8" w:lineRule="exact"/>
        <w:rPr>
          <w:rFonts w:ascii="Times New Roman" w:cs="Times New Roman" w:eastAsia="Times New Roman" w:hAnsi="Times New Roman"/>
          <w:sz w:val="16"/>
          <w:szCs w:val="16"/>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1000 Mylan Boulevard</w:t>
      </w:r>
    </w:p>
    <w:p>
      <w:pPr>
        <w:spacing w:after="0" w:line="8" w:lineRule="exact"/>
        <w:rPr>
          <w:rFonts w:ascii="Times New Roman" w:cs="Times New Roman" w:eastAsia="Times New Roman" w:hAnsi="Times New Roman"/>
          <w:sz w:val="16"/>
          <w:szCs w:val="16"/>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Canonsburg, Pennsylvania 15317</w:t>
      </w:r>
    </w:p>
    <w:p>
      <w:pPr>
        <w:spacing w:after="0" w:line="8"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Tel: (724) 514-1800</w:t>
      </w:r>
    </w:p>
    <w:p>
      <w:pPr>
        <w:spacing w:after="0" w:line="88" w:lineRule="exact"/>
        <w:rPr>
          <w:rFonts w:ascii="Times New Roman" w:cs="Times New Roman" w:eastAsia="Times New Roman" w:hAnsi="Times New Roman"/>
          <w:sz w:val="16"/>
          <w:szCs w:val="16"/>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We will furnish without charge to each person, including any beneficial owner of our securities, to whom a copy of this prospectus is delivered, upon written or oral request, a copy of the information that has been incorporated into this prospectus by reference but not delivered with the prospectus, excluding any exhibits other than those that are specifically incorporated by reference into this prospectus.</w:t>
      </w:r>
    </w:p>
    <w:p>
      <w:pPr>
        <w:spacing w:after="0" w:line="161"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2" w:name="page73"/>
    <w:bookmarkEnd w:id="72"/>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CAUTIONARY LANGUAGE REGARDING FORWARD-LOOKING STATEMENTS</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This prospectus, and the documents incorporated herein by reference, contain “forward-looking statements.”</w:t>
      </w:r>
    </w:p>
    <w:p>
      <w:pPr>
        <w:spacing w:after="0" w:line="104" w:lineRule="exact"/>
        <w:rPr>
          <w:sz w:val="20"/>
          <w:szCs w:val="20"/>
          <w:color w:val="auto"/>
        </w:rPr>
      </w:pPr>
    </w:p>
    <w:p>
      <w:pPr>
        <w:jc w:val="both"/>
        <w:ind w:left="760" w:right="759"/>
        <w:spacing w:after="0" w:line="252" w:lineRule="auto"/>
        <w:rPr>
          <w:sz w:val="20"/>
          <w:szCs w:val="20"/>
          <w:color w:val="auto"/>
        </w:rPr>
      </w:pPr>
      <w:r>
        <w:rPr>
          <w:rFonts w:ascii="Times New Roman" w:cs="Times New Roman" w:eastAsia="Times New Roman" w:hAnsi="Times New Roman"/>
          <w:sz w:val="16"/>
          <w:szCs w:val="16"/>
          <w:color w:val="auto"/>
        </w:rPr>
        <w:t>These statements are made pursuant to the safe harbor provisions of the Private Securities Litigation Reform Act of 1995. Such forward-looking statements may include, without limitation, statements about the offering of securities registered hereunder, the goals or outlooks with respect to the Company’s strategic initiatives and priorities, including but not limited to divestitures, acquisitions, strategic alliances, collaborations or other potential transactions; the benefits and synergies of such divestitures, acquisitions, strategic alliances, collaborations or other potential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80" w:lineRule="exact"/>
        <w:rPr>
          <w:sz w:val="20"/>
          <w:szCs w:val="20"/>
          <w:color w:val="auto"/>
        </w:rPr>
      </w:pPr>
    </w:p>
    <w:p>
      <w:pPr>
        <w:jc w:val="both"/>
        <w:ind w:left="1380" w:right="779" w:hanging="304"/>
        <w:spacing w:after="0" w:line="261" w:lineRule="auto"/>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w:t>
      </w:r>
    </w:p>
    <w:p>
      <w:pPr>
        <w:spacing w:after="0" w:line="64" w:lineRule="exact"/>
        <w:rPr>
          <w:rFonts w:ascii="Times New Roman" w:cs="Times New Roman" w:eastAsia="Times New Roman" w:hAnsi="Times New Roman"/>
          <w:sz w:val="16"/>
          <w:szCs w:val="16"/>
          <w:color w:val="auto"/>
        </w:rPr>
      </w:pPr>
    </w:p>
    <w:p>
      <w:pPr>
        <w:jc w:val="both"/>
        <w:ind w:left="1380" w:right="779" w:hanging="304"/>
        <w:spacing w:after="0" w:line="261" w:lineRule="auto"/>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w:t>
      </w:r>
    </w:p>
    <w:p>
      <w:pPr>
        <w:spacing w:after="0" w:line="6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risks and uncertainties associated with our recent divestitures;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or impairment charges or other losses;</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failure to achieve expected or targeted future financial and operating performance and results;</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impact of natural or man-made disasters, public health outbreaks, epidemics, pandemics or social disruption in regions where we or our partners or suppliers operate;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and decisions of healthcare and pharmaceutical regulators;</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relevant laws, regulations and policies and/or the application or implementation thereof, including but not limited to tax, healthcare and pharmaceutical laws, regulations and policies globally;</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attract, motivate and retain key personnel;</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liquidity, capital resources and ability to obtain financing;</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regulatory, legal or other impediments to the Company’s ability to bring new products to market, including but not limited to “at-risk launches”;</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products in development that receive regulatory approval may not achieve expected levels of market acceptance, efficacy or safety;</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review, response and approval times as a result of evolving regulatory priorities and reductions in personnel at health agencies;</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 of clinical trials and the Company’s or its partners’ ability to execute on new product opportunities and develop, manufacture and commercialize products;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3" w:name="page74"/>
    <w:bookmarkEnd w:id="73"/>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1380" w:right="779" w:hanging="304"/>
        <w:spacing w:after="0" w:line="266" w:lineRule="auto"/>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60"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timing and outcome of any ongoing legal proceedings, including government inquiries or investigations, and the impact of any such proceedings on the Company;</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significant breach of data security or data privacy or disruptions to our IT systems;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having significant operations globally;</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protect intellectual property and preserve intellectual property rights;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third-party relationships;</w:t>
      </w:r>
    </w:p>
    <w:p>
      <w:pPr>
        <w:spacing w:after="0" w:line="104"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any changes in the Company’s or its partners’ customer and supplier relationships and customer purchasing patterns, including customer loss and business disruption being greater than expected following an adverse regulatory action, acquisition or divestiture;</w:t>
      </w:r>
    </w:p>
    <w:p>
      <w:pPr>
        <w:spacing w:after="0" w:line="60"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competition, including decreases in sales or revenues as a result of the loss of market exclusivity for certain products;</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and financial conditions of the Company or its partners;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regarding future demand, pricing and reimbursement for the Company’s products;</w:t>
      </w:r>
    </w:p>
    <w:p>
      <w:pPr>
        <w:spacing w:after="0" w:line="104"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and matters beyond the control of management, including but not limited to general political and economic conditions, potential for adverse impacts from future tariffs and trade restrictions, inflation rates and global exchange rates; and</w:t>
      </w:r>
    </w:p>
    <w:p>
      <w:pPr>
        <w:spacing w:after="0" w:line="60"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61" w:lineRule="exact"/>
        <w:rPr>
          <w:sz w:val="20"/>
          <w:szCs w:val="20"/>
          <w:color w:val="auto"/>
        </w:rPr>
      </w:pPr>
    </w:p>
    <w:p>
      <w:pPr>
        <w:jc w:val="both"/>
        <w:ind w:left="760" w:right="759"/>
        <w:spacing w:after="0" w:line="261" w:lineRule="auto"/>
        <w:rPr>
          <w:sz w:val="20"/>
          <w:szCs w:val="20"/>
          <w:color w:val="auto"/>
        </w:rPr>
      </w:pPr>
      <w:r>
        <w:rPr>
          <w:rFonts w:ascii="Times New Roman" w:cs="Times New Roman" w:eastAsia="Times New Roman" w:hAnsi="Times New Roman"/>
          <w:sz w:val="16"/>
          <w:szCs w:val="16"/>
          <w:color w:val="auto"/>
        </w:rPr>
        <w:t xml:space="preserve">For more detailed information on the risks and uncertainties associated with Viatris, see the risks described in Part I, Item 1A in the Annual Report on Form 10-K of Viatris for the year ended December 31, 2024, as amended, and Viatris’ subsequent filings with the SEC. In addition, risks related to the securities are more fully discussed in the section entitled “Risk Factors” on page </w:t>
      </w:r>
      <w:r>
        <w:rPr>
          <w:rFonts w:ascii="Times New Roman" w:cs="Times New Roman" w:eastAsia="Times New Roman" w:hAnsi="Times New Roman"/>
          <w:sz w:val="16"/>
          <w:szCs w:val="16"/>
          <w:u w:val="single" w:color="auto"/>
          <w:color w:val="0000EE"/>
        </w:rPr>
        <w:t>7</w:t>
      </w:r>
      <w:r>
        <w:rPr>
          <w:rFonts w:ascii="Times New Roman" w:cs="Times New Roman" w:eastAsia="Times New Roman" w:hAnsi="Times New Roman"/>
          <w:sz w:val="16"/>
          <w:szCs w:val="16"/>
          <w:color w:val="auto"/>
        </w:rPr>
        <w:t xml:space="preserve"> of this prospectus.</w:t>
      </w:r>
    </w:p>
    <w:p>
      <w:pPr>
        <w:spacing w:after="0" w:line="65" w:lineRule="exact"/>
        <w:rPr>
          <w:sz w:val="20"/>
          <w:szCs w:val="20"/>
          <w:color w:val="auto"/>
        </w:rPr>
      </w:pPr>
    </w:p>
    <w:p>
      <w:pPr>
        <w:jc w:val="both"/>
        <w:ind w:left="760" w:right="779"/>
        <w:spacing w:after="0" w:line="257" w:lineRule="auto"/>
        <w:rPr>
          <w:sz w:val="20"/>
          <w:szCs w:val="20"/>
          <w:color w:val="auto"/>
        </w:rPr>
      </w:pPr>
      <w:r>
        <w:rPr>
          <w:rFonts w:ascii="Times New Roman" w:cs="Times New Roman" w:eastAsia="Times New Roman" w:hAnsi="Times New Roman"/>
          <w:sz w:val="16"/>
          <w:szCs w:val="16"/>
          <w:color w:val="auto"/>
        </w:rPr>
        <w:t>You can access Viatris’ filings with the SEC through the SEC website at www.sec.gov or through our website, and we strongly encourage you to do so. The contents of the SEC’s website and our website are not incorporated by reference in this prospectus (except for the information expressly incorporated herein by reference as described in “Incorporation of Certain Documents by Reference”) and shall not be deemed “filed” under the Exchange Act. Viatris undertakes no obligation to update any statements herein for revisions or changes after the filing date of this prospectus other than as required by law.</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4" w:name="page75"/>
    <w:bookmarkEnd w:id="7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6"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Viatris is a global healthcare company whose breadth and scale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spacing w:after="0" w:line="67" w:lineRule="exact"/>
        <w:rPr>
          <w:sz w:val="20"/>
          <w:szCs w:val="20"/>
          <w:color w:val="auto"/>
        </w:rPr>
      </w:pPr>
    </w:p>
    <w:p>
      <w:pPr>
        <w:jc w:val="both"/>
        <w:ind w:left="760" w:right="779"/>
        <w:spacing w:after="0" w:line="255" w:lineRule="auto"/>
        <w:rPr>
          <w:sz w:val="20"/>
          <w:szCs w:val="20"/>
          <w:color w:val="auto"/>
        </w:rPr>
      </w:pPr>
      <w:r>
        <w:rPr>
          <w:rFonts w:ascii="Times New Roman" w:cs="Times New Roman" w:eastAsia="Times New Roman" w:hAnsi="Times New Roman"/>
          <w:sz w:val="16"/>
          <w:szCs w:val="16"/>
          <w:color w:val="auto"/>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32,000 employees. The Company has 26 manufacturing and packaging sites worldwide, more than 1,400 approved molecules and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spacing w:after="0" w:line="70" w:lineRule="exact"/>
        <w:rPr>
          <w:sz w:val="20"/>
          <w:szCs w:val="20"/>
          <w:color w:val="auto"/>
        </w:rPr>
      </w:pPr>
    </w:p>
    <w:p>
      <w:pPr>
        <w:jc w:val="both"/>
        <w:ind w:left="760" w:right="779"/>
        <w:spacing w:after="0" w:line="255" w:lineRule="auto"/>
        <w:rPr>
          <w:sz w:val="20"/>
          <w:szCs w:val="20"/>
          <w:color w:val="auto"/>
        </w:rPr>
      </w:pPr>
      <w:r>
        <w:rPr>
          <w:rFonts w:ascii="Times New Roman" w:cs="Times New Roman" w:eastAsia="Times New Roman" w:hAnsi="Times New Roman"/>
          <w:sz w:val="16"/>
          <w:szCs w:val="16"/>
          <w:color w:val="auto"/>
        </w:rPr>
        <w:t>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on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70"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Viatris Inc. is a Delaware corporation. Viatris Inc.’s address is 1000 Mylan Boulevard, Canonsburg, Pennsylvania 15317, and its telephone number is (724) 514-1800. Utah Acquisition Sub Inc., a Delaware corporation, is a wholly owned indirect subsidiary of Viatris. Utah Acquisition Sub Inc.’s address is 1000 Mylan Boulevard, Canonsburg, Pennsylvania 15317, and its telephone number is (724) 514-1800. Mylan II B.V., a private limited liability company (</w:t>
      </w:r>
      <w:r>
        <w:rPr>
          <w:rFonts w:ascii="Times New Roman" w:cs="Times New Roman" w:eastAsia="Times New Roman" w:hAnsi="Times New Roman"/>
          <w:sz w:val="16"/>
          <w:szCs w:val="16"/>
          <w:i w:val="1"/>
          <w:iCs w:val="1"/>
          <w:color w:val="auto"/>
        </w:rPr>
        <w:t>besloten vennootschap met beperkte aansprakelijkheid</w:t>
      </w:r>
      <w:r>
        <w:rPr>
          <w:rFonts w:ascii="Times New Roman" w:cs="Times New Roman" w:eastAsia="Times New Roman" w:hAnsi="Times New Roman"/>
          <w:sz w:val="16"/>
          <w:szCs w:val="16"/>
          <w:color w:val="auto"/>
        </w:rPr>
        <w:t>) incorporated and existing under the laws of the Netherlands, with its corporate seat (</w:t>
      </w:r>
      <w:r>
        <w:rPr>
          <w:rFonts w:ascii="Times New Roman" w:cs="Times New Roman" w:eastAsia="Times New Roman" w:hAnsi="Times New Roman"/>
          <w:sz w:val="16"/>
          <w:szCs w:val="16"/>
          <w:i w:val="1"/>
          <w:iCs w:val="1"/>
          <w:color w:val="auto"/>
        </w:rPr>
        <w:t>statutaire zetel</w:t>
      </w:r>
      <w:r>
        <w:rPr>
          <w:rFonts w:ascii="Times New Roman" w:cs="Times New Roman" w:eastAsia="Times New Roman" w:hAnsi="Times New Roman"/>
          <w:sz w:val="16"/>
          <w:szCs w:val="16"/>
          <w:color w:val="auto"/>
        </w:rPr>
        <w:t>) in Amsterdam, the Netherlands, is a wholly owned indirect subsidiary of Viatris. Mylan II B.V.’s principal executive offices are located at Krijgsman 20, 1186 DM Amstelveen, the Netherlands. Mylan Inc., a Pennsylvania corporation, is a wholly owned indirect subsidiary of Viatris. Mylan Inc.’s address is 1000 Mylan Boulevard, Canonsburg, Pennsylvania 15317, and its telephone number is (724) 514-1800. Viatris’ common stock is listed on NASDAQ under the symbol “VTRS”. Our Internet website address is www.viatris.com. The contents of our website are not incorporated by reference in this prospectus and shall not be deemed “filed” under the Exchange Act. Additional information about Viatris is included in the documents incorporated by reference into this prospectus. See “Where You Can Find More Information” and “Incorporation of Certain Documents by Reference” in this prospectus.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5" w:name="page76"/>
    <w:bookmarkEnd w:id="7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06" w:lineRule="exact"/>
        <w:rPr>
          <w:sz w:val="20"/>
          <w:szCs w:val="20"/>
          <w:color w:val="auto"/>
        </w:rPr>
      </w:pPr>
    </w:p>
    <w:p>
      <w:pPr>
        <w:jc w:val="both"/>
        <w:ind w:left="760" w:right="779"/>
        <w:spacing w:after="0" w:line="253" w:lineRule="auto"/>
        <w:rPr>
          <w:sz w:val="20"/>
          <w:szCs w:val="20"/>
          <w:color w:val="auto"/>
        </w:rPr>
      </w:pPr>
      <w:r>
        <w:rPr>
          <w:rFonts w:ascii="Times New Roman" w:cs="Times New Roman" w:eastAsia="Times New Roman" w:hAnsi="Times New Roman"/>
          <w:sz w:val="16"/>
          <w:szCs w:val="16"/>
          <w:color w:val="auto"/>
        </w:rPr>
        <w:t>Investing in our securities involves risks. Before making an investment decision, you should consider carefully the information under the heading “Risk Factors” in the Annual Report on Form 10-K of Viatris for the fiscal year ended December 31, 2024, as updated by subsequent annual, quarterly and other reports or documents we file with the SEC that are incorporated by reference herein. You should also carefully consider the other information included in this prospectus or the applicable prospectus supplement or free writing prospectus and other information incorporated by reference herein or therein. Each of the risks included or incorporated by reference herein or therein could result in a decrease in the value of our securities and your investment therein. Although we have tried to discuss what we believe are key risk factors, please be aware that other risks may prove to be important in the future. New risks may emerge at any time, and we cannot predict those risks or estimate the extent to which they may affect our financial performance or the values of the securities. The information contained in, and incorporated by reference into, this prospectus and any prospectus supplement or free writing prospectus includes forward-looking statements that involve risks and uncertainties, and we refer you to the “Cautionary Language Regarding Forward-Looking Statements” section in this prospectus.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6" w:name="page77"/>
    <w:bookmarkEnd w:id="7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SELLING SECURITYHOLDERS</w:t>
      </w:r>
    </w:p>
    <w:p>
      <w:pPr>
        <w:spacing w:after="0" w:line="106"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We may register securities covered by this prospectus for re-offers and resales by any selling securityholders to be named in a prospectus supplement. Because we are a WKSI, we may add secondary sales of securities by any selling securityholders by filing a prospectus supplement with the SEC or other permitted methods. We may register these securities to permit securityholders to resell their securities when they deem appropriate. A selling securityholder may resell all, a portion or none of their securities at any time and from time to time. We may register those securities for sale through an underwriter or other plan of distribution as set forth in a prospectus supplement. See “Plan of Distribution.” Selling securityholders may also sell, transfer or otherwise dispose of some or all of their securities in transactions exempt from the registration requirements of the Securities Act. We may pay some or all of the expenses incurred with respect to the registration of the securities owned by the selling securityholders. In connection with any sale of securities by a selling securityholder, we will disclose the amount of securities to be registered and sold and other terms of the securities being sold by such selling securityholder.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7" w:name="page78"/>
    <w:bookmarkEnd w:id="77"/>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06" w:lineRule="exact"/>
        <w:rPr>
          <w:sz w:val="20"/>
          <w:szCs w:val="20"/>
          <w:color w:val="auto"/>
        </w:rPr>
      </w:pPr>
    </w:p>
    <w:p>
      <w:pPr>
        <w:jc w:val="both"/>
        <w:ind w:left="760" w:right="759"/>
        <w:spacing w:after="0" w:line="266" w:lineRule="auto"/>
        <w:rPr>
          <w:sz w:val="20"/>
          <w:szCs w:val="20"/>
          <w:color w:val="auto"/>
        </w:rPr>
      </w:pPr>
      <w:r>
        <w:rPr>
          <w:rFonts w:ascii="Times New Roman" w:cs="Times New Roman" w:eastAsia="Times New Roman" w:hAnsi="Times New Roman"/>
          <w:sz w:val="16"/>
          <w:szCs w:val="16"/>
          <w:color w:val="auto"/>
        </w:rPr>
        <w:t>Unless otherwise set forth in the applicable prospectus supplement or free writing prospectus, the net proceeds from the sale of the securities offered by this prospectus and any applicable prospectus supplement or free writing prospectus will be used for general corporate purposes, including refinancing existing indebtedness.</w:t>
      </w:r>
    </w:p>
    <w:p>
      <w:pPr>
        <w:spacing w:after="0" w:line="61" w:lineRule="exact"/>
        <w:rPr>
          <w:sz w:val="20"/>
          <w:szCs w:val="20"/>
          <w:color w:val="auto"/>
        </w:rPr>
      </w:pPr>
    </w:p>
    <w:p>
      <w:pPr>
        <w:jc w:val="both"/>
        <w:ind w:left="760" w:right="759"/>
        <w:spacing w:after="0" w:line="282" w:lineRule="auto"/>
        <w:rPr>
          <w:sz w:val="20"/>
          <w:szCs w:val="20"/>
          <w:color w:val="auto"/>
        </w:rPr>
      </w:pPr>
      <w:r>
        <w:rPr>
          <w:rFonts w:ascii="Times New Roman" w:cs="Times New Roman" w:eastAsia="Times New Roman" w:hAnsi="Times New Roman"/>
          <w:sz w:val="16"/>
          <w:szCs w:val="16"/>
          <w:color w:val="auto"/>
        </w:rPr>
        <w:t>Unless otherwise set forth in a prospectus supplement, we will not receive any proceeds from any sale of our securities by any selling securityholder.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8" w:name="page79"/>
    <w:bookmarkEnd w:id="78"/>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DEBT SECURITIES AND GUARANTEES</w:t>
      </w:r>
    </w:p>
    <w:p>
      <w:pPr>
        <w:spacing w:after="0" w:line="104"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i w:val="1"/>
          <w:iCs w:val="1"/>
          <w:color w:val="auto"/>
        </w:rPr>
        <w:t>The following description outlines certain general terms and provisions of the debt securities and any applicable guarantees offered pursuant to this prospectus. This information does not purport to be complete and is qualified in its entirety by reference to the applicable indenture and its associated documents, including the form of global note. We have filed a form of senior debt indenture (the “Senior Indenture Form”), a form of subordinated debt indenture (the “Subordinated Indenture Form”) and a form of junior subordinated debt indenture (the “Junior Subordinated Indenture Form”) with the SEC as an exhibit to the Registration Statement of which this prospectus is a part. See “Where You Can Find More Information” for information on how to obtain a copy of each form of indenture. Each indenture pursuant to which any series of debt securities is offered will be qualified under the Trust Indenture Act of 1939, as amended (the “Trust Indenture Act”). The specific terms and provisions of any series of debt securities and any variations from the general terms and provisions set forth below and the respective forms of indenture filed as an exhibit to the Registration Statement of which this prospectus is a part will be described in the applicable prospectus supplement or free writing prospectus.</w:t>
      </w:r>
    </w:p>
    <w:p>
      <w:pPr>
        <w:spacing w:after="0" w:line="75" w:lineRule="exact"/>
        <w:rPr>
          <w:sz w:val="20"/>
          <w:szCs w:val="20"/>
          <w:color w:val="auto"/>
        </w:rPr>
      </w:pPr>
    </w:p>
    <w:p>
      <w:pPr>
        <w:jc w:val="both"/>
        <w:ind w:left="760" w:right="779"/>
        <w:spacing w:after="0" w:line="268" w:lineRule="auto"/>
        <w:rPr>
          <w:sz w:val="20"/>
          <w:szCs w:val="20"/>
          <w:color w:val="auto"/>
        </w:rPr>
      </w:pPr>
      <w:r>
        <w:rPr>
          <w:rFonts w:ascii="Times New Roman" w:cs="Times New Roman" w:eastAsia="Times New Roman" w:hAnsi="Times New Roman"/>
          <w:sz w:val="16"/>
          <w:szCs w:val="16"/>
          <w:i w:val="1"/>
          <w:iCs w:val="1"/>
          <w:color w:val="auto"/>
        </w:rPr>
        <w:t>As used in this section, unless otherwise expressly stated or the context otherwise requires, the terms the “Company,” “we,” “our” and “us” refer to Viatris Inc., as the issuer of the applicable series of debt securities, and not to any of its subsidiaries.</w:t>
      </w:r>
    </w:p>
    <w:p>
      <w:pPr>
        <w:spacing w:after="0" w:line="2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6"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As used in this prospectus, “debt securities” means our direct unsecured obligations and may be evidenced by debentures, notes, bonds or other evidences of indebtedness. Material U.S. federal and Dutch income tax consequences and special considerations, if any, applicable to any debt securities will be described in the applicable prospectus supplement or free writing prospectus.</w:t>
      </w:r>
    </w:p>
    <w:p>
      <w:pPr>
        <w:spacing w:after="0" w:line="65" w:lineRule="exact"/>
        <w:rPr>
          <w:sz w:val="20"/>
          <w:szCs w:val="20"/>
          <w:color w:val="auto"/>
        </w:rPr>
      </w:pPr>
    </w:p>
    <w:p>
      <w:pPr>
        <w:jc w:val="both"/>
        <w:ind w:left="760" w:right="779"/>
        <w:spacing w:after="0" w:line="255" w:lineRule="auto"/>
        <w:rPr>
          <w:sz w:val="20"/>
          <w:szCs w:val="20"/>
          <w:color w:val="auto"/>
        </w:rPr>
      </w:pPr>
      <w:r>
        <w:rPr>
          <w:rFonts w:ascii="Times New Roman" w:cs="Times New Roman" w:eastAsia="Times New Roman" w:hAnsi="Times New Roman"/>
          <w:sz w:val="16"/>
          <w:szCs w:val="16"/>
          <w:color w:val="auto"/>
        </w:rPr>
        <w:t>Unless the applicable prospectus supplement states otherwise, (i) senior debt securities will be issued under one or more indentures, substantially in the form of the Senior Indenture Form, from time to time in one or more series and may be established pursuant to a supplemental indenture or a company order, (ii) subordinated debt securities will be issued under one or more indentures, substantially in the form of the Subordinated Indenture Form, from time to time in one or more series and may be established pursuant to a supplemental indenture or a company order and</w:t>
      </w:r>
    </w:p>
    <w:p>
      <w:pPr>
        <w:jc w:val="both"/>
        <w:ind w:left="760" w:right="779" w:hanging="4"/>
        <w:spacing w:after="0" w:line="252" w:lineRule="auto"/>
        <w:tabs>
          <w:tab w:leader="none" w:pos="104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junior subordinated debt securities will be issued under one or more indentures, substantially in the form of the Junior Subordinated Indenture Form, from time to time in one or more series and may be established pursuant to a supplemental indenture or a company order. The indentures will be between us and The Bank of New York Mellon, as trustee. The indentures will not limit the aggregate principal amount of debt securities that may be issued thereunder. The indentures will allow us to “reopen” a previously issued series of debt securities and issue additional debt securities of that series.</w:t>
      </w:r>
    </w:p>
    <w:p>
      <w:pPr>
        <w:spacing w:after="0" w:line="74" w:lineRule="exact"/>
        <w:rPr>
          <w:sz w:val="20"/>
          <w:szCs w:val="20"/>
          <w:color w:val="auto"/>
        </w:rPr>
      </w:pPr>
    </w:p>
    <w:p>
      <w:pPr>
        <w:ind w:left="760" w:right="759"/>
        <w:spacing w:after="0" w:line="282" w:lineRule="auto"/>
        <w:rPr>
          <w:sz w:val="20"/>
          <w:szCs w:val="20"/>
          <w:color w:val="auto"/>
        </w:rPr>
      </w:pPr>
      <w:r>
        <w:rPr>
          <w:rFonts w:ascii="Times New Roman" w:cs="Times New Roman" w:eastAsia="Times New Roman" w:hAnsi="Times New Roman"/>
          <w:sz w:val="16"/>
          <w:szCs w:val="16"/>
          <w:color w:val="auto"/>
        </w:rPr>
        <w:t>We will describe in the applicable prospectus supplement or free writing prospectus any additional or different terms relating to a series of debt securities, including:</w:t>
      </w:r>
    </w:p>
    <w:p>
      <w:pPr>
        <w:spacing w:after="0" w:line="48" w:lineRule="exact"/>
        <w:rPr>
          <w:sz w:val="20"/>
          <w:szCs w:val="20"/>
          <w:color w:val="auto"/>
        </w:rPr>
      </w:pPr>
    </w:p>
    <w:p>
      <w:pPr>
        <w:ind w:left="1380" w:right="779" w:hanging="304"/>
        <w:spacing w:after="0" w:line="282" w:lineRule="auto"/>
        <w:tabs>
          <w:tab w:leader="none" w:pos="13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aggregate principal amount and, if a series, the total principal amount authorized and the total principal amount outstanding;</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securities are senior, subordinated or junior subordinated debt securities;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relating to conversion or exchange of debt securities into any securities or property;</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percentage(s) of principal amount at which such securities will be issued, including any original issue discount;</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date;</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maturity date(s);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which may be fixed rate or variable rate, or the method for determining the interest rate(s);</w:t>
      </w:r>
    </w:p>
    <w:p>
      <w:pPr>
        <w:spacing w:after="0" w:line="104"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date(s) on which interest will accrue or the method for determining dates on which interest will accrue, the date(s) on which interest will be payable, the record date(s) for such interest payment date(s) and the basis on which interest will be calculated;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79" w:name="page80"/>
    <w:bookmarkEnd w:id="79"/>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1380" w:right="779" w:hanging="304"/>
        <w:spacing w:after="0" w:line="266" w:lineRule="auto"/>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interest will be payable in cash or in additional debt securities of the same series, or shall accrue and increase the aggregate principal amount outstanding of such series (including if the debt securities were originally issued at a discount);</w:t>
      </w:r>
    </w:p>
    <w:p>
      <w:pPr>
        <w:spacing w:after="0" w:line="60"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identities of guarantors, if any, and the terms on which the payment of interest, premium (if any) and principal on the debt securities will be guaranteed by such guarantors;</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which circumstances, if any, additional amounts on the debt securities will be payable and whether, and the terms on which, debt securities will be redeemable if such additional amounts are payable;</w:t>
      </w:r>
    </w:p>
    <w:p>
      <w:pPr>
        <w:spacing w:after="0" w:line="60"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mandatory or optional redemption or early repayment provisions;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authorized dollar amounts of denominations;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of discount or premium, if any, with which such securities will be issued;</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such securities will be issued in whole or in part in the form of one or more global securities and, if so, the identity of the depositary or depositaries for global securities;</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60"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upon which beneficial interests in a temporary global security may be exchanged in whole or in part for beneficial interests in a definitive global security or for individual definitive securities;</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covenants applicable to the particular debt securities being issued;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defaults and events of default applicable to the particular debt securities being issued;</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currencies or currency units in which the debt securities are denominated and in which the purchase price for, the principal of and any premium and any interest on such securities will be payable;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exchange(s) on which the securities will be listed, if any;</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obligation or right to redeem, purchase or repay securities under a sinking fund, amortization or analogous provision;</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relating to covenant defeasance and legal defeasance;</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relating to satisfaction and discharge of the applicable indenture;</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relating to the modification of the applicable indenture both with and without the consent of holders of debt securities issued under such indenture;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if any, granting special rights upon the occurrence of specified events;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of transferability, sale or assignment of the series;</w:t>
      </w:r>
    </w:p>
    <w:p>
      <w:pPr>
        <w:spacing w:after="0" w:line="104"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debt securities of a series will be secured by any collateral and, if so, the terms and conditions upon which such debt securities shall be secured and, if applicable, upon which such liens may be subordinated to other liens securing other indebtedness; and</w:t>
      </w:r>
    </w:p>
    <w:p>
      <w:pPr>
        <w:spacing w:after="0" w:line="60"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terms subject to the applicable provisions of the applicable indenture.</w:t>
      </w:r>
    </w:p>
    <w:p>
      <w:pPr>
        <w:spacing w:after="0" w:line="104" w:lineRule="exact"/>
        <w:rPr>
          <w:sz w:val="20"/>
          <w:szCs w:val="20"/>
          <w:color w:val="auto"/>
        </w:rPr>
      </w:pPr>
    </w:p>
    <w:p>
      <w:pPr>
        <w:jc w:val="both"/>
        <w:ind w:left="760" w:right="759"/>
        <w:spacing w:after="0" w:line="256" w:lineRule="auto"/>
        <w:rPr>
          <w:sz w:val="20"/>
          <w:szCs w:val="20"/>
          <w:color w:val="auto"/>
        </w:rPr>
      </w:pPr>
      <w:r>
        <w:rPr>
          <w:rFonts w:ascii="Times New Roman" w:cs="Times New Roman" w:eastAsia="Times New Roman" w:hAnsi="Times New Roman"/>
          <w:sz w:val="16"/>
          <w:szCs w:val="16"/>
          <w:color w:val="auto"/>
        </w:rPr>
        <w:t xml:space="preserve">Our debt securities may be issued at an original issue discount meaning that such securities’ stated redemption price at maturity exceeds their issue price by more than a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amount. Any of our debt securities issued at a substantial discount to their stated principal amount, bearing no interest or bearing interest at a rate that at the time of issuance is below the prevailing market rate are deemed issued at an original issue discount. The applicable prospectus supplement or free writing prospectus pursuant to which such debt securities are offered will describe the material U.S. federal and, if applicable, Dutch income tax, accounting and other considerations applicable to securities issued at an original issue discount.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80" w:name="page81"/>
    <w:bookmarkEnd w:id="80"/>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59"/>
        <w:spacing w:after="0" w:line="256" w:lineRule="auto"/>
        <w:rPr>
          <w:sz w:val="20"/>
          <w:szCs w:val="20"/>
          <w:color w:val="auto"/>
        </w:rPr>
      </w:pPr>
      <w:r>
        <w:rPr>
          <w:rFonts w:ascii="Times New Roman" w:cs="Times New Roman" w:eastAsia="Times New Roman" w:hAnsi="Times New Roman"/>
          <w:sz w:val="16"/>
          <w:szCs w:val="16"/>
          <w:color w:val="auto"/>
        </w:rPr>
        <w:t>Debt securities may be issued where the amount of principal and/or interest payable is determined by reference to one or more currency or other indices or other formulas. Holders of such securities may receive a principal amount or a payment of interest that is greater than or less than the amount of principal or interest otherwise payable on such dates, depending upon the value of the applicable currency or other reference factor. Information as to the methods for determining the amount of principal or interest, if any, payable on any date, the currency or other reference factor to which the amount payable on such date is linked and certain additional material U.S. federal and, if applicable, Dutch income tax considerations will be set forth in the applicable prospectus supplement or free writing prospectus.</w:t>
      </w:r>
    </w:p>
    <w:p>
      <w:pPr>
        <w:spacing w:after="0" w:line="68" w:lineRule="exact"/>
        <w:rPr>
          <w:sz w:val="20"/>
          <w:szCs w:val="20"/>
          <w:color w:val="auto"/>
        </w:rPr>
      </w:pPr>
    </w:p>
    <w:p>
      <w:pPr>
        <w:jc w:val="both"/>
        <w:ind w:left="760" w:right="759"/>
        <w:spacing w:after="0" w:line="266" w:lineRule="auto"/>
        <w:rPr>
          <w:sz w:val="20"/>
          <w:szCs w:val="20"/>
          <w:color w:val="auto"/>
        </w:rPr>
      </w:pPr>
      <w:r>
        <w:rPr>
          <w:rFonts w:ascii="Times New Roman" w:cs="Times New Roman" w:eastAsia="Times New Roman" w:hAnsi="Times New Roman"/>
          <w:sz w:val="16"/>
          <w:szCs w:val="16"/>
          <w:color w:val="auto"/>
        </w:rPr>
        <w:t>In addition, the applicable prospectus supplement or free writing prospectus will describe whether any underwriter, dealer or agent will act as a market maker for the debt securities offered thereby and the extent to which a secondary market for such securities is or is not expected to develop.</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Conversion or Exchange Rights</w:t>
      </w:r>
    </w:p>
    <w:p>
      <w:pPr>
        <w:spacing w:after="0" w:line="106" w:lineRule="exact"/>
        <w:rPr>
          <w:sz w:val="20"/>
          <w:szCs w:val="20"/>
          <w:color w:val="auto"/>
        </w:rPr>
      </w:pPr>
    </w:p>
    <w:p>
      <w:pPr>
        <w:jc w:val="both"/>
        <w:ind w:left="760" w:right="759"/>
        <w:spacing w:after="0" w:line="254" w:lineRule="auto"/>
        <w:rPr>
          <w:sz w:val="20"/>
          <w:szCs w:val="20"/>
          <w:color w:val="auto"/>
        </w:rPr>
      </w:pPr>
      <w:r>
        <w:rPr>
          <w:rFonts w:ascii="Times New Roman" w:cs="Times New Roman" w:eastAsia="Times New Roman" w:hAnsi="Times New Roman"/>
          <w:sz w:val="16"/>
          <w:szCs w:val="16"/>
          <w:color w:val="auto"/>
        </w:rPr>
        <w:t>We will set forth in the applicable prospectus supplement or free writing prospectus the terms on which a series of debt securities may be convertible into or exchangeable for shares of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Global Securities</w:t>
      </w:r>
    </w:p>
    <w:p>
      <w:pPr>
        <w:spacing w:after="0" w:line="106" w:lineRule="exact"/>
        <w:rPr>
          <w:sz w:val="20"/>
          <w:szCs w:val="20"/>
          <w:color w:val="auto"/>
        </w:rPr>
      </w:pPr>
    </w:p>
    <w:p>
      <w:pPr>
        <w:jc w:val="both"/>
        <w:ind w:left="760" w:right="759"/>
        <w:spacing w:after="0" w:line="282" w:lineRule="auto"/>
        <w:rPr>
          <w:sz w:val="20"/>
          <w:szCs w:val="20"/>
          <w:color w:val="auto"/>
        </w:rPr>
      </w:pPr>
      <w:r>
        <w:rPr>
          <w:rFonts w:ascii="Times New Roman" w:cs="Times New Roman" w:eastAsia="Times New Roman" w:hAnsi="Times New Roman"/>
          <w:sz w:val="16"/>
          <w:szCs w:val="16"/>
          <w:color w:val="auto"/>
        </w:rPr>
        <w:t>Unless otherwise provided in the applicable prospectus supplement or free writing prospectus with respect to a series of debt securities, the following provisions will apply for each series of our debt securities.</w:t>
      </w:r>
    </w:p>
    <w:p>
      <w:pPr>
        <w:spacing w:after="0" w:line="48" w:lineRule="exact"/>
        <w:rPr>
          <w:sz w:val="20"/>
          <w:szCs w:val="20"/>
          <w:color w:val="auto"/>
        </w:rPr>
      </w:pPr>
    </w:p>
    <w:p>
      <w:pPr>
        <w:jc w:val="both"/>
        <w:ind w:left="760" w:right="779"/>
        <w:spacing w:after="0" w:line="256" w:lineRule="auto"/>
        <w:rPr>
          <w:sz w:val="20"/>
          <w:szCs w:val="20"/>
          <w:color w:val="auto"/>
        </w:rPr>
      </w:pPr>
      <w:r>
        <w:rPr>
          <w:rFonts w:ascii="Times New Roman" w:cs="Times New Roman" w:eastAsia="Times New Roman" w:hAnsi="Times New Roman"/>
          <w:sz w:val="16"/>
          <w:szCs w:val="16"/>
          <w:color w:val="auto"/>
        </w:rPr>
        <w:t>The debt securities of a series may be issued in whole or in part in the form of one or more global securities that will be deposited with, or on behalf of, a depositary identified in the applicable prospectus supplement or free writing prospectus.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68" w:lineRule="exact"/>
        <w:rPr>
          <w:sz w:val="20"/>
          <w:szCs w:val="20"/>
          <w:color w:val="auto"/>
        </w:rPr>
      </w:pPr>
    </w:p>
    <w:p>
      <w:pPr>
        <w:jc w:val="both"/>
        <w:ind w:left="760" w:right="759"/>
        <w:spacing w:after="0" w:line="261" w:lineRule="auto"/>
        <w:rPr>
          <w:sz w:val="20"/>
          <w:szCs w:val="20"/>
          <w:color w:val="auto"/>
        </w:rPr>
      </w:pPr>
      <w:r>
        <w:rPr>
          <w:rFonts w:ascii="Times New Roman" w:cs="Times New Roman" w:eastAsia="Times New Roman" w:hAnsi="Times New Roman"/>
          <w:sz w:val="16"/>
          <w:szCs w:val="16"/>
          <w:color w:val="auto"/>
        </w:rPr>
        <w:t>We expect the debt securities to be issued in fully registered form without coupons and in denominations of $2,000 and any integral multiples of $1,000 in excess thereof. Subject to the limitations provided in the applicable indenture and in the applicable prospectus supplement or free writing prospectus, debt securities may be transferred or exchanged at the principal corporate trust office of the trustee.</w:t>
      </w:r>
    </w:p>
    <w:p>
      <w:pPr>
        <w:spacing w:after="0" w:line="65"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The terms of the depositary arrangement with respect to a series of debt securities will be described in the prospectus supplement or free writing prospectus relating to such debt securities. We anticipate that the following provisions will generally apply to depositary arrangements, in all cases subject to any restrictions or limitations described in the applicable prospectus supplement or free writing prospectus relating to such debt securities.</w:t>
      </w:r>
    </w:p>
    <w:p>
      <w:pPr>
        <w:spacing w:after="0" w:line="65"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(“participants”). Such accounts will be designated by the dealers or underwriters with respect to such debt securities or, if such debt securities are offered and sold directly by us or through one or more agents, by us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w:t>
      </w:r>
    </w:p>
    <w:p>
      <w:pPr>
        <w:spacing w:after="0" w:line="77"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So long as the depositary for a global security, or its nominee, is the registered owner or holder of such global security, such depositary or nominee, as the case may be, will be considered the sole owner or holder of the individual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81" w:name="page82"/>
    <w:bookmarkEnd w:id="81"/>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79"/>
        <w:spacing w:after="0" w:line="258" w:lineRule="auto"/>
        <w:rPr>
          <w:sz w:val="20"/>
          <w:szCs w:val="20"/>
          <w:color w:val="auto"/>
        </w:rPr>
      </w:pPr>
      <w:r>
        <w:rPr>
          <w:rFonts w:ascii="Times New Roman" w:cs="Times New Roman" w:eastAsia="Times New Roman" w:hAnsi="Times New Roman"/>
          <w:sz w:val="16"/>
          <w:szCs w:val="16"/>
          <w:color w:val="auto"/>
        </w:rPr>
        <w:t>debt securities represented by such global security for all purposes under the applicable indenture. 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applicable indenture.</w:t>
      </w:r>
    </w:p>
    <w:p>
      <w:pPr>
        <w:spacing w:after="0" w:line="68" w:lineRule="exact"/>
        <w:rPr>
          <w:sz w:val="20"/>
          <w:szCs w:val="20"/>
          <w:color w:val="auto"/>
        </w:rPr>
      </w:pPr>
    </w:p>
    <w:p>
      <w:pPr>
        <w:jc w:val="both"/>
        <w:ind w:left="760" w:right="759"/>
        <w:spacing w:after="0" w:line="261" w:lineRule="auto"/>
        <w:rPr>
          <w:sz w:val="20"/>
          <w:szCs w:val="20"/>
          <w:color w:val="auto"/>
        </w:rPr>
      </w:pPr>
      <w:r>
        <w:rPr>
          <w:rFonts w:ascii="Times New Roman" w:cs="Times New Roman" w:eastAsia="Times New Roman" w:hAnsi="Times New Roman"/>
          <w:sz w:val="16"/>
          <w:szCs w:val="16"/>
          <w:color w:val="auto"/>
        </w:rPr>
        <w:t>Payments of principal, premium and interest with respect to individual debt securities represented by a global security will be made to the depositary or its nominee, as the case may be, as the registered owner or holder of such global security. Neither we, the trustee, any paying agent or registrar for such debt securities nor any agent of ours or the trustee will have any responsibility or liability for:</w:t>
      </w:r>
    </w:p>
    <w:p>
      <w:pPr>
        <w:spacing w:after="0" w:line="65" w:lineRule="exact"/>
        <w:rPr>
          <w:sz w:val="20"/>
          <w:szCs w:val="20"/>
          <w:color w:val="auto"/>
        </w:rPr>
      </w:pPr>
    </w:p>
    <w:p>
      <w:pPr>
        <w:jc w:val="both"/>
        <w:ind w:left="1380" w:right="779" w:hanging="304"/>
        <w:spacing w:after="0" w:line="266" w:lineRule="auto"/>
        <w:tabs>
          <w:tab w:leader="none" w:pos="13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aspect of the records relating to or payments made by the depositary, its nominee or any participants on account of beneficial interests in the global security or for maintaining, supervising or reviewing any records relating to such beneficial interests;</w:t>
      </w:r>
    </w:p>
    <w:p>
      <w:pPr>
        <w:spacing w:after="0" w:line="60"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to the owners of beneficial interests in the global security of amounts paid to the depositary or its nominee; or</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matter relating to the actions and practices of the depositary, its nominee or its participants.</w:t>
      </w:r>
    </w:p>
    <w:p>
      <w:pPr>
        <w:spacing w:after="0" w:line="104" w:lineRule="exact"/>
        <w:rPr>
          <w:sz w:val="20"/>
          <w:szCs w:val="20"/>
          <w:color w:val="auto"/>
        </w:rPr>
      </w:pPr>
    </w:p>
    <w:p>
      <w:pPr>
        <w:jc w:val="both"/>
        <w:ind w:left="760" w:right="759"/>
        <w:spacing w:after="0" w:line="261" w:lineRule="auto"/>
        <w:rPr>
          <w:sz w:val="20"/>
          <w:szCs w:val="20"/>
          <w:color w:val="auto"/>
        </w:rPr>
      </w:pPr>
      <w:r>
        <w:rPr>
          <w:rFonts w:ascii="Times New Roman" w:cs="Times New Roman" w:eastAsia="Times New Roman" w:hAnsi="Times New Roman"/>
          <w:sz w:val="16"/>
          <w:szCs w:val="16"/>
          <w:color w:val="auto"/>
        </w:rPr>
        <w:t>Neither we, the trustee, any paying agent or registrar for such debt securities or any agent of ours or the trustee will be liable for any delay by the depositary, its nominee or any of its participants in identifying the owners of beneficial interests in the global security, and we and the trustee may conclusively rely on, and will be protected in relying on, instructions from the depositary or its nominee for all purposes.</w:t>
      </w:r>
    </w:p>
    <w:p>
      <w:pPr>
        <w:spacing w:after="0" w:line="65" w:lineRule="exact"/>
        <w:rPr>
          <w:sz w:val="20"/>
          <w:szCs w:val="20"/>
          <w:color w:val="auto"/>
        </w:rPr>
      </w:pPr>
    </w:p>
    <w:p>
      <w:pPr>
        <w:jc w:val="both"/>
        <w:ind w:left="760" w:right="779"/>
        <w:spacing w:after="0" w:line="254" w:lineRule="auto"/>
        <w:rPr>
          <w:sz w:val="20"/>
          <w:szCs w:val="20"/>
          <w:color w:val="auto"/>
        </w:rPr>
      </w:pPr>
      <w:r>
        <w:rPr>
          <w:rFonts w:ascii="Times New Roman" w:cs="Times New Roman" w:eastAsia="Times New Roman" w:hAnsi="Times New Roman"/>
          <w:sz w:val="16"/>
          <w:szCs w:val="16"/>
          <w:color w:val="auto"/>
        </w:rPr>
        <w:t>We expect that the depositary for a series of debt securities or its nominee, upon receipt of any payment of principal, premium or interest with respect to a definitive global security representing any of such debt securities, will immediately credit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Receipt by owners of beneficial interests in a temporary global security of payments of principal, premium or interest with respect thereto will be subject to the restrictions described in an applicable prospectus supplement or free writing prospectus.</w:t>
      </w:r>
    </w:p>
    <w:p>
      <w:pPr>
        <w:spacing w:after="0" w:line="71" w:lineRule="exact"/>
        <w:rPr>
          <w:sz w:val="20"/>
          <w:szCs w:val="20"/>
          <w:color w:val="auto"/>
        </w:rPr>
      </w:pPr>
    </w:p>
    <w:p>
      <w:pPr>
        <w:jc w:val="both"/>
        <w:ind w:left="760" w:right="759"/>
        <w:spacing w:after="0" w:line="252" w:lineRule="auto"/>
        <w:rPr>
          <w:sz w:val="20"/>
          <w:szCs w:val="20"/>
          <w:color w:val="auto"/>
        </w:rPr>
      </w:pPr>
      <w:r>
        <w:rPr>
          <w:rFonts w:ascii="Times New Roman" w:cs="Times New Roman" w:eastAsia="Times New Roman" w:hAnsi="Times New Roman"/>
          <w:sz w:val="16"/>
          <w:szCs w:val="16"/>
          <w:color w:val="auto"/>
        </w:rPr>
        <w:t>If the depositary for a series of debt securities is at any time unwilling, unable or ineligible to continue as depositary, we will appoint a successor depositary. If a successor depositary is not appointed by us within 90 days, we will issue individual debt securities of such series in exchange for the global security representing such series of debt securities. The global security of a series shall also be exchangeable for individual debt securities of such series if an event of default with respect to such series of debt securities shall have happened and be continuing. In addition, we may at any time and in our sole discretion determine to no longer have debt securities of a series represented by a global security and, in such event, we will issue individual debt securities of such series in exchange for the global security representing such series of debt securities. Furthermore, if we so specify with respect to the debt securities of a series, an owner of a beneficial interest in a global security representing debt securities of such series may, on terms acceptable to us, the trustee and the depositary for such global security, receive individual debt securities of such series in exchange for such beneficial interests. In any such instance, an owner of a beneficial interest in a global security will be entitled to physical delivery of individual debt securities of the series represented by such global security equal in principal amount to such beneficial interest and to have such debt securities registered in its name (if the debt securities are issuable as securities in registered form). Individual debt securities of such series so issued will generally be issued as securities in registered form in denominations, unless otherwise specified by us, of $2,000 and integral multiples of $1,000 thereof.</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Guarantees</w:t>
      </w:r>
    </w:p>
    <w:p>
      <w:pPr>
        <w:spacing w:after="0" w:line="106" w:lineRule="exact"/>
        <w:rPr>
          <w:sz w:val="20"/>
          <w:szCs w:val="20"/>
          <w:color w:val="auto"/>
        </w:rPr>
      </w:pPr>
    </w:p>
    <w:p>
      <w:pPr>
        <w:jc w:val="both"/>
        <w:ind w:left="760" w:right="759"/>
        <w:spacing w:after="0" w:line="258" w:lineRule="auto"/>
        <w:rPr>
          <w:sz w:val="20"/>
          <w:szCs w:val="20"/>
          <w:color w:val="auto"/>
        </w:rPr>
      </w:pPr>
      <w:r>
        <w:rPr>
          <w:rFonts w:ascii="Times New Roman" w:cs="Times New Roman" w:eastAsia="Times New Roman" w:hAnsi="Times New Roman"/>
          <w:sz w:val="16"/>
          <w:szCs w:val="16"/>
          <w:color w:val="auto"/>
        </w:rPr>
        <w:t>The debt securities issued by Viatris Inc. may be fully and unconditionally guaranteed by any of Utah Acquisition Sub Inc., Mylan II B.V., Mylan Inc. and certain of Viatris Inc.’s other subsidiaries. Any such guarantees will be joint and several obligations of Utah Acquisition Sub Inc., Mylan II B.V., Mylan Inc. and any other guarantors, as applicable. If a series of debt securities is so guaranteed, an indenture, or a supplemental indenture thereto, will be executed by Utah Acquisition Sub Inc., Mylan II B.V., Mylan Inc. and any other guarantors, as applicable. If a series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82" w:name="page83"/>
    <w:bookmarkEnd w:id="82"/>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79"/>
        <w:spacing w:after="0" w:line="282" w:lineRule="auto"/>
        <w:rPr>
          <w:sz w:val="20"/>
          <w:szCs w:val="20"/>
          <w:color w:val="auto"/>
        </w:rPr>
      </w:pPr>
      <w:r>
        <w:rPr>
          <w:rFonts w:ascii="Times New Roman" w:cs="Times New Roman" w:eastAsia="Times New Roman" w:hAnsi="Times New Roman"/>
          <w:sz w:val="16"/>
          <w:szCs w:val="16"/>
          <w:color w:val="auto"/>
        </w:rPr>
        <w:t>of debt securities is to be guaranteed by any of Viatris Inc.’s other subsidiaries, we will file a post-effective amendment to the Registration Statement of which this prospectus is a part to register such guarantees.</w:t>
      </w:r>
    </w:p>
    <w:p>
      <w:pPr>
        <w:spacing w:after="0" w:line="48" w:lineRule="exact"/>
        <w:rPr>
          <w:sz w:val="20"/>
          <w:szCs w:val="20"/>
          <w:color w:val="auto"/>
        </w:rPr>
      </w:pPr>
    </w:p>
    <w:p>
      <w:pPr>
        <w:jc w:val="both"/>
        <w:ind w:left="760" w:right="759"/>
        <w:spacing w:after="0" w:line="258" w:lineRule="auto"/>
        <w:rPr>
          <w:sz w:val="20"/>
          <w:szCs w:val="20"/>
          <w:color w:val="auto"/>
        </w:rPr>
      </w:pPr>
      <w:r>
        <w:rPr>
          <w:rFonts w:ascii="Times New Roman" w:cs="Times New Roman" w:eastAsia="Times New Roman" w:hAnsi="Times New Roman"/>
          <w:sz w:val="16"/>
          <w:szCs w:val="16"/>
          <w:color w:val="auto"/>
        </w:rPr>
        <w:t>The obligations of Utah Acquisition Sub Inc., Mylan II B.V., Mylan Inc. and any other guarantors under any such guarantees may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 The terms of any guarantees will be set forth in the applicable prospectus supplement or free writing prospectus.</w:t>
      </w:r>
    </w:p>
    <w:p>
      <w:pPr>
        <w:spacing w:after="0" w:line="3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Covenants</w:t>
      </w:r>
    </w:p>
    <w:p>
      <w:pPr>
        <w:spacing w:after="0" w:line="106" w:lineRule="exact"/>
        <w:rPr>
          <w:sz w:val="20"/>
          <w:szCs w:val="20"/>
          <w:color w:val="auto"/>
        </w:rPr>
      </w:pPr>
    </w:p>
    <w:p>
      <w:pPr>
        <w:jc w:val="both"/>
        <w:ind w:left="760" w:right="779"/>
        <w:spacing w:after="0" w:line="257" w:lineRule="auto"/>
        <w:rPr>
          <w:sz w:val="20"/>
          <w:szCs w:val="20"/>
          <w:color w:val="auto"/>
        </w:rPr>
      </w:pPr>
      <w:r>
        <w:rPr>
          <w:rFonts w:ascii="Times New Roman" w:cs="Times New Roman" w:eastAsia="Times New Roman" w:hAnsi="Times New Roman"/>
          <w:sz w:val="16"/>
          <w:szCs w:val="16"/>
          <w:color w:val="auto"/>
        </w:rPr>
        <w:t>If debt securities are issued, the applicable indenture, as supplemented for a particular series of debt securities, may contain certain covenants for the benefit of the holders of such series of debt securities, which will be applicable to such series of debt securities (unless waived or amended) so long as any of the debt securities of such series are outstanding, unless stated otherwise in the applicable prospectus supplement or free writing prospectus. The specific terms of the covenants, and summaries thereof, will be set forth in the prospectus supplement or free writing prospectus relating to such series of debt securities.</w:t>
      </w:r>
    </w:p>
    <w:p>
      <w:pPr>
        <w:spacing w:after="0" w:line="2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Consolidation, Merger and Sale of Assets</w:t>
      </w:r>
    </w:p>
    <w:p>
      <w:pPr>
        <w:spacing w:after="0" w:line="106"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Under each of the indentures in the respective forms initially filed as exhibits to the Registration Statement of which this prospectus is a part, the Company may not consolidate with any other entity or accept a merger of any other entity into the Company or permit the Company to be merged into another entity, or sell or lease all or substantially all its assets to another entity, unless:</w:t>
      </w:r>
    </w:p>
    <w:p>
      <w:pPr>
        <w:spacing w:after="0" w:line="65" w:lineRule="exact"/>
        <w:rPr>
          <w:sz w:val="20"/>
          <w:szCs w:val="20"/>
          <w:color w:val="auto"/>
        </w:rPr>
      </w:pPr>
    </w:p>
    <w:p>
      <w:pPr>
        <w:jc w:val="both"/>
        <w:ind w:left="1380" w:right="779" w:hanging="304"/>
        <w:spacing w:after="0" w:line="266" w:lineRule="auto"/>
        <w:tabs>
          <w:tab w:leader="none" w:pos="1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the Company shall be the continuing entity or the successor, transferee or lessee entity, if other than the Company (the “Successor Company”), shall expressly assume, by a supplemental indenture, executed and delivered to the trustee, all the obligations of the Company under the debt securities and the indenture;</w:t>
      </w:r>
    </w:p>
    <w:p>
      <w:pPr>
        <w:spacing w:after="0" w:line="60"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such transaction, no default shall have occurred and be continuing; and</w:t>
      </w:r>
    </w:p>
    <w:p>
      <w:pPr>
        <w:spacing w:after="0" w:line="104"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each stating that such consolidation, merger, sale or lease and such supplemental indenture comply with the indenture.</w:t>
      </w:r>
    </w:p>
    <w:p>
      <w:pPr>
        <w:spacing w:after="0" w:line="61" w:lineRule="exact"/>
        <w:rPr>
          <w:sz w:val="20"/>
          <w:szCs w:val="20"/>
          <w:color w:val="auto"/>
        </w:rPr>
      </w:pPr>
    </w:p>
    <w:p>
      <w:pPr>
        <w:jc w:val="both"/>
        <w:ind w:left="760" w:right="759"/>
        <w:spacing w:after="0" w:line="258" w:lineRule="auto"/>
        <w:rPr>
          <w:sz w:val="20"/>
          <w:szCs w:val="20"/>
          <w:color w:val="auto"/>
        </w:rPr>
      </w:pPr>
      <w:r>
        <w:rPr>
          <w:rFonts w:ascii="Times New Roman" w:cs="Times New Roman" w:eastAsia="Times New Roman" w:hAnsi="Times New Roman"/>
          <w:sz w:val="16"/>
          <w:szCs w:val="16"/>
          <w:color w:val="auto"/>
        </w:rPr>
        <w:t>For purposes of this covenant,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Reports</w:t>
      </w:r>
    </w:p>
    <w:p>
      <w:pPr>
        <w:spacing w:after="0" w:line="106" w:lineRule="exact"/>
        <w:rPr>
          <w:sz w:val="20"/>
          <w:szCs w:val="20"/>
          <w:color w:val="auto"/>
        </w:rPr>
      </w:pPr>
    </w:p>
    <w:p>
      <w:pPr>
        <w:jc w:val="both"/>
        <w:ind w:left="760" w:right="779"/>
        <w:spacing w:after="0" w:line="253" w:lineRule="auto"/>
        <w:rPr>
          <w:sz w:val="20"/>
          <w:szCs w:val="20"/>
          <w:color w:val="auto"/>
        </w:rPr>
      </w:pPr>
      <w:r>
        <w:rPr>
          <w:rFonts w:ascii="Times New Roman" w:cs="Times New Roman" w:eastAsia="Times New Roman" w:hAnsi="Times New Roman"/>
          <w:sz w:val="16"/>
          <w:szCs w:val="16"/>
          <w:color w:val="auto"/>
        </w:rPr>
        <w:t xml:space="preserve">Under each of the indentures in the respective forms initially filed as exhibits to the Registration Statement of which this prospectus is a part, notwithstanding that the Company may not be subject to the reporting requirements of Section 13 or 15(d) of the Exchange Act, the Company is required to file with the SEC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 the Company will not be required to provide the trustee with any such information, documents and reports that are filed with the SEC and (b) the Company will not be so obligated to file such information, documents and reports with the SEC if the SEC does not permit such filings; </w:t>
      </w:r>
      <w:r>
        <w:rPr>
          <w:rFonts w:ascii="Times New Roman" w:cs="Times New Roman" w:eastAsia="Times New Roman" w:hAnsi="Times New Roman"/>
          <w:sz w:val="16"/>
          <w:szCs w:val="16"/>
          <w:i w:val="1"/>
          <w:iCs w:val="1"/>
          <w:color w:val="auto"/>
        </w:rPr>
        <w:t>provided further, however</w:t>
      </w:r>
      <w:r>
        <w:rPr>
          <w:rFonts w:ascii="Times New Roman" w:cs="Times New Roman" w:eastAsia="Times New Roman" w:hAnsi="Times New Roman"/>
          <w:sz w:val="16"/>
          <w:szCs w:val="16"/>
          <w:color w:val="auto"/>
        </w:rPr>
        <w:t>, that if the SEC does not permit such filings, the Company will be required to provide to holders of any debt securities issued under the indenture any such information, documents or reports that are not so filed.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83" w:name="page84"/>
    <w:bookmarkEnd w:id="83"/>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Events of Default</w:t>
      </w:r>
    </w:p>
    <w:p>
      <w:pPr>
        <w:spacing w:after="0" w:line="106"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Under each of the indentures in the respective forms initially filed as exhibits to the Registration Statement of which this prospectus is a part, each of the following constitutes an “event of default” with respect to any series of debt securities:</w:t>
      </w:r>
    </w:p>
    <w:p>
      <w:pPr>
        <w:spacing w:after="0" w:line="61" w:lineRule="exact"/>
        <w:rPr>
          <w:sz w:val="20"/>
          <w:szCs w:val="20"/>
          <w:color w:val="auto"/>
        </w:rPr>
      </w:pPr>
    </w:p>
    <w:p>
      <w:pPr>
        <w:jc w:val="both"/>
        <w:ind w:left="1380" w:right="779" w:hanging="304"/>
        <w:spacing w:after="0" w:line="258" w:lineRule="auto"/>
        <w:tabs>
          <w:tab w:leader="none" w:pos="1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pay interest on the debt securities of such series that continues for a period of 30 days after payment is due; provided that if we are permitted by the terms of the debt securities to defer the payment in question, the date on which such payment is due and payable shall be the date on which we must make payment following such deferral, if the deferral has been made pursuant to the terms of the debt securities of that series;</w:t>
      </w:r>
    </w:p>
    <w:p>
      <w:pPr>
        <w:spacing w:after="0" w:line="68" w:lineRule="exact"/>
        <w:rPr>
          <w:rFonts w:ascii="Times New Roman" w:cs="Times New Roman" w:eastAsia="Times New Roman" w:hAnsi="Times New Roman"/>
          <w:sz w:val="16"/>
          <w:szCs w:val="16"/>
          <w:color w:val="auto"/>
        </w:rPr>
      </w:pPr>
    </w:p>
    <w:p>
      <w:pPr>
        <w:jc w:val="both"/>
        <w:ind w:left="1380" w:right="779" w:hanging="304"/>
        <w:spacing w:after="0" w:line="258" w:lineRule="auto"/>
        <w:tabs>
          <w:tab w:leader="none" w:pos="1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pay the principal or premium, if any, on the debt securities of such series when due upon maturity, redemption (otherwise than pursuant to a sinking fund), acceleration or otherwise; provided that if we are permitted by the terms of the debt securities to defer the payment in question, the date on which such payment is due and payable shall be the date on which we must make payment following such deferral, if the deferral has been made pursuant to the terms of the debt securities of that series;</w:t>
      </w:r>
    </w:p>
    <w:p>
      <w:pPr>
        <w:spacing w:after="0" w:line="6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comply with the covenant described above under the caption “—Consolidation, Merger and Sale of Assets”;</w:t>
      </w:r>
    </w:p>
    <w:p>
      <w:pPr>
        <w:spacing w:after="0" w:line="36" w:lineRule="exact"/>
        <w:rPr>
          <w:rFonts w:ascii="Times New Roman" w:cs="Times New Roman" w:eastAsia="Times New Roman" w:hAnsi="Times New Roman"/>
          <w:sz w:val="16"/>
          <w:szCs w:val="16"/>
          <w:color w:val="auto"/>
        </w:rPr>
      </w:pPr>
    </w:p>
    <w:p>
      <w:pPr>
        <w:jc w:val="both"/>
        <w:ind w:left="1380" w:right="779" w:hanging="304"/>
        <w:spacing w:after="0" w:line="234" w:lineRule="auto"/>
        <w:tabs>
          <w:tab w:leader="none" w:pos="1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comply with (x) any of the Company’s and the guarantors’ other applicable agreements contained in the applicable indenture and applicable to the debt securities of such series (other than (i) a failure that is subject to the foregoing clause (1), (2) or (3) or (ii) a failure to comply with the covenant described above under the caption “—Reports”) for a period of 60 days after receipt by the Company of written notice of such failure from the trustee for the debt securities of such series (or receipt by the Company and the trustee of written notice of such failure from the holders of at least 25% of the principal amount of the applicable series of debt securities) or (y) the requirements set forth in the covenant described above under the caption “—Reports” for a period of 120 days after receipt by the Company of written notice of such failure from the trustee for the debt securities of such series (or receipt by the Company and the trustee of written notice of such failure from the holders of at least 25% of the principal amount of the applicable series of debt securities);</w:t>
      </w:r>
    </w:p>
    <w:p>
      <w:pPr>
        <w:spacing w:after="0" w:line="68" w:lineRule="exact"/>
        <w:rPr>
          <w:rFonts w:ascii="Times New Roman" w:cs="Times New Roman" w:eastAsia="Times New Roman" w:hAnsi="Times New Roman"/>
          <w:sz w:val="16"/>
          <w:szCs w:val="16"/>
          <w:color w:val="auto"/>
        </w:rPr>
      </w:pPr>
    </w:p>
    <w:p>
      <w:pPr>
        <w:jc w:val="both"/>
        <w:ind w:left="1380" w:right="779" w:hanging="304"/>
        <w:spacing w:after="0" w:line="256" w:lineRule="auto"/>
        <w:tabs>
          <w:tab w:leader="none" w:pos="1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senior debt securities, one or more defaults shall have occurred under any of the agreements, indentures or instruments under which the Company or any significant subsidiary of the Company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w:t>
      </w:r>
    </w:p>
    <w:p>
      <w:pPr>
        <w:spacing w:after="0" w:line="67" w:lineRule="exact"/>
        <w:rPr>
          <w:rFonts w:ascii="Times New Roman" w:cs="Times New Roman" w:eastAsia="Times New Roman" w:hAnsi="Times New Roman"/>
          <w:sz w:val="16"/>
          <w:szCs w:val="16"/>
          <w:color w:val="auto"/>
        </w:rPr>
      </w:pPr>
    </w:p>
    <w:p>
      <w:pPr>
        <w:jc w:val="both"/>
        <w:ind w:left="1380" w:right="779" w:hanging="304"/>
        <w:spacing w:after="0" w:line="258" w:lineRule="auto"/>
        <w:tabs>
          <w:tab w:leader="none" w:pos="1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senior debt securities, one or more judgments or orders that exceed $250.0 million in the aggregate (net of amounts covered by insurance or bonded) for the payment of money have been entered by a court or courts of competent jurisdiction against the Company or any significant subsidiary of the Company and such judgment or judgments have not been satisfied, stayed, annulled or rescinded within 60 days after such judgment or judgments become final and nonappealable;</w:t>
      </w:r>
    </w:p>
    <w:p>
      <w:pPr>
        <w:spacing w:after="0" w:line="68" w:lineRule="exact"/>
        <w:rPr>
          <w:rFonts w:ascii="Times New Roman" w:cs="Times New Roman" w:eastAsia="Times New Roman" w:hAnsi="Times New Roman"/>
          <w:sz w:val="16"/>
          <w:szCs w:val="16"/>
          <w:color w:val="auto"/>
        </w:rPr>
      </w:pPr>
    </w:p>
    <w:p>
      <w:pPr>
        <w:jc w:val="both"/>
        <w:ind w:left="1380" w:right="779" w:hanging="304"/>
        <w:spacing w:after="0" w:line="256" w:lineRule="auto"/>
        <w:tabs>
          <w:tab w:leader="none" w:pos="1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guarantee by a significant subsidiary of the Company of the Company’s Indenture Obligations (as defined in the applicable indenture) under such series of debt securities shall for any reason cease to be, or shall for any reason be held in any judicial proceeding not to be, or asserted in writing by any significant subsidiary of the Company or the Company not to be, in full force and effect and enforceable in accordance with its terms, except to the extent contemplated by the applicable indenture and any such guarantee by such significant subsidiary of the Company’s Indenture Obligations under such series of debt securities, and any such default continues for 10 days;</w:t>
      </w:r>
    </w:p>
    <w:p>
      <w:pPr>
        <w:spacing w:after="0" w:line="67"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events of bankruptcy, insolvency or reorganization relating to the Company or any of its significant subsidiaries;</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the Company to pay a sinking fund installment, if any, when and as the same shall become payable by the terms of a debt security of such series, which failure shall have continued unremedied for a period of 30 days; and</w:t>
      </w:r>
    </w:p>
    <w:p>
      <w:pPr>
        <w:spacing w:after="0" w:line="60"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other event of default with respect to debt securities of such series as described in the applicable prospectus supplement or free writing prospectus.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84" w:name="page85"/>
    <w:bookmarkEnd w:id="8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760" w:right="759"/>
        <w:spacing w:after="0" w:line="261" w:lineRule="auto"/>
        <w:rPr>
          <w:sz w:val="20"/>
          <w:szCs w:val="20"/>
          <w:color w:val="auto"/>
        </w:rPr>
      </w:pPr>
      <w:r>
        <w:rPr>
          <w:rFonts w:ascii="Times New Roman" w:cs="Times New Roman" w:eastAsia="Times New Roman" w:hAnsi="Times New Roman"/>
          <w:sz w:val="16"/>
          <w:szCs w:val="16"/>
          <w:color w:val="auto"/>
        </w:rPr>
        <w:t>Each of the indentures in the respective forms initially filed as exhibits to the Registration Statement of which this prospectus is a part provides that if there is a continuing event of default (other than an event of default under clause</w:t>
      </w:r>
    </w:p>
    <w:p>
      <w:pPr>
        <w:spacing w:after="0" w:line="1" w:lineRule="exact"/>
        <w:rPr>
          <w:sz w:val="20"/>
          <w:szCs w:val="20"/>
          <w:color w:val="auto"/>
        </w:rPr>
      </w:pPr>
    </w:p>
    <w:p>
      <w:pPr>
        <w:jc w:val="both"/>
        <w:ind w:left="760" w:right="759" w:hanging="4"/>
        <w:spacing w:after="0" w:line="251" w:lineRule="auto"/>
        <w:tabs>
          <w:tab w:leader="none" w:pos="1024"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with respect to the Company) with respect to any series of debt securities outstanding under such indenture, either the trustee for the debt securities of such series or the holders of at least 25% of the outstanding principal amount of the debt securities of such series may declare the principal amount of all of the debt securities of such series to be due and payable immediately. In addition, at any time after the trustee or the holders, as the case may be, declare an acceleration with respect to the debt securities of such series, but before the applicable person has obtained a judgment or decree based on such acceleration, the holders of a majority in principal amount of the outstanding debt securities of such series may, under certain conditions, cancel such acceleration if the Company has cured all events of default (other than the nonpayment of accelerated principal) with respect to the debt securities of such series or all such events of default have been waived as provided in such indenture. For information as to waiver of defaults, see “—Modification and Waiver.” If an event of default specified in clause (8) above with respect to the Company occurs, all outstanding debt securities shall become due and payable without any further action or notice.</w:t>
      </w:r>
    </w:p>
    <w:p>
      <w:pPr>
        <w:spacing w:after="0" w:line="77" w:lineRule="exact"/>
        <w:rPr>
          <w:sz w:val="20"/>
          <w:szCs w:val="20"/>
          <w:color w:val="auto"/>
        </w:rPr>
      </w:pPr>
    </w:p>
    <w:p>
      <w:pPr>
        <w:jc w:val="both"/>
        <w:ind w:left="760" w:right="759"/>
        <w:spacing w:after="0" w:line="254" w:lineRule="auto"/>
        <w:rPr>
          <w:sz w:val="20"/>
          <w:szCs w:val="20"/>
          <w:color w:val="auto"/>
        </w:rPr>
      </w:pPr>
      <w:r>
        <w:rPr>
          <w:rFonts w:ascii="Times New Roman" w:cs="Times New Roman" w:eastAsia="Times New Roman" w:hAnsi="Times New Roman"/>
          <w:sz w:val="16"/>
          <w:szCs w:val="16"/>
          <w:color w:val="auto"/>
        </w:rPr>
        <w:t>Each of the indentures in the respective forms initially filed as exhibits to the Registration Statement of which this prospectus is a part provides that, subject to the duties of the trustee to act with the required standard of care if it has received written notice of a continuing event of default, the trustee need not exercise any of its rights or powers under such indenture at the request or direction of any of the holders of debt securities of any series, unless such holders have offered to the trustee security and/or indemnity to its satisfaction. Subject to such provisions for security and/or indemnification of the trustee and certain other conditions and except as otherwise provided in the applicable indenture, the holders of a majority in principal amount of the outstanding debt securities of any series issued under such indenture will have the right to direct the time, method and place of conducting any proceeding for any remedy available to the trustee or exercising any trust or power the trustee holds with respect to the debt securities of such series.</w:t>
      </w:r>
    </w:p>
    <w:p>
      <w:pPr>
        <w:spacing w:after="0" w:line="71" w:lineRule="exact"/>
        <w:rPr>
          <w:sz w:val="20"/>
          <w:szCs w:val="20"/>
          <w:color w:val="auto"/>
        </w:rPr>
      </w:pPr>
    </w:p>
    <w:p>
      <w:pPr>
        <w:jc w:val="both"/>
        <w:ind w:left="760" w:right="759"/>
        <w:spacing w:after="0" w:line="282" w:lineRule="auto"/>
        <w:rPr>
          <w:sz w:val="20"/>
          <w:szCs w:val="20"/>
          <w:color w:val="auto"/>
        </w:rPr>
      </w:pPr>
      <w:r>
        <w:rPr>
          <w:rFonts w:ascii="Times New Roman" w:cs="Times New Roman" w:eastAsia="Times New Roman" w:hAnsi="Times New Roman"/>
          <w:sz w:val="16"/>
          <w:szCs w:val="16"/>
          <w:color w:val="auto"/>
        </w:rPr>
        <w:t>No holder of any debt security of a series will have any right to institute any proceeding with respect to the applicable indenture or for any remedy unless:</w:t>
      </w:r>
    </w:p>
    <w:p>
      <w:pPr>
        <w:spacing w:after="0" w:line="48" w:lineRule="exact"/>
        <w:rPr>
          <w:sz w:val="20"/>
          <w:szCs w:val="20"/>
          <w:color w:val="auto"/>
        </w:rPr>
      </w:pPr>
    </w:p>
    <w:p>
      <w:pPr>
        <w:ind w:left="1380" w:right="779" w:hanging="304"/>
        <w:spacing w:after="0" w:line="282" w:lineRule="auto"/>
        <w:tabs>
          <w:tab w:leader="none" w:pos="13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has failed to institute such proceeding for 60 days after the holder has previously given to the trustee written notice of a continuing event of default with respect to the debt securities of such series;</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aggregate principal amount of the outstanding debt securities of such series have made a written request, and offered to the trustee reasonable security and/or indemnity satisfactory to it to institute such proceeding as trustee; and</w:t>
      </w:r>
    </w:p>
    <w:p>
      <w:pPr>
        <w:spacing w:after="0" w:line="60"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has not received from the holders of a majority in aggregate principal amount of the outstanding debt securities of such series a direction that is inconsistent with such request.</w:t>
      </w:r>
    </w:p>
    <w:p>
      <w:pPr>
        <w:spacing w:after="0" w:line="48"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However, the holder of any debt security will have an absolute and unconditional right to receive payment of the principal of, and any premium or interest on, such debt security on or after the date or dates they are to be paid as expressed in such debt security and to institute suit for the enforcement of any such payment.</w:t>
      </w:r>
    </w:p>
    <w:p>
      <w:pPr>
        <w:spacing w:after="0" w:line="61" w:lineRule="exact"/>
        <w:rPr>
          <w:sz w:val="20"/>
          <w:szCs w:val="20"/>
          <w:color w:val="auto"/>
        </w:rPr>
      </w:pPr>
    </w:p>
    <w:p>
      <w:pPr>
        <w:jc w:val="both"/>
        <w:ind w:left="760" w:right="759"/>
        <w:spacing w:after="0" w:line="255" w:lineRule="auto"/>
        <w:rPr>
          <w:sz w:val="20"/>
          <w:szCs w:val="20"/>
          <w:color w:val="auto"/>
        </w:rPr>
      </w:pPr>
      <w:r>
        <w:rPr>
          <w:rFonts w:ascii="Times New Roman" w:cs="Times New Roman" w:eastAsia="Times New Roman" w:hAnsi="Times New Roman"/>
          <w:sz w:val="16"/>
          <w:szCs w:val="16"/>
          <w:color w:val="auto"/>
        </w:rPr>
        <w:t>The Company will be required to furnish to the trustee annually a statement as to the absence of certain defaults under each indenture under which debt securities have been issued and remain outstanding. Each indenture will provide that the trustee need not provide holders of the debt securities notice of any default (other than the nonpayment of principal or any premium or interest) if it considers it in the interest of the holders of the debt securities not to provide such notice. Upon becoming aware of any default or event of default with respect to a series of debt securities, the Company will deliver forthwith to the trustee for such series of debt securities an officer’s certificate specifying such default or event of default and the action the Company is taking, or proposes to take, with respect thereto.</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Modification and Waiver</w:t>
      </w:r>
    </w:p>
    <w:p>
      <w:pPr>
        <w:spacing w:after="0" w:line="106"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Each of the indentures in the respective forms initially filed as exhibits to the Registration Statement of which this prospectus is a part contemplates that we, any guarantors and the trustee may modify or amend the indenture without the consent of any holder of a debt security of any series to:</w:t>
      </w:r>
    </w:p>
    <w:p>
      <w:pPr>
        <w:spacing w:after="0" w:line="61" w:lineRule="exact"/>
        <w:rPr>
          <w:sz w:val="20"/>
          <w:szCs w:val="20"/>
          <w:color w:val="auto"/>
        </w:rPr>
      </w:pPr>
    </w:p>
    <w:p>
      <w:pPr>
        <w:ind w:left="1380" w:hanging="304"/>
        <w:spacing w:after="0"/>
        <w:tabs>
          <w:tab w:leader="none" w:pos="13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cure any ambiguity, defect, mistake or inconsistency in the applicable indenture;</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uncertificated debt securities in addition to or in place of certificated debt securities;</w:t>
      </w:r>
    </w:p>
    <w:p>
      <w:pPr>
        <w:spacing w:after="0" w:line="104"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provisions described above under the caption “—Consolidation, Merger and Sale of Assets” or the covenant in the applicable indenture governing guarantees, including to provide for or evidence the release of any guarantor in accordance with the terms thereof;</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85" w:name="page86"/>
    <w:bookmarkEnd w:id="8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1380" w:right="779" w:hanging="304"/>
        <w:spacing w:after="0" w:line="266"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and provide for the acceptance of appointment by a successor trustee and add to or change any provisions of the indenture as shall be necessary for or facilitate the administration of the trusts thereunder by more than one trustee, pursuant to the requirements of the applicable indenture;</w:t>
      </w:r>
    </w:p>
    <w:p>
      <w:pPr>
        <w:spacing w:after="0" w:line="60"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requirements of the SEC in order to effect or maintain the qualification of the applicable indenture or any supplemental indenture thereto under the Trust Indenture Act;</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that would provide any additional rights or benefits to the holders of the debt securities of such series or that does not adversely affect in any material respect the legal rights under the applicable indenture of the holders of the debt securities of such series;</w:t>
      </w:r>
    </w:p>
    <w:p>
      <w:pPr>
        <w:spacing w:after="0" w:line="60"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 any series of debt securities;</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the form and terms of securities of any series pursuant to the applicable indenture, or authorize the issuance of additional debt securities of a series previously authorized;</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covenants for the benefit of the holders of such series of debt securities or to surrender any right or power conferred upon the Company or any guarantor;</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58"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conform the text of the applicable indenture, any supplemental indenture thereto, the debt securities or any guarantees thereof to the extent a provision thereof was intended to be a substantially verbatim recitation of the applicable provision of the “Description of Debt Securities and Guarantees” or the “Description of Notes and Guarantees” (or comparable section) contained in the applicable registration statement, prospectus, prospectus supplement, free-writing prospectus or offering memorandum;</w:t>
      </w:r>
    </w:p>
    <w:p>
      <w:pPr>
        <w:spacing w:after="0" w:line="6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 any guarantor to execute a supplemental indenture and/or guarantee with respect to the debt securities of any series;</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55"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to, change or eliminate any of the provisions of the applicable indenture with respect to one or more series of debt securities, so long as any such addition, change or elimination not otherwise permitted under the indenture shall (A) neither apply to any debt security of any series created under such indenture prior to the execution of such supplemental indenture and entitled to the benefit of such provision nor modify the rights of the holders of any such debt security with respect to the benefit of such provision or</w:t>
      </w:r>
    </w:p>
    <w:p>
      <w:pPr>
        <w:ind w:left="1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become effective only when there is no such debt security outstanding;</w:t>
      </w:r>
    </w:p>
    <w:p>
      <w:pPr>
        <w:spacing w:after="0" w:line="87" w:lineRule="exact"/>
        <w:rPr>
          <w:rFonts w:ascii="Times New Roman" w:cs="Times New Roman" w:eastAsia="Times New Roman" w:hAnsi="Times New Roman"/>
          <w:sz w:val="16"/>
          <w:szCs w:val="16"/>
          <w:color w:val="auto"/>
        </w:rPr>
      </w:pPr>
    </w:p>
    <w:p>
      <w:pPr>
        <w:jc w:val="both"/>
        <w:ind w:left="1380" w:right="779" w:hanging="304"/>
        <w:spacing w:after="0" w:line="261"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supplement any of the provisions of the applicable indenture to such extent as shall be necessary to permit or facilitate the defeasance and discharge of any series of debt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action shall not adversely affect the interests of the holders of debt securities of such series or any other series of debt securities;</w:t>
      </w:r>
    </w:p>
    <w:p>
      <w:pPr>
        <w:spacing w:after="0" w:line="6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the authentication and delivery of additional series of debt securities;</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with respect to the subordinated debt indenture, to make any change to the applicable provisions of such indenture that limit or terminate the benefits applicable to any holder of senior debt securities; and</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with respect to the junior subordinated debt indenture, to make any changes to the applicable provisions of such indenture that limit or terminate the benefits applicable to any holder of senior debt securities or subordinated debt securities.</w:t>
      </w:r>
    </w:p>
    <w:p>
      <w:pPr>
        <w:spacing w:after="0" w:line="61"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Each of the indentures in the respective forms initially filed as exhibits to the Registration Statement of which this prospectus is a part contemplates that we, any guarantors and the trustee may modify or amend the indenture as it applies to a series of the debt securities outstanding under such indenture with the consent of the holders of a majority of the aggregate principal amount of the then outstanding debt securities of such series affected by the modification or amendment. However, no such modification or amendment may, without the consent of each holder of debt securities of a series affected thereby outstanding under such indenture:</w:t>
      </w:r>
    </w:p>
    <w:p>
      <w:pPr>
        <w:spacing w:after="0" w:line="67" w:lineRule="exact"/>
        <w:rPr>
          <w:sz w:val="20"/>
          <w:szCs w:val="20"/>
          <w:color w:val="auto"/>
        </w:rPr>
      </w:pPr>
    </w:p>
    <w:p>
      <w:pPr>
        <w:ind w:left="1380" w:right="779" w:hanging="304"/>
        <w:spacing w:after="0" w:line="282" w:lineRule="auto"/>
        <w:tabs>
          <w:tab w:leader="none" w:pos="13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due date of the principal of, or any installment of principal of or interest on, the debt securities of such series, or reduce the amount of the principal of an original issue discount security;</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adversely affect the economic terms of a right to convert or exchange any debt security of such series, if any;</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or any premium or interest rate on, the debt securities of such series;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86" w:name="page87"/>
    <w:bookmarkEnd w:id="8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ind w:left="1380" w:right="779" w:hanging="304"/>
        <w:spacing w:after="0" w:line="282" w:lineRule="auto"/>
        <w:tabs>
          <w:tab w:leader="none" w:pos="1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place or currency of payment of principal of, or any premium or interest on, the debt securities of such series;</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amount payable upon the redemption of any debt security of such series;</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 the right to institute suit for the enforcement of any payment on or with respect to the debt securities of such series after the due date thereof; or</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percentage in principal amount of the debt securities of such series then outstanding, the consent of whose holders is required for modification or amendment of the indenture, for waiver of compliance with certain provisions of the indenture or for waiver of certain defaults.</w:t>
      </w:r>
    </w:p>
    <w:p>
      <w:pPr>
        <w:spacing w:after="0" w:line="61"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In addition, the subordinated debt indenture may not be amended to alter the subordination of any outstanding subordinated debt securities without the consent of each holder of then outstanding senior indebtedness that would be adversely affected by such amendment, and the junior subordinated debt indenture may not be amended to alter the subordination of any outstanding junior subordinated debt securities without the consent of each holder of then outstanding senior indebtedness and subordinated indebtedness that would be adversely affected by such amendment.</w:t>
      </w:r>
    </w:p>
    <w:p>
      <w:pPr>
        <w:spacing w:after="0" w:line="67"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The holders of a majority of the principal amount of then outstanding debt securities of a series may waive future compliance with certain restrictive covenants of the indenture applicable to such series of debt securities. The holders of at least a majority in principal amount of then outstanding debt securities of any series may waive any past default with respect to such series under the indenture applicable to such series, except a failure by the Company to pay the principal of, or any premium or interest on, any debt securities of such series or a provision that cannot be modified or amended without the consent of the holders of all outstanding debt securities of such series.</w:t>
      </w:r>
    </w:p>
    <w:p>
      <w:pPr>
        <w:spacing w:after="0" w:line="67" w:lineRule="exact"/>
        <w:rPr>
          <w:sz w:val="20"/>
          <w:szCs w:val="20"/>
          <w:color w:val="auto"/>
        </w:rPr>
      </w:pPr>
    </w:p>
    <w:p>
      <w:pPr>
        <w:jc w:val="both"/>
        <w:ind w:left="760" w:right="779"/>
        <w:spacing w:after="0" w:line="257" w:lineRule="auto"/>
        <w:rPr>
          <w:sz w:val="20"/>
          <w:szCs w:val="20"/>
          <w:color w:val="auto"/>
        </w:rPr>
      </w:pPr>
      <w:r>
        <w:rPr>
          <w:rFonts w:ascii="Times New Roman" w:cs="Times New Roman" w:eastAsia="Times New Roman" w:hAnsi="Times New Roman"/>
          <w:sz w:val="16"/>
          <w:szCs w:val="16"/>
          <w:color w:val="auto"/>
        </w:rPr>
        <w:t>In determining whether the holders of the required principal amount of a series of debt securities have concurred in any direction, notice, waiver or consent, debt securities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debt securities that a responsible officer of the trustee actually knows are so owned will be so disregarded.</w:t>
      </w:r>
    </w:p>
    <w:p>
      <w:pPr>
        <w:spacing w:after="0" w:line="3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Satisfaction and Discharge and Defeasance</w:t>
      </w:r>
    </w:p>
    <w:p>
      <w:pPr>
        <w:spacing w:after="0" w:line="106" w:lineRule="exact"/>
        <w:rPr>
          <w:sz w:val="20"/>
          <w:szCs w:val="20"/>
          <w:color w:val="auto"/>
        </w:rPr>
      </w:pPr>
    </w:p>
    <w:p>
      <w:pPr>
        <w:jc w:val="both"/>
        <w:ind w:left="760" w:right="759"/>
        <w:spacing w:after="0" w:line="266" w:lineRule="auto"/>
        <w:rPr>
          <w:sz w:val="20"/>
          <w:szCs w:val="20"/>
          <w:color w:val="auto"/>
        </w:rPr>
      </w:pPr>
      <w:r>
        <w:rPr>
          <w:rFonts w:ascii="Times New Roman" w:cs="Times New Roman" w:eastAsia="Times New Roman" w:hAnsi="Times New Roman"/>
          <w:sz w:val="16"/>
          <w:szCs w:val="16"/>
          <w:color w:val="auto"/>
        </w:rPr>
        <w:t>Each of the indentures in the respective forms initially filed as exhibits to the Registration Statement of which this prospectus is a part will be discharged and will cease to be of further effect with respect to any series of debt securities issued thereunder upon:</w:t>
      </w:r>
    </w:p>
    <w:p>
      <w:pPr>
        <w:spacing w:after="0" w:line="61" w:lineRule="exact"/>
        <w:rPr>
          <w:sz w:val="20"/>
          <w:szCs w:val="20"/>
          <w:color w:val="auto"/>
        </w:rPr>
      </w:pPr>
    </w:p>
    <w:p>
      <w:pPr>
        <w:jc w:val="both"/>
        <w:ind w:left="1380" w:right="779" w:hanging="304"/>
        <w:spacing w:after="0" w:line="258" w:lineRule="auto"/>
        <w:tabs>
          <w:tab w:leader="none" w:pos="1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the delivery to the trustee for cancellation all debt securities of such series or, in the case of a series of debt securities that have become due and payable, will become due and payable within one year or have been called for redemption, the irrevocable deposit with the trustee in trust of cash, government obligations or a combination thereof sufficient to pay off the entire indebtedness on the debt securities of such series;</w:t>
      </w:r>
    </w:p>
    <w:p>
      <w:pPr>
        <w:spacing w:after="0" w:line="6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any guarantor has paid all sums payable by it with respect to such series of debt securities under the applicable indenture; and</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delivered irrevocable instructions to the trustee for such series of debt securities under the applicable indenture to apply the deposited money toward the payment of the debt securities at maturity or on the redemption date, as the case may be.</w:t>
      </w:r>
    </w:p>
    <w:p>
      <w:pPr>
        <w:spacing w:after="0" w:line="61"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In addition, each of the indentures in the respective forms initially filed as exhibits to the Registration Statement of which this prospectus is a part allows us, at our option and subject to the satisfaction of certain conditions, to elect that we and any guarantors, as applicable, with respect to any series of debt securities issued thereunder, be:</w:t>
      </w:r>
    </w:p>
    <w:p>
      <w:pPr>
        <w:spacing w:after="0" w:line="61" w:lineRule="exact"/>
        <w:rPr>
          <w:sz w:val="20"/>
          <w:szCs w:val="20"/>
          <w:color w:val="auto"/>
        </w:rPr>
      </w:pPr>
    </w:p>
    <w:p>
      <w:pPr>
        <w:ind w:left="1380" w:right="779" w:hanging="304"/>
        <w:spacing w:after="0" w:line="282" w:lineRule="auto"/>
        <w:tabs>
          <w:tab w:leader="none" w:pos="13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deemed to have paid and discharged the entire indebtedness of the debt securities of such series and any guarantees thereof (a “legal defeasance option”); or</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released from our obligations and any of our guarantor’s obligations under certain restrictive covenants in the indenture and, following such release, noncompliance with such covenants shall not constitute a default or an event of default (a “covenant defeasance option”).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87" w:name="page88"/>
    <w:bookmarkEnd w:id="87"/>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79"/>
        <w:spacing w:after="0" w:line="258" w:lineRule="auto"/>
        <w:rPr>
          <w:sz w:val="20"/>
          <w:szCs w:val="20"/>
          <w:color w:val="auto"/>
        </w:rPr>
      </w:pPr>
      <w:r>
        <w:rPr>
          <w:rFonts w:ascii="Times New Roman" w:cs="Times New Roman" w:eastAsia="Times New Roman" w:hAnsi="Times New Roman"/>
          <w:sz w:val="16"/>
          <w:szCs w:val="16"/>
          <w:color w:val="auto"/>
        </w:rPr>
        <w:t>If we exercise our legal defeasance option with respect to a series of debt securities, payment of such debt securities may not be accelerated because of an event of default. If we exercise our covenant defeasance option with respect to a series of debt securities, payment of such debt securities may not be accelerated because of an event of default related to the specified covenants. The applicable prospectus supplement or free writing prospectus will describe the procedures we must follow in order to exercise our defeasance options.</w:t>
      </w:r>
    </w:p>
    <w:p>
      <w:pPr>
        <w:spacing w:after="0" w:line="3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Subordination Under the Subordinated Debt Indenture and Junior Subordinated Debt Indenture</w:t>
      </w:r>
    </w:p>
    <w:p>
      <w:pPr>
        <w:spacing w:after="0" w:line="106" w:lineRule="exact"/>
        <w:rPr>
          <w:sz w:val="20"/>
          <w:szCs w:val="20"/>
          <w:color w:val="auto"/>
        </w:rPr>
      </w:pPr>
    </w:p>
    <w:p>
      <w:pPr>
        <w:jc w:val="both"/>
        <w:ind w:left="760" w:right="759"/>
        <w:spacing w:after="0" w:line="256" w:lineRule="auto"/>
        <w:rPr>
          <w:sz w:val="20"/>
          <w:szCs w:val="20"/>
          <w:color w:val="auto"/>
        </w:rPr>
      </w:pPr>
      <w:r>
        <w:rPr>
          <w:rFonts w:ascii="Times New Roman" w:cs="Times New Roman" w:eastAsia="Times New Roman" w:hAnsi="Times New Roman"/>
          <w:sz w:val="16"/>
          <w:szCs w:val="16"/>
          <w:color w:val="auto"/>
        </w:rPr>
        <w:t>Each of the subordinated debt indenture and junior subordinated debt indenture in the respective forms initially filed as exhibits to the Registration Statement of which this prospectus is a part provides that payment of the interest, premium (if any) and principal on and additional amounts (if any) with respect to debt securities issued under the subordinated debt indenture or junior subordinated debt indenture will be subordinate and junior in right of payment, to the extent and in the manner set forth in such indenture, (i) to all of our senior indebtedness, in the case of subordinated indebtedness, and (ii) to all of our senior indebtedness and subordinated indebtedness, in the case of junior subordinated indebtedness.</w:t>
      </w:r>
    </w:p>
    <w:p>
      <w:pPr>
        <w:spacing w:after="0" w:line="68"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The subordinated debt indenture in the form initially filed as an exhibit to the Registration Statement of which this prospectus is a part defines senior indebtedness as the interest, premium (if any) and principal on and additional amounts (if any) on all of our indebtedness, whether incurred prior to, on or after the date of the subordinated debt indenture; provided that such senior indebtedness does not include any of our indebtedness which, by the terms of the instrument creating or evidencing it, has a subordinate or equivalent right to payment with the subordinated debt securities. The junior subordinated debt indenture in the form initially filed as an exhibit to the Registration Statement of which this prospectus is a part defines senior indebtedness as the interest, premium (if any) and principal on and additional amounts (if any) on all of our indebtedness, whether incurred prior to, on or after the date of the junior subordinated indenture; provided that such senior indebtedness does not include any of our indebtedness which, by its terms or the terms of the instrument creating or evidencing it, either has a subordinate or equivalent right to payment with the subordinated debt securities or has a subordinate or equivalent right to payment with the junior subordinated debt securities. For the avoidance of doubt, senior indebtedness also includes any senior debt securities.</w:t>
      </w:r>
    </w:p>
    <w:p>
      <w:pPr>
        <w:spacing w:after="0" w:line="73" w:lineRule="exact"/>
        <w:rPr>
          <w:sz w:val="20"/>
          <w:szCs w:val="20"/>
          <w:color w:val="auto"/>
        </w:rPr>
      </w:pPr>
    </w:p>
    <w:p>
      <w:pPr>
        <w:jc w:val="both"/>
        <w:ind w:left="760" w:right="779"/>
        <w:spacing w:after="0" w:line="254" w:lineRule="auto"/>
        <w:rPr>
          <w:sz w:val="20"/>
          <w:szCs w:val="20"/>
          <w:color w:val="auto"/>
        </w:rPr>
      </w:pPr>
      <w:r>
        <w:rPr>
          <w:rFonts w:ascii="Times New Roman" w:cs="Times New Roman" w:eastAsia="Times New Roman" w:hAnsi="Times New Roman"/>
          <w:sz w:val="16"/>
          <w:szCs w:val="16"/>
          <w:color w:val="auto"/>
        </w:rPr>
        <w:t>Each of the subordinated debt indenture and junior subordinated debt indenture in the respective forms initially filed as exhibits to the Registration Statement of which this prospectus is a part define “indebtedness” in the same manner. The junior subordinated debt indenture in the form initially filed as an exhibit to the Registration Statement of which this prospectus is a part defines subordinated indebtedness as interest, premium (if any) and principal on and additional amounts (if any) on all of our indebtedness that is subordinated to any of our senior indebtedness, whether created, incurred or assumed prior to, on or after the date of the junior subordinated debt indenture; provided that subordinated indebtedness does not include any of our indebtedness which by the terms of the instrument creating or evidencing such indebtedness is specifically designated as being subordinated to or pari passu with the junior subordinated debt securities.</w:t>
      </w:r>
    </w:p>
    <w:p>
      <w:pPr>
        <w:spacing w:after="0" w:line="73" w:lineRule="exact"/>
        <w:rPr>
          <w:sz w:val="20"/>
          <w:szCs w:val="20"/>
          <w:color w:val="auto"/>
        </w:rPr>
      </w:pPr>
    </w:p>
    <w:p>
      <w:pPr>
        <w:jc w:val="both"/>
        <w:ind w:left="760" w:right="759"/>
        <w:spacing w:after="0" w:line="255" w:lineRule="auto"/>
        <w:rPr>
          <w:sz w:val="20"/>
          <w:szCs w:val="20"/>
          <w:color w:val="auto"/>
        </w:rPr>
      </w:pPr>
      <w:r>
        <w:rPr>
          <w:rFonts w:ascii="Times New Roman" w:cs="Times New Roman" w:eastAsia="Times New Roman" w:hAnsi="Times New Roman"/>
          <w:sz w:val="16"/>
          <w:szCs w:val="16"/>
          <w:color w:val="auto"/>
        </w:rPr>
        <w:t>The subordinated debt indenture and junior subordinated debt indenture in the respective forms initially filed as exhibits to the Registration Statement of which this prospectus is a part do not limit the amount of senior indebtedness that we can incur. The junior subordinated debt indenture in the form initially filed as an exhibit to the Registration Statement of which this prospectus is a part does not limit the amount of subordinated indebtedness that we can incur. The holders of all senior indebtedness will be entitled to receive payment of the full amount due on that indebtedness before the holders of any subordinated debt securities or junior subordinated debt securities receive any payment on account of such subordinated debt securities or junior subordinated debt securities, in the event:</w:t>
      </w:r>
    </w:p>
    <w:p>
      <w:pPr>
        <w:spacing w:after="0" w:line="265" w:lineRule="exact"/>
        <w:rPr>
          <w:sz w:val="20"/>
          <w:szCs w:val="20"/>
          <w:color w:val="auto"/>
        </w:rPr>
      </w:pPr>
    </w:p>
    <w:p>
      <w:pPr>
        <w:ind w:left="1380" w:right="779" w:hanging="304"/>
        <w:spacing w:after="0" w:line="282" w:lineRule="auto"/>
        <w:tabs>
          <w:tab w:leader="none" w:pos="13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insolvency, bankruptcy, receivership, liquidation, reorganization or other similar proceedings in respect of us or our property; or</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debt securities of any series are declared due and payable before their expressed maturity because of an event of default other than an insolvency, bankruptcy, receivership, liquidation, reorganization or other similar proceeding in respect of us or our property.</w:t>
      </w:r>
    </w:p>
    <w:p>
      <w:pPr>
        <w:spacing w:after="0" w:line="61"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We may not make any payment of the interest, premium (if any) and principal on and additional amounts (if any) on the subordinated debt securities or junior subordinated debt securities during a continued default in payment of any senior indebtedness or if any event of default exists under the terms of any senior indebtedness.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88" w:name="page89"/>
    <w:bookmarkEnd w:id="88"/>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Similarly, the holders of all subordinated indebtedness will be entitled to receive payment of the full amount due on that indebtedness before the holders of any junior subordinated debt securities receive any payment on account of such junior subordinated debt securities, in the event:</w:t>
      </w:r>
    </w:p>
    <w:p>
      <w:pPr>
        <w:spacing w:after="0" w:line="61" w:lineRule="exact"/>
        <w:rPr>
          <w:sz w:val="20"/>
          <w:szCs w:val="20"/>
          <w:color w:val="auto"/>
        </w:rPr>
      </w:pPr>
    </w:p>
    <w:p>
      <w:pPr>
        <w:ind w:left="1380" w:right="779" w:hanging="304"/>
        <w:spacing w:after="0" w:line="282" w:lineRule="auto"/>
        <w:tabs>
          <w:tab w:leader="none" w:pos="13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insolvency, bankruptcy, receivership, liquidation, reorganization or other similar proceedings in respect of us or our property; or</w:t>
      </w:r>
    </w:p>
    <w:p>
      <w:pPr>
        <w:spacing w:after="0" w:line="48" w:lineRule="exact"/>
        <w:rPr>
          <w:rFonts w:ascii="Times New Roman" w:cs="Times New Roman" w:eastAsia="Times New Roman" w:hAnsi="Times New Roman"/>
          <w:sz w:val="16"/>
          <w:szCs w:val="16"/>
          <w:color w:val="auto"/>
        </w:rPr>
      </w:pPr>
    </w:p>
    <w:p>
      <w:pPr>
        <w:jc w:val="both"/>
        <w:ind w:left="1380" w:right="779" w:hanging="304"/>
        <w:spacing w:after="0" w:line="266" w:lineRule="auto"/>
        <w:tabs>
          <w:tab w:leader="none" w:pos="13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debt securities of any series are declared due and payable before their expressed maturity because of an event of default other than an insolvency, bankruptcy, receivership, liquidation, reorganization or other similar proceeding in respect of us or our property.</w:t>
      </w:r>
    </w:p>
    <w:p>
      <w:pPr>
        <w:spacing w:after="0" w:line="61" w:lineRule="exact"/>
        <w:rPr>
          <w:sz w:val="20"/>
          <w:szCs w:val="20"/>
          <w:color w:val="auto"/>
        </w:rPr>
      </w:pPr>
    </w:p>
    <w:p>
      <w:pPr>
        <w:jc w:val="both"/>
        <w:ind w:left="760" w:right="759"/>
        <w:spacing w:after="0" w:line="261" w:lineRule="auto"/>
        <w:rPr>
          <w:sz w:val="20"/>
          <w:szCs w:val="20"/>
          <w:color w:val="auto"/>
        </w:rPr>
      </w:pPr>
      <w:r>
        <w:rPr>
          <w:rFonts w:ascii="Times New Roman" w:cs="Times New Roman" w:eastAsia="Times New Roman" w:hAnsi="Times New Roman"/>
          <w:sz w:val="16"/>
          <w:szCs w:val="16"/>
          <w:color w:val="auto"/>
        </w:rPr>
        <w:t>We may not make any payment of interest, premium (if any) and principal on and additional amounts (if any) on the junior subordinated debt securities during a continued default in payment of any senior indebtedness or subordinated indebtedness or if any event of default exists under the terms of any senior indebtedness or subordinated indebtedness.</w:t>
      </w:r>
    </w:p>
    <w:p>
      <w:pPr>
        <w:spacing w:after="0" w:line="65" w:lineRule="exact"/>
        <w:rPr>
          <w:sz w:val="20"/>
          <w:szCs w:val="20"/>
          <w:color w:val="auto"/>
        </w:rPr>
      </w:pPr>
    </w:p>
    <w:p>
      <w:pPr>
        <w:jc w:val="both"/>
        <w:ind w:left="760" w:right="759"/>
        <w:spacing w:after="0" w:line="254" w:lineRule="auto"/>
        <w:rPr>
          <w:sz w:val="20"/>
          <w:szCs w:val="20"/>
          <w:color w:val="auto"/>
        </w:rPr>
      </w:pPr>
      <w:r>
        <w:rPr>
          <w:rFonts w:ascii="Times New Roman" w:cs="Times New Roman" w:eastAsia="Times New Roman" w:hAnsi="Times New Roman"/>
          <w:sz w:val="16"/>
          <w:szCs w:val="16"/>
          <w:color w:val="auto"/>
        </w:rPr>
        <w:t>The trustee for each series of debt securities under the subordinated debt indenture and junior subordinated debt indenture will not be deemed to owe any fiduciary duty to the holders of senior indebtedness and will not be liable to any such holders if the trustee shall in good faith mistakenly pay over or distribute to holders of subordinated indebtedness or to us or to any other person cash, property or securities to which any holders of senior indebtedness are entitled by virtue of the subordination provisions of the subordinated debt indenture and junior subordinated debt indenture or otherwise. With respect to the holders of senior indebtedness, the trustee for each series of debt securities under the subordinated debt indenture and junior subordinated debt indenture will undertake to perform only such of its covenants or obligations as are specifically set forth in such indentures and no implied covenants or obligations with respect to holders of senior indebtedness will be read into the subordinated debt indenture and junior subordinated debt indenture against such trustee.</w:t>
      </w:r>
    </w:p>
    <w:p>
      <w:pPr>
        <w:spacing w:after="0" w:line="71" w:lineRule="exact"/>
        <w:rPr>
          <w:sz w:val="20"/>
          <w:szCs w:val="20"/>
          <w:color w:val="auto"/>
        </w:rPr>
      </w:pPr>
    </w:p>
    <w:p>
      <w:pPr>
        <w:jc w:val="both"/>
        <w:ind w:left="760" w:right="759"/>
        <w:spacing w:after="0" w:line="282" w:lineRule="auto"/>
        <w:rPr>
          <w:sz w:val="20"/>
          <w:szCs w:val="20"/>
          <w:color w:val="auto"/>
        </w:rPr>
      </w:pPr>
      <w:r>
        <w:rPr>
          <w:rFonts w:ascii="Times New Roman" w:cs="Times New Roman" w:eastAsia="Times New Roman" w:hAnsi="Times New Roman"/>
          <w:sz w:val="16"/>
          <w:szCs w:val="16"/>
          <w:color w:val="auto"/>
        </w:rPr>
        <w:t>Nothing in the subordinated debt indenture or junior subordinated debt indenture will apply to claims of, or payments to, the applicable trustee under such indentures.</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Information Concerning the Trustee</w:t>
      </w:r>
    </w:p>
    <w:p>
      <w:pPr>
        <w:spacing w:after="0" w:line="106" w:lineRule="exact"/>
        <w:rPr>
          <w:sz w:val="20"/>
          <w:szCs w:val="20"/>
          <w:color w:val="auto"/>
        </w:rPr>
      </w:pPr>
    </w:p>
    <w:p>
      <w:pPr>
        <w:jc w:val="both"/>
        <w:ind w:left="760" w:right="779"/>
        <w:spacing w:after="0" w:line="258" w:lineRule="auto"/>
        <w:rPr>
          <w:sz w:val="20"/>
          <w:szCs w:val="20"/>
          <w:color w:val="auto"/>
        </w:rPr>
      </w:pPr>
      <w:r>
        <w:rPr>
          <w:rFonts w:ascii="Times New Roman" w:cs="Times New Roman" w:eastAsia="Times New Roman" w:hAnsi="Times New Roman"/>
          <w:sz w:val="16"/>
          <w:szCs w:val="16"/>
          <w:color w:val="auto"/>
        </w:rPr>
        <w:t>The trustee, other than during the continuance of an event of default under any applicable indenture, undertakes to perform only those duties specifically set forth in the applicable indenture. Upon the occurrence of a continuing event of default under any applicable indenture, the trustee must exercise the rights and powers vested in it by the indenture and use the same degree of care and skill as a prudent person would exercise or use in the conduct of such person’s own affairs in those circumstances.</w:t>
      </w:r>
    </w:p>
    <w:p>
      <w:pPr>
        <w:spacing w:after="0" w:line="68" w:lineRule="exact"/>
        <w:rPr>
          <w:sz w:val="20"/>
          <w:szCs w:val="20"/>
          <w:color w:val="auto"/>
        </w:rPr>
      </w:pPr>
    </w:p>
    <w:p>
      <w:pPr>
        <w:jc w:val="both"/>
        <w:ind w:left="760" w:right="759"/>
        <w:spacing w:after="0" w:line="256" w:lineRule="auto"/>
        <w:rPr>
          <w:sz w:val="20"/>
          <w:szCs w:val="20"/>
          <w:color w:val="auto"/>
        </w:rPr>
      </w:pPr>
      <w:r>
        <w:rPr>
          <w:rFonts w:ascii="Times New Roman" w:cs="Times New Roman" w:eastAsia="Times New Roman" w:hAnsi="Times New Roman"/>
          <w:sz w:val="16"/>
          <w:szCs w:val="16"/>
          <w:color w:val="auto"/>
        </w:rPr>
        <w:t xml:space="preserve">Each of the indentures in the respective forms initially filed as exhibits to the Registration Statement of which this prospectus is a part contains certain limitations on the rights of the trustee, should it become a creditor of us or any guarantor, to obtain payment of claims in certain cases or to realize on certain property received by it in respect of any such claims, as security or otherwise. The trustee is permitted to engage in other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it acquires any conflicting interest, it must eliminate such conflict within 90 days or resign. We may, from time to time, borrow from or maintain deposit accounts and conduct other banking transactions with the trustee or its affiliates in the ordinary course of business.</w:t>
      </w:r>
    </w:p>
    <w:p>
      <w:pPr>
        <w:spacing w:after="0" w:line="68"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Each series of debt securities will be issued pursuant to (i) a company order or (ii) an indenture or a supplemental indenture thereto entered into by us, any guarantors and the trustee. The name, address and any material relationship between us and our affiliates, on the one hand, and the trustee, on the other hand, will be described in the applicable prospectus supplement or free writing prospectus pursuant to which the series of debt securities are offered.</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Governing Law</w:t>
      </w:r>
    </w:p>
    <w:p>
      <w:pPr>
        <w:spacing w:after="0" w:line="106" w:lineRule="exact"/>
        <w:rPr>
          <w:sz w:val="20"/>
          <w:szCs w:val="20"/>
          <w:color w:val="auto"/>
        </w:rPr>
      </w:pPr>
    </w:p>
    <w:p>
      <w:pPr>
        <w:jc w:val="both"/>
        <w:ind w:left="760" w:right="779"/>
        <w:spacing w:after="0" w:line="282" w:lineRule="auto"/>
        <w:rPr>
          <w:sz w:val="20"/>
          <w:szCs w:val="20"/>
          <w:color w:val="auto"/>
        </w:rPr>
      </w:pPr>
      <w:r>
        <w:rPr>
          <w:rFonts w:ascii="Times New Roman" w:cs="Times New Roman" w:eastAsia="Times New Roman" w:hAnsi="Times New Roman"/>
          <w:sz w:val="16"/>
          <w:szCs w:val="16"/>
          <w:color w:val="auto"/>
        </w:rPr>
        <w:t>Each of the indentures, the debt securities and any guarantees thereof will be construed in accordance with and governed by the laws of the State of New York.</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89" w:name="page90"/>
    <w:bookmarkEnd w:id="89"/>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104"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i w:val="1"/>
          <w:iCs w:val="1"/>
          <w:color w:val="auto"/>
        </w:rPr>
        <w:t>The following description sets forth certain general terms of our common stock and our authorized but unissued preferred stock. While we believe that the following description covers the material terms of our capital stock, the description may not contain all of the information that is important to you. The following description does not purport to be complete and is subject to and qualified in its entirety by reference to our Amended and Restated Certificate of Incorporation effective as of November 13, 2020, (the “Viatris Charter”), as amended, our Amended and Restated Bylaws, effective as of December 15, 2023 (the “Viatris Bylaws”), and the Delaware General Corporation Law (the “DGCL”) and, for any series of preferred stock, the certificate of designations relating to such particular series of preferred stock. See “Where You Can Find More Information.” The particular terms of any series of preferred stock offered by any prospectus supplement or free writing prospectus and the extent, if any, to which these general provisions may apply to that series of preferred stock will be described in the prospectus supplement or free writing prospectus relating to that series of preferred stock. Copies of the Viatris Charter and the Viatris Bylaws have been filed as exhibits to the Registration Statement of which this prospectus is a part. You are urged to read the Viatris Charter and the Viatris Bylaws in their entirety. As used in this section, unless otherwise expressly stated or the context otherwise requires, the terms “Viatris,” “we” and “our” refer to Viatris Inc. and not to any of its subsidiaries.</w:t>
      </w:r>
    </w:p>
    <w:p>
      <w:pPr>
        <w:spacing w:after="0" w:line="72" w:lineRule="exact"/>
        <w:rPr>
          <w:sz w:val="20"/>
          <w:szCs w:val="20"/>
          <w:color w:val="auto"/>
        </w:rPr>
      </w:pPr>
    </w:p>
    <w:p>
      <w:pPr>
        <w:jc w:val="both"/>
        <w:ind w:left="760" w:right="779"/>
        <w:spacing w:after="0" w:line="282" w:lineRule="auto"/>
        <w:rPr>
          <w:sz w:val="20"/>
          <w:szCs w:val="20"/>
          <w:color w:val="auto"/>
        </w:rPr>
      </w:pPr>
      <w:r>
        <w:rPr>
          <w:rFonts w:ascii="Times New Roman" w:cs="Times New Roman" w:eastAsia="Times New Roman" w:hAnsi="Times New Roman"/>
          <w:sz w:val="16"/>
          <w:szCs w:val="16"/>
          <w:color w:val="auto"/>
        </w:rPr>
        <w:t>The Viatris Charter authorizes 3,000,000,000 shares of common stock, par value $0.01 per share, and 300,000,000 shares of preferred stock, par value $0.01 per share for a total authorized share capital of $3,300,000,000.</w:t>
      </w:r>
    </w:p>
    <w:p>
      <w:pPr>
        <w:spacing w:after="0" w:line="48" w:lineRule="exact"/>
        <w:rPr>
          <w:sz w:val="20"/>
          <w:szCs w:val="20"/>
          <w:color w:val="auto"/>
        </w:rPr>
      </w:pPr>
    </w:p>
    <w:p>
      <w:pPr>
        <w:jc w:val="both"/>
        <w:ind w:left="760" w:right="779"/>
        <w:spacing w:after="0" w:line="282" w:lineRule="auto"/>
        <w:rPr>
          <w:sz w:val="20"/>
          <w:szCs w:val="20"/>
          <w:color w:val="auto"/>
        </w:rPr>
      </w:pPr>
      <w:r>
        <w:rPr>
          <w:rFonts w:ascii="Times New Roman" w:cs="Times New Roman" w:eastAsia="Times New Roman" w:hAnsi="Times New Roman"/>
          <w:sz w:val="16"/>
          <w:szCs w:val="16"/>
          <w:color w:val="auto"/>
        </w:rPr>
        <w:t>As of May 5, 2025, there were 1,173,681,964 shares of Viatris common stock issued and outstanding, par value $0.01. All issued shares of Viatris common stock are fully paid and non-assessable.</w:t>
      </w:r>
    </w:p>
    <w:p>
      <w:pPr>
        <w:spacing w:after="0" w:line="48" w:lineRule="exact"/>
        <w:rPr>
          <w:sz w:val="20"/>
          <w:szCs w:val="20"/>
          <w:color w:val="auto"/>
        </w:rPr>
      </w:pPr>
    </w:p>
    <w:p>
      <w:pPr>
        <w:jc w:val="both"/>
        <w:ind w:left="760" w:right="759"/>
        <w:spacing w:after="0" w:line="266" w:lineRule="auto"/>
        <w:rPr>
          <w:sz w:val="20"/>
          <w:szCs w:val="20"/>
          <w:color w:val="auto"/>
        </w:rPr>
      </w:pPr>
      <w:r>
        <w:rPr>
          <w:rFonts w:ascii="Times New Roman" w:cs="Times New Roman" w:eastAsia="Times New Roman" w:hAnsi="Times New Roman"/>
          <w:sz w:val="16"/>
          <w:szCs w:val="16"/>
          <w:color w:val="auto"/>
        </w:rPr>
        <w:t>As of May 5, 2025, there were no shares of Viatris preferred stock outstanding. The Viatris board of directors (the “Viatris Board”) may establish the rights and preferences of the preferred stock from time to time as set forth in the Viatris Charter. The Viatris Charter does not authorize any other classes of capital stock.</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108"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Holders of Viatris common stock are entitled to one vote per share on all matters to be voted upon by Viatris stockholders. Unless a different vote is required by law or specifically required by the Viatris Charter or the Viatris Bylaws, if a quorum exists at any meeting of stockholders, stockholders shall have approved any matter (other than the election of directors, which is described below) if a majority of votes cast on such matter by stockholders present in person or represented by proxy at the meeting and entitled to vote on such matter are in favor of such matter. Subject to the rights of the holders of any series of Viatris preferred stock to elect directors under specified circumstances, if a quorum exists at any meeting of stockholders, stockholders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 in which the number of candidates for election as directors exceeds the number of directors to be elected, with the determination thereof being made by the secretary of Viatris.</w:t>
      </w:r>
    </w:p>
    <w:p>
      <w:pPr>
        <w:spacing w:after="0" w:line="75" w:lineRule="exact"/>
        <w:rPr>
          <w:sz w:val="20"/>
          <w:szCs w:val="20"/>
          <w:color w:val="auto"/>
        </w:rPr>
      </w:pPr>
    </w:p>
    <w:p>
      <w:pPr>
        <w:jc w:val="both"/>
        <w:ind w:left="760" w:right="759"/>
        <w:spacing w:after="0" w:line="254" w:lineRule="auto"/>
        <w:rPr>
          <w:sz w:val="20"/>
          <w:szCs w:val="20"/>
          <w:color w:val="auto"/>
        </w:rPr>
      </w:pPr>
      <w:r>
        <w:rPr>
          <w:rFonts w:ascii="Times New Roman" w:cs="Times New Roman" w:eastAsia="Times New Roman" w:hAnsi="Times New Roman"/>
          <w:sz w:val="16"/>
          <w:szCs w:val="16"/>
          <w:color w:val="auto"/>
        </w:rPr>
        <w:t>Subject to the rights of any holders of Viatris preferred stock, the holders of Viatris common stock are entitled to receive ratably dividends, if any, as may be declared from time to time by the Viatris Board out of funds legally available for the payment of dividends. If Viatris liquidates, dissolves or winds up, after all liabilities and, if applicable, the holders of each series of preferred stock have been paid in full, the holders of Viatris common stock will be entitled to share ratably in all remaining assets. Viatris common stock does not have preemptive or conversion rights or other subscription rights. No redemption or sinking fund provisions are applicable to Viatris common stock. The rights, preferences and privileges of the holders of Viatris common stock are subject to, and may be adversely affected by, the rights of the holders of shares of any series of preferred stock that Viatris may designate and issue in the future.</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08" w:lineRule="exact"/>
        <w:rPr>
          <w:sz w:val="20"/>
          <w:szCs w:val="20"/>
          <w:color w:val="auto"/>
        </w:rPr>
      </w:pPr>
    </w:p>
    <w:p>
      <w:pPr>
        <w:jc w:val="both"/>
        <w:ind w:left="760" w:right="779"/>
        <w:spacing w:after="0" w:line="257" w:lineRule="auto"/>
        <w:rPr>
          <w:sz w:val="20"/>
          <w:szCs w:val="20"/>
          <w:color w:val="auto"/>
        </w:rPr>
      </w:pPr>
      <w:r>
        <w:rPr>
          <w:rFonts w:ascii="Times New Roman" w:cs="Times New Roman" w:eastAsia="Times New Roman" w:hAnsi="Times New Roman"/>
          <w:sz w:val="16"/>
          <w:szCs w:val="16"/>
          <w:color w:val="auto"/>
        </w:rPr>
        <w:t>The Viatris Board may issue shares of preferred stock in one or more series and, subject to the applicable law of the State of Delaware, the Viatris Board may set the powers, rights, preferences, qualifications, limitations and restrictions of such preferred stock. The Viatris Board has the power to issue Viatris preferred stock with voting, conversion and exchange rights that could negatively affect the voting power or other rights of Viatris common stockholders, and the Viatris Board could take such action without stockholder approval. The issuance of Viatris preferred stock could delay or prevent a change in control of Viatris.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0" w:name="page91"/>
    <w:bookmarkEnd w:id="90"/>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59"/>
        <w:spacing w:after="0" w:line="266" w:lineRule="auto"/>
        <w:rPr>
          <w:sz w:val="20"/>
          <w:szCs w:val="20"/>
          <w:color w:val="auto"/>
        </w:rPr>
      </w:pPr>
      <w:r>
        <w:rPr>
          <w:rFonts w:ascii="Times New Roman" w:cs="Times New Roman" w:eastAsia="Times New Roman" w:hAnsi="Times New Roman"/>
          <w:sz w:val="16"/>
          <w:szCs w:val="16"/>
          <w:color w:val="auto"/>
        </w:rPr>
        <w:t>The terms of each series of preferred stock will be described in any prospectus supplement or free writing prospectus related to such series of preferred stock and will contain a discussion of material U.S. federal income tax considerations applicable to the preferred stock.</w:t>
      </w:r>
    </w:p>
    <w:p>
      <w:pPr>
        <w:spacing w:after="0" w:line="2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Anti-Takeover Effects of Various Provisions of Delaware Law, the Viatris Charter and the Viatris Bylaws</w:t>
      </w:r>
    </w:p>
    <w:p>
      <w:pPr>
        <w:spacing w:after="0" w:line="106" w:lineRule="exact"/>
        <w:rPr>
          <w:sz w:val="20"/>
          <w:szCs w:val="20"/>
          <w:color w:val="auto"/>
        </w:rPr>
      </w:pPr>
    </w:p>
    <w:p>
      <w:pPr>
        <w:jc w:val="both"/>
        <w:ind w:left="760" w:right="779"/>
        <w:spacing w:after="0" w:line="258" w:lineRule="auto"/>
        <w:rPr>
          <w:sz w:val="20"/>
          <w:szCs w:val="20"/>
          <w:color w:val="auto"/>
        </w:rPr>
      </w:pPr>
      <w:r>
        <w:rPr>
          <w:rFonts w:ascii="Times New Roman" w:cs="Times New Roman" w:eastAsia="Times New Roman" w:hAnsi="Times New Roman"/>
          <w:sz w:val="16"/>
          <w:szCs w:val="16"/>
          <w:color w:val="auto"/>
        </w:rPr>
        <w:t>Provisions of the DGCL, the Viatris Charter and the Viatris Bylaws could make it more difficult to acquire Viatris by means of a tender offer, a proxy contest or otherwise, or to remove incumbent officers and directors. These provisions, summarized below, would be expected to discourage certain types of coercive takeover practices and takeover bids the Viatris Board may consider inadequate and to encourage persons seeking to acquire control of Viatris to first negotiate with Viatris.</w:t>
      </w:r>
    </w:p>
    <w:p>
      <w:pPr>
        <w:spacing w:after="0" w:line="2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Director Elections</w:t>
      </w:r>
    </w:p>
    <w:p>
      <w:pPr>
        <w:spacing w:after="0" w:line="108" w:lineRule="exact"/>
        <w:rPr>
          <w:sz w:val="20"/>
          <w:szCs w:val="20"/>
          <w:color w:val="auto"/>
        </w:rPr>
      </w:pPr>
    </w:p>
    <w:p>
      <w:pPr>
        <w:jc w:val="both"/>
        <w:ind w:left="760" w:right="759"/>
        <w:spacing w:after="0" w:line="282" w:lineRule="auto"/>
        <w:rPr>
          <w:sz w:val="20"/>
          <w:szCs w:val="20"/>
          <w:color w:val="auto"/>
        </w:rPr>
      </w:pPr>
      <w:r>
        <w:rPr>
          <w:rFonts w:ascii="Times New Roman" w:cs="Times New Roman" w:eastAsia="Times New Roman" w:hAnsi="Times New Roman"/>
          <w:sz w:val="16"/>
          <w:szCs w:val="16"/>
          <w:color w:val="auto"/>
        </w:rPr>
        <w:t>The Viatris Charter provides that all directors shall be elected for one-year terms and shall be up for election at each successive annual meeting.</w:t>
      </w:r>
    </w:p>
    <w:p>
      <w:pPr>
        <w:spacing w:after="0" w:line="2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08"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The Viatris Board has the power to issue Viatris preferred stock with voting, conversion and exchange rights that could negatively affect the voting power or other rights of Viatris common stockholders, and the Viatris Board could take that action without stockholder approval. The issuance of Viatris preferred stock could delay or prevent a change in control of Viatris.</w:t>
      </w: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Board Vacancies to Be Filled by Remaining Directors and Not Stockholders</w:t>
      </w:r>
    </w:p>
    <w:p>
      <w:pPr>
        <w:spacing w:after="0" w:line="108" w:lineRule="exact"/>
        <w:rPr>
          <w:sz w:val="20"/>
          <w:szCs w:val="20"/>
          <w:color w:val="auto"/>
        </w:rPr>
      </w:pPr>
    </w:p>
    <w:p>
      <w:pPr>
        <w:jc w:val="both"/>
        <w:ind w:left="760" w:right="759"/>
        <w:spacing w:after="0" w:line="266" w:lineRule="auto"/>
        <w:rPr>
          <w:sz w:val="20"/>
          <w:szCs w:val="20"/>
          <w:color w:val="auto"/>
        </w:rPr>
      </w:pPr>
      <w:r>
        <w:rPr>
          <w:rFonts w:ascii="Times New Roman" w:cs="Times New Roman" w:eastAsia="Times New Roman" w:hAnsi="Times New Roman"/>
          <w:sz w:val="16"/>
          <w:szCs w:val="16"/>
          <w:color w:val="auto"/>
        </w:rPr>
        <w:t>The Viatris Charter provides that any vacancies, including any newly created directorships, on the Viatris Board will be filled by the affirmative vote of the majority of the remaining directors then in office, even if such directors constitute less than a quorum, or by a sole remaining director.</w:t>
      </w:r>
    </w:p>
    <w:p>
      <w:pPr>
        <w:spacing w:after="0" w:line="2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Removal of Directors by Stockholders</w:t>
      </w:r>
    </w:p>
    <w:p>
      <w:pPr>
        <w:spacing w:after="0" w:line="108"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The Viatris Charter and the Viatris Bylaws provide that directors may be removed by stockholders, with or without cause, by the affirmative vote of the holders of a majority of the voting power of the outstanding capital stock entitled to vote.</w:t>
      </w:r>
    </w:p>
    <w:p>
      <w:pPr>
        <w:spacing w:after="0" w:line="2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Special Meeting</w:t>
      </w:r>
    </w:p>
    <w:p>
      <w:pPr>
        <w:spacing w:after="0" w:line="108" w:lineRule="exact"/>
        <w:rPr>
          <w:sz w:val="20"/>
          <w:szCs w:val="20"/>
          <w:color w:val="auto"/>
        </w:rPr>
      </w:pPr>
    </w:p>
    <w:p>
      <w:pPr>
        <w:jc w:val="both"/>
        <w:ind w:left="760" w:right="779"/>
        <w:spacing w:after="0" w:line="258" w:lineRule="auto"/>
        <w:rPr>
          <w:sz w:val="20"/>
          <w:szCs w:val="20"/>
          <w:color w:val="auto"/>
        </w:rPr>
      </w:pPr>
      <w:r>
        <w:rPr>
          <w:rFonts w:ascii="Times New Roman" w:cs="Times New Roman" w:eastAsia="Times New Roman" w:hAnsi="Times New Roman"/>
          <w:sz w:val="16"/>
          <w:szCs w:val="16"/>
          <w:color w:val="auto"/>
        </w:rPr>
        <w:t>The Viatris Bylaws provide that special meetings of the stockholders may be called by the chair of the Viatris Board, the Viatris Board pursuant to a resolution adopted by a majority of the total number of directors Viatris would have if all vacancies or unfilled directorships were filled or, subject to certain procedural requirements, the chair of the Viatris Board or the secretary of Viatris at the written request of stockholders of record owning at least 25% of the voting power entitled to vote on the matter or matters entitled to vote at the meeting.</w:t>
      </w:r>
    </w:p>
    <w:p>
      <w:pPr>
        <w:spacing w:after="0" w:line="68" w:lineRule="exact"/>
        <w:rPr>
          <w:sz w:val="20"/>
          <w:szCs w:val="20"/>
          <w:color w:val="auto"/>
        </w:rPr>
      </w:pPr>
    </w:p>
    <w:p>
      <w:pPr>
        <w:jc w:val="both"/>
        <w:ind w:left="760" w:right="779"/>
        <w:spacing w:after="0" w:line="255" w:lineRule="auto"/>
        <w:rPr>
          <w:sz w:val="20"/>
          <w:szCs w:val="20"/>
          <w:color w:val="auto"/>
        </w:rPr>
      </w:pPr>
      <w:r>
        <w:rPr>
          <w:rFonts w:ascii="Times New Roman" w:cs="Times New Roman" w:eastAsia="Times New Roman" w:hAnsi="Times New Roman"/>
          <w:sz w:val="16"/>
          <w:szCs w:val="16"/>
          <w:color w:val="auto"/>
        </w:rPr>
        <w:t>The Viatris Bylaws do not permit a special meeting to be held at the request of stockholders if (a) the business to be brought before the special meeting is not a proper subject for stockholder action under applicable law, the Viatris Charter or the Viatris Bylaws, (b) the Viatris Board has called for or calls for an annual meeting to be held within 90 days after the special meeting request is delivered to Viatris and the Viatris Board determines that the business of the special meeting is identical or substantially similar to an item of business of the annual meeting, (c) the business conducted at the most recent annual meeting or any special meeting held within one year included such similar business or (d) the request is delivered between 61 and 365 days after the earliest date of signature on a different request for a special meeting on the same business.</w:t>
      </w: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Stockholder Action</w:t>
      </w:r>
    </w:p>
    <w:p>
      <w:pPr>
        <w:spacing w:after="0" w:line="108" w:lineRule="exact"/>
        <w:rPr>
          <w:sz w:val="20"/>
          <w:szCs w:val="20"/>
          <w:color w:val="auto"/>
        </w:rPr>
      </w:pPr>
    </w:p>
    <w:p>
      <w:pPr>
        <w:jc w:val="both"/>
        <w:ind w:left="760" w:right="759"/>
        <w:spacing w:after="0" w:line="282" w:lineRule="auto"/>
        <w:rPr>
          <w:sz w:val="20"/>
          <w:szCs w:val="20"/>
          <w:color w:val="auto"/>
        </w:rPr>
      </w:pPr>
      <w:r>
        <w:rPr>
          <w:rFonts w:ascii="Times New Roman" w:cs="Times New Roman" w:eastAsia="Times New Roman" w:hAnsi="Times New Roman"/>
          <w:sz w:val="16"/>
          <w:szCs w:val="16"/>
          <w:color w:val="auto"/>
        </w:rPr>
        <w:t>The Viatris Bylaws and the Viatris Charter do not permit stockholder action by written consent unless such written consent is granted by holders of 100% of the voting power of the outstanding shares of capital stock entitled to vote.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1" w:name="page92"/>
    <w:bookmarkEnd w:id="91"/>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Advance Notice of Director Nominations and Stockholder Proposals</w:t>
      </w:r>
    </w:p>
    <w:p>
      <w:pPr>
        <w:spacing w:after="0" w:line="108" w:lineRule="exact"/>
        <w:rPr>
          <w:sz w:val="20"/>
          <w:szCs w:val="20"/>
          <w:color w:val="auto"/>
        </w:rPr>
      </w:pPr>
    </w:p>
    <w:p>
      <w:pPr>
        <w:jc w:val="both"/>
        <w:ind w:left="760" w:right="759"/>
        <w:spacing w:after="0" w:line="258" w:lineRule="auto"/>
        <w:rPr>
          <w:sz w:val="20"/>
          <w:szCs w:val="20"/>
          <w:color w:val="auto"/>
        </w:rPr>
      </w:pPr>
      <w:r>
        <w:rPr>
          <w:rFonts w:ascii="Times New Roman" w:cs="Times New Roman" w:eastAsia="Times New Roman" w:hAnsi="Times New Roman"/>
          <w:sz w:val="16"/>
          <w:szCs w:val="16"/>
          <w:color w:val="auto"/>
        </w:rPr>
        <w:t>The Viatris Bylaws contain advance notice procedures for stockholders to make nominations of candidates for election as directors or to bring other business before the annual meeting of stockholders. As specified in the Viatris Bylaws, director nominations and the proposal of business to be considered by stockholders may be made only pursuant to a notice of meeting, at the direction of the Viatris Board or by a stockholder who is entitled to vote at the meeting and who has complied with the advance notice procedures that are provided in the Viatris Bylaws.</w:t>
      </w:r>
    </w:p>
    <w:p>
      <w:pPr>
        <w:spacing w:after="0" w:line="68" w:lineRule="exact"/>
        <w:rPr>
          <w:sz w:val="20"/>
          <w:szCs w:val="20"/>
          <w:color w:val="auto"/>
        </w:rPr>
      </w:pPr>
    </w:p>
    <w:p>
      <w:pPr>
        <w:jc w:val="both"/>
        <w:ind w:left="760" w:right="759"/>
        <w:spacing w:after="0" w:line="254" w:lineRule="auto"/>
        <w:rPr>
          <w:sz w:val="20"/>
          <w:szCs w:val="20"/>
          <w:color w:val="auto"/>
        </w:rPr>
      </w:pPr>
      <w:r>
        <w:rPr>
          <w:rFonts w:ascii="Times New Roman" w:cs="Times New Roman" w:eastAsia="Times New Roman" w:hAnsi="Times New Roman"/>
          <w:sz w:val="16"/>
          <w:szCs w:val="16"/>
          <w:color w:val="auto"/>
        </w:rPr>
        <w:t>To be timely, a nomination of a director by a stockholder or notice for business to be brought before an annual meeting by a stockholder must be delivered to Viatris’ secretary at Viatris’ principal executive offices not less than 90 days nor more than 120 days before the first anniversary of the preceding year’s annual meeting; provided, however, that if the date of an annual meeting is advanced by more than 30 days or delayed by more than 60 days from such anniversary date, for notice by the stockholder to be timely, it must be delivered not earlier than the 120th day before such annual meeting and not later than the close of business on the later of (a) the 90th day before such annual meeting or (b) if the first public announcement of the date of the annual meeting is less than 100 days prior to the date of such annual meeting, the 10th day following the day on which public announcement of the date of such meeting is first made by Viatris.</w:t>
      </w:r>
    </w:p>
    <w:p>
      <w:pPr>
        <w:spacing w:after="0" w:line="73"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If a special meeting of stockholders is called for the purpose of electing one or more directors, any stockholder entitled to vote may nominate a person or persons as specified in the Viatris Bylaws, but only if the stockholder notice is delivered to Viatris’ secretary at Viatris’ principal executive offices not earlier than the 120th day before such special meeting and not later than the close of business on the later of (a) the 90th day before such special meeting or (b) the 10th day following the day on which public announcement is first made of the date of the special meeting and of the nominees proposed by the Viatris Board to be elected at such meeting.</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Amendments to the Viatris Charter and the Viatris Bylaws</w:t>
      </w:r>
    </w:p>
    <w:p>
      <w:pPr>
        <w:spacing w:after="0" w:line="108" w:lineRule="exact"/>
        <w:rPr>
          <w:sz w:val="20"/>
          <w:szCs w:val="20"/>
          <w:color w:val="auto"/>
        </w:rPr>
      </w:pPr>
    </w:p>
    <w:p>
      <w:pPr>
        <w:jc w:val="both"/>
        <w:ind w:left="760" w:right="759"/>
        <w:spacing w:after="0" w:line="258" w:lineRule="auto"/>
        <w:rPr>
          <w:sz w:val="20"/>
          <w:szCs w:val="20"/>
          <w:color w:val="auto"/>
        </w:rPr>
      </w:pPr>
      <w:r>
        <w:rPr>
          <w:rFonts w:ascii="Times New Roman" w:cs="Times New Roman" w:eastAsia="Times New Roman" w:hAnsi="Times New Roman"/>
          <w:sz w:val="16"/>
          <w:szCs w:val="16"/>
          <w:color w:val="auto"/>
        </w:rPr>
        <w:t>Under the DGCL, the Viatris Charter may not be amended by stockholder action alone. Amendments to the Viatris Charter require a board resolution approved by the majority of the outstanding capital stock entitled to vote. The Viatris Bylaws may be amended by stockholders upon the affirmative vote of the holders of a majority of the voting power of the outstanding capital stock entitled to vote. Subject to the right of stockholders as described in the immediately preceding sentence, the Viatris Bylaws may also be adopted, amended or repealed by the Viatris Board.</w:t>
      </w:r>
    </w:p>
    <w:p>
      <w:pPr>
        <w:spacing w:after="0" w:line="2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Delaware Anti-Takeover Statute</w:t>
      </w:r>
    </w:p>
    <w:p>
      <w:pPr>
        <w:spacing w:after="0" w:line="108" w:lineRule="exact"/>
        <w:rPr>
          <w:sz w:val="20"/>
          <w:szCs w:val="20"/>
          <w:color w:val="auto"/>
        </w:rPr>
      </w:pPr>
    </w:p>
    <w:p>
      <w:pPr>
        <w:jc w:val="both"/>
        <w:ind w:left="760" w:right="759"/>
        <w:spacing w:after="0" w:line="266" w:lineRule="auto"/>
        <w:rPr>
          <w:sz w:val="20"/>
          <w:szCs w:val="20"/>
          <w:color w:val="auto"/>
        </w:rPr>
      </w:pPr>
      <w:r>
        <w:rPr>
          <w:rFonts w:ascii="Times New Roman" w:cs="Times New Roman" w:eastAsia="Times New Roman" w:hAnsi="Times New Roman"/>
          <w:sz w:val="16"/>
          <w:szCs w:val="16"/>
          <w:color w:val="auto"/>
        </w:rPr>
        <w:t>Viatris is subject to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61" w:lineRule="exact"/>
        <w:rPr>
          <w:sz w:val="20"/>
          <w:szCs w:val="20"/>
          <w:color w:val="auto"/>
        </w:rPr>
      </w:pPr>
    </w:p>
    <w:p>
      <w:pPr>
        <w:jc w:val="both"/>
        <w:ind w:left="1380" w:right="779" w:hanging="304"/>
        <w:spacing w:after="0" w:line="266" w:lineRule="auto"/>
        <w:tabs>
          <w:tab w:leader="none" w:pos="13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spacing w:after="0" w:line="60" w:lineRule="exact"/>
        <w:rPr>
          <w:rFonts w:ascii="Times New Roman" w:cs="Times New Roman" w:eastAsia="Times New Roman" w:hAnsi="Times New Roman"/>
          <w:sz w:val="16"/>
          <w:szCs w:val="16"/>
          <w:color w:val="auto"/>
        </w:rPr>
      </w:pPr>
    </w:p>
    <w:p>
      <w:pPr>
        <w:jc w:val="both"/>
        <w:ind w:left="1380" w:right="779" w:hanging="304"/>
        <w:spacing w:after="0" w:line="261" w:lineRule="auto"/>
        <w:tabs>
          <w:tab w:leader="none" w:pos="13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w:t>
      </w:r>
    </w:p>
    <w:p>
      <w:pPr>
        <w:spacing w:after="0" w:line="6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 is approved by the board of directors and by the affirmative vote of two-thirds of the outstanding voting stock which is not owned by the interested stockholder.</w:t>
      </w:r>
    </w:p>
    <w:p>
      <w:pPr>
        <w:spacing w:after="0" w:line="48"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Viatris.</w:t>
      </w:r>
    </w:p>
    <w:p>
      <w:pPr>
        <w:spacing w:after="0" w:line="2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No Cumulative Voting</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Viatris Charter prohibits cumulative voting in the election of directors.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92" w:name="page93"/>
    <w:bookmarkEnd w:id="92"/>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Exclusive Forum</w:t>
      </w:r>
    </w:p>
    <w:p>
      <w:pPr>
        <w:spacing w:after="0" w:line="108"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The Viatris Charter provides that unless Viatris otherwise consents in writing, the Court of Chancery of the State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any action or proceeding asserting a claim against Viatris or any of its directors, officers or other employees governed by the internal affairs doctrine or any action or proceeding as to which the DGCL confers jurisdiction on the Court of Chancery of the State of Delaware. The Viatris Charter also provides that unless Viatris consents in writing to the selection of an alternative forum, the federal district courts of the United States of America, to the fullest extent permitted by law, shall be the sole and exclusive forum for the resolution of any action asserting a cause of action arising under the Securities Act.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provisions contained in the Viatris Charter to be inapplicable or unenforceable.</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Limitations on Liability and Indemnification of Officers and Directors</w:t>
      </w:r>
    </w:p>
    <w:p>
      <w:pPr>
        <w:spacing w:after="0" w:line="106"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The Viatris Charter includes a provision, authorized under the DGCL, that eliminates the personal liability of directors and officers for monetary damages for breach of fiduciary duty as a director or officer, as applicable, to the fullest extent permitted by the DGCL.</w:t>
      </w:r>
    </w:p>
    <w:p>
      <w:pPr>
        <w:spacing w:after="0" w:line="61"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The Viatris Charter and the Viatris Bylaws also include provisions that require Viatris to indemnify, to the fullest extent allowable under the laws of the State of Delaware, directors or officers against monetary damages for actions taken as a director or officer of Viatris, or for serving at Viatris’ request in any capacity at another corporation or enterprise, as the case may be. The Viatris Charter and the Viatris Bylaws also provide that Viatris must indemnify and advance reasonable expenses to Viatris directors and officers, subject to Viatris’ receipt of an undertaking from the indemnified party to repay all amounts advanced if it is determined ultimately that the indemnified party is not entitled to be indemnified. We also have entered into indemnification agreements with each of our directors and certain of our officers that provide them with substantially similar indemnification rights to those provided under the Viatris Charter and the Viatris Bylaws. The Viatris Charter and the Viatris Bylaws also expressly authorize Viatris to carry directors’ and officers’ insurance to protect Viatris and its directors and officers for some liabilities. Viatris currently maintains such an insurance policy. The description of indemnity herein is merely a summary of the provisions in the Viatris Charter, the Viatris Bylaws and other indemnification agreements, and such description shall not limit or alter the provisions in the Viatris Charter, the Viatris Bylaws or other indemnification agreements.</w:t>
      </w:r>
    </w:p>
    <w:p>
      <w:pPr>
        <w:spacing w:after="0" w:line="73"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The limitation of liability and indemnification provisions in the Viatris Charter and the Viatris Bylaws may discourage stockholders from bringing a lawsuit against directors or officers for breach of their fiduciary duties. These provisions may also have the effect of reducing the likelihood of derivative litigation against directors and officers, even though such an action, if successful, might otherwise benefit Viatris and Viatris’ stockholders.</w:t>
      </w:r>
    </w:p>
    <w:p>
      <w:pPr>
        <w:spacing w:after="0" w:line="65" w:lineRule="exact"/>
        <w:rPr>
          <w:sz w:val="20"/>
          <w:szCs w:val="20"/>
          <w:color w:val="auto"/>
        </w:rPr>
      </w:pPr>
    </w:p>
    <w:p>
      <w:pPr>
        <w:jc w:val="both"/>
        <w:ind w:left="760" w:right="779"/>
        <w:spacing w:after="0" w:line="258" w:lineRule="auto"/>
        <w:rPr>
          <w:sz w:val="20"/>
          <w:szCs w:val="20"/>
          <w:color w:val="auto"/>
        </w:rPr>
      </w:pPr>
      <w:r>
        <w:rPr>
          <w:rFonts w:ascii="Times New Roman" w:cs="Times New Roman" w:eastAsia="Times New Roman" w:hAnsi="Times New Roman"/>
          <w:sz w:val="16"/>
          <w:szCs w:val="16"/>
          <w:color w:val="auto"/>
        </w:rPr>
        <w:t>However, these provisions do not limit or eliminate Viatris’ rights, or those of any stockholder, to seek non-monetary relief such as an injunction or rescission if a director or officer breaches their fiduciary duties. Moreover, the provisions do not alter the liability of directors or officers under the federal securities laws. In addition, your investment may be adversely affected to the extent that, in a class action or direct suit, Viatris pays the costs of settlement and damage awards against directors and officers pursuant to these indemnification provisions.</w:t>
      </w: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Equiniti Trust Company, LLC is the transfer agent and registrar for our common stock.</w:t>
      </w:r>
    </w:p>
    <w:p>
      <w:pPr>
        <w:spacing w:after="0" w:line="3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common stock is listed on NASDAQ under the symbol “VTRS”.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3" w:name="page94"/>
    <w:bookmarkEnd w:id="93"/>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WARRANTS</w:t>
      </w:r>
    </w:p>
    <w:p>
      <w:pPr>
        <w:spacing w:after="0" w:line="104" w:lineRule="exact"/>
        <w:rPr>
          <w:sz w:val="20"/>
          <w:szCs w:val="20"/>
          <w:color w:val="auto"/>
        </w:rPr>
      </w:pPr>
    </w:p>
    <w:p>
      <w:pPr>
        <w:jc w:val="both"/>
        <w:ind w:left="760" w:right="759"/>
        <w:spacing w:after="0" w:line="254" w:lineRule="auto"/>
        <w:rPr>
          <w:sz w:val="20"/>
          <w:szCs w:val="20"/>
          <w:color w:val="auto"/>
        </w:rPr>
      </w:pPr>
      <w:r>
        <w:rPr>
          <w:rFonts w:ascii="Times New Roman" w:cs="Times New Roman" w:eastAsia="Times New Roman" w:hAnsi="Times New Roman"/>
          <w:sz w:val="16"/>
          <w:szCs w:val="16"/>
          <w:i w:val="1"/>
          <w:iCs w:val="1"/>
          <w:color w:val="auto"/>
        </w:rPr>
        <w:t>We may issue warrants for the purchase of debt securities, common stock or preferred stock and may issue warrants independently or together with debt securities, common stock or preferred stock or attached to or separate from such securities. We will issue each series of warrants under a separate warrant agreement between us and a bank or trust company, as warrant agent, as specified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 The warrant agent will act solely as our agent in connection with the warrants and will not act for or on behalf of warrant holders. The following sets forth certain general terms and provisions of the warrants that may be offered under the Registration Statement of which this prospectus is a part, and is qualified in its entirety by reference to the relevant warrant agreement with respect to warrants of a particular series. Further terms of the warrants and the applicable warrant agreement will be set forth in the applicable prospectus supplement or free writing prospectus.</w:t>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Debt Warrants</w:t>
      </w:r>
    </w:p>
    <w:p>
      <w:pPr>
        <w:spacing w:after="0" w:line="106" w:lineRule="exact"/>
        <w:rPr>
          <w:sz w:val="20"/>
          <w:szCs w:val="20"/>
          <w:color w:val="auto"/>
        </w:rPr>
      </w:pPr>
    </w:p>
    <w:p>
      <w:pPr>
        <w:jc w:val="both"/>
        <w:ind w:left="760" w:right="779"/>
        <w:spacing w:after="0" w:line="282" w:lineRule="auto"/>
        <w:rPr>
          <w:sz w:val="20"/>
          <w:szCs w:val="20"/>
          <w:color w:val="auto"/>
        </w:rPr>
      </w:pPr>
      <w:r>
        <w:rPr>
          <w:rFonts w:ascii="Times New Roman" w:cs="Times New Roman" w:eastAsia="Times New Roman" w:hAnsi="Times New Roman"/>
          <w:sz w:val="16"/>
          <w:szCs w:val="16"/>
          <w:color w:val="auto"/>
        </w:rPr>
        <w:t>The applicable prospectus supplement or free writing prospectus will describe the terms of the debt warrants in respect of which this prospectus is being delivered, including, where applicable, the following:</w:t>
      </w:r>
    </w:p>
    <w:p>
      <w:pPr>
        <w:spacing w:after="0" w:line="48" w:lineRule="exact"/>
        <w:rPr>
          <w:sz w:val="20"/>
          <w:szCs w:val="20"/>
          <w:color w:val="auto"/>
        </w:rPr>
      </w:pPr>
    </w:p>
    <w:p>
      <w:pPr>
        <w:ind w:left="1380" w:hanging="304"/>
        <w:spacing w:after="0"/>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debt warrants;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the debt warrants outstanding, if any;</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debt warrants being offered;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the debt warrants will be issued;</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aggregate principal amount and terms of the debt securities purchasable upon exercise of the debt warrants, and the procedures and conditions relating to the exercise of the debt warrants;</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terms of any related debt securities with which the debt warrants are issued, and the number of the debt warrants issued with each security;</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if any, on and after which the debt warrants and the related securities will be separately transferable;</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amount of debt securities purchasable upon exercise of each debt warrant, and the price at which the debt securities may be purchased upon exercise;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if any, for changes to or adjustments in the exercise price;</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exercise the debt warrants shall commence and the date on which such right shall expire;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if any, on which we may accelerate the date by which the debt warrants must be exercised;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or maximum amount of debt warrants that may be exercised at any one time;</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for which the debt warrants may be purchased;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with respect to book-entry procedures, if any;</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or call provisions of such warrants, if any;</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material U.S. federal and, if applicable, Dutch income tax considerations applicable to an investment in the debt warrants; and</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debt warrants, including terms, procedures and limitations relating to the transferability, exercise and exchange of such warrants.</w:t>
      </w:r>
    </w:p>
    <w:p>
      <w:pPr>
        <w:spacing w:after="0" w:line="48" w:lineRule="exact"/>
        <w:rPr>
          <w:sz w:val="20"/>
          <w:szCs w:val="20"/>
          <w:color w:val="auto"/>
        </w:rPr>
      </w:pPr>
    </w:p>
    <w:p>
      <w:pPr>
        <w:jc w:val="both"/>
        <w:ind w:left="760" w:right="779"/>
        <w:spacing w:after="0" w:line="257" w:lineRule="auto"/>
        <w:rPr>
          <w:sz w:val="20"/>
          <w:szCs w:val="20"/>
          <w:color w:val="auto"/>
        </w:rPr>
      </w:pPr>
      <w:r>
        <w:rPr>
          <w:rFonts w:ascii="Times New Roman" w:cs="Times New Roman" w:eastAsia="Times New Roman" w:hAnsi="Times New Roman"/>
          <w:sz w:val="16"/>
          <w:szCs w:val="16"/>
          <w:color w:val="auto"/>
        </w:rPr>
        <w:t>Debt warrant certificates will be exchangeable for new debt warrant certificates of different denominations and debt warrants may be exercised at the corporate trust office of the warrant agent or any other office indicated in the applicable prospectus supplement or free writing prospectus. Prior to the exercise of their debt warrants, holders of debt warrants will not have any of the rights of holders of the securities purchasable upon such exercise, and will not be entitled to payments of principal, premium or interest on the securities purchasable upon the exercise of debt warrants.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4" w:name="page95"/>
    <w:bookmarkEnd w:id="9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Equity Warrants</w:t>
      </w:r>
    </w:p>
    <w:p>
      <w:pPr>
        <w:spacing w:after="0" w:line="106"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The applicable prospectus supplement or free writing prospectus will describe the terms of the warrants to purchase common stock or preferred stock (“equity warrants”), in respect of which this prospectus is being delivered, including, where applicable, the following:</w:t>
      </w:r>
    </w:p>
    <w:p>
      <w:pPr>
        <w:spacing w:after="0" w:line="61" w:lineRule="exact"/>
        <w:rPr>
          <w:sz w:val="20"/>
          <w:szCs w:val="20"/>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equity warrants;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the equity warrants outstanding, if any;</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equity warrants being offered;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the equity warrants will be issued;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type and number of securities purchasable upon exercise of the equity warrants;</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if any, on and after which the equity warrants and the related securities will be separately transferable;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at which each security purchasable upon exercise of the equity warrants may be purchased;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if any, for changes to or adjustments in the exercise price;</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exercise the equity warrants shall commence and the date on which such right shall expire;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equity warrants or related securities will be listed on any securities exchange;</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for which the equity warrants may be purchased;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if any, on which we may accelerate the date by which the equity warrants must be exercised;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or maximum amount of equity warrants that may be exercised at any one time;</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with respect to book-entry procedures, if any;</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anti-dilution protection;</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or call provisions of such warrants, if any;</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material U.S. federal income tax considerations applicable to an investment in the equity warrants; and</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equity warrants, including terms, procedures and limitations relating to the transferability, exercise and exchange of such warrants.</w:t>
      </w:r>
    </w:p>
    <w:p>
      <w:pPr>
        <w:spacing w:after="0" w:line="48"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Equity warrant certificates will be exchangeable for new equity warrant certificates of different denominations and warrants may be exercised at the corporate trust office of the warrant agent or any other office indicated in the applicable prospectus supplement or free writing prospectus. Prior to the exercise of their equity warrants, holders of equity warrants will not have any of the rights of holders of the securities purchasable upon such exercise or to any dividend payments or voting rights as to which holders of the common stock or preferred stock purchasable upon such exercise may be entitled.</w:t>
      </w:r>
    </w:p>
    <w:p>
      <w:pPr>
        <w:spacing w:after="0" w:line="67"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Except as provided in the applicable prospectus supplement or free writing prospectus, the exercise price and the number of shares of common stock or shares of preferred stock purchasable upon the exercise of each equity warrant will be subject to adjustment in certain events, including the issuance of a stock dividend to the holders of the underlying common stock or preferred stock or a stock split, reverse stock split, combination, subdivision or reclassification of the underlying common stock or preferred stock, as the case may be. In lieu of adjusting the number of shares purchasable upon exercise of each equity warrant, we may elect to adjust the number of equity warrants. Unless otherwise provided in the applicable prospectus supplement or free writing prospectus, no adjustments in the number of shares purchasable upon exercise of the equity warrants will be required until all cumulative adjustments require an adjustment of at least 1% thereof. We may, at our option, reduce the exercise price at any time. No fractional shares will be issued upon exercise of equity warrants, but we will pay the cash value of any fractional shares otherwise issuable.</w:t>
      </w:r>
    </w:p>
    <w:p>
      <w:pPr>
        <w:spacing w:after="0" w:line="77" w:lineRule="exact"/>
        <w:rPr>
          <w:sz w:val="20"/>
          <w:szCs w:val="20"/>
          <w:color w:val="auto"/>
        </w:rPr>
      </w:pPr>
    </w:p>
    <w:p>
      <w:pPr>
        <w:jc w:val="both"/>
        <w:ind w:left="760" w:right="779"/>
        <w:spacing w:after="0" w:line="282" w:lineRule="auto"/>
        <w:rPr>
          <w:sz w:val="20"/>
          <w:szCs w:val="20"/>
          <w:color w:val="auto"/>
        </w:rPr>
      </w:pPr>
      <w:r>
        <w:rPr>
          <w:rFonts w:ascii="Times New Roman" w:cs="Times New Roman" w:eastAsia="Times New Roman" w:hAnsi="Times New Roman"/>
          <w:sz w:val="16"/>
          <w:szCs w:val="16"/>
          <w:color w:val="auto"/>
        </w:rPr>
        <w:t>Notwithstanding the foregoing, except as otherwise provided in the applicable prospectus supplement or free writing prospectus, in case of any consolidation, merger or sale or conveyance of our property as an entirety or substantially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5" w:name="page96"/>
    <w:bookmarkEnd w:id="9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59"/>
        <w:spacing w:after="0" w:line="261" w:lineRule="auto"/>
        <w:rPr>
          <w:sz w:val="20"/>
          <w:szCs w:val="20"/>
          <w:color w:val="auto"/>
        </w:rPr>
      </w:pPr>
      <w:r>
        <w:rPr>
          <w:rFonts w:ascii="Times New Roman" w:cs="Times New Roman" w:eastAsia="Times New Roman" w:hAnsi="Times New Roman"/>
          <w:sz w:val="16"/>
          <w:szCs w:val="16"/>
          <w:color w:val="auto"/>
        </w:rPr>
        <w:t>as an entirety, the holder of each outstanding equity warrant will have the right to the kind and amount of shares of stock and other securities and property, including cash, receivable by a holder of the number of shares of common stock or shares of preferred stock into which each equity warrant was exercisable immediately prior to the particular triggering event.</w:t>
      </w:r>
    </w:p>
    <w:p>
      <w:pPr>
        <w:spacing w:after="0" w:line="3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Exercise of Warrants</w:t>
      </w:r>
    </w:p>
    <w:p>
      <w:pPr>
        <w:spacing w:after="0" w:line="106" w:lineRule="exact"/>
        <w:rPr>
          <w:sz w:val="20"/>
          <w:szCs w:val="20"/>
          <w:color w:val="auto"/>
        </w:rPr>
      </w:pPr>
    </w:p>
    <w:p>
      <w:pPr>
        <w:jc w:val="both"/>
        <w:ind w:left="760" w:right="779"/>
        <w:spacing w:after="0" w:line="257" w:lineRule="auto"/>
        <w:rPr>
          <w:sz w:val="20"/>
          <w:szCs w:val="20"/>
          <w:color w:val="auto"/>
        </w:rPr>
      </w:pPr>
      <w:r>
        <w:rPr>
          <w:rFonts w:ascii="Times New Roman" w:cs="Times New Roman" w:eastAsia="Times New Roman" w:hAnsi="Times New Roman"/>
          <w:sz w:val="16"/>
          <w:szCs w:val="16"/>
          <w:color w:val="auto"/>
        </w:rPr>
        <w:t>Each warrant will entitle the holder to purchase for cash such number of debt securities, shares of common stock or shares of preferred stock at such exercise price as shall, in each case, be set forth in, or be determinable as set forth in, the applicable prospectus supplement or free writing prospectus relating to the warrants offered thereby. Unless otherwise specified in the applicable prospectus supplement or free writing prospectus, warrants may be exercised at any time up to the close of business on the expiration date set forth in applicable prospectus supplement or free writing prospectus. After the close of business on the expiration date, unexercised warrants will be void.</w:t>
      </w:r>
    </w:p>
    <w:p>
      <w:pPr>
        <w:spacing w:after="0" w:line="67"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Warrants may be exercised as set forth in the applicable prospectus supplement or free writing prospectus relating to the warrants. Upon receipt of payment and the warrant certificate properly completed and duly executed at the corporate trust office of the warrant agent or any other office indicated in the applicable prospectus supplement or free writing prospectus, we will, as soon as practicable, forward the securities purchasable upon such exercise. If less than all of the warrants that are represented by such warrant certificate are exercised, a new warrant certificate will be issued for the remaining amount of warrants.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6" w:name="page97"/>
    <w:bookmarkEnd w:id="9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RIGHTS</w:t>
      </w:r>
    </w:p>
    <w:p>
      <w:pPr>
        <w:spacing w:after="0" w:line="104"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i w:val="1"/>
          <w:iCs w:val="1"/>
          <w:color w:val="auto"/>
        </w:rPr>
        <w:t>We may issue rights to our shareholders to purchase debt securities, common stock or preferred stock. Each series of rights will be issued under a separate rights agreement to be entered into between us and a bank or trust company, as rights agent, as specified in the applicable prospectus supplement or free writing prospectus.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sets forth certain general terms and provisions of the rights that may be offered under the Registration Statement of which this prospectus is a part, and is qualified in its entirety by reference to the relevant rights agreement with respect to rights of a particular series. Further terms of the rights and the applicable rights agreement will be set forth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We will provide in a prospectus supplement or free writing prospectus the following terms of the rights being issued:</w:t>
      </w:r>
    </w:p>
    <w:p>
      <w:pPr>
        <w:spacing w:after="0" w:line="104" w:lineRule="exact"/>
        <w:rPr>
          <w:sz w:val="20"/>
          <w:szCs w:val="20"/>
          <w:color w:val="auto"/>
        </w:rPr>
      </w:pPr>
    </w:p>
    <w:p>
      <w:pPr>
        <w:ind w:left="1380" w:hanging="304"/>
        <w:spacing w:after="0"/>
        <w:tabs>
          <w:tab w:leader="none" w:pos="13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of determining the persons entitled to participate in the rights distribution;</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shares of the underlying securities purchasable upon exercise of the rights;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if any, for changes to or adjustments in the exercise price;</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rights issued;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if any, on and after which the rights will be separately transferable;</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exercise the rights will commence, and the date on which the rights will expire;</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material U.S. federal and, if applicable, Dutch income tax considerations applicable to an investment in the rights; and</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rights, including terms, procedures and limitations relating to the distribution, exchange and exercise of the rights.</w:t>
      </w:r>
    </w:p>
    <w:p>
      <w:pPr>
        <w:spacing w:after="0" w:line="2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Exercise of Rights</w:t>
      </w:r>
    </w:p>
    <w:p>
      <w:pPr>
        <w:spacing w:after="0" w:line="106" w:lineRule="exact"/>
        <w:rPr>
          <w:sz w:val="20"/>
          <w:szCs w:val="20"/>
          <w:color w:val="auto"/>
        </w:rPr>
      </w:pPr>
    </w:p>
    <w:p>
      <w:pPr>
        <w:jc w:val="both"/>
        <w:ind w:left="760" w:right="759"/>
        <w:spacing w:after="0" w:line="258" w:lineRule="auto"/>
        <w:rPr>
          <w:sz w:val="20"/>
          <w:szCs w:val="20"/>
          <w:color w:val="auto"/>
        </w:rPr>
      </w:pPr>
      <w:r>
        <w:rPr>
          <w:rFonts w:ascii="Times New Roman" w:cs="Times New Roman" w:eastAsia="Times New Roman" w:hAnsi="Times New Roman"/>
          <w:sz w:val="16"/>
          <w:szCs w:val="16"/>
          <w:color w:val="auto"/>
        </w:rPr>
        <w:t>Each right will entitle the holder of rights to purchase for cash the principal amount of debt securities, shares of common stock or shares of preferred stock at the exercise price provided in the applicable prospectus supplement or free writing prospectus. Rights may be exercised at any time up to the close of business on the expiration date for the rights provided in the applicable prospectus supplement or free writing prospectus. After the close of business on the expiration date, all unexercised rights will be void.</w:t>
      </w:r>
    </w:p>
    <w:p>
      <w:pPr>
        <w:spacing w:after="0" w:line="68" w:lineRule="exact"/>
        <w:rPr>
          <w:sz w:val="20"/>
          <w:szCs w:val="20"/>
          <w:color w:val="auto"/>
        </w:rPr>
      </w:pPr>
    </w:p>
    <w:p>
      <w:pPr>
        <w:jc w:val="both"/>
        <w:ind w:left="760" w:right="759"/>
        <w:spacing w:after="0" w:line="255" w:lineRule="auto"/>
        <w:rPr>
          <w:sz w:val="20"/>
          <w:szCs w:val="20"/>
          <w:color w:val="auto"/>
        </w:rPr>
      </w:pPr>
      <w:r>
        <w:rPr>
          <w:rFonts w:ascii="Times New Roman" w:cs="Times New Roman" w:eastAsia="Times New Roman" w:hAnsi="Times New Roman"/>
          <w:sz w:val="16"/>
          <w:szCs w:val="16"/>
          <w:color w:val="auto"/>
        </w:rPr>
        <w:t>Holders may exercise rights as described in the applicable prospectus supplement or free writing prospectus. Upon receipt of payment and the rights certificate properly completed and duly executed at the corporate trust office of the rights agent or any other office indicated in the prospectus supplement or free writing prospectus, we will, as soon as practicable, forward the debt securities, shares of common stock or shares of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 or free writing prospectus.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7" w:name="page98"/>
    <w:bookmarkEnd w:id="97"/>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UNITS</w:t>
      </w:r>
    </w:p>
    <w:p>
      <w:pPr>
        <w:spacing w:after="0" w:line="104" w:lineRule="exact"/>
        <w:rPr>
          <w:sz w:val="20"/>
          <w:szCs w:val="20"/>
          <w:color w:val="auto"/>
        </w:rPr>
      </w:pPr>
    </w:p>
    <w:p>
      <w:pPr>
        <w:jc w:val="both"/>
        <w:ind w:left="760" w:right="759"/>
        <w:spacing w:after="0" w:line="256" w:lineRule="auto"/>
        <w:rPr>
          <w:sz w:val="20"/>
          <w:szCs w:val="20"/>
          <w:color w:val="auto"/>
        </w:rPr>
      </w:pPr>
      <w:r>
        <w:rPr>
          <w:rFonts w:ascii="Times New Roman" w:cs="Times New Roman" w:eastAsia="Times New Roman" w:hAnsi="Times New Roman"/>
          <w:sz w:val="16"/>
          <w:szCs w:val="16"/>
          <w:i w:val="1"/>
          <w:iCs w:val="1"/>
          <w:color w:val="auto"/>
        </w:rPr>
        <w:t>We may issue units consisting of two or more other constituent securities. These units may be issuable as, and for a specified period of time may be transferable only as, a single security, rather than as the separate constituent securities comprising such units. The following sets forth certain general terms and provisions of the units that may be offered under the Registration Statement of which this prospectus is a part. Further terms of the units will be set forth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w:t>
      </w:r>
    </w:p>
    <w:p>
      <w:pPr>
        <w:spacing w:after="0" w:line="70" w:lineRule="exact"/>
        <w:rPr>
          <w:sz w:val="20"/>
          <w:szCs w:val="20"/>
          <w:color w:val="auto"/>
        </w:rPr>
      </w:pPr>
    </w:p>
    <w:p>
      <w:pPr>
        <w:jc w:val="both"/>
        <w:ind w:left="760" w:right="779"/>
        <w:spacing w:after="0" w:line="282" w:lineRule="auto"/>
        <w:rPr>
          <w:sz w:val="20"/>
          <w:szCs w:val="20"/>
          <w:color w:val="auto"/>
        </w:rPr>
      </w:pPr>
      <w:r>
        <w:rPr>
          <w:rFonts w:ascii="Times New Roman" w:cs="Times New Roman" w:eastAsia="Times New Roman" w:hAnsi="Times New Roman"/>
          <w:sz w:val="16"/>
          <w:szCs w:val="16"/>
          <w:color w:val="auto"/>
        </w:rPr>
        <w:t>When we issue units, we will provide in a prospectus supplement or free writing prospectus the following terms of the units being issued:</w:t>
      </w:r>
    </w:p>
    <w:p>
      <w:pPr>
        <w:spacing w:after="0" w:line="48" w:lineRule="exact"/>
        <w:rPr>
          <w:sz w:val="20"/>
          <w:szCs w:val="20"/>
          <w:color w:val="auto"/>
        </w:rPr>
      </w:pPr>
    </w:p>
    <w:p>
      <w:pPr>
        <w:ind w:left="1380" w:hanging="304"/>
        <w:spacing w:after="0"/>
        <w:tabs>
          <w:tab w:leader="none" w:pos="13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any series of units;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and description of the separate constituent securities comprising the units;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the units will be issued;</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if any, on and after which the constituent securities comprising the units will be separately transferable;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with respect to any book-entry procedures;</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material U.S. federal and, if applicable, Dutch income tax considerations applicable to an investment in the units;</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we will apply to have the units traded on a securities exchange or securities quotation system; and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units and their constituent securities.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8" w:name="page99"/>
    <w:bookmarkEnd w:id="98"/>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06" w:lineRule="exact"/>
        <w:rPr>
          <w:sz w:val="20"/>
          <w:szCs w:val="20"/>
          <w:color w:val="auto"/>
        </w:rPr>
      </w:pPr>
    </w:p>
    <w:p>
      <w:pPr>
        <w:ind w:left="760" w:right="779"/>
        <w:spacing w:after="0" w:line="282" w:lineRule="auto"/>
        <w:rPr>
          <w:sz w:val="20"/>
          <w:szCs w:val="20"/>
          <w:color w:val="auto"/>
        </w:rPr>
      </w:pPr>
      <w:r>
        <w:rPr>
          <w:rFonts w:ascii="Times New Roman" w:cs="Times New Roman" w:eastAsia="Times New Roman" w:hAnsi="Times New Roman"/>
          <w:sz w:val="16"/>
          <w:szCs w:val="16"/>
          <w:color w:val="auto"/>
        </w:rPr>
        <w:t>We and any selling securityholder may sell the securities under this prospectus in one or more of the following ways from time to time:</w:t>
      </w:r>
    </w:p>
    <w:p>
      <w:pPr>
        <w:spacing w:after="0" w:line="48" w:lineRule="exact"/>
        <w:rPr>
          <w:sz w:val="20"/>
          <w:szCs w:val="20"/>
          <w:color w:val="auto"/>
        </w:rPr>
      </w:pPr>
    </w:p>
    <w:p>
      <w:pPr>
        <w:ind w:left="1380" w:hanging="304"/>
        <w:spacing w:after="0"/>
        <w:tabs>
          <w:tab w:leader="none" w:pos="13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one or more underwriters or dealers;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short or long transactions;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by us or any selling securityholder to investors;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agents;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 combination of these methods; or</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any other method permitted pursuant to applicable law.</w:t>
      </w:r>
    </w:p>
    <w:p>
      <w:pPr>
        <w:spacing w:after="0" w:line="104" w:lineRule="exact"/>
        <w:rPr>
          <w:sz w:val="20"/>
          <w:szCs w:val="20"/>
          <w:color w:val="auto"/>
        </w:rPr>
      </w:pPr>
    </w:p>
    <w:p>
      <w:pPr>
        <w:jc w:val="both"/>
        <w:ind w:left="760" w:right="759"/>
        <w:spacing w:after="0" w:line="261" w:lineRule="auto"/>
        <w:rPr>
          <w:sz w:val="20"/>
          <w:szCs w:val="20"/>
          <w:color w:val="auto"/>
        </w:rPr>
      </w:pPr>
      <w:r>
        <w:rPr>
          <w:rFonts w:ascii="Times New Roman" w:cs="Times New Roman" w:eastAsia="Times New Roman" w:hAnsi="Times New Roman"/>
          <w:sz w:val="16"/>
          <w:szCs w:val="16"/>
          <w:color w:val="auto"/>
        </w:rPr>
        <w:t>Registration of the securities covered by this prospectus and any prospectus supplement or free writing prospectus does not mean that those securities necessarily will be offered or sold. In addition, we and any selling securityholder may sell any securities covered by this prospectus in private transactions, and any selling securityholder may sell under Rule 144 of the Securities Act, rather than pursuant to this prospectus.</w:t>
      </w:r>
    </w:p>
    <w:p>
      <w:pPr>
        <w:spacing w:after="0" w:line="65" w:lineRule="exact"/>
        <w:rPr>
          <w:sz w:val="20"/>
          <w:szCs w:val="20"/>
          <w:color w:val="auto"/>
        </w:rPr>
      </w:pPr>
    </w:p>
    <w:p>
      <w:pPr>
        <w:jc w:val="both"/>
        <w:ind w:left="760" w:right="779"/>
        <w:spacing w:after="0" w:line="282" w:lineRule="auto"/>
        <w:rPr>
          <w:sz w:val="20"/>
          <w:szCs w:val="20"/>
          <w:color w:val="auto"/>
        </w:rPr>
      </w:pPr>
      <w:r>
        <w:rPr>
          <w:rFonts w:ascii="Times New Roman" w:cs="Times New Roman" w:eastAsia="Times New Roman" w:hAnsi="Times New Roman"/>
          <w:sz w:val="16"/>
          <w:szCs w:val="16"/>
          <w:color w:val="auto"/>
        </w:rPr>
        <w:t>If underwriters, dealers or agents are used in the sale, the securities will be acquired by the underwriters, dealers or agents for their own account and may be resold from time to time in one or more transactions, including:</w:t>
      </w:r>
    </w:p>
    <w:p>
      <w:pPr>
        <w:spacing w:after="0" w:line="48" w:lineRule="exact"/>
        <w:rPr>
          <w:sz w:val="20"/>
          <w:szCs w:val="20"/>
          <w:color w:val="auto"/>
        </w:rPr>
      </w:pPr>
    </w:p>
    <w:p>
      <w:pPr>
        <w:ind w:left="1380" w:hanging="304"/>
        <w:spacing w:after="0"/>
        <w:tabs>
          <w:tab w:leader="none" w:pos="13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privately negotiated transactions;</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one or more transactions at a fixed price or prices, which may be changed from time to time;</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one or more transactions, including “forward” transactions at a floating price or prices that may be changed from time to time;</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“at-the-market offerings,” within the meaning of Rule 415(a)(4) of the Securities Act, to or through a market maker or into an existing trading market, on an exchange or otherwise;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prices related to those prevailing market prices; or</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negotiated prices.</w:t>
      </w:r>
    </w:p>
    <w:p>
      <w:pPr>
        <w:spacing w:after="0" w:line="104" w:lineRule="exact"/>
        <w:rPr>
          <w:sz w:val="20"/>
          <w:szCs w:val="20"/>
          <w:color w:val="auto"/>
        </w:rPr>
      </w:pPr>
    </w:p>
    <w:p>
      <w:pPr>
        <w:jc w:val="both"/>
        <w:ind w:left="760" w:right="779"/>
        <w:spacing w:after="0" w:line="266" w:lineRule="auto"/>
        <w:rPr>
          <w:sz w:val="20"/>
          <w:szCs w:val="20"/>
          <w:color w:val="auto"/>
        </w:rPr>
      </w:pPr>
      <w:r>
        <w:rPr>
          <w:rFonts w:ascii="Times New Roman" w:cs="Times New Roman" w:eastAsia="Times New Roman" w:hAnsi="Times New Roman"/>
          <w:sz w:val="16"/>
          <w:szCs w:val="16"/>
          <w:color w:val="auto"/>
        </w:rPr>
        <w:t>As applicable, we and any underwriters, dealers or agents reserve the right to accept or reject all or part of any proposed purchase of the securities. We will set forth in a prospectus supplement or free writing prospectus the terms and offering of securities by us or any selling securityholder, including:</w:t>
      </w:r>
    </w:p>
    <w:p>
      <w:pPr>
        <w:spacing w:after="0" w:line="61" w:lineRule="exact"/>
        <w:rPr>
          <w:sz w:val="20"/>
          <w:szCs w:val="20"/>
          <w:color w:val="auto"/>
        </w:rPr>
      </w:pPr>
    </w:p>
    <w:p>
      <w:pPr>
        <w:ind w:left="1380" w:hanging="304"/>
        <w:spacing w:after="0"/>
        <w:tabs>
          <w:tab w:leader="none" w:pos="13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of any underwriters, dealers, agents or other counterparties;</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agency fees or underwriting discounts or commissions and other items constituting agents’ or underwriters’ compensation;</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or concessions allowed or reallowed or paid to dealers;</w:t>
      </w:r>
    </w:p>
    <w:p>
      <w:pPr>
        <w:spacing w:after="0" w:line="104"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details regarding over-allotment options under which underwriters may purchase additional securities from us or any selling securityholder, if any;</w:t>
      </w:r>
    </w:p>
    <w:p>
      <w:pPr>
        <w:spacing w:after="0" w:line="48" w:lineRule="exact"/>
        <w:rPr>
          <w:rFonts w:ascii="Times New Roman" w:cs="Times New Roman" w:eastAsia="Times New Roman" w:hAnsi="Times New Roman"/>
          <w:sz w:val="16"/>
          <w:szCs w:val="16"/>
          <w:color w:val="auto"/>
        </w:rPr>
      </w:pPr>
    </w:p>
    <w:p>
      <w:pPr>
        <w:ind w:left="1380" w:right="779" w:hanging="304"/>
        <w:spacing w:after="0" w:line="282" w:lineRule="auto"/>
        <w:tabs>
          <w:tab w:leader="none" w:pos="13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of the securities being offered and the proceeds we or any selling securityholder will receive from the sale;</w:t>
      </w:r>
    </w:p>
    <w:p>
      <w:pPr>
        <w:spacing w:after="0" w:line="48"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 offering price; and</w:t>
      </w:r>
    </w:p>
    <w:p>
      <w:pPr>
        <w:spacing w:after="0" w:line="104" w:lineRule="exact"/>
        <w:rPr>
          <w:rFonts w:ascii="Times New Roman" w:cs="Times New Roman" w:eastAsia="Times New Roman" w:hAnsi="Times New Roman"/>
          <w:sz w:val="16"/>
          <w:szCs w:val="16"/>
          <w:color w:val="auto"/>
        </w:rPr>
      </w:pPr>
    </w:p>
    <w:p>
      <w:pPr>
        <w:ind w:left="1380" w:hanging="304"/>
        <w:spacing w:after="0"/>
        <w:tabs>
          <w:tab w:leader="none" w:pos="13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exchanges on which such securities may be listed, if any.</w:t>
      </w:r>
    </w:p>
    <w:p>
      <w:pPr>
        <w:spacing w:after="0" w:line="104" w:lineRule="exact"/>
        <w:rPr>
          <w:sz w:val="20"/>
          <w:szCs w:val="20"/>
          <w:color w:val="auto"/>
        </w:rPr>
      </w:pPr>
    </w:p>
    <w:p>
      <w:pPr>
        <w:jc w:val="both"/>
        <w:ind w:left="760" w:right="759"/>
        <w:spacing w:after="0" w:line="254" w:lineRule="auto"/>
        <w:rPr>
          <w:sz w:val="20"/>
          <w:szCs w:val="20"/>
          <w:color w:val="auto"/>
        </w:rPr>
      </w:pPr>
      <w:r>
        <w:rPr>
          <w:rFonts w:ascii="Times New Roman" w:cs="Times New Roman" w:eastAsia="Times New Roman" w:hAnsi="Times New Roman"/>
          <w:sz w:val="16"/>
          <w:szCs w:val="16"/>
          <w:color w:val="auto"/>
        </w:rPr>
        <w:t>We or any selling securityholder may enter into derivative transactions with third parties or sell securities not covered by this prospectus to third parties in privately negotiated transactions from time to time. If the applicable prospectus supplement or free writing prospectus indicates, in connection with those derivative transactions, such third parties (or affiliates of such third parties) may sell securities covered by this prospectus and the applicable prospectus supplement or free writing prospectus, including in short sale transactions. If so, such third parties (or affiliates of such third parties) may use securities pledged by us or any selling securityholder or borrowed from us, any selling securityholder or others to settle those sales or to close out any related open borrowings of securities, and may use securities received from us or any selling securityholder in settlement of those derivative transactions to close out any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99" w:name="page100"/>
    <w:bookmarkEnd w:id="99"/>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related open borrowings of securities. The third parties (or affiliates of such third parties) in such sale transactions by us or any selling securityholder will be underwriters and will be identified in an applicable prospectus supplement or free writing prospectus. We may also sell securities under this prospectus upon the exercise of rights that may be issued to our securityholders.</w:t>
      </w:r>
    </w:p>
    <w:p>
      <w:pPr>
        <w:spacing w:after="0" w:line="65"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We or any selling securityholder may loan or pledge securities to a financial institution or other third party that in turn may sell the securities using this prospectus and an applicable prospectus supplement or free writing prospectus. Such financial institution or third party may transfer its economic short position to investors in our securities or in connection with a simultaneous offering of other securities offered by this prospectus.</w:t>
      </w:r>
    </w:p>
    <w:p>
      <w:pPr>
        <w:spacing w:after="0" w:line="2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Underwriters, Dealers and Agents</w:t>
      </w:r>
    </w:p>
    <w:p>
      <w:pPr>
        <w:spacing w:after="0" w:line="106" w:lineRule="exact"/>
        <w:rPr>
          <w:sz w:val="20"/>
          <w:szCs w:val="20"/>
          <w:color w:val="auto"/>
        </w:rPr>
      </w:pPr>
    </w:p>
    <w:p>
      <w:pPr>
        <w:jc w:val="both"/>
        <w:ind w:left="760" w:right="759"/>
        <w:spacing w:after="0" w:line="255" w:lineRule="auto"/>
        <w:rPr>
          <w:sz w:val="20"/>
          <w:szCs w:val="20"/>
          <w:color w:val="auto"/>
        </w:rPr>
      </w:pPr>
      <w:r>
        <w:rPr>
          <w:rFonts w:ascii="Times New Roman" w:cs="Times New Roman" w:eastAsia="Times New Roman" w:hAnsi="Times New Roman"/>
          <w:sz w:val="16"/>
          <w:szCs w:val="16"/>
          <w:color w:val="auto"/>
        </w:rPr>
        <w:t>If underwriters are used in the sale of our securities, the securities will be acquired by the underwriters for their own account and may be resold from time to time in one or more transactions as described above. The securities may be offered to the public either through underwriting syndicates represented by managing underwriters or directly by underwriters. Generally, the underwriters’ obligations to purchase the securities will be subject to conditions precedent and the underwriters will be obligated to purchase all of the securities if they purchase any of the securities. We may use underwriters, dealers or agents with which we have a material relationship and will describe the nature of any such relationship in the prospectus supplement or free writing prospectus, naming any such underwriters, dealers or agents.</w:t>
      </w:r>
    </w:p>
    <w:p>
      <w:pPr>
        <w:spacing w:after="0" w:line="70"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We or any selling securityholder may sell the securities through agents from time to time. When we or any selling securityholder sell securities through agents, the prospectus supplement or free writing prospectus will name any agent involved in the offer or sale of securities and any commissions we or any selling securityholder pay to them. Generally, any agent will be acting on a best efforts basis for the period of its appointment.</w:t>
      </w:r>
    </w:p>
    <w:p>
      <w:pPr>
        <w:spacing w:after="0" w:line="65"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We or any selling securityholder may authorize underwriters, dealers or agents to solicit offers by certain purchasers to purchase our securities from us or any selling securityholder at the public offering price set forth in the prospectus supplement or free writing prospectus pursuant to delayed delivery contracts providing for payment and delivery on a specified date in the future. The contracts will be subject only to those conditions set forth in the prospectus supplement or free writing prospectus, and the prospectus supplement or free writing prospectus will set forth any commissions we or any selling securityholder pay for solicitation of these contracts.</w:t>
      </w:r>
    </w:p>
    <w:p>
      <w:pPr>
        <w:spacing w:after="0" w:line="67" w:lineRule="exact"/>
        <w:rPr>
          <w:sz w:val="20"/>
          <w:szCs w:val="20"/>
          <w:color w:val="auto"/>
        </w:rPr>
      </w:pPr>
    </w:p>
    <w:p>
      <w:pPr>
        <w:jc w:val="both"/>
        <w:ind w:left="760" w:right="759"/>
        <w:spacing w:after="0" w:line="261" w:lineRule="auto"/>
        <w:rPr>
          <w:sz w:val="20"/>
          <w:szCs w:val="20"/>
          <w:color w:val="auto"/>
        </w:rPr>
      </w:pPr>
      <w:r>
        <w:rPr>
          <w:rFonts w:ascii="Times New Roman" w:cs="Times New Roman" w:eastAsia="Times New Roman" w:hAnsi="Times New Roman"/>
          <w:sz w:val="16"/>
          <w:szCs w:val="16"/>
          <w:color w:val="auto"/>
        </w:rPr>
        <w:t>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or any selling securityholder and the underwriters, dealers and agents.</w:t>
      </w:r>
    </w:p>
    <w:p>
      <w:pPr>
        <w:spacing w:after="0" w:line="65" w:lineRule="exact"/>
        <w:rPr>
          <w:sz w:val="20"/>
          <w:szCs w:val="20"/>
          <w:color w:val="auto"/>
        </w:rPr>
      </w:pPr>
    </w:p>
    <w:p>
      <w:pPr>
        <w:jc w:val="both"/>
        <w:ind w:left="760" w:right="779"/>
        <w:spacing w:after="0" w:line="282" w:lineRule="auto"/>
        <w:rPr>
          <w:sz w:val="20"/>
          <w:szCs w:val="20"/>
          <w:color w:val="auto"/>
        </w:rPr>
      </w:pPr>
      <w:r>
        <w:rPr>
          <w:rFonts w:ascii="Times New Roman" w:cs="Times New Roman" w:eastAsia="Times New Roman" w:hAnsi="Times New Roman"/>
          <w:sz w:val="16"/>
          <w:szCs w:val="16"/>
          <w:color w:val="auto"/>
        </w:rPr>
        <w:t>We or any selling securityholder may grant underwriters who participate in the distribution of our securities an option to purchase additional securities to cover over-allotments, if any, in connection with the distribution.</w:t>
      </w:r>
    </w:p>
    <w:p>
      <w:pPr>
        <w:spacing w:after="0" w:line="48" w:lineRule="exact"/>
        <w:rPr>
          <w:sz w:val="20"/>
          <w:szCs w:val="20"/>
          <w:color w:val="auto"/>
        </w:rPr>
      </w:pPr>
    </w:p>
    <w:p>
      <w:pPr>
        <w:jc w:val="both"/>
        <w:ind w:left="760" w:right="759"/>
        <w:spacing w:after="0" w:line="255" w:lineRule="auto"/>
        <w:rPr>
          <w:sz w:val="20"/>
          <w:szCs w:val="20"/>
          <w:color w:val="auto"/>
        </w:rPr>
      </w:pPr>
      <w:r>
        <w:rPr>
          <w:rFonts w:ascii="Times New Roman" w:cs="Times New Roman" w:eastAsia="Times New Roman" w:hAnsi="Times New Roman"/>
          <w:sz w:val="16"/>
          <w:szCs w:val="16"/>
          <w:color w:val="auto"/>
        </w:rPr>
        <w:t>Underwriters, dealers or agents may receive compensation in the form of discounts, concessions or commissions from us, any selling securityholder or our purchasers, as their agents in connection with the sale of our securities. These underwriters, dealers or agents may be considered to be underwriters under the Securities Act. As a result, discounts, concessions, commissions or profits on resale received by the underwriters, dealers or agents may be treated as underwriting discounts and commissions. The prospectus supplement or free writing prospectus for any securities offered by us or any selling securityholder will identify any such underwriter, dealer or agent and describe any compensation received by them from us or any selling securityholder. Any public offering price and any discounts, concessions or commissions allowed or re-allowed or paid to dealers may be changed from time to time.</w:t>
      </w:r>
    </w:p>
    <w:p>
      <w:pPr>
        <w:spacing w:after="0" w:line="70" w:lineRule="exact"/>
        <w:rPr>
          <w:sz w:val="20"/>
          <w:szCs w:val="20"/>
          <w:color w:val="auto"/>
        </w:rPr>
      </w:pPr>
    </w:p>
    <w:p>
      <w:pPr>
        <w:jc w:val="both"/>
        <w:ind w:left="760" w:right="779"/>
        <w:spacing w:after="0" w:line="282" w:lineRule="auto"/>
        <w:rPr>
          <w:sz w:val="20"/>
          <w:szCs w:val="20"/>
          <w:color w:val="auto"/>
        </w:rPr>
      </w:pPr>
      <w:r>
        <w:rPr>
          <w:rFonts w:ascii="Times New Roman" w:cs="Times New Roman" w:eastAsia="Times New Roman" w:hAnsi="Times New Roman"/>
          <w:sz w:val="16"/>
          <w:szCs w:val="16"/>
          <w:color w:val="auto"/>
        </w:rPr>
        <w:t>Underwriters, dealers or agents who may become involved in the sale of our securities may engage in transactions with and perform other services for us for which they receive compensation.</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Stabilization Activities</w:t>
      </w:r>
    </w:p>
    <w:p>
      <w:pPr>
        <w:spacing w:after="0" w:line="106" w:lineRule="exact"/>
        <w:rPr>
          <w:sz w:val="20"/>
          <w:szCs w:val="20"/>
          <w:color w:val="auto"/>
        </w:rPr>
      </w:pPr>
    </w:p>
    <w:p>
      <w:pPr>
        <w:jc w:val="both"/>
        <w:ind w:left="760" w:right="759"/>
        <w:spacing w:after="0" w:line="258" w:lineRule="auto"/>
        <w:rPr>
          <w:sz w:val="20"/>
          <w:szCs w:val="20"/>
          <w:color w:val="auto"/>
        </w:rPr>
      </w:pPr>
      <w:r>
        <w:rPr>
          <w:rFonts w:ascii="Times New Roman" w:cs="Times New Roman" w:eastAsia="Times New Roman" w:hAnsi="Times New Roman"/>
          <w:sz w:val="16"/>
          <w:szCs w:val="16"/>
          <w:color w:val="auto"/>
        </w:rPr>
        <w:t>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114935</wp:posOffset>
            </wp:positionV>
            <wp:extent cx="622427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00" w:name="page101"/>
    <w:bookmarkEnd w:id="100"/>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59"/>
        <w:spacing w:after="0" w:line="254" w:lineRule="auto"/>
        <w:rPr>
          <w:sz w:val="20"/>
          <w:szCs w:val="20"/>
          <w:color w:val="auto"/>
        </w:rPr>
      </w:pPr>
      <w:r>
        <w:rPr>
          <w:rFonts w:ascii="Times New Roman" w:cs="Times New Roman" w:eastAsia="Times New Roman" w:hAnsi="Times New Roman"/>
          <w:sz w:val="16"/>
          <w:szCs w:val="16"/>
          <w:color w:val="auto"/>
        </w:rPr>
        <w:t>underwriters’ option to purchase additional securities from us or any selling securityholder in the offering, if any. If the underwriters have an over-allotment option to purchase additional securities from us or any selling securityholder, the underwriters may consider, among other things, the price of securities available for purchase in the open market as compared to the price at which they may purchase securities through the over-allotment option. “Naked” short sales, which may be prohibited or restricted by applicable rules and regulations,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73" w:lineRule="exact"/>
        <w:rPr>
          <w:sz w:val="20"/>
          <w:szCs w:val="20"/>
          <w:color w:val="auto"/>
        </w:rPr>
      </w:pPr>
    </w:p>
    <w:p>
      <w:pPr>
        <w:jc w:val="both"/>
        <w:ind w:left="760" w:right="779"/>
        <w:spacing w:after="0" w:line="254" w:lineRule="auto"/>
        <w:rPr>
          <w:sz w:val="20"/>
          <w:szCs w:val="20"/>
          <w:color w:val="auto"/>
        </w:rPr>
      </w:pPr>
      <w:r>
        <w:rPr>
          <w:rFonts w:ascii="Times New Roman" w:cs="Times New Roman" w:eastAsia="Times New Roman" w:hAnsi="Times New Roman"/>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the securities to the extent that it discourages resale of the securities. The magnitude or effect of any stabilization or other transactions is uncertain. If commenced, the underwriters may discontinue any of the activities at any time. We make no representation or prediction as to the direction or magnitude of any effect these transactions may have on the price of our securities.</w:t>
      </w: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 Sales</w:t>
      </w:r>
    </w:p>
    <w:p>
      <w:pPr>
        <w:spacing w:after="0" w:line="106" w:lineRule="exact"/>
        <w:rPr>
          <w:sz w:val="20"/>
          <w:szCs w:val="20"/>
          <w:color w:val="auto"/>
        </w:rPr>
      </w:pPr>
    </w:p>
    <w:p>
      <w:pPr>
        <w:jc w:val="both"/>
        <w:ind w:left="760" w:right="759"/>
        <w:spacing w:after="0" w:line="258" w:lineRule="auto"/>
        <w:rPr>
          <w:sz w:val="20"/>
          <w:szCs w:val="20"/>
          <w:color w:val="auto"/>
        </w:rPr>
      </w:pPr>
      <w:r>
        <w:rPr>
          <w:rFonts w:ascii="Times New Roman" w:cs="Times New Roman" w:eastAsia="Times New Roman" w:hAnsi="Times New Roman"/>
          <w:sz w:val="16"/>
          <w:szCs w:val="16"/>
          <w:color w:val="auto"/>
        </w:rPr>
        <w:t>We or any selling securityholder may also sell securities directly to one or more purchasers without using underwriters, dealers or agents. In this case, no underwriters, dealers or agents would be involved. We may sell securities upon the exercise of rights that we may issue to our securityholders. We or any selling securityholder may also sell securities directly to institutional investors or others who may be deemed to be underwriters within the meaning of the Securities Act with respect to any sale of those securities.</w:t>
      </w: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At-the-Market Offerings</w:t>
      </w:r>
    </w:p>
    <w:p>
      <w:pPr>
        <w:spacing w:after="0" w:line="106"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To the extent that we make sales through one or more underwriters or agents in at-the-market offerings, we will do so pursuant to the terms of a sales agency financing agreement or other at-the-market offering arrangement between us and the underwriters or agents. If we engage in at-the-market sales pursuant to any such agreement, we will issue and sell our securities through one or more underwriters or agents, which may act on an agency basis or on a principal basis. During the term of any such agreement, we may sell securities on a daily basis in exchange transactions or otherwise as we agree with the underwriters or agents. The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each such agreement will be set forth in more detail in a prospectus supplement or free writing prospectus.</w:t>
      </w:r>
    </w:p>
    <w:p>
      <w:pPr>
        <w:spacing w:after="0" w:line="3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Trading Market and Listing of Securities</w:t>
      </w:r>
    </w:p>
    <w:p>
      <w:pPr>
        <w:spacing w:after="0" w:line="106" w:lineRule="exact"/>
        <w:rPr>
          <w:sz w:val="20"/>
          <w:szCs w:val="20"/>
          <w:color w:val="auto"/>
        </w:rPr>
      </w:pPr>
    </w:p>
    <w:p>
      <w:pPr>
        <w:jc w:val="both"/>
        <w:ind w:left="760" w:right="779"/>
        <w:spacing w:after="0" w:line="256" w:lineRule="auto"/>
        <w:rPr>
          <w:sz w:val="20"/>
          <w:szCs w:val="20"/>
          <w:color w:val="auto"/>
        </w:rPr>
      </w:pPr>
      <w:r>
        <w:rPr>
          <w:rFonts w:ascii="Times New Roman" w:cs="Times New Roman" w:eastAsia="Times New Roman" w:hAnsi="Times New Roman"/>
          <w:sz w:val="16"/>
          <w:szCs w:val="16"/>
          <w:color w:val="auto"/>
        </w:rPr>
        <w:t>Each series of securities sold pursuant to a prospectus supplement or free writing prospectus, other than our common stock which is listed on NASDAQ, will be a new issue of securities with no established trading market. We may elect to list securities other than common stock on an exchange, but unless specified in the applicable prospectus supplement or free-writing prospectus, we shall have no obligation to do so. It is possible that one or more underwriters may make a market in a class or series of securities, but the underwriters will not be obligated to do so and may discontinue any market making activities at any time without notice. We cannot give any assurance as to the liquidity of the trading market for any of the securities.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01" w:name="page102"/>
    <w:bookmarkEnd w:id="101"/>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06"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Unless otherwise indicated in any prospectus supplement, certain legal matters regarding the securities offered hereby relating to: (i) New York law will be passed upon for us by Cravath, Swaine &amp; Moore LLP, New York, New York, (ii) Dutch law will be passed upon for us by NautaDutilh N.V., our Dutch counsel, and (iii) Pennsylvania law will be passed upon for us by Parker Poe Adams &amp; Bernstein LLP, our Pennsylvania counsel. If the securities are being distributed in an underwritten offering, certain legal matters regarding such securities will be passed upon for the underwriters by counsel identified in the related prospectus supplement.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02" w:name="page103"/>
    <w:bookmarkEnd w:id="102"/>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06"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The consolidated financial statements and the related consolidated financial statement schedules incorporated by reference into this prospectus from Viatris Inc.’s Annual Report on Form 10-K for the year ended December 31, 2024 and the effectiveness of Viatris Inc.’s internal control over financial reporting as of December 31, 2024 have been audited by Deloitte &amp; Touche LLP, an independent registered public accounting firm, as stated in their reports, which are incorporated by reference herein. Such financial statements have been so incorporated in reliance upon the reports of such firm given their authority as experts in accounting and auditing.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03" w:name="page104"/>
    <w:bookmarkEnd w:id="103"/>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ENFORCEABILITY OF CIVIL LIABILITIES</w:t>
      </w:r>
    </w:p>
    <w:p>
      <w:pPr>
        <w:spacing w:after="0" w:line="3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The Netherlands</w:t>
      </w:r>
    </w:p>
    <w:p>
      <w:pPr>
        <w:spacing w:after="0" w:line="104" w:lineRule="exact"/>
        <w:rPr>
          <w:sz w:val="20"/>
          <w:szCs w:val="20"/>
          <w:color w:val="auto"/>
        </w:rPr>
      </w:pPr>
    </w:p>
    <w:p>
      <w:pPr>
        <w:jc w:val="both"/>
        <w:ind w:left="760" w:right="759"/>
        <w:spacing w:after="0" w:line="257" w:lineRule="auto"/>
        <w:rPr>
          <w:sz w:val="20"/>
          <w:szCs w:val="20"/>
          <w:color w:val="auto"/>
        </w:rPr>
      </w:pPr>
      <w:r>
        <w:rPr>
          <w:rFonts w:ascii="Times New Roman" w:cs="Times New Roman" w:eastAsia="Times New Roman" w:hAnsi="Times New Roman"/>
          <w:sz w:val="16"/>
          <w:szCs w:val="16"/>
          <w:color w:val="auto"/>
        </w:rPr>
        <w:t>Mylan II B.V. is incorporated as a private limited liability company (</w:t>
      </w:r>
      <w:r>
        <w:rPr>
          <w:rFonts w:ascii="Times New Roman" w:cs="Times New Roman" w:eastAsia="Times New Roman" w:hAnsi="Times New Roman"/>
          <w:sz w:val="16"/>
          <w:szCs w:val="16"/>
          <w:i w:val="1"/>
          <w:iCs w:val="1"/>
          <w:color w:val="auto"/>
        </w:rPr>
        <w:t>besloten vennootschap met beperkte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aansprakelijkheid</w:t>
      </w:r>
      <w:r>
        <w:rPr>
          <w:rFonts w:ascii="Times New Roman" w:cs="Times New Roman" w:eastAsia="Times New Roman" w:hAnsi="Times New Roman"/>
          <w:sz w:val="16"/>
          <w:szCs w:val="16"/>
          <w:color w:val="auto"/>
        </w:rPr>
        <w:t>) under the laws of the Netherlands. Certain of Mylan II B.V.’s directors may reside outside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United States, and certain of its or such persons’ assets may be located outside the United States. As a result, it may not be possible for investors to effect service of process, including judgments, upon Mylan II B.V. or such persons outside of the Netherlands or within the United States. It may also be difficult for investors to enforce judgments obtained in courts other than Dutch courts against Mylan II B.V.</w:t>
      </w:r>
    </w:p>
    <w:p>
      <w:pPr>
        <w:spacing w:after="0" w:line="69"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as to whether Dutch courts will uphold judgments predicated upon the civil liability provisions in the U.S. federal securities laws or the securities laws of any state within the United States. In order to obtain a judgment that can be enforced in the Netherlands against Mylan II B.V., the dispute will have to be re-litigated before a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 of the substantive matters adjudicated upon if (i) the court involved accepted jurisdiction on the basis of an internationally recognized ground to accept jurisdiction, (ii) the proceedings before such court complied with principles of proper procedure (</w:t>
      </w:r>
      <w:r>
        <w:rPr>
          <w:rFonts w:ascii="Times New Roman" w:cs="Times New Roman" w:eastAsia="Times New Roman" w:hAnsi="Times New Roman"/>
          <w:sz w:val="16"/>
          <w:szCs w:val="16"/>
          <w:i w:val="1"/>
          <w:iCs w:val="1"/>
          <w:color w:val="auto"/>
        </w:rPr>
        <w:t>behoorlijke rechtspleging</w:t>
      </w:r>
      <w:r>
        <w:rPr>
          <w:rFonts w:ascii="Times New Roman" w:cs="Times New Roman" w:eastAsia="Times New Roman" w:hAnsi="Times New Roman"/>
          <w:sz w:val="16"/>
          <w:szCs w:val="16"/>
          <w:color w:val="auto"/>
        </w:rPr>
        <w:t>), (iii) such judgment was not contrary to the public policy (</w:t>
      </w:r>
      <w:r>
        <w:rPr>
          <w:rFonts w:ascii="Times New Roman" w:cs="Times New Roman" w:eastAsia="Times New Roman" w:hAnsi="Times New Roman"/>
          <w:sz w:val="16"/>
          <w:szCs w:val="16"/>
          <w:i w:val="1"/>
          <w:iCs w:val="1"/>
          <w:color w:val="auto"/>
        </w:rPr>
        <w:t>openbare orde</w:t>
      </w:r>
      <w:r>
        <w:rPr>
          <w:rFonts w:ascii="Times New Roman" w:cs="Times New Roman" w:eastAsia="Times New Roman" w:hAnsi="Times New Roman"/>
          <w:sz w:val="16"/>
          <w:szCs w:val="16"/>
          <w:color w:val="auto"/>
        </w:rPr>
        <w:t>) of the Netherlands and (iv) such judgment was not incompatible with a judgment given between the same parties by a Dutch court or with a prior judgment given between the same parties by a foreign court in a dispute concerning the same subject matter and based on the same cause of action, provided such prior judgment is recognizable in the Netherlands.</w:t>
      </w:r>
    </w:p>
    <w:p>
      <w:pPr>
        <w:spacing w:after="0" w:line="70" w:lineRule="exact"/>
        <w:rPr>
          <w:sz w:val="20"/>
          <w:szCs w:val="20"/>
          <w:color w:val="auto"/>
        </w:rPr>
      </w:pPr>
    </w:p>
    <w:p>
      <w:pPr>
        <w:jc w:val="both"/>
        <w:ind w:left="760" w:right="779"/>
        <w:spacing w:after="0" w:line="261" w:lineRule="auto"/>
        <w:rPr>
          <w:sz w:val="20"/>
          <w:szCs w:val="20"/>
          <w:color w:val="auto"/>
        </w:rPr>
      </w:pPr>
      <w:r>
        <w:rPr>
          <w:rFonts w:ascii="Times New Roman" w:cs="Times New Roman" w:eastAsia="Times New Roman" w:hAnsi="Times New Roman"/>
          <w:sz w:val="16"/>
          <w:szCs w:val="16"/>
          <w:color w:val="auto"/>
        </w:rPr>
        <w:t>In addition, a Dutch court might not accept jurisdiction and impose civil liability in an action commenced in the Netherlands and predicated solely upon United States federal securities laws. Furthermore, awards of punitive damages in actions brought in the United States or elsewhere may be unenforceable in jurisdictions outside the United States.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04" w:name="page105"/>
    <w:bookmarkEnd w:id="104"/>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INSOLVENCY LAW CONSIDERATIONS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The Netherlands</w:t>
      </w:r>
    </w:p>
    <w:p>
      <w:pPr>
        <w:spacing w:after="0" w:line="104"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Mylan II B.V. is incorporated as a private limited liability company (</w:t>
      </w:r>
      <w:r>
        <w:rPr>
          <w:rFonts w:ascii="Times New Roman" w:cs="Times New Roman" w:eastAsia="Times New Roman" w:hAnsi="Times New Roman"/>
          <w:sz w:val="16"/>
          <w:szCs w:val="16"/>
          <w:i w:val="1"/>
          <w:iCs w:val="1"/>
          <w:color w:val="auto"/>
        </w:rPr>
        <w:t>besloten vennootschap met beperkte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aansprakelijkheid</w:t>
      </w:r>
      <w:r>
        <w:rPr>
          <w:rFonts w:ascii="Times New Roman" w:cs="Times New Roman" w:eastAsia="Times New Roman" w:hAnsi="Times New Roman"/>
          <w:sz w:val="16"/>
          <w:szCs w:val="16"/>
          <w:color w:val="auto"/>
        </w:rPr>
        <w:t>) in the Netherlands. Provided that the center of main interest of Mylan II B.V. would deemed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be located in the Netherlands, or outside of any member state of the EU (except Denmark), proceedings by or against Mylan II B.V. may be based on Dutch insolvency laws. Dutch insolvency laws may also be applicable to secondary or territorial proceedings under the EC Regulation 2015/848 of the European Parliament and of the Council of 20 May 2015 on Insolvency Proceedings (recast) (the “Insolvency Regulation”). Under the Insolvency Regulation creditors are entitled to seek opening of secondary or territorial liquidation proceedings in each member state of the EU (except Denmark) where a company has an establishment,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center of main interest is deemed not to be in the Netherlands or another member state of the EU (except Denmark) the insolvency regulation may not be applicable. In other jurisdictions, provision is made for similar ancillary proceedings. Secondary or territorial proceedings under the Insolvency Regulation or similar ancillary proceedings will to a certain extent be based upon the insolvency laws of such foreign jurisdictions and will be limited to the assets of the debtor located in such foreign jurisdiction.</w:t>
      </w:r>
    </w:p>
    <w:p>
      <w:pPr>
        <w:spacing w:after="0" w:line="75" w:lineRule="exact"/>
        <w:rPr>
          <w:sz w:val="20"/>
          <w:szCs w:val="20"/>
          <w:color w:val="auto"/>
        </w:rPr>
      </w:pPr>
    </w:p>
    <w:p>
      <w:pPr>
        <w:jc w:val="both"/>
        <w:ind w:left="760" w:right="759"/>
        <w:spacing w:after="0" w:line="254" w:lineRule="auto"/>
        <w:rPr>
          <w:sz w:val="20"/>
          <w:szCs w:val="20"/>
          <w:color w:val="auto"/>
        </w:rPr>
      </w:pPr>
      <w:r>
        <w:rPr>
          <w:rFonts w:ascii="Times New Roman" w:cs="Times New Roman" w:eastAsia="Times New Roman" w:hAnsi="Times New Roman"/>
          <w:sz w:val="16"/>
          <w:szCs w:val="16"/>
          <w:color w:val="auto"/>
        </w:rPr>
        <w:t>Dutch insolvency law differs significantly from insolvency proceedings in the United States and may make it more difficult for holders of the notes to recover the amount they would normally expect to recover in liquidation or bankruptcy proceedings in the United States. There are two primary insolvency regimes under Dutch law in respect of legal entities. The first, moratorium of payments (</w:t>
      </w:r>
      <w:r>
        <w:rPr>
          <w:rFonts w:ascii="Times New Roman" w:cs="Times New Roman" w:eastAsia="Times New Roman" w:hAnsi="Times New Roman"/>
          <w:sz w:val="16"/>
          <w:szCs w:val="16"/>
          <w:i w:val="1"/>
          <w:iCs w:val="1"/>
          <w:color w:val="auto"/>
        </w:rPr>
        <w:t>surseance van betaling</w:t>
      </w:r>
      <w:r>
        <w:rPr>
          <w:rFonts w:ascii="Times New Roman" w:cs="Times New Roman" w:eastAsia="Times New Roman" w:hAnsi="Times New Roman"/>
          <w:sz w:val="16"/>
          <w:szCs w:val="16"/>
          <w:color w:val="auto"/>
        </w:rPr>
        <w:t>), is intended to facilitate the reorganization of a debtor’s indebtedness and enable the debtor to continue as a going concern. The second, bankruptcy (</w:t>
      </w:r>
      <w:r>
        <w:rPr>
          <w:rFonts w:ascii="Times New Roman" w:cs="Times New Roman" w:eastAsia="Times New Roman" w:hAnsi="Times New Roman"/>
          <w:sz w:val="16"/>
          <w:szCs w:val="16"/>
          <w:i w:val="1"/>
          <w:iCs w:val="1"/>
          <w:color w:val="auto"/>
        </w:rPr>
        <w:t>faillissement</w:t>
      </w:r>
      <w:r>
        <w:rPr>
          <w:rFonts w:ascii="Times New Roman" w:cs="Times New Roman" w:eastAsia="Times New Roman" w:hAnsi="Times New Roman"/>
          <w:sz w:val="16"/>
          <w:szCs w:val="16"/>
          <w:color w:val="auto"/>
        </w:rPr>
        <w:t>), is primarily designed to liquidate and distribute the proceeds of the assets of a debtor to its creditors. In practice, bankruptcy proceedings may also be used to sell the business, or part of the business, as a going concern. Both insolvency regimes are set forth in the Dutch Bankruptcy Act (</w:t>
      </w:r>
      <w:r>
        <w:rPr>
          <w:rFonts w:ascii="Times New Roman" w:cs="Times New Roman" w:eastAsia="Times New Roman" w:hAnsi="Times New Roman"/>
          <w:sz w:val="16"/>
          <w:szCs w:val="16"/>
          <w:i w:val="1"/>
          <w:iCs w:val="1"/>
          <w:color w:val="auto"/>
        </w:rPr>
        <w:t>Faillissementswet</w:t>
      </w:r>
      <w:r>
        <w:rPr>
          <w:rFonts w:ascii="Times New Roman" w:cs="Times New Roman" w:eastAsia="Times New Roman" w:hAnsi="Times New Roman"/>
          <w:sz w:val="16"/>
          <w:szCs w:val="16"/>
          <w:color w:val="auto"/>
        </w:rPr>
        <w:t>). A general description of the principles of both insolvency regimes is set out below.</w:t>
      </w:r>
    </w:p>
    <w:p>
      <w:pPr>
        <w:spacing w:after="0" w:line="73" w:lineRule="exact"/>
        <w:rPr>
          <w:sz w:val="20"/>
          <w:szCs w:val="20"/>
          <w:color w:val="auto"/>
        </w:rPr>
      </w:pPr>
    </w:p>
    <w:p>
      <w:pPr>
        <w:jc w:val="both"/>
        <w:ind w:left="760" w:right="759"/>
        <w:spacing w:after="0" w:line="253" w:lineRule="auto"/>
        <w:rPr>
          <w:sz w:val="20"/>
          <w:szCs w:val="20"/>
          <w:color w:val="auto"/>
        </w:rPr>
      </w:pPr>
      <w:r>
        <w:rPr>
          <w:rFonts w:ascii="Times New Roman" w:cs="Times New Roman" w:eastAsia="Times New Roman" w:hAnsi="Times New Roman"/>
          <w:sz w:val="16"/>
          <w:szCs w:val="16"/>
          <w:color w:val="auto"/>
        </w:rPr>
        <w:t>An application for a moratorium of payments can only be made by the debtor itself and on the ground that the debtor foresees to be unable to continue payments when they fall due. A moratorium could be used as a defense by the debtor against a bankruptcy application by a creditor. Once the request for a moratorium of payments is filed the court will immediately (</w:t>
      </w:r>
      <w:r>
        <w:rPr>
          <w:rFonts w:ascii="Times New Roman" w:cs="Times New Roman" w:eastAsia="Times New Roman" w:hAnsi="Times New Roman"/>
          <w:sz w:val="16"/>
          <w:szCs w:val="16"/>
          <w:i w:val="1"/>
          <w:iCs w:val="1"/>
          <w:color w:val="auto"/>
        </w:rPr>
        <w:t>dadelijk</w:t>
      </w:r>
      <w:r>
        <w:rPr>
          <w:rFonts w:ascii="Times New Roman" w:cs="Times New Roman" w:eastAsia="Times New Roman" w:hAnsi="Times New Roman"/>
          <w:sz w:val="16"/>
          <w:szCs w:val="16"/>
          <w:color w:val="auto"/>
        </w:rPr>
        <w:t>) grant a provisional moratorium and appoint at least one administrator (</w:t>
      </w:r>
      <w:r>
        <w:rPr>
          <w:rFonts w:ascii="Times New Roman" w:cs="Times New Roman" w:eastAsia="Times New Roman" w:hAnsi="Times New Roman"/>
          <w:sz w:val="16"/>
          <w:szCs w:val="16"/>
          <w:i w:val="1"/>
          <w:iCs w:val="1"/>
          <w:color w:val="auto"/>
        </w:rPr>
        <w:t>bewindvoerder</w:t>
      </w:r>
      <w:r>
        <w:rPr>
          <w:rFonts w:ascii="Times New Roman" w:cs="Times New Roman" w:eastAsia="Times New Roman" w:hAnsi="Times New Roman"/>
          <w:sz w:val="16"/>
          <w:szCs w:val="16"/>
          <w:color w:val="auto"/>
        </w:rPr>
        <w:t>) of the debtor’s estate. A court hearing of, among others, creditors is required to decide on the definitive moratorium. If a draft composition (</w:t>
      </w:r>
      <w:r>
        <w:rPr>
          <w:rFonts w:ascii="Times New Roman" w:cs="Times New Roman" w:eastAsia="Times New Roman" w:hAnsi="Times New Roman"/>
          <w:sz w:val="16"/>
          <w:szCs w:val="16"/>
          <w:i w:val="1"/>
          <w:iCs w:val="1"/>
          <w:color w:val="auto"/>
        </w:rPr>
        <w:t>ontwerp akkoord</w:t>
      </w:r>
      <w:r>
        <w:rPr>
          <w:rFonts w:ascii="Times New Roman" w:cs="Times New Roman" w:eastAsia="Times New Roman" w:hAnsi="Times New Roman"/>
          <w:sz w:val="16"/>
          <w:szCs w:val="16"/>
          <w:color w:val="auto"/>
        </w:rPr>
        <w:t>) is filed simultaneously with the application for moratorium of payments, the court can order that the composition will be processed before a decision about a definitive moratorium. If the composition is accepted by the creditors and subsequently irrevocably confirmed by the court (</w:t>
      </w:r>
      <w:r>
        <w:rPr>
          <w:rFonts w:ascii="Times New Roman" w:cs="Times New Roman" w:eastAsia="Times New Roman" w:hAnsi="Times New Roman"/>
          <w:sz w:val="16"/>
          <w:szCs w:val="16"/>
          <w:i w:val="1"/>
          <w:iCs w:val="1"/>
          <w:color w:val="auto"/>
        </w:rPr>
        <w:t>gehomologeerd</w:t>
      </w:r>
      <w:r>
        <w:rPr>
          <w:rFonts w:ascii="Times New Roman" w:cs="Times New Roman" w:eastAsia="Times New Roman" w:hAnsi="Times New Roman"/>
          <w:sz w:val="16"/>
          <w:szCs w:val="16"/>
          <w:color w:val="auto"/>
        </w:rPr>
        <w:t>), the provisional moratorium ends. The definitive moratorium will generally be granted unless</w:t>
      </w:r>
    </w:p>
    <w:p>
      <w:pPr>
        <w:spacing w:after="0" w:line="1" w:lineRule="exact"/>
        <w:rPr>
          <w:sz w:val="20"/>
          <w:szCs w:val="20"/>
          <w:color w:val="auto"/>
        </w:rPr>
      </w:pPr>
    </w:p>
    <w:p>
      <w:pPr>
        <w:jc w:val="both"/>
        <w:ind w:left="760" w:right="759" w:hanging="4"/>
        <w:spacing w:after="0" w:line="251" w:lineRule="auto"/>
        <w:tabs>
          <w:tab w:leader="none" w:pos="96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qualified minority (more than one-quarter in amount of claims held by creditors represented at the creditors’ meeting or more than one-third in number of creditors represented at such creditors’ meeting) of the unsecured non-preferential creditors withholds its consent or (ii) there is a valid fear that the debtor will try to prejudice the creditors during a suspension of payments or if there is no prospect that the debtor will be able to satisfy its creditors in the (near) future. The moratorium of payments is only effective with regard to unsecured non-preferential creditors. Unlike Chapter 11 proceedings under United States bankruptcy law, during which both secured and unsecured creditors are generally barred from seeking to recover on their claims during a moratorium of payments, under Dutch law, secured and preferential creditors (including, among other parties, tax and social security authorities) may enforce their rights against assets of the company in moratorium of payments to satisfy their claims as if there were no moratorium of payments. A recovery under Dutch law could, therefore, involve a sale of assets that does not reflect the going concern value of the debtor. However, the court may order a freeze (</w:t>
      </w:r>
      <w:r>
        <w:rPr>
          <w:rFonts w:ascii="Times New Roman" w:cs="Times New Roman" w:eastAsia="Times New Roman" w:hAnsi="Times New Roman"/>
          <w:sz w:val="16"/>
          <w:szCs w:val="16"/>
          <w:i w:val="1"/>
          <w:iCs w:val="1"/>
          <w:color w:val="auto"/>
        </w:rPr>
        <w:t>afkoelingsperiode</w:t>
      </w:r>
      <w:r>
        <w:rPr>
          <w:rFonts w:ascii="Times New Roman" w:cs="Times New Roman" w:eastAsia="Times New Roman" w:hAnsi="Times New Roman"/>
          <w:sz w:val="16"/>
          <w:szCs w:val="16"/>
          <w:color w:val="auto"/>
        </w:rPr>
        <w:t>) for a maximum period of four months during which enforcement actions by secured or preferential creditors are barred. In a moratorium of payments, whether definitive or temporary, a composition (</w:t>
      </w:r>
      <w:r>
        <w:rPr>
          <w:rFonts w:ascii="Times New Roman" w:cs="Times New Roman" w:eastAsia="Times New Roman" w:hAnsi="Times New Roman"/>
          <w:sz w:val="16"/>
          <w:szCs w:val="16"/>
          <w:i w:val="1"/>
          <w:iCs w:val="1"/>
          <w:color w:val="auto"/>
        </w:rPr>
        <w:t>akkoord</w:t>
      </w:r>
      <w:r>
        <w:rPr>
          <w:rFonts w:ascii="Times New Roman" w:cs="Times New Roman" w:eastAsia="Times New Roman" w:hAnsi="Times New Roman"/>
          <w:sz w:val="16"/>
          <w:szCs w:val="16"/>
          <w:color w:val="auto"/>
        </w:rPr>
        <w:t>) may be offered to creditors. A composition will be binding on all unsecured and non-preferential creditors if it is (i) approved by a simple majority of the meeting of the recognized and of the admitted creditors representing at least 50% of the amount of the recognized and of the admitted claims, and (ii) subsequently irrevocably ratified (</w:t>
      </w:r>
      <w:r>
        <w:rPr>
          <w:rFonts w:ascii="Times New Roman" w:cs="Times New Roman" w:eastAsia="Times New Roman" w:hAnsi="Times New Roman"/>
          <w:sz w:val="16"/>
          <w:szCs w:val="16"/>
          <w:i w:val="1"/>
          <w:iCs w:val="1"/>
          <w:color w:val="auto"/>
        </w:rPr>
        <w:t>gehomologeerd</w:t>
      </w:r>
      <w:r>
        <w:rPr>
          <w:rFonts w:ascii="Times New Roman" w:cs="Times New Roman" w:eastAsia="Times New Roman" w:hAnsi="Times New Roman"/>
          <w:sz w:val="16"/>
          <w:szCs w:val="16"/>
          <w:color w:val="auto"/>
        </w:rPr>
        <w:t>) by the court. Even if the composition is not accepted by the creditors, the composition may still be accepted by a Dutch district court or, if appointed, the supervisory judge if (i) three-fourths of the admitted and recognized ordinary creditors present at the creditor’s meeting voted in favor of the composition and (ii) the non-acceptance of the composition during the creditor’s meeting is the consequence of a vote against the composition by one or more creditors who, taking into consideration all relevant circumstances, in particular the percentage that such creditor(s) would receive in case of a bankruptcy 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05" w:name="page106"/>
    <w:bookmarkEnd w:id="105"/>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79"/>
        <w:spacing w:after="0" w:line="258" w:lineRule="auto"/>
        <w:rPr>
          <w:sz w:val="20"/>
          <w:szCs w:val="20"/>
          <w:color w:val="auto"/>
        </w:rPr>
      </w:pPr>
      <w:r>
        <w:rPr>
          <w:rFonts w:ascii="Times New Roman" w:cs="Times New Roman" w:eastAsia="Times New Roman" w:hAnsi="Times New Roman"/>
          <w:sz w:val="16"/>
          <w:szCs w:val="16"/>
          <w:color w:val="auto"/>
        </w:rPr>
        <w:t>the debtor, could not have come to the decision to vote against the composition if such creditor would have acted reasonably. Consequently, Dutch insolvency laws could preclude or inhibit the ability of the holders of the notes to effect a restructuring and could reduce the recovery of a holder of the notes in Netherlands moratorium of payments proceedings. Interest payments that fall due after the date on which a moratorium of payments is granted cannot be claimed in a composition.</w:t>
      </w:r>
    </w:p>
    <w:p>
      <w:pPr>
        <w:spacing w:after="0" w:line="68" w:lineRule="exact"/>
        <w:rPr>
          <w:sz w:val="20"/>
          <w:szCs w:val="20"/>
          <w:color w:val="auto"/>
        </w:rPr>
      </w:pPr>
    </w:p>
    <w:p>
      <w:pPr>
        <w:jc w:val="both"/>
        <w:ind w:left="760" w:right="759"/>
        <w:spacing w:after="0" w:line="251" w:lineRule="auto"/>
        <w:rPr>
          <w:sz w:val="20"/>
          <w:szCs w:val="20"/>
          <w:color w:val="auto"/>
        </w:rPr>
      </w:pPr>
      <w:r>
        <w:rPr>
          <w:rFonts w:ascii="Times New Roman" w:cs="Times New Roman" w:eastAsia="Times New Roman" w:hAnsi="Times New Roman"/>
          <w:sz w:val="16"/>
          <w:szCs w:val="16"/>
          <w:color w:val="auto"/>
        </w:rPr>
        <w:t>Under Dutch bankruptcy proceedings, the assets of a debtor are generally liquidated and the proceeds distributed to the debtor’s creditors in accordance with the respective rank and priority of their claims. As in moratorium of payments proceedings, the court may order a freeze for a maximum of four months during which enforcement actions by secured or preferential creditors are barred unless such creditors have obtained leave for enforcement from the supervisory judge. Note that any applicable freeze does not bar creditors of the bankrupt estate (</w:t>
      </w:r>
      <w:r>
        <w:rPr>
          <w:rFonts w:ascii="Times New Roman" w:cs="Times New Roman" w:eastAsia="Times New Roman" w:hAnsi="Times New Roman"/>
          <w:sz w:val="16"/>
          <w:szCs w:val="16"/>
          <w:i w:val="1"/>
          <w:iCs w:val="1"/>
          <w:color w:val="auto"/>
        </w:rPr>
        <w:t>boedelschuldeisers</w:t>
      </w:r>
      <w:r>
        <w:rPr>
          <w:rFonts w:ascii="Times New Roman" w:cs="Times New Roman" w:eastAsia="Times New Roman" w:hAnsi="Times New Roman"/>
          <w:sz w:val="16"/>
          <w:szCs w:val="16"/>
          <w:color w:val="auto"/>
        </w:rPr>
        <w:t>) to take enforcement actions against the bankrupt estate if and when a claim of such creditor has become due and payable. The claim of a creditor may be limited depending on the date the claim becomes due and payable in accordance with its terms. Generally, claims of the holders of the notes that were not due and payable by their terms on the date of a bankruptcy of the relevant guarantor will be accelerated and become due and payable as of that date. Each of these claims will have to be submitted to the receiver to be verified by the receiver in accordance with the applicable provisions of the Dutch Bankruptcy Act or a collective settlement agreement (if any) within the meaning of the Dutch Act on Collective Settlement of Mass Claims (</w:t>
      </w:r>
      <w:r>
        <w:rPr>
          <w:rFonts w:ascii="Times New Roman" w:cs="Times New Roman" w:eastAsia="Times New Roman" w:hAnsi="Times New Roman"/>
          <w:sz w:val="16"/>
          <w:szCs w:val="16"/>
          <w:i w:val="1"/>
          <w:iCs w:val="1"/>
          <w:color w:val="auto"/>
        </w:rPr>
        <w:t>Wet collectieve afwikkeling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massaschade</w:t>
      </w:r>
      <w:r>
        <w:rPr>
          <w:rFonts w:ascii="Times New Roman" w:cs="Times New Roman" w:eastAsia="Times New Roman" w:hAnsi="Times New Roman"/>
          <w:sz w:val="16"/>
          <w:szCs w:val="16"/>
          <w:color w:val="auto"/>
        </w:rPr>
        <w:t>). Verification under Dutch law means that the receiver takes a preliminary decision on the value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claim and whether and to what extent it will be admitted in the bankruptcy proceedings. The valuation of claims that otherwise would not have been payable at the time of the bankruptcy proceedings but only would have been payable on a date one year after the date of bankruptcy may be based on a net present value analysis or collective settlement agreement (if any). Interest payments that fall due after the date of the bankruptcy cannot be verified. The existence, value and ranking of any claims submitted by the holders of the notes may be challenged in the Dutch bankruptcy proceedings. Generally, in a creditors’ meeting (</w:t>
      </w:r>
      <w:r>
        <w:rPr>
          <w:rFonts w:ascii="Times New Roman" w:cs="Times New Roman" w:eastAsia="Times New Roman" w:hAnsi="Times New Roman"/>
          <w:sz w:val="16"/>
          <w:szCs w:val="16"/>
          <w:i w:val="1"/>
          <w:iCs w:val="1"/>
          <w:color w:val="auto"/>
        </w:rPr>
        <w:t>verificatievergadering</w:t>
      </w:r>
      <w:r>
        <w:rPr>
          <w:rFonts w:ascii="Times New Roman" w:cs="Times New Roman" w:eastAsia="Times New Roman" w:hAnsi="Times New Roman"/>
          <w:sz w:val="16"/>
          <w:szCs w:val="16"/>
          <w:color w:val="auto"/>
        </w:rPr>
        <w:t>), the receiver, the insolvent debtor and all verified creditors may dispute the verification of claims of other creditors. In order to qualify for a distribution in the liquidation, creditors whose claims or value thereof are disputed in the creditors meeting by others than the debtor may be referred to separate court proceedings (</w:t>
      </w:r>
      <w:r>
        <w:rPr>
          <w:rFonts w:ascii="Times New Roman" w:cs="Times New Roman" w:eastAsia="Times New Roman" w:hAnsi="Times New Roman"/>
          <w:sz w:val="16"/>
          <w:szCs w:val="16"/>
          <w:i w:val="1"/>
          <w:iCs w:val="1"/>
          <w:color w:val="auto"/>
        </w:rPr>
        <w:t>renvooiprocedure</w:t>
      </w:r>
      <w:r>
        <w:rPr>
          <w:rFonts w:ascii="Times New Roman" w:cs="Times New Roman" w:eastAsia="Times New Roman" w:hAnsi="Times New Roman"/>
          <w:sz w:val="16"/>
          <w:szCs w:val="16"/>
          <w:color w:val="auto"/>
        </w:rPr>
        <w:t xml:space="preserve">). These </w:t>
      </w:r>
      <w:r>
        <w:rPr>
          <w:rFonts w:ascii="Times New Roman" w:cs="Times New Roman" w:eastAsia="Times New Roman" w:hAnsi="Times New Roman"/>
          <w:sz w:val="16"/>
          <w:szCs w:val="16"/>
          <w:i w:val="1"/>
          <w:iCs w:val="1"/>
          <w:color w:val="auto"/>
        </w:rPr>
        <w:t>renvooi procedures</w:t>
      </w:r>
      <w:r>
        <w:rPr>
          <w:rFonts w:ascii="Times New Roman" w:cs="Times New Roman" w:eastAsia="Times New Roman" w:hAnsi="Times New Roman"/>
          <w:sz w:val="16"/>
          <w:szCs w:val="16"/>
          <w:color w:val="auto"/>
        </w:rPr>
        <w:t xml:space="preserve"> could cause holders of the notes to recover less than the percentage they would receive if their claim was fully acknowledged or less than they could recover in a United States liquidation. Such </w:t>
      </w:r>
      <w:r>
        <w:rPr>
          <w:rFonts w:ascii="Times New Roman" w:cs="Times New Roman" w:eastAsia="Times New Roman" w:hAnsi="Times New Roman"/>
          <w:sz w:val="16"/>
          <w:szCs w:val="16"/>
          <w:i w:val="1"/>
          <w:iCs w:val="1"/>
          <w:color w:val="auto"/>
        </w:rPr>
        <w:t>renvooi procedures</w:t>
      </w:r>
      <w:r>
        <w:rPr>
          <w:rFonts w:ascii="Times New Roman" w:cs="Times New Roman" w:eastAsia="Times New Roman" w:hAnsi="Times New Roman"/>
          <w:sz w:val="16"/>
          <w:szCs w:val="16"/>
          <w:color w:val="auto"/>
        </w:rPr>
        <w:t xml:space="preserve"> or proceedings for granting a collective settlement agreement binding effect could also cause payments to the holders of the notes to be delayed compared with holders of undisputed claims or where no such collective settlement agreement has been concluded. Further, and unless in certain cases if the receiver in bankruptcy concluded a collective settlement agreement in a bankruptcy, a composition may be offered to creditors, which shall be binding on unsecured non-preferential creditors if (i) it is approved by a simple majority of the meeting of unsecured non-preferential creditors with admitted and provisionally admitted claims, representing at least 50% of the total amount of the admitted and provisionally admitted unsecured non preferential claims, and (ii) subsequently irrevocably ratified (</w:t>
      </w:r>
      <w:r>
        <w:rPr>
          <w:rFonts w:ascii="Times New Roman" w:cs="Times New Roman" w:eastAsia="Times New Roman" w:hAnsi="Times New Roman"/>
          <w:sz w:val="16"/>
          <w:szCs w:val="16"/>
          <w:i w:val="1"/>
          <w:iCs w:val="1"/>
          <w:color w:val="auto"/>
        </w:rPr>
        <w:t>gehomologeerd</w:t>
      </w:r>
      <w:r>
        <w:rPr>
          <w:rFonts w:ascii="Times New Roman" w:cs="Times New Roman" w:eastAsia="Times New Roman" w:hAnsi="Times New Roman"/>
          <w:sz w:val="16"/>
          <w:szCs w:val="16"/>
          <w:color w:val="auto"/>
        </w:rPr>
        <w:t>) by the court. Even if the composition is not accepted by the creditors, the composition may still be accepted by the Dutch district court or, if appointed, the supervisory judge if (i) three-fourths of the admitted and (provisional) recognized ordinary creditors present at the creditor’s meeting voted in favor of the composition and (ii) the nonacceptance of the composition during the creditor’s meeting is the consequence of a vote against the composition of one or more creditors that, taking into consideration all relevant circumstances, in particular the percentage that such creditor(s) would receive in case of a bankruptcy of the debtor, could not have come to the decision to vote against the composition if such creditor would have acted reasonably. The Dutch Bankruptcy Act does not in itself recognize the concept of classes of creditors. Remaining amounts, if any, after satisfaction of the creditors of the bankruptcy estate, secured and the preferential creditors, are distributed among the unsecured non-preferential creditors, which will be satisfied on a pro rata basis. Contractual subordination may to a certain extent be given effect in Dutch insolvency proceedings. The actual effect depends largely on the way such subordination is construed.</w:t>
      </w:r>
    </w:p>
    <w:p>
      <w:pPr>
        <w:spacing w:after="0" w:line="85" w:lineRule="exact"/>
        <w:rPr>
          <w:sz w:val="20"/>
          <w:szCs w:val="20"/>
          <w:color w:val="auto"/>
        </w:rPr>
      </w:pPr>
    </w:p>
    <w:p>
      <w:pPr>
        <w:jc w:val="both"/>
        <w:ind w:left="760" w:right="759"/>
        <w:spacing w:after="0" w:line="255" w:lineRule="auto"/>
        <w:rPr>
          <w:sz w:val="20"/>
          <w:szCs w:val="20"/>
          <w:color w:val="auto"/>
        </w:rPr>
      </w:pPr>
      <w:r>
        <w:rPr>
          <w:rFonts w:ascii="Times New Roman" w:cs="Times New Roman" w:eastAsia="Times New Roman" w:hAnsi="Times New Roman"/>
          <w:sz w:val="16"/>
          <w:szCs w:val="16"/>
          <w:color w:val="auto"/>
        </w:rPr>
        <w:t>With the entry into force of the Act on Court Confirmation of Extrajudicial Restructuring Plans (</w:t>
      </w:r>
      <w:r>
        <w:rPr>
          <w:rFonts w:ascii="Times New Roman" w:cs="Times New Roman" w:eastAsia="Times New Roman" w:hAnsi="Times New Roman"/>
          <w:sz w:val="16"/>
          <w:szCs w:val="16"/>
          <w:i w:val="1"/>
          <w:iCs w:val="1"/>
          <w:color w:val="auto"/>
        </w:rPr>
        <w:t>Wet homologatie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onderhands akkoord</w:t>
      </w:r>
      <w:r>
        <w:rPr>
          <w:rFonts w:ascii="Times New Roman" w:cs="Times New Roman" w:eastAsia="Times New Roman" w:hAnsi="Times New Roman"/>
          <w:sz w:val="16"/>
          <w:szCs w:val="16"/>
          <w:color w:val="auto"/>
        </w:rPr>
        <w:t>) (“WHOA”) on January 1, 2021, debtors now have the possibility to offer a composition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outside of formal insolvency proceedings. The WHOA is inspired on the UK Scheme of Arrangements and the U.S. Chapter 11 procedure and it offers debtors additional possibilities to restructure their debt. Unlike a composition in suspension of payments and in bankruptcy proceedings, a composition under the WHOA can be offered to secured creditors as well as shareholders. Under the WHOA, proceedings can be opened for companies in financial distress, where the debtor stays in possession and can offer a composition plan to its creditors (including secured creditors and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06" w:name="page107"/>
    <w:bookmarkEnd w:id="106"/>
    <w:p>
      <w:pPr>
        <w:ind w:left="7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8" w:lineRule="exact"/>
        <w:rPr>
          <w:sz w:val="20"/>
          <w:szCs w:val="20"/>
          <w:color w:val="auto"/>
        </w:rPr>
      </w:pPr>
    </w:p>
    <w:p>
      <w:pPr>
        <w:jc w:val="both"/>
        <w:ind w:left="760" w:right="759"/>
        <w:spacing w:after="0" w:line="252" w:lineRule="auto"/>
        <w:rPr>
          <w:sz w:val="20"/>
          <w:szCs w:val="20"/>
          <w:color w:val="auto"/>
        </w:rPr>
      </w:pPr>
      <w:r>
        <w:rPr>
          <w:rFonts w:ascii="Times New Roman" w:cs="Times New Roman" w:eastAsia="Times New Roman" w:hAnsi="Times New Roman"/>
          <w:sz w:val="16"/>
          <w:szCs w:val="16"/>
          <w:color w:val="auto"/>
        </w:rPr>
        <w:t>shareholders), whereby the creditors will be divided into separate classes. The WHOA also allows that group companies providing guarantees for the debtor’s obligations are included in the plan, if (i) the relevant group companies are reasonably expected to be unable to pay their debts as they fall due, (ii) they have agreed to the proposed restructuring plan insofar as it concerns their obligations and (iii) the court has jurisdiction over the relevant group companies. Under the WHOA, a debtor may offer its creditors a composition plan which may also entail a revision or release of the guarantees in place granted by group companies. It may well be that claims against Mylan II B.V. can be compromised as a result of a composition if the relevant majority of creditors within a class vote in favor of such a composition. In addition, the WHOA provides for the possibility of the composition plan to be binding on a dissenting class, i.e. cross-class cram downs. Under the WHOA, the court will confirm a composition plan if at least one class of creditors (other than a class of shareholders) that can be expected to receive a distribution in case of a bankruptcy of the debtor approves the plan, unless there is a statutory ground for refusal. The WHOA can provide for restructurings that stretch beyond Dutch borders. The WHOA will provide debtors with an option, at the beginning of the process, to choose whether the restructuring plan will be “public” or “private”. A public restructuring plan is automatically recognized under the Insolvency Regulation. A private restructuring is not, but may possibly be subject to recognition in other (EU as well as non-EU) jurisdictions on the basis of their own private international laws.</w:t>
      </w:r>
    </w:p>
    <w:p>
      <w:pPr>
        <w:spacing w:after="0" w:line="80" w:lineRule="exact"/>
        <w:rPr>
          <w:sz w:val="20"/>
          <w:szCs w:val="20"/>
          <w:color w:val="auto"/>
        </w:rPr>
      </w:pPr>
    </w:p>
    <w:p>
      <w:pPr>
        <w:jc w:val="both"/>
        <w:ind w:left="760" w:right="779"/>
        <w:spacing w:after="0" w:line="254" w:lineRule="auto"/>
        <w:rPr>
          <w:sz w:val="20"/>
          <w:szCs w:val="20"/>
          <w:color w:val="auto"/>
        </w:rPr>
      </w:pPr>
      <w:r>
        <w:rPr>
          <w:rFonts w:ascii="Times New Roman" w:cs="Times New Roman" w:eastAsia="Times New Roman" w:hAnsi="Times New Roman"/>
          <w:sz w:val="16"/>
          <w:szCs w:val="16"/>
          <w:color w:val="auto"/>
        </w:rPr>
        <w:t>Set-off is allowed prior to the bankruptcy, although a set-off prior to bankruptcy may be subject to clawback in the case of fraudulent conveyance or bad faith in obtaining the claim used for set-off. Also, payments made prior to the bankruptcy order may be avoided in Dutch insolvency proceedings. Voluntary (</w:t>
      </w:r>
      <w:r>
        <w:rPr>
          <w:rFonts w:ascii="Times New Roman" w:cs="Times New Roman" w:eastAsia="Times New Roman" w:hAnsi="Times New Roman"/>
          <w:sz w:val="16"/>
          <w:szCs w:val="16"/>
          <w:i w:val="1"/>
          <w:iCs w:val="1"/>
          <w:color w:val="auto"/>
        </w:rPr>
        <w:t>onverplichte</w:t>
      </w:r>
      <w:r>
        <w:rPr>
          <w:rFonts w:ascii="Times New Roman" w:cs="Times New Roman" w:eastAsia="Times New Roman" w:hAnsi="Times New Roman"/>
          <w:sz w:val="16"/>
          <w:szCs w:val="16"/>
          <w:color w:val="auto"/>
        </w:rPr>
        <w:t>) payments made by the debtor can be avoided if the debtor knew or should have known at the moment of payment that the creditors would be prejudiced. In case of bankruptcy, knowledge exists where the parties could foresee the bankruptcy of the debtor with a reasonable amount of probability. Even payments made that were due and payable can be avoided if (i) the payee (</w:t>
      </w:r>
      <w:r>
        <w:rPr>
          <w:rFonts w:ascii="Times New Roman" w:cs="Times New Roman" w:eastAsia="Times New Roman" w:hAnsi="Times New Roman"/>
          <w:sz w:val="16"/>
          <w:szCs w:val="16"/>
          <w:i w:val="1"/>
          <w:iCs w:val="1"/>
          <w:color w:val="auto"/>
        </w:rPr>
        <w:t>hij die betaling ontving</w:t>
      </w:r>
      <w:r>
        <w:rPr>
          <w:rFonts w:ascii="Times New Roman" w:cs="Times New Roman" w:eastAsia="Times New Roman" w:hAnsi="Times New Roman"/>
          <w:sz w:val="16"/>
          <w:szCs w:val="16"/>
          <w:color w:val="auto"/>
        </w:rPr>
        <w:t>) knew that the application for bankruptcy of the debtor was filed at the moment of payment or (ii) the debtor and the payee engaged in this payment in a conspiracy in order to prejudice other creditors.</w:t>
      </w:r>
    </w:p>
    <w:p>
      <w:pPr>
        <w:spacing w:after="0" w:line="73" w:lineRule="exact"/>
        <w:rPr>
          <w:sz w:val="20"/>
          <w:szCs w:val="20"/>
          <w:color w:val="auto"/>
        </w:rPr>
      </w:pPr>
    </w:p>
    <w:p>
      <w:pPr>
        <w:jc w:val="both"/>
        <w:ind w:left="760" w:right="779"/>
        <w:spacing w:after="0" w:line="254" w:lineRule="auto"/>
        <w:rPr>
          <w:sz w:val="20"/>
          <w:szCs w:val="20"/>
          <w:color w:val="auto"/>
        </w:rPr>
      </w:pPr>
      <w:r>
        <w:rPr>
          <w:rFonts w:ascii="Times New Roman" w:cs="Times New Roman" w:eastAsia="Times New Roman" w:hAnsi="Times New Roman"/>
          <w:sz w:val="16"/>
          <w:szCs w:val="16"/>
          <w:color w:val="auto"/>
        </w:rPr>
        <w:t>Under Dutch law, as soon as a debtor is declared bankrupt, all pending executions of judgments against such debtor, as well as all attachments on the debtor’s assets (other than with respect to secured creditors and certain other creditors, as described above), will be terminated by operation of law. The opening of bankruptcy proceedings and the granting of suspension of payments will have retroactive effect until 0:00h of the day that the debtor is declared bankrupt or suspension of payments is (provisionally) granted, respectively. Simultaneously with the opening of the bankruptcy, a Dutch receiver will be appointed. The proceeds resulting from the liquidation of the bankrupt estate may not be sufficient to satisfy unsecured creditors under the guarantees granted by a bankrupt guarantor after the secured and the preferential creditors have been satisfied. Litigation pending on the date of the bankruptcy order is automatically stayed.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122555</wp:posOffset>
            </wp:positionV>
            <wp:extent cx="622427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6224270"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sectPr>
      </w:pPr>
    </w:p>
    <w:bookmarkStart w:id="107" w:name="page108"/>
    <w:bookmarkEnd w:id="107"/>
    <w:p>
      <w:pPr>
        <w:ind w:left="2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86995</wp:posOffset>
            </wp:positionV>
            <wp:extent cx="5370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5370195" cy="15240"/>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147955</wp:posOffset>
            </wp:positionV>
            <wp:extent cx="537019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5370195" cy="7620"/>
                    </a:xfrm>
                    <a:prstGeom prst="rect">
                      <a:avLst/>
                    </a:prstGeom>
                    <a:noFill/>
                  </pic:spPr>
                </pic:pic>
              </a:graphicData>
            </a:graphic>
          </wp:anchor>
        </w:drawing>
        <w:drawing>
          <wp:anchor simplePos="0" relativeHeight="251657728" behindDoc="1" locked="0" layoutInCell="0" allowOverlap="1">
            <wp:simplePos x="0" y="0"/>
            <wp:positionH relativeFrom="column">
              <wp:posOffset>2017395</wp:posOffset>
            </wp:positionH>
            <wp:positionV relativeFrom="paragraph">
              <wp:posOffset>1444625</wp:posOffset>
            </wp:positionV>
            <wp:extent cx="1685925" cy="4502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168592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Viatris Inc.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650,000,000 4.250% Senior Notes due 2033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Active Joint Book-Running Managers</w:t>
      </w:r>
    </w:p>
    <w:p>
      <w:pPr>
        <w:sectPr>
          <w:pgSz w:w="11900" w:h="16838" w:orient="portrait"/>
          <w:cols w:equalWidth="0" w:num="1">
            <w:col w:w="9019"/>
          </w:cols>
          <w:pgMar w:left="1440" w:top="250" w:right="1440" w:bottom="1440" w:gutter="0" w:footer="0" w:header="0"/>
        </w:sectPr>
      </w:pPr>
    </w:p>
    <w:p>
      <w:pPr>
        <w:spacing w:after="0" w:line="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b w:val="1"/>
          <w:bCs w:val="1"/>
          <w:color w:val="auto"/>
        </w:rPr>
        <w:t>BNP PARIBAS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Citigroup</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Goldman Sachs &amp; Co. LLC</w:t>
      </w:r>
    </w:p>
    <w:p>
      <w:pPr>
        <w:spacing w:after="0" w:line="200" w:lineRule="exact"/>
        <w:rPr>
          <w:sz w:val="20"/>
          <w:szCs w:val="20"/>
          <w:color w:val="auto"/>
        </w:rPr>
      </w:pPr>
    </w:p>
    <w:p>
      <w:pPr>
        <w:sectPr>
          <w:pgSz w:w="11900" w:h="16838" w:orient="portrait"/>
          <w:cols w:equalWidth="0" w:num="3">
            <w:col w:w="3460" w:space="720"/>
            <w:col w:w="1740" w:space="720"/>
            <w:col w:w="2379"/>
          </w:cols>
          <w:pgMar w:left="1440" w:top="250" w:right="1440" w:bottom="1440" w:gutter="0" w:footer="0" w:header="0"/>
          <w:type w:val="continuous"/>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Passive Joint Book-Running Managers</w:t>
      </w:r>
    </w:p>
    <w:p>
      <w:pPr>
        <w:sectPr>
          <w:pgSz w:w="11900" w:h="16838" w:orient="portrait"/>
          <w:cols w:equalWidth="0" w:num="1">
            <w:col w:w="9019"/>
          </w:cols>
          <w:pgMar w:left="1440" w:top="250" w:right="1440" w:bottom="1440" w:gutter="0" w:footer="0" w:header="0"/>
          <w:type w:val="continuous"/>
        </w:sectPr>
      </w:pP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Barclays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5"/>
          <w:szCs w:val="15"/>
          <w:b w:val="1"/>
          <w:bCs w:val="1"/>
          <w:color w:val="auto"/>
        </w:rPr>
        <w:t>Deutsche Bank</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DNB Carnegie</w:t>
      </w:r>
    </w:p>
    <w:p>
      <w:pPr>
        <w:spacing w:after="0" w:line="200" w:lineRule="exact"/>
        <w:rPr>
          <w:sz w:val="20"/>
          <w:szCs w:val="20"/>
          <w:color w:val="auto"/>
        </w:rPr>
      </w:pPr>
    </w:p>
    <w:p>
      <w:pPr>
        <w:sectPr>
          <w:pgSz w:w="11900" w:h="16838" w:orient="portrait"/>
          <w:cols w:equalWidth="0" w:num="3">
            <w:col w:w="3280" w:space="720"/>
            <w:col w:w="2360" w:space="720"/>
            <w:col w:w="1939"/>
          </w:cols>
          <w:pgMar w:left="1440" w:top="250" w:right="1440" w:bottom="1440" w:gutter="0" w:footer="0" w:header="0"/>
          <w:type w:val="continuous"/>
        </w:sectPr>
      </w:pP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Co-Managers</w:t>
      </w:r>
    </w:p>
    <w:p>
      <w:pPr>
        <w:sectPr>
          <w:pgSz w:w="11900" w:h="16838" w:orient="portrait"/>
          <w:cols w:equalWidth="0" w:num="1">
            <w:col w:w="9019"/>
          </w:cols>
          <w:pgMar w:left="1440" w:top="250" w:right="1440" w:bottom="1440" w:gutter="0" w:footer="0" w:header="0"/>
          <w:type w:val="continuous"/>
        </w:sectPr>
      </w:pPr>
    </w:p>
    <w:p>
      <w:pPr>
        <w:spacing w:after="0" w:line="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ING</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Morgan Stanley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Société Générale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J.P. Morgan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PNC Capital Markets LLC</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Standard Chartered Bank</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BofA Securities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SMBC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Academy Securities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Mizuho</w:t>
      </w:r>
    </w:p>
    <w:p>
      <w:pPr>
        <w:spacing w:after="0" w:line="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Scotiabank</w:t>
      </w:r>
    </w:p>
    <w:p>
      <w:pPr>
        <w:spacing w:after="0" w:line="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5"/>
          <w:szCs w:val="15"/>
          <w:b w:val="1"/>
          <w:bCs w:val="1"/>
          <w:color w:val="auto"/>
        </w:rPr>
        <w:t>R. Seelaus &amp; Co., LLC</w:t>
      </w:r>
    </w:p>
    <w:p>
      <w:pPr>
        <w:spacing w:after="0" w:line="31" w:lineRule="exact"/>
        <w:rPr>
          <w:sz w:val="20"/>
          <w:szCs w:val="20"/>
          <w:color w:val="auto"/>
        </w:rPr>
      </w:pPr>
    </w:p>
    <w:p>
      <w:pPr>
        <w:sectPr>
          <w:pgSz w:w="11900" w:h="16838" w:orient="portrait"/>
          <w:cols w:equalWidth="0" w:num="4">
            <w:col w:w="2460" w:space="720"/>
            <w:col w:w="1880" w:space="300"/>
            <w:col w:w="1360" w:space="360"/>
            <w:col w:w="1939"/>
          </w:cols>
          <w:pgMar w:left="1440" w:top="250" w:right="1440"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b w:val="1"/>
          <w:bCs w:val="1"/>
          <w:color w:val="auto"/>
        </w:rPr>
        <w:t>Corporate &amp; Investment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153670</wp:posOffset>
            </wp:positionV>
            <wp:extent cx="537019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5370195" cy="7620"/>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207645</wp:posOffset>
            </wp:positionV>
            <wp:extent cx="5370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5370195" cy="15240"/>
                    </a:xfrm>
                    <a:prstGeom prst="rect">
                      <a:avLst/>
                    </a:prstGeom>
                    <a:noFill/>
                  </pic:spPr>
                </pic:pic>
              </a:graphicData>
            </a:graphic>
          </wp:anchor>
        </w:drawing>
      </w:r>
    </w:p>
    <w:p>
      <w:pPr>
        <w:sectPr>
          <w:pgSz w:w="11900" w:h="16838" w:orient="portrait"/>
          <w:cols w:equalWidth="0" w:num="1">
            <w:col w:w="9019"/>
          </w:cols>
          <w:pgMar w:left="1440" w:top="250" w:right="1440" w:bottom="1440" w:gutter="0" w:footer="0" w:header="0"/>
          <w:type w:val="continuous"/>
        </w:sectPr>
      </w:pPr>
    </w:p>
    <w:bookmarkStart w:id="108" w:name="page109"/>
    <w:bookmarkEnd w:id="108"/>
    <w:p>
      <w:pPr>
        <w:ind w:left="10464"/>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47560"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47560" cy="30480"/>
                    </a:xfrm>
                    <a:prstGeom prst="rect">
                      <a:avLst/>
                    </a:prstGeom>
                    <a:noFill/>
                  </pic:spPr>
                </pic:pic>
              </a:graphicData>
            </a:graphic>
          </wp:anchor>
        </w:drawing>
        <w:t>Exhibit 107</w:t>
      </w:r>
    </w:p>
    <w:p>
      <w:pPr>
        <w:spacing w:after="0" w:line="164"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CALCULATION OF FILING FEE TABLE</w:t>
      </w:r>
    </w:p>
    <w:p>
      <w:pPr>
        <w:spacing w:after="0" w:line="176"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S-3</w:t>
      </w:r>
    </w:p>
    <w:p>
      <w:pPr>
        <w:spacing w:after="0" w:line="27"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6"/>
          <w:szCs w:val="16"/>
          <w:color w:val="auto"/>
        </w:rPr>
        <w:t>(Form Type)</w:t>
      </w:r>
    </w:p>
    <w:p>
      <w:pPr>
        <w:spacing w:after="0" w:line="182"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Viatris Inc</w:t>
      </w:r>
    </w:p>
    <w:p>
      <w:pPr>
        <w:spacing w:after="0" w:line="27"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2"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6"/>
          <w:szCs w:val="16"/>
          <w:b w:val="1"/>
          <w:bCs w:val="1"/>
          <w:u w:val="single" w:color="auto"/>
          <w:color w:val="auto"/>
        </w:rPr>
        <w:t>Table 1: Newly Registered and Carry Forward Securities</w:t>
      </w:r>
    </w:p>
    <w:p>
      <w:pPr>
        <w:spacing w:after="0" w:line="31" w:lineRule="exact"/>
        <w:rPr>
          <w:sz w:val="20"/>
          <w:szCs w:val="20"/>
          <w:color w:val="auto"/>
        </w:rPr>
      </w:pPr>
    </w:p>
    <w:tbl>
      <w:tblPr>
        <w:tblLayout w:type="fixed"/>
        <w:tblInd w:w="14" w:type="dxa"/>
        <w:tblCellMar>
          <w:top w:w="0" w:type="dxa"/>
          <w:left w:w="0" w:type="dxa"/>
          <w:bottom w:w="0" w:type="dxa"/>
          <w:right w:w="0" w:type="dxa"/>
        </w:tblCellMar>
      </w:tblPr>
      <w:tr>
        <w:trPr>
          <w:trHeight w:val="210"/>
        </w:trPr>
        <w:tc>
          <w:tcPr>
            <w:tcW w:w="820" w:type="dxa"/>
            <w:vAlign w:val="bottom"/>
            <w:tcBorders>
              <w:top w:val="single" w:sz="8" w:color="auto"/>
              <w:left w:val="single" w:sz="8" w:color="auto"/>
              <w:right w:val="single" w:sz="8" w:color="auto"/>
            </w:tcBorders>
          </w:tcPr>
          <w:p>
            <w:pPr>
              <w:spacing w:after="0"/>
              <w:rPr>
                <w:sz w:val="18"/>
                <w:szCs w:val="18"/>
                <w:color w:val="auto"/>
              </w:rPr>
            </w:pPr>
          </w:p>
        </w:tc>
        <w:tc>
          <w:tcPr>
            <w:tcW w:w="3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Fee</w:t>
            </w:r>
          </w:p>
        </w:tc>
      </w:tr>
      <w:tr>
        <w:trPr>
          <w:trHeight w:val="192"/>
        </w:trPr>
        <w:tc>
          <w:tcPr>
            <w:tcW w:w="820" w:type="dxa"/>
            <w:vAlign w:val="bottom"/>
            <w:tcBorders>
              <w:left w:val="single" w:sz="8" w:color="auto"/>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Previously</w:t>
            </w:r>
          </w:p>
        </w:tc>
      </w:tr>
      <w:tr>
        <w:trPr>
          <w:trHeight w:val="192"/>
        </w:trPr>
        <w:tc>
          <w:tcPr>
            <w:tcW w:w="820" w:type="dxa"/>
            <w:vAlign w:val="bottom"/>
            <w:tcBorders>
              <w:left w:val="single" w:sz="8" w:color="auto"/>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Paid in</w:t>
            </w:r>
          </w:p>
        </w:tc>
      </w:tr>
      <w:tr>
        <w:trPr>
          <w:trHeight w:val="192"/>
        </w:trPr>
        <w:tc>
          <w:tcPr>
            <w:tcW w:w="820" w:type="dxa"/>
            <w:vAlign w:val="bottom"/>
            <w:tcBorders>
              <w:left w:val="single" w:sz="8" w:color="auto"/>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Connection</w:t>
            </w:r>
          </w:p>
        </w:tc>
      </w:tr>
      <w:tr>
        <w:trPr>
          <w:trHeight w:val="192"/>
        </w:trPr>
        <w:tc>
          <w:tcPr>
            <w:tcW w:w="820" w:type="dxa"/>
            <w:vAlign w:val="bottom"/>
            <w:tcBorders>
              <w:left w:val="single" w:sz="8" w:color="auto"/>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with</w:t>
            </w:r>
          </w:p>
        </w:tc>
      </w:tr>
      <w:tr>
        <w:trPr>
          <w:trHeight w:val="192"/>
        </w:trPr>
        <w:tc>
          <w:tcPr>
            <w:tcW w:w="820" w:type="dxa"/>
            <w:vAlign w:val="bottom"/>
            <w:tcBorders>
              <w:left w:val="single" w:sz="8" w:color="auto"/>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0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Proposed</w:t>
            </w:r>
          </w:p>
        </w:tc>
        <w:tc>
          <w:tcPr>
            <w:tcW w:w="11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Unsold</w:t>
            </w:r>
          </w:p>
        </w:tc>
      </w:tr>
      <w:tr>
        <w:trPr>
          <w:trHeight w:val="192"/>
        </w:trPr>
        <w:tc>
          <w:tcPr>
            <w:tcW w:w="820" w:type="dxa"/>
            <w:vAlign w:val="bottom"/>
            <w:tcBorders>
              <w:left w:val="single" w:sz="8" w:color="auto"/>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1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1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r>
      <w:tr>
        <w:trPr>
          <w:trHeight w:val="192"/>
        </w:trPr>
        <w:tc>
          <w:tcPr>
            <w:tcW w:w="820" w:type="dxa"/>
            <w:vAlign w:val="bottom"/>
            <w:tcBorders>
              <w:left w:val="single" w:sz="8" w:color="auto"/>
              <w:right w:val="single" w:sz="8" w:color="auto"/>
            </w:tcBorders>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70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8"/>
              </w:rPr>
              <w:t>or Carry</w:t>
            </w:r>
          </w:p>
        </w:tc>
        <w:tc>
          <w:tcPr>
            <w:tcW w:w="1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Amount of</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Forward</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Initial</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 be</w:t>
            </w:r>
          </w:p>
        </w:tc>
      </w:tr>
      <w:tr>
        <w:trPr>
          <w:trHeight w:val="192"/>
        </w:trPr>
        <w:tc>
          <w:tcPr>
            <w:tcW w:w="820" w:type="dxa"/>
            <w:vAlign w:val="bottom"/>
            <w:tcBorders>
              <w:left w:val="single" w:sz="8" w:color="auto"/>
              <w:right w:val="single" w:sz="8" w:color="auto"/>
            </w:tcBorders>
          </w:tcPr>
          <w:p>
            <w:pPr>
              <w:spacing w:after="0"/>
              <w:rPr>
                <w:sz w:val="16"/>
                <w:szCs w:val="16"/>
                <w:color w:val="auto"/>
              </w:rPr>
            </w:pP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70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Forward</w:t>
            </w:r>
          </w:p>
        </w:tc>
        <w:tc>
          <w:tcPr>
            <w:tcW w:w="1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Carried</w:t>
            </w:r>
          </w:p>
        </w:tc>
      </w:tr>
      <w:tr>
        <w:trPr>
          <w:trHeight w:val="235"/>
        </w:trPr>
        <w:tc>
          <w:tcPr>
            <w:tcW w:w="8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7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Registered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Offering Price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 Rate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Forward</w:t>
            </w:r>
          </w:p>
        </w:tc>
      </w:tr>
      <w:tr>
        <w:trPr>
          <w:trHeight w:val="184"/>
        </w:trPr>
        <w:tc>
          <w:tcPr>
            <w:tcW w:w="820" w:type="dxa"/>
            <w:vAlign w:val="bottom"/>
            <w:tcBorders>
              <w:left w:val="single" w:sz="8" w:color="auto"/>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Newly Registered Securities</w:t>
            </w:r>
          </w:p>
        </w:tc>
        <w:tc>
          <w:tcPr>
            <w:tcW w:w="10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92"/>
        </w:trPr>
        <w:tc>
          <w:tcPr>
            <w:tcW w:w="820" w:type="dxa"/>
            <w:vAlign w:val="bottom"/>
            <w:tcBorders>
              <w:left w:val="single" w:sz="8" w:color="auto"/>
              <w:right w:val="single" w:sz="8" w:color="auto"/>
            </w:tcBorders>
            <w:shd w:val="clear" w:color="auto" w:fill="CCEEFF"/>
          </w:tcPr>
          <w:p>
            <w:pPr>
              <w:spacing w:after="0"/>
              <w:rPr>
                <w:sz w:val="16"/>
                <w:szCs w:val="16"/>
                <w:color w:val="auto"/>
              </w:rPr>
            </w:pPr>
          </w:p>
        </w:tc>
        <w:tc>
          <w:tcPr>
            <w:tcW w:w="380" w:type="dxa"/>
            <w:vAlign w:val="bottom"/>
            <w:tcBorders>
              <w:right w:val="single" w:sz="8" w:color="auto"/>
            </w:tcBorders>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7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r>
      <w:tr>
        <w:trPr>
          <w:trHeight w:val="192"/>
        </w:trPr>
        <w:tc>
          <w:tcPr>
            <w:tcW w:w="820" w:type="dxa"/>
            <w:vAlign w:val="bottom"/>
            <w:tcBorders>
              <w:left w:val="single" w:sz="8" w:color="auto"/>
              <w:right w:val="single" w:sz="8" w:color="auto"/>
            </w:tcBorders>
            <w:shd w:val="clear" w:color="auto" w:fill="CCEEFF"/>
          </w:tcPr>
          <w:p>
            <w:pPr>
              <w:spacing w:after="0"/>
              <w:rPr>
                <w:sz w:val="16"/>
                <w:szCs w:val="16"/>
                <w:color w:val="auto"/>
              </w:rPr>
            </w:pPr>
          </w:p>
        </w:tc>
        <w:tc>
          <w:tcPr>
            <w:tcW w:w="380" w:type="dxa"/>
            <w:vAlign w:val="bottom"/>
            <w:tcBorders>
              <w:right w:val="single" w:sz="8" w:color="auto"/>
            </w:tcBorders>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Senior</w:t>
            </w:r>
          </w:p>
        </w:tc>
        <w:tc>
          <w:tcPr>
            <w:tcW w:w="7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r>
      <w:tr>
        <w:trPr>
          <w:trHeight w:val="192"/>
        </w:trPr>
        <w:tc>
          <w:tcPr>
            <w:tcW w:w="820" w:type="dxa"/>
            <w:vAlign w:val="bottom"/>
            <w:tcBorders>
              <w:left w:val="single" w:sz="8" w:color="auto"/>
              <w:right w:val="single" w:sz="8" w:color="auto"/>
            </w:tcBorders>
            <w:shd w:val="clear" w:color="auto" w:fill="CCEEFF"/>
          </w:tcPr>
          <w:p>
            <w:pPr>
              <w:spacing w:after="0"/>
              <w:rPr>
                <w:sz w:val="16"/>
                <w:szCs w:val="16"/>
                <w:color w:val="auto"/>
              </w:rPr>
            </w:pPr>
          </w:p>
        </w:tc>
        <w:tc>
          <w:tcPr>
            <w:tcW w:w="380" w:type="dxa"/>
            <w:vAlign w:val="bottom"/>
            <w:tcBorders>
              <w:right w:val="single" w:sz="8" w:color="auto"/>
            </w:tcBorders>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Notes</w:t>
            </w:r>
          </w:p>
        </w:tc>
        <w:tc>
          <w:tcPr>
            <w:tcW w:w="7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r>
      <w:tr>
        <w:trPr>
          <w:trHeight w:val="192"/>
        </w:trPr>
        <w:tc>
          <w:tcPr>
            <w:tcW w:w="8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Fees to Be</w:t>
            </w:r>
          </w:p>
        </w:tc>
        <w:tc>
          <w:tcPr>
            <w:tcW w:w="380" w:type="dxa"/>
            <w:vAlign w:val="bottom"/>
            <w:tcBorders>
              <w:right w:val="single" w:sz="8" w:color="auto"/>
            </w:tcBorders>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due</w:t>
            </w:r>
          </w:p>
        </w:tc>
        <w:tc>
          <w:tcPr>
            <w:tcW w:w="7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r>
      <w:tr>
        <w:trPr>
          <w:trHeight w:val="238"/>
        </w:trPr>
        <w:tc>
          <w:tcPr>
            <w:tcW w:w="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3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Debt</w:t>
            </w:r>
          </w:p>
        </w:tc>
        <w:tc>
          <w:tcPr>
            <w:tcW w:w="620" w:type="dxa"/>
            <w:vAlign w:val="bottom"/>
            <w:tcBorders>
              <w:bottom w:val="single" w:sz="8" w:color="CCEEFF"/>
              <w:right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2033</w:t>
            </w:r>
          </w:p>
        </w:tc>
        <w:tc>
          <w:tcPr>
            <w:tcW w:w="860" w:type="dxa"/>
            <w:vAlign w:val="bottom"/>
            <w:tcBorders>
              <w:bottom w:val="single" w:sz="8" w:color="CCEEFF"/>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Rule 457(r)</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$751,595,000.00</w:t>
            </w:r>
          </w:p>
        </w:tc>
        <w:tc>
          <w:tcPr>
            <w:tcW w:w="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99.739%</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$749,633,337.05</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0.00013810</w:t>
            </w:r>
          </w:p>
        </w:tc>
        <w:tc>
          <w:tcPr>
            <w:tcW w:w="1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$103,524.36</w:t>
            </w:r>
          </w:p>
        </w:tc>
        <w:tc>
          <w:tcPr>
            <w:tcW w:w="780" w:type="dxa"/>
            <w:vAlign w:val="bottom"/>
            <w:tcBorders>
              <w:bottom w:val="single" w:sz="8" w:color="CCEEFF"/>
              <w:right w:val="single" w:sz="8" w:color="auto"/>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84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192"/>
        </w:trPr>
        <w:tc>
          <w:tcPr>
            <w:tcW w:w="8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Fees</w:t>
            </w:r>
          </w:p>
        </w:tc>
        <w:tc>
          <w:tcPr>
            <w:tcW w:w="38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r>
      <w:tr>
        <w:trPr>
          <w:trHeight w:val="192"/>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Previously</w:t>
            </w:r>
          </w:p>
        </w:tc>
        <w:tc>
          <w:tcPr>
            <w:tcW w:w="3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09"/>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Paid</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70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4"/>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184"/>
        </w:trPr>
        <w:tc>
          <w:tcPr>
            <w:tcW w:w="820" w:type="dxa"/>
            <w:vAlign w:val="bottom"/>
            <w:tcBorders>
              <w:left w:val="single" w:sz="8" w:color="auto"/>
              <w:bottom w:val="single" w:sz="8" w:color="auto"/>
              <w:right w:val="single" w:sz="8" w:color="CCEEFF"/>
            </w:tcBorders>
            <w:shd w:val="clear" w:color="auto" w:fill="CCEEFF"/>
          </w:tcPr>
          <w:p>
            <w:pPr>
              <w:spacing w:after="0"/>
              <w:rPr>
                <w:sz w:val="16"/>
                <w:szCs w:val="16"/>
                <w:color w:val="auto"/>
              </w:rPr>
            </w:pPr>
          </w:p>
        </w:tc>
        <w:tc>
          <w:tcPr>
            <w:tcW w:w="380" w:type="dxa"/>
            <w:vAlign w:val="bottom"/>
            <w:tcBorders>
              <w:bottom w:val="single" w:sz="8" w:color="auto"/>
              <w:right w:val="single" w:sz="8" w:color="CCEEFF"/>
            </w:tcBorders>
            <w:shd w:val="clear" w:color="auto" w:fill="CCEEFF"/>
          </w:tcPr>
          <w:p>
            <w:pPr>
              <w:spacing w:after="0"/>
              <w:rPr>
                <w:sz w:val="16"/>
                <w:szCs w:val="16"/>
                <w:color w:val="auto"/>
              </w:rPr>
            </w:pPr>
          </w:p>
        </w:tc>
        <w:tc>
          <w:tcPr>
            <w:tcW w:w="620" w:type="dxa"/>
            <w:vAlign w:val="bottom"/>
            <w:tcBorders>
              <w:bottom w:val="single" w:sz="8" w:color="auto"/>
              <w:right w:val="single" w:sz="8" w:color="CCEEFF"/>
            </w:tcBorders>
            <w:shd w:val="clear" w:color="auto" w:fill="CCEEFF"/>
          </w:tcPr>
          <w:p>
            <w:pPr>
              <w:spacing w:after="0"/>
              <w:rPr>
                <w:sz w:val="16"/>
                <w:szCs w:val="16"/>
                <w:color w:val="auto"/>
              </w:rPr>
            </w:pPr>
          </w:p>
        </w:tc>
        <w:tc>
          <w:tcPr>
            <w:tcW w:w="620" w:type="dxa"/>
            <w:vAlign w:val="bottom"/>
            <w:tcBorders>
              <w:bottom w:val="single" w:sz="8" w:color="auto"/>
              <w:right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right w:val="single" w:sz="8" w:color="CCEEFF"/>
            </w:tcBorders>
            <w:shd w:val="clear" w:color="auto" w:fill="CCEEFF"/>
          </w:tcPr>
          <w:p>
            <w:pPr>
              <w:spacing w:after="0"/>
              <w:rPr>
                <w:sz w:val="16"/>
                <w:szCs w:val="16"/>
                <w:color w:val="auto"/>
              </w:rPr>
            </w:pPr>
          </w:p>
        </w:tc>
        <w:tc>
          <w:tcPr>
            <w:tcW w:w="1120" w:type="dxa"/>
            <w:vAlign w:val="bottom"/>
            <w:tcBorders>
              <w:bottom w:val="single" w:sz="8" w:color="auto"/>
              <w:right w:val="single" w:sz="8" w:color="CCEEFF"/>
            </w:tcBorders>
            <w:shd w:val="clear" w:color="auto" w:fill="CCEEFF"/>
          </w:tcPr>
          <w:p>
            <w:pPr>
              <w:spacing w:after="0"/>
              <w:rPr>
                <w:sz w:val="16"/>
                <w:szCs w:val="16"/>
                <w:color w:val="auto"/>
              </w:rPr>
            </w:pPr>
          </w:p>
        </w:tc>
        <w:tc>
          <w:tcPr>
            <w:tcW w:w="2700" w:type="dxa"/>
            <w:vAlign w:val="bottom"/>
            <w:tcBorders>
              <w:bottom w:val="single" w:sz="8" w:color="auto"/>
              <w:right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Carry Forward Securities</w:t>
            </w:r>
          </w:p>
        </w:tc>
        <w:tc>
          <w:tcPr>
            <w:tcW w:w="1040" w:type="dxa"/>
            <w:vAlign w:val="bottom"/>
            <w:tcBorders>
              <w:bottom w:val="single" w:sz="8" w:color="auto"/>
              <w:right w:val="single" w:sz="8" w:color="CCEEFF"/>
            </w:tcBorders>
            <w:shd w:val="clear" w:color="auto" w:fill="CCEEFF"/>
          </w:tcPr>
          <w:p>
            <w:pPr>
              <w:spacing w:after="0"/>
              <w:rPr>
                <w:sz w:val="16"/>
                <w:szCs w:val="16"/>
                <w:color w:val="auto"/>
              </w:rPr>
            </w:pPr>
          </w:p>
        </w:tc>
        <w:tc>
          <w:tcPr>
            <w:tcW w:w="780" w:type="dxa"/>
            <w:vAlign w:val="bottom"/>
            <w:tcBorders>
              <w:bottom w:val="single" w:sz="8" w:color="auto"/>
              <w:right w:val="single" w:sz="8" w:color="CCEEFF"/>
            </w:tcBorders>
            <w:shd w:val="clear" w:color="auto" w:fill="CCEEFF"/>
          </w:tcPr>
          <w:p>
            <w:pPr>
              <w:spacing w:after="0"/>
              <w:rPr>
                <w:sz w:val="16"/>
                <w:szCs w:val="16"/>
                <w:color w:val="auto"/>
              </w:rPr>
            </w:pPr>
          </w:p>
        </w:tc>
        <w:tc>
          <w:tcPr>
            <w:tcW w:w="780" w:type="dxa"/>
            <w:vAlign w:val="bottom"/>
            <w:tcBorders>
              <w:bottom w:val="single" w:sz="8" w:color="auto"/>
              <w:right w:val="single" w:sz="8" w:color="CCEEFF"/>
            </w:tcBorders>
            <w:shd w:val="clear" w:color="auto" w:fill="CCEEFF"/>
          </w:tcPr>
          <w:p>
            <w:pPr>
              <w:spacing w:after="0"/>
              <w:rPr>
                <w:sz w:val="16"/>
                <w:szCs w:val="16"/>
                <w:color w:val="auto"/>
              </w:rPr>
            </w:pPr>
          </w:p>
        </w:tc>
        <w:tc>
          <w:tcPr>
            <w:tcW w:w="800" w:type="dxa"/>
            <w:vAlign w:val="bottom"/>
            <w:tcBorders>
              <w:bottom w:val="single" w:sz="8" w:color="auto"/>
              <w:right w:val="single" w:sz="8" w:color="CCEEFF"/>
            </w:tcBorders>
            <w:shd w:val="clear" w:color="auto" w:fill="CCEEFF"/>
          </w:tcPr>
          <w:p>
            <w:pPr>
              <w:spacing w:after="0"/>
              <w:rPr>
                <w:sz w:val="16"/>
                <w:szCs w:val="16"/>
                <w:color w:val="auto"/>
              </w:rPr>
            </w:pPr>
          </w:p>
        </w:tc>
        <w:tc>
          <w:tcPr>
            <w:tcW w:w="84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192"/>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Carry</w:t>
            </w:r>
          </w:p>
        </w:tc>
        <w:tc>
          <w:tcPr>
            <w:tcW w:w="3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192"/>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Forward</w:t>
            </w:r>
          </w:p>
        </w:tc>
        <w:tc>
          <w:tcPr>
            <w:tcW w:w="3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09"/>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Securities</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70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r>
        <w:trPr>
          <w:trHeight w:val="24"/>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237"/>
        </w:trPr>
        <w:tc>
          <w:tcPr>
            <w:tcW w:w="82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380" w:type="dxa"/>
            <w:vAlign w:val="bottom"/>
            <w:tcBorders>
              <w:bottom w:val="single" w:sz="8" w:color="CCEEFF"/>
              <w:right w:val="single" w:sz="8" w:color="CCEEFF"/>
            </w:tcBorders>
            <w:shd w:val="clear" w:color="auto" w:fill="CCEEFF"/>
          </w:tcPr>
          <w:p>
            <w:pPr>
              <w:spacing w:after="0"/>
              <w:rPr>
                <w:sz w:val="20"/>
                <w:szCs w:val="20"/>
                <w:color w:val="auto"/>
              </w:rPr>
            </w:pPr>
          </w:p>
        </w:tc>
        <w:tc>
          <w:tcPr>
            <w:tcW w:w="620" w:type="dxa"/>
            <w:vAlign w:val="bottom"/>
            <w:tcBorders>
              <w:bottom w:val="single" w:sz="8" w:color="CCEEFF"/>
              <w:right w:val="single" w:sz="8" w:color="CCEEFF"/>
            </w:tcBorders>
            <w:shd w:val="clear" w:color="auto" w:fill="CCEEFF"/>
          </w:tcPr>
          <w:p>
            <w:pPr>
              <w:spacing w:after="0"/>
              <w:rPr>
                <w:sz w:val="20"/>
                <w:szCs w:val="20"/>
                <w:color w:val="auto"/>
              </w:rPr>
            </w:pPr>
          </w:p>
        </w:tc>
        <w:tc>
          <w:tcPr>
            <w:tcW w:w="620" w:type="dxa"/>
            <w:vAlign w:val="bottom"/>
            <w:tcBorders>
              <w:bottom w:val="single" w:sz="8" w:color="CCEEFF"/>
              <w:right w:val="single" w:sz="8" w:color="CCEEFF"/>
            </w:tcBorders>
            <w:shd w:val="clear" w:color="auto" w:fill="CCEEFF"/>
          </w:tcPr>
          <w:p>
            <w:pPr>
              <w:spacing w:after="0"/>
              <w:rPr>
                <w:sz w:val="20"/>
                <w:szCs w:val="20"/>
                <w:color w:val="auto"/>
              </w:rPr>
            </w:pPr>
          </w:p>
        </w:tc>
        <w:tc>
          <w:tcPr>
            <w:tcW w:w="1980" w:type="dxa"/>
            <w:vAlign w:val="bottom"/>
            <w:tcBorders>
              <w:bottom w:val="single" w:sz="8" w:color="CCEEFF"/>
              <w:right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760" w:type="dxa"/>
            <w:vAlign w:val="bottom"/>
            <w:tcBorders>
              <w:bottom w:val="single" w:sz="8" w:color="CCEEFF"/>
              <w:right w:val="single" w:sz="8" w:color="auto"/>
            </w:tcBorders>
            <w:shd w:val="clear" w:color="auto" w:fill="CCEEFF"/>
          </w:tcPr>
          <w:p>
            <w:pPr>
              <w:spacing w:after="0"/>
              <w:rPr>
                <w:sz w:val="20"/>
                <w:szCs w:val="20"/>
                <w:color w:val="auto"/>
              </w:rPr>
            </w:pP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$749,633,337.05</w:t>
            </w: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1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$103,524.36</w:t>
            </w:r>
          </w:p>
        </w:tc>
        <w:tc>
          <w:tcPr>
            <w:tcW w:w="780" w:type="dxa"/>
            <w:vAlign w:val="bottom"/>
            <w:tcBorders>
              <w:bottom w:val="single" w:sz="8" w:color="CCEEFF"/>
              <w:right w:val="single" w:sz="8" w:color="auto"/>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84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08"/>
        </w:trPr>
        <w:tc>
          <w:tcPr>
            <w:tcW w:w="820" w:type="dxa"/>
            <w:vAlign w:val="bottom"/>
            <w:tcBorders>
              <w:top w:val="single" w:sz="8" w:color="auto"/>
              <w:left w:val="single" w:sz="8" w:color="auto"/>
              <w:righ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980" w:type="dxa"/>
            <w:vAlign w:val="bottom"/>
            <w:tcBorders>
              <w:top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76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r>
      <w:tr>
        <w:trPr>
          <w:trHeight w:val="24"/>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r>
        <w:trPr>
          <w:trHeight w:val="237"/>
        </w:trPr>
        <w:tc>
          <w:tcPr>
            <w:tcW w:w="82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380" w:type="dxa"/>
            <w:vAlign w:val="bottom"/>
            <w:tcBorders>
              <w:bottom w:val="single" w:sz="8" w:color="CCEEFF"/>
              <w:right w:val="single" w:sz="8" w:color="CCEEFF"/>
            </w:tcBorders>
            <w:shd w:val="clear" w:color="auto" w:fill="CCEEFF"/>
          </w:tcPr>
          <w:p>
            <w:pPr>
              <w:spacing w:after="0"/>
              <w:rPr>
                <w:sz w:val="20"/>
                <w:szCs w:val="20"/>
                <w:color w:val="auto"/>
              </w:rPr>
            </w:pPr>
          </w:p>
        </w:tc>
        <w:tc>
          <w:tcPr>
            <w:tcW w:w="620" w:type="dxa"/>
            <w:vAlign w:val="bottom"/>
            <w:tcBorders>
              <w:bottom w:val="single" w:sz="8" w:color="CCEEFF"/>
              <w:right w:val="single" w:sz="8" w:color="CCEEFF"/>
            </w:tcBorders>
            <w:shd w:val="clear" w:color="auto" w:fill="CCEEFF"/>
          </w:tcPr>
          <w:p>
            <w:pPr>
              <w:spacing w:after="0"/>
              <w:rPr>
                <w:sz w:val="20"/>
                <w:szCs w:val="20"/>
                <w:color w:val="auto"/>
              </w:rPr>
            </w:pPr>
          </w:p>
        </w:tc>
        <w:tc>
          <w:tcPr>
            <w:tcW w:w="620" w:type="dxa"/>
            <w:vAlign w:val="bottom"/>
            <w:tcBorders>
              <w:bottom w:val="single" w:sz="8" w:color="CCEEFF"/>
              <w:right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7"/>
              </w:rPr>
              <w:t>Total Fee Offsets</w:t>
            </w:r>
          </w:p>
        </w:tc>
        <w:tc>
          <w:tcPr>
            <w:tcW w:w="760" w:type="dxa"/>
            <w:vAlign w:val="bottom"/>
            <w:tcBorders>
              <w:bottom w:val="single" w:sz="8" w:color="CCEEFF"/>
              <w:right w:val="single" w:sz="8" w:color="auto"/>
            </w:tcBorders>
            <w:shd w:val="clear" w:color="auto" w:fill="CCEEFF"/>
          </w:tcPr>
          <w:p>
            <w:pPr>
              <w:spacing w:after="0"/>
              <w:rPr>
                <w:sz w:val="20"/>
                <w:szCs w:val="20"/>
                <w:color w:val="auto"/>
              </w:rPr>
            </w:pPr>
          </w:p>
        </w:tc>
        <w:tc>
          <w:tcPr>
            <w:tcW w:w="1120" w:type="dxa"/>
            <w:vAlign w:val="bottom"/>
            <w:tcBorders>
              <w:bottom w:val="single" w:sz="8" w:color="CCEEFF"/>
              <w:right w:val="single" w:sz="8" w:color="auto"/>
            </w:tcBorders>
            <w:shd w:val="clear" w:color="auto" w:fill="CCEEFF"/>
          </w:tcPr>
          <w:p>
            <w:pPr>
              <w:spacing w:after="0"/>
              <w:rPr>
                <w:sz w:val="20"/>
                <w:szCs w:val="20"/>
                <w:color w:val="auto"/>
              </w:rPr>
            </w:pPr>
          </w:p>
        </w:tc>
        <w:tc>
          <w:tcPr>
            <w:tcW w:w="820" w:type="dxa"/>
            <w:vAlign w:val="bottom"/>
            <w:tcBorders>
              <w:bottom w:val="single" w:sz="8" w:color="CCEEFF"/>
              <w:right w:val="single" w:sz="8" w:color="auto"/>
            </w:tcBorders>
            <w:shd w:val="clear" w:color="auto" w:fill="CCEEFF"/>
          </w:tcPr>
          <w:p>
            <w:pPr>
              <w:spacing w:after="0"/>
              <w:rPr>
                <w:sz w:val="20"/>
                <w:szCs w:val="20"/>
                <w:color w:val="auto"/>
              </w:rPr>
            </w:pPr>
          </w:p>
        </w:tc>
        <w:tc>
          <w:tcPr>
            <w:tcW w:w="10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80" w:type="dxa"/>
            <w:vAlign w:val="bottom"/>
            <w:tcBorders>
              <w:bottom w:val="single" w:sz="8" w:color="CCEEFF"/>
              <w:right w:val="single" w:sz="8" w:color="auto"/>
            </w:tcBorders>
            <w:shd w:val="clear" w:color="auto" w:fill="CCEEFF"/>
          </w:tcPr>
          <w:p>
            <w:pPr>
              <w:spacing w:after="0"/>
              <w:rPr>
                <w:sz w:val="20"/>
                <w:szCs w:val="20"/>
                <w:color w:val="auto"/>
              </w:rPr>
            </w:pPr>
          </w:p>
        </w:tc>
        <w:tc>
          <w:tcPr>
            <w:tcW w:w="780" w:type="dxa"/>
            <w:vAlign w:val="bottom"/>
            <w:tcBorders>
              <w:bottom w:val="single" w:sz="8" w:color="CCEEFF"/>
              <w:right w:val="single" w:sz="8" w:color="auto"/>
            </w:tcBorders>
            <w:shd w:val="clear" w:color="auto" w:fill="CCEEFF"/>
          </w:tcPr>
          <w:p>
            <w:pPr>
              <w:spacing w:after="0"/>
              <w:rPr>
                <w:sz w:val="20"/>
                <w:szCs w:val="20"/>
                <w:color w:val="auto"/>
              </w:rPr>
            </w:pPr>
          </w:p>
        </w:tc>
        <w:tc>
          <w:tcPr>
            <w:tcW w:w="800" w:type="dxa"/>
            <w:vAlign w:val="bottom"/>
            <w:tcBorders>
              <w:bottom w:val="single" w:sz="8" w:color="CCEEFF"/>
              <w:right w:val="single" w:sz="8" w:color="auto"/>
            </w:tcBorders>
            <w:shd w:val="clear" w:color="auto" w:fill="CCEEFF"/>
          </w:tcPr>
          <w:p>
            <w:pPr>
              <w:spacing w:after="0"/>
              <w:rPr>
                <w:sz w:val="20"/>
                <w:szCs w:val="20"/>
                <w:color w:val="auto"/>
              </w:rPr>
            </w:pPr>
          </w:p>
        </w:tc>
        <w:tc>
          <w:tcPr>
            <w:tcW w:w="84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08"/>
        </w:trPr>
        <w:tc>
          <w:tcPr>
            <w:tcW w:w="820" w:type="dxa"/>
            <w:vAlign w:val="bottom"/>
            <w:tcBorders>
              <w:top w:val="single" w:sz="8" w:color="auto"/>
              <w:left w:val="single" w:sz="8" w:color="auto"/>
              <w:righ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76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$103,524.36</w:t>
            </w:r>
          </w:p>
        </w:tc>
        <w:tc>
          <w:tcPr>
            <w:tcW w:w="78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r>
      <w:tr>
        <w:trPr>
          <w:trHeight w:val="24"/>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bl>
    <w:p>
      <w:pPr>
        <w:spacing w:after="0" w:line="8" w:lineRule="exact"/>
        <w:rPr>
          <w:sz w:val="20"/>
          <w:szCs w:val="20"/>
          <w:color w:val="auto"/>
        </w:rPr>
      </w:pPr>
    </w:p>
    <w:p>
      <w:pPr>
        <w:ind w:left="204" w:right="320" w:hanging="204"/>
        <w:spacing w:after="0" w:line="282" w:lineRule="auto"/>
        <w:tabs>
          <w:tab w:leader="none" w:pos="20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dollar equivalent of the amount registered has been calculated using the Euro/U.S. dollar exchange rate of €1/U.S. $1.1563 as reported by Bloomberg L.P. as of 9:00 a.m., London time, on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714756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sectPr>
      <w:pgSz w:w="11900" w:h="16838" w:orient="portrait"/>
      <w:cols w:equalWidth="0" w:num="1">
        <w:col w:w="11344"/>
      </w:cols>
      <w:pgMar w:left="316" w:top="2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lowerRoman"/>
      <w:start w:val="4"/>
    </w:lvl>
  </w:abstractNum>
  <w:abstractNum w:abstractNumId="1">
    <w:nsid w:val="57E4CCAF"/>
    <w:multiLevelType w:val="hybridMultilevel"/>
    <w:lvl w:ilvl="0">
      <w:lvlJc w:val="left"/>
      <w:lvlText w:val="(%1)"/>
      <w:numFmt w:val="decimal"/>
      <w:start w:val="8"/>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1)"/>
      <w:numFmt w:val="lowerRoman"/>
      <w:start w:val="2"/>
    </w:lvl>
  </w:abstractNum>
  <w:abstractNum w:abstractNumId="10">
    <w:nsid w:val="579478FE"/>
    <w:multiLevelType w:val="hybridMultilevel"/>
    <w:lvl w:ilvl="0">
      <w:lvlJc w:val="left"/>
      <w:lvlText w:val="(%1)"/>
      <w:numFmt w:val="lowerRoman"/>
      <w:start w:val="2"/>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3"/>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lvl w:ilvl="1">
      <w:lvlJc w:val="left"/>
      <w:lvlText w:val="(%2)"/>
      <w:numFmt w:val="lowerLetter"/>
      <w:start w:val="1"/>
    </w:lvl>
  </w:abstractNum>
  <w:abstractNum w:abstractNumId="21">
    <w:nsid w:val="23F9C13C"/>
    <w:multiLevelType w:val="hybridMultilevel"/>
    <w:lvl w:ilvl="0">
      <w:lvlJc w:val="left"/>
      <w:lvlText w:val="(%1)"/>
      <w:numFmt w:val="decimal"/>
      <w:start w:val="2"/>
    </w:lvl>
    <w:lvl w:ilvl="1">
      <w:lvlJc w:val="left"/>
      <w:lvlText w:val="%2"/>
      <w:numFmt w:val="lowerLetter"/>
      <w:start w:val="1"/>
    </w:lvl>
  </w:abstractNum>
  <w:abstractNum w:abstractNumId="22">
    <w:nsid w:val="649BB77C"/>
    <w:multiLevelType w:val="hybridMultilevel"/>
    <w:lvl w:ilvl="0">
      <w:lvlJc w:val="left"/>
      <w:lvlText w:val="(%1)"/>
      <w:numFmt w:val="decimal"/>
      <w:start w:val="10"/>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1)"/>
      <w:numFmt w:val="decimal"/>
      <w:start w:val="1"/>
    </w:lvl>
    <w:lvl w:ilvl="1">
      <w:lvlJc w:val="left"/>
      <w:lvlText w:val="(%2)"/>
      <w:numFmt w:val="upperLetter"/>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3"/>
    </w:lvl>
  </w:abstractNum>
  <w:abstractNum w:abstractNumId="28">
    <w:nsid w:val="47398C89"/>
    <w:multiLevelType w:val="hybridMultilevel"/>
    <w:lvl w:ilvl="0">
      <w:lvlJc w:val="left"/>
      <w:lvlText w:val="(%1)"/>
      <w:numFmt w:val="lowerLetter"/>
      <w:start w:val="25"/>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lowerRoman"/>
      <w:start w:val="2"/>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decimal"/>
      <w:start w:val="1"/>
    </w:lvl>
    <w:lvl w:ilvl="1">
      <w:lvlJc w:val="left"/>
      <w:lvlText w:val="(%2)"/>
      <w:numFmt w:val="upperLetter"/>
      <w:start w:val="1"/>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7"/>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decimal"/>
      <w:start w:val="6"/>
    </w:lvl>
  </w:abstractNum>
  <w:abstractNum w:abstractNumId="39">
    <w:nsid w:val="310C50B3"/>
    <w:multiLevelType w:val="hybridMultilevel"/>
    <w:lvl w:ilvl="0">
      <w:lvlJc w:val="left"/>
      <w:lvlText w:val="(%1)"/>
      <w:numFmt w:val="decimal"/>
      <w:start w:val="21"/>
    </w:lvl>
    <w:lvl w:ilvl="1">
      <w:lvlJc w:val="left"/>
      <w:lvlText w:val="(%2)"/>
      <w:numFmt w:val="upperLetter"/>
      <w:start w:val="1"/>
    </w:lvl>
  </w:abstractNum>
  <w:abstractNum w:abstractNumId="40">
    <w:nsid w:val="5FF87E05"/>
    <w:multiLevelType w:val="hybridMultilevel"/>
    <w:lvl w:ilvl="0">
      <w:lvlJc w:val="left"/>
      <w:lvlText w:val="(%1)"/>
      <w:numFmt w:val="decimal"/>
      <w:start w:val="36"/>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1"/>
    </w:lvl>
    <w:lvl w:ilvl="1">
      <w:lvlJc w:val="left"/>
      <w:lvlText w:val="(%2)"/>
      <w:numFmt w:val="upperLetter"/>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lowerLetter"/>
      <w:start w:val="2"/>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lowerRoman"/>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lowerRoman"/>
      <w:start w:val="2"/>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1)"/>
      <w:numFmt w:val="decimal"/>
      <w:start w:val="724"/>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1)"/>
      <w:numFmt w:val="lowerRoman"/>
      <w:start w:val="3"/>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1)"/>
      <w:numFmt w:val="decimal"/>
      <w:start w:val="1"/>
    </w:lvl>
  </w:abstractNum>
  <w:abstractNum w:abstractNumId="68">
    <w:nsid w:val="8F2B15E"/>
    <w:multiLevelType w:val="hybridMultilevel"/>
    <w:lvl w:ilvl="0">
      <w:lvlJc w:val="left"/>
      <w:lvlText w:val="(%1)"/>
      <w:numFmt w:val="decimal"/>
      <w:start w:val="8"/>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1)"/>
      <w:numFmt w:val="lowerRoman"/>
      <w:start w:val="1"/>
    </w:lvl>
  </w:abstractNum>
  <w:abstractNum w:abstractNumId="87">
    <w:nsid w:val="1716703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jpe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jpe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5" Type="http://schemas.openxmlformats.org/officeDocument/2006/relationships/hyperlink" Target="https://www.sec.gov/ix?doc=/Archives/edgar/data/1792044/000179204426000013/vtrs-20251231.htm" TargetMode="External"/><Relationship Id="rId16" Type="http://schemas.openxmlformats.org/officeDocument/2006/relationships/hyperlink" Target="https://www.sec.gov/ix?doc=/Archives/edgar/data/0001792044/000179204426000029/vtrs-20260331.htm" TargetMode="External"/><Relationship Id="rId17" Type="http://schemas.openxmlformats.org/officeDocument/2006/relationships/hyperlink" Target="https://www.sec.gov/ix?doc=/Archives/edgar/data/0001792044/000114036126013002/ny20062029x771_def14a.htm" TargetMode="External"/><Relationship Id="rId18" Type="http://schemas.openxmlformats.org/officeDocument/2006/relationships/hyperlink" Target="https://www.sec.gov/ix?doc=/Archives/edgar/data/0001792044/000114036126003477/ef20064574_8k.htm" TargetMode="External"/><Relationship Id="rId19" Type="http://schemas.openxmlformats.org/officeDocument/2006/relationships/hyperlink" Target="https://www.sec.gov/ix?doc=/Archives/edgar/data/0001792044/000179204426000010/vtrs-20260223.htm" TargetMode="External"/><Relationship Id="rId20" Type="http://schemas.openxmlformats.org/officeDocument/2006/relationships/hyperlink" Target="https://www.sec.gov/ix?doc=/Archives/edgar/data/0001792044/000179204426000025/vtrs-20260507.htm" TargetMode="External"/><Relationship Id="rId21" Type="http://schemas.openxmlformats.org/officeDocument/2006/relationships/hyperlink" Target="https://www.sec.gov/ix?doc=/Archives/edgar/data/0001792044/000114036126021672/ef20073751_8k.htm" TargetMode="External"/><Relationship Id="rId90" Type="http://schemas.openxmlformats.org/officeDocument/2006/relationships/hyperlink" Target="https://www.sec.gov/ix?doc=/Archives/edgar/data/1792044/000179204425000008/vtrs-20241231.htm" TargetMode="External"/><Relationship Id="rId91" Type="http://schemas.openxmlformats.org/officeDocument/2006/relationships/hyperlink" Target="https://www.sec.gov/ix?doc=/Archives/edgar/data/1792044/000114036125016679/ny20042022x3_10ka.htm" TargetMode="External"/><Relationship Id="rId92" Type="http://schemas.openxmlformats.org/officeDocument/2006/relationships/hyperlink" Target="https://www.sec.gov/ix?doc=/Archives/edgar/data/1792044/000179204425000018/vtrs-20250331.htm" TargetMode="External"/><Relationship Id="rId93" Type="http://schemas.openxmlformats.org/officeDocument/2006/relationships/hyperlink" Target="https://www.sec.gov/ix?doc=/Archives/edgar/data/1792044/000179204425000004/vtrs-20250227.htm" TargetMode="External"/><Relationship Id="rId94" Type="http://schemas.openxmlformats.org/officeDocument/2006/relationships/hyperlink" Target="https://www.sec.gov/ix?doc=/Archives/edgar/data/1792044/000114036125017356/ef20048420_8k.htm" TargetMode="External"/><Relationship Id="rId95" Type="http://schemas.openxmlformats.org/officeDocument/2006/relationships/hyperlink" Target="https://www.sec.gov/ix?doc=/Archives/edgar/data/1792044/000179204425000016/vtrs-20250508.htm" TargetMode="External"/><Relationship Id="rId96" Type="http://schemas.openxmlformats.org/officeDocument/2006/relationships/hyperlink" Target="https://www.sec.gov/Archives/edgar/data/1792044/000179204424000008/ex_49xvtrsx20231231x10-k.htm" TargetMode="External"/><Relationship Id="rId97" Type="http://schemas.openxmlformats.org/officeDocument/2006/relationships/hyperlink" Target="https://www.sec.gov/ix?doc=/Archives/edgar/data/1792044/000179204424000008/vtrs-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2026-06-15T15:13:54Z</dcterms:created>
  <dcterms:modified xsi:type="dcterms:W3CDTF">2026-06-15T15:13:54Z</dcterms:modified>
</cp:coreProperties>
</file>