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512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1200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Taddese Menassie</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12/21/2021</w:t>
      </w:r>
    </w:p>
    <w:p>
      <w:pPr>
        <w:spacing w:after="0" w:line="20" w:lineRule="exact"/>
        <w:rPr>
          <w:sz w:val="24"/>
          <w:szCs w:val="24"/>
          <w:color w:val="auto"/>
        </w:rPr>
      </w:pPr>
      <w:r>
        <w:rPr>
          <w:sz w:val="24"/>
          <w:szCs w:val="24"/>
          <w:color w:val="auto"/>
        </w:rPr>
        <w:br w:type="column"/>
      </w:r>
    </w:p>
    <w:p>
      <w:pPr>
        <w:ind w:left="-2" w:right="700" w:firstLine="2"/>
        <w:spacing w:after="0" w:line="23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0"/>
        </w:trPr>
        <w:tc>
          <w:tcPr>
            <w:tcW w:w="220" w:type="dxa"/>
            <w:vAlign w:val="bottom"/>
          </w:tcPr>
          <w:p>
            <w:pPr>
              <w:spacing w:after="0"/>
              <w:rPr>
                <w:sz w:val="13"/>
                <w:szCs w:val="13"/>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6"/>
          <w:szCs w:val="16"/>
          <w:color w:val="0000FF"/>
        </w:rPr>
        <w:t>See Remarks</w:t>
      </w:r>
    </w:p>
    <w:p>
      <w:pPr>
        <w:spacing w:after="0" w:line="303" w:lineRule="exact"/>
        <w:rPr>
          <w:sz w:val="24"/>
          <w:szCs w:val="24"/>
          <w:color w:val="auto"/>
        </w:rPr>
      </w:pPr>
    </w:p>
    <w:p>
      <w:pPr>
        <w:sectPr>
          <w:pgSz w:w="11900" w:h="16838" w:orient="portrait"/>
          <w:cols w:equalWidth="0" w:num="3">
            <w:col w:w="3180" w:space="720"/>
            <w:col w:w="3102" w:space="720"/>
            <w:col w:w="3358"/>
          </w:cols>
          <w:pgMar w:left="460" w:top="219"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CANONSBURG PA</w:t>
            </w:r>
          </w:p>
        </w:tc>
        <w:tc>
          <w:tcPr>
            <w:tcW w:w="1600" w:type="dxa"/>
            <w:vAlign w:val="bottom"/>
          </w:tcPr>
          <w:p>
            <w:pPr>
              <w:ind w:left="420"/>
              <w:spacing w:after="0"/>
              <w:rPr>
                <w:sz w:val="20"/>
                <w:szCs w:val="20"/>
                <w:color w:val="auto"/>
              </w:rPr>
            </w:pPr>
            <w:r>
              <w:rPr>
                <w:rFonts w:ascii="Arial" w:cs="Arial" w:eastAsia="Arial" w:hAnsi="Arial"/>
                <w:sz w:val="16"/>
                <w:szCs w:val="16"/>
                <w:color w:val="0000FF"/>
              </w:rPr>
              <w:t>15317</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7"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40" w:type="dxa"/>
            <w:vAlign w:val="bottom"/>
          </w:tcPr>
          <w:p>
            <w:pPr>
              <w:ind w:left="86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57.9185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12/21/2021</w:t>
            </w:r>
          </w:p>
        </w:tc>
        <w:tc>
          <w:tcPr>
            <w:tcW w:w="1060" w:type="dxa"/>
            <w:vAlign w:val="bottom"/>
          </w:tcPr>
          <w:p>
            <w:pPr>
              <w:spacing w:after="0"/>
              <w:rPr>
                <w:sz w:val="5"/>
                <w:szCs w:val="5"/>
                <w:color w:val="auto"/>
              </w:rPr>
            </w:pPr>
          </w:p>
        </w:tc>
        <w:tc>
          <w:tcPr>
            <w:tcW w:w="78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57.9185</w:t>
            </w: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ind w:left="220"/>
              <w:spacing w:after="0" w:line="139" w:lineRule="exact"/>
              <w:rPr>
                <w:sz w:val="20"/>
                <w:szCs w:val="20"/>
                <w:color w:val="auto"/>
              </w:rPr>
            </w:pPr>
            <w:r>
              <w:rPr>
                <w:rFonts w:ascii="Arial" w:cs="Arial" w:eastAsia="Arial" w:hAnsi="Arial"/>
                <w:sz w:val="13"/>
                <w:szCs w:val="13"/>
                <w:color w:val="0000FF"/>
              </w:rPr>
              <w:t>161.3622</w:t>
            </w:r>
          </w:p>
        </w:tc>
        <w:tc>
          <w:tcPr>
            <w:tcW w:w="700" w:type="dxa"/>
            <w:vAlign w:val="bottom"/>
            <w:vMerge w:val="restart"/>
          </w:tcPr>
          <w:p>
            <w:pPr>
              <w:ind w:left="30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128.6439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color w:val="0000FF"/>
                <w:w w:val="89"/>
              </w:rPr>
              <w:t>12/21/2021</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2" w:lineRule="exact"/>
              <w:rPr>
                <w:sz w:val="20"/>
                <w:szCs w:val="20"/>
                <w:color w:val="auto"/>
              </w:rPr>
            </w:pPr>
            <w:r>
              <w:rPr>
                <w:rFonts w:ascii="Arial" w:cs="Arial" w:eastAsia="Arial" w:hAnsi="Arial"/>
                <w:sz w:val="13"/>
                <w:szCs w:val="13"/>
                <w:color w:val="0000FF"/>
                <w:w w:val="84"/>
              </w:rPr>
              <w:t>128.6439</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20"/>
              <w:spacing w:after="0" w:line="122" w:lineRule="exact"/>
              <w:rPr>
                <w:sz w:val="20"/>
                <w:szCs w:val="20"/>
                <w:color w:val="auto"/>
              </w:rPr>
            </w:pPr>
            <w:r>
              <w:rPr>
                <w:rFonts w:ascii="Arial" w:cs="Arial" w:eastAsia="Arial" w:hAnsi="Arial"/>
                <w:sz w:val="13"/>
                <w:szCs w:val="13"/>
                <w:color w:val="0000FF"/>
              </w:rPr>
              <w:t>358.4049</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255.7609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color w:val="0000FF"/>
                <w:w w:val="89"/>
              </w:rPr>
              <w:t>12/21/2021</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2" w:lineRule="exact"/>
              <w:rPr>
                <w:sz w:val="20"/>
                <w:szCs w:val="20"/>
                <w:color w:val="auto"/>
              </w:rPr>
            </w:pPr>
            <w:r>
              <w:rPr>
                <w:rFonts w:ascii="Arial" w:cs="Arial" w:eastAsia="Arial" w:hAnsi="Arial"/>
                <w:sz w:val="13"/>
                <w:szCs w:val="13"/>
                <w:color w:val="0000FF"/>
                <w:w w:val="84"/>
              </w:rPr>
              <w:t>255.7609</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20"/>
              <w:spacing w:after="0" w:line="122" w:lineRule="exact"/>
              <w:rPr>
                <w:sz w:val="20"/>
                <w:szCs w:val="20"/>
                <w:color w:val="auto"/>
              </w:rPr>
            </w:pPr>
            <w:r>
              <w:rPr>
                <w:rFonts w:ascii="Arial" w:cs="Arial" w:eastAsia="Arial" w:hAnsi="Arial"/>
                <w:sz w:val="13"/>
                <w:szCs w:val="13"/>
                <w:color w:val="0000FF"/>
              </w:rPr>
              <w:t>712.5559</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183.6888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Arial" w:cs="Arial" w:eastAsia="Arial" w:hAnsi="Arial"/>
                <w:sz w:val="13"/>
                <w:szCs w:val="13"/>
                <w:color w:val="0000FF"/>
                <w:w w:val="89"/>
              </w:rPr>
              <w:t>12/21/2021</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jc w:val="center"/>
              <w:spacing w:after="0" w:line="122" w:lineRule="exact"/>
              <w:rPr>
                <w:sz w:val="20"/>
                <w:szCs w:val="20"/>
                <w:color w:val="auto"/>
              </w:rPr>
            </w:pPr>
            <w:r>
              <w:rPr>
                <w:rFonts w:ascii="Arial" w:cs="Arial" w:eastAsia="Arial" w:hAnsi="Arial"/>
                <w:sz w:val="13"/>
                <w:szCs w:val="13"/>
                <w:color w:val="0000FF"/>
                <w:w w:val="84"/>
              </w:rPr>
              <w:t>183.6888</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20"/>
              <w:spacing w:after="0" w:line="122" w:lineRule="exact"/>
              <w:rPr>
                <w:sz w:val="20"/>
                <w:szCs w:val="20"/>
                <w:color w:val="auto"/>
              </w:rPr>
            </w:pPr>
            <w:r>
              <w:rPr>
                <w:rFonts w:ascii="Arial" w:cs="Arial" w:eastAsia="Arial" w:hAnsi="Arial"/>
                <w:sz w:val="13"/>
                <w:szCs w:val="13"/>
                <w:color w:val="0000FF"/>
              </w:rPr>
              <w:t>511.7613</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420" w:hanging="2"/>
        <w:spacing w:after="0" w:line="237"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dividend equivalent units ("DEUs") that accrued with respect to the 6,752 restricted stock units ("RSUs") previously granted on November 16, 2020 and vest on the same schedule as the underlying RSUs.</w:t>
      </w:r>
    </w:p>
    <w:p>
      <w:pPr>
        <w:spacing w:after="0" w:line="31"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the 14,997 RSUs previously granted on November 16, 2020 and vest on the same schedule as the underlying RSUs.</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RSUs previously granted on November 23, 2020 and vest on the same schedule as the underlying RSUs.</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RSUs previously granted on March 2, 2021 and vest on the same schedule as the underlying RSUs.</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Emerging Markets</w:t>
      </w:r>
    </w:p>
    <w:p>
      <w:pPr>
        <w:ind w:left="6600"/>
        <w:spacing w:after="0" w:line="182"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2"/>
          <w:szCs w:val="32"/>
          <w:color w:val="0000FF"/>
          <w:vertAlign w:val="subscript"/>
        </w:rPr>
        <w:t>12/23/2021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880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2021-12-23T17:03:08Z</dcterms:created>
  <dcterms:modified xsi:type="dcterms:W3CDTF">2021-12-23T17:03:08Z</dcterms:modified>
</cp:coreProperties>
</file>