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lineRule="atLeast" w:line="141" w:before="0" w:after="0"/>
        <w:ind w:left="0" w:right="0" w:hanging="0"/>
        <w:jc w:val="left"/>
        <w:rPr>
          <w:highlight w:val="white"/>
          <w:bdr w:val="single" w:sz="2" w:space="1" w:color="000000"/>
        </w:rPr>
      </w:pPr>
      <w:bookmarkStart w:id="0" w:name="d487324d10ka.htm"/>
      <w:bookmarkStart w:id="1" w:name="ksd487324d10ka"/>
      <w:bookmarkEnd w:id="0"/>
      <w:bookmarkEnd w:id="1"/>
      <w:r>
        <w:rPr>
          <w:highlight w:val="white"/>
          <w:bdr w:val="single" w:sz="2" w:space="1" w:color="000000"/>
        </w:rPr>
        <w:t> </w:t>
      </w:r>
    </w:p>
    <w:p>
      <w:pPr>
        <w:pStyle w:val="TextBody"/>
        <w:spacing w:lineRule="atLeast" w:line="141" w:before="0" w:after="0"/>
        <w:ind w:left="0" w:right="0" w:hanging="0"/>
        <w:jc w:val="left"/>
        <w:rPr>
          <w:highlight w:val="white"/>
          <w:bdr w:val="single" w:sz="2" w:space="1" w:color="000000"/>
        </w:rPr>
      </w:pPr>
      <w:r>
        <w:rPr>
          <w:highlight w:val="white"/>
          <w:bdr w:val="single" w:sz="2" w:space="1" w:color="000000"/>
        </w:rPr>
        <w:t> </w:t>
      </w:r>
    </w:p>
    <w:p>
      <w:pPr>
        <w:pStyle w:val="TextBody"/>
        <w:spacing w:before="80" w:after="0"/>
        <w:ind w:left="0" w:right="0" w:hanging="0"/>
        <w:jc w:val="center"/>
        <w:rPr>
          <w:rFonts w:ascii="arial" w:hAnsi="arial"/>
          <w:b/>
          <w:sz w:val="28"/>
          <w:highlight w:val="white"/>
        </w:rPr>
      </w:pPr>
      <w:r>
        <w:rPr>
          <w:rFonts w:ascii="arial" w:hAnsi="arial"/>
          <w:b/>
          <w:sz w:val="28"/>
          <w:highlight w:val="white"/>
        </w:rPr>
        <w:t>UN</w:t>
      </w:r>
    </w:p>
    <w:p>
      <w:pPr>
        <w:pStyle w:val="TextBody"/>
        <w:spacing w:before="80" w:after="0"/>
        <w:jc w:val="center"/>
        <w:rPr>
          <w:rFonts w:ascii="arial" w:hAnsi="arial"/>
          <w:b/>
          <w:sz w:val="28"/>
          <w:highlight w:val="white"/>
        </w:rPr>
      </w:pPr>
      <w:r>
        <w:rPr>
          <w:rFonts w:ascii="arial" w:hAnsi="arial"/>
          <w:b/>
          <w:sz w:val="28"/>
          <w:highlight w:val="white"/>
        </w:rPr>
        <w:t>I</w:t>
      </w:r>
    </w:p>
    <w:p>
      <w:pPr>
        <w:pStyle w:val="TextBody"/>
        <w:spacing w:before="80" w:after="0"/>
        <w:jc w:val="center"/>
        <w:rPr>
          <w:rFonts w:ascii="arial" w:hAnsi="arial"/>
          <w:b/>
          <w:sz w:val="28"/>
          <w:highlight w:val="white"/>
        </w:rPr>
      </w:pPr>
      <w:r>
        <w:rPr>
          <w:rFonts w:ascii="arial" w:hAnsi="arial"/>
          <w:b/>
          <w:sz w:val="28"/>
          <w:highlight w:val="white"/>
        </w:rPr>
        <w:t xml:space="preserve">TED STATES </w:t>
      </w:r>
    </w:p>
    <w:p>
      <w:pPr>
        <w:pStyle w:val="TextBody"/>
        <w:spacing w:before="0" w:after="0"/>
        <w:ind w:left="0" w:right="0" w:hanging="0"/>
        <w:jc w:val="center"/>
        <w:rPr>
          <w:rFonts w:ascii="arial" w:hAnsi="arial"/>
          <w:b/>
          <w:sz w:val="28"/>
          <w:highlight w:val="white"/>
        </w:rPr>
      </w:pPr>
      <w:r>
        <w:rPr>
          <w:rFonts w:ascii="arial" w:hAnsi="arial"/>
          <w:b/>
          <w:sz w:val="28"/>
          <w:highlight w:val="white"/>
        </w:rPr>
        <w:t xml:space="preserve">SECURITIES AND EXCHANGE COMMISSION </w:t>
      </w:r>
    </w:p>
    <w:p>
      <w:pPr>
        <w:pStyle w:val="TextBody"/>
        <w:spacing w:before="0" w:after="0"/>
        <w:ind w:left="0" w:right="0" w:hanging="0"/>
        <w:jc w:val="center"/>
        <w:rPr>
          <w:rFonts w:ascii="arial" w:hAnsi="arial"/>
          <w:b/>
          <w:sz w:val="28"/>
          <w:highlight w:val="white"/>
        </w:rPr>
      </w:pPr>
      <w:r>
        <w:rPr>
          <w:rFonts w:ascii="arial" w:hAnsi="arial"/>
          <w:b/>
          <w:sz w:val="28"/>
          <w:highlight w:val="white"/>
        </w:rPr>
        <w:t xml:space="preserve">Washington, D.C. 20549 </w:t>
      </w:r>
    </w:p>
    <w:p>
      <w:pPr>
        <w:pStyle w:val="TextBody"/>
        <w:spacing w:before="20" w:after="0"/>
        <w:ind w:left="0" w:right="0" w:hanging="0"/>
        <w:jc w:val="center"/>
        <w:rPr>
          <w:rFonts w:ascii="arial" w:hAnsi="arial"/>
          <w:b/>
          <w:spacing w:val="0"/>
          <w:sz w:val="36"/>
          <w:highlight w:val="white"/>
        </w:rPr>
      </w:pPr>
      <w:r>
        <w:rPr>
          <w:rFonts w:ascii="arial" w:hAnsi="arial"/>
          <w:b/>
          <w:spacing w:val="0"/>
          <w:sz w:val="36"/>
          <w:highlight w:val="white"/>
        </w:rPr>
        <w:t>FORM 10-K/A</w:t>
      </w:r>
    </w:p>
    <w:p>
      <w:pPr>
        <w:pStyle w:val="TextBody"/>
        <w:spacing w:before="0" w:after="0"/>
        <w:ind w:left="0" w:right="0" w:hanging="0"/>
        <w:jc w:val="center"/>
        <w:rPr>
          <w:rFonts w:ascii="arial" w:hAnsi="arial"/>
          <w:b/>
          <w:sz w:val="24"/>
          <w:highlight w:val="white"/>
        </w:rPr>
      </w:pPr>
      <w:r>
        <w:rPr>
          <w:rFonts w:ascii="arial" w:hAnsi="arial"/>
          <w:b/>
          <w:sz w:val="24"/>
          <w:highlight w:val="white"/>
        </w:rPr>
        <w:t xml:space="preserve">(Amendment No. 1) </w:t>
      </w:r>
    </w:p>
    <w:p>
      <w:pPr>
        <w:pStyle w:val="TextBody"/>
        <w:spacing w:before="0" w:after="0"/>
        <w:ind w:left="0" w:right="0" w:hanging="0"/>
        <w:jc w:val="left"/>
        <w:rPr>
          <w:highlight w:val="white"/>
        </w:rPr>
      </w:pPr>
      <w:r>
        <w:rPr>
          <w:highlight w:val="white"/>
        </w:rPr>
        <w:t> </w:t>
      </w:r>
    </w:p>
    <w:tbl>
      <w:tblPr>
        <w:tblW w:w="9265" w:type="dxa"/>
        <w:jc w:val="left"/>
        <w:tblInd w:w="0" w:type="dxa"/>
        <w:tblCellMar>
          <w:top w:w="0" w:type="dxa"/>
          <w:left w:w="0" w:type="dxa"/>
          <w:bottom w:w="0" w:type="dxa"/>
          <w:right w:w="0" w:type="dxa"/>
        </w:tblCellMar>
      </w:tblPr>
      <w:tblGrid>
        <w:gridCol w:w="245"/>
        <w:gridCol w:w="9020"/>
      </w:tblGrid>
      <w:tr>
        <w:trPr/>
        <w:tc>
          <w:tcPr>
            <w:tcW w:w="245" w:type="dxa"/>
            <w:tcBorders/>
            <w:shd w:fill="auto" w:val="clear"/>
            <w:vAlign w:val="center"/>
          </w:tcPr>
          <w:p>
            <w:pPr>
              <w:pStyle w:val="TableContents"/>
              <w:spacing w:before="0" w:after="0"/>
              <w:jc w:val="left"/>
              <w:rPr>
                <w:spacing w:val="0"/>
              </w:rPr>
            </w:pPr>
            <w:r>
              <w:rPr>
                <w:spacing w:val="0"/>
              </w:rPr>
              <w:t>☑</w:t>
            </w:r>
          </w:p>
        </w:tc>
        <w:tc>
          <w:tcPr>
            <w:tcW w:w="9020" w:type="dxa"/>
            <w:tcBorders/>
            <w:shd w:fill="auto" w:val="clear"/>
            <w:vAlign w:val="center"/>
          </w:tcPr>
          <w:p>
            <w:pPr>
              <w:pStyle w:val="TableContents"/>
              <w:spacing w:before="0" w:after="0"/>
              <w:jc w:val="both"/>
              <w:rPr>
                <w:rFonts w:ascii="arial" w:hAnsi="arial"/>
                <w:b/>
                <w:sz w:val="22"/>
              </w:rPr>
            </w:pPr>
            <w:r>
              <w:rPr>
                <w:rFonts w:ascii="arial" w:hAnsi="arial"/>
                <w:b/>
                <w:sz w:val="22"/>
              </w:rPr>
              <w:t xml:space="preserve">Annual Report pursuant to Section 13 or 15(d) of the Securities Exchange Act of 1934 </w:t>
            </w:r>
          </w:p>
        </w:tc>
      </w:tr>
    </w:tbl>
    <w:p>
      <w:pPr>
        <w:pStyle w:val="TextBody"/>
        <w:spacing w:before="0" w:after="0"/>
        <w:jc w:val="both"/>
        <w:rPr>
          <w:rFonts w:ascii="arial" w:hAnsi="arial"/>
          <w:b/>
          <w:sz w:val="22"/>
          <w:highlight w:val="white"/>
        </w:rPr>
      </w:pPr>
      <w:r>
        <w:rPr>
          <w:rFonts w:ascii="arial" w:hAnsi="arial"/>
          <w:b/>
          <w:sz w:val="22"/>
          <w:highlight w:val="white"/>
        </w:rPr>
        <w:t xml:space="preserve">For the Fiscal Year Ended December 31, 2022 </w:t>
      </w:r>
    </w:p>
    <w:p>
      <w:pPr>
        <w:pStyle w:val="TextBody"/>
        <w:spacing w:before="40" w:after="0"/>
        <w:ind w:left="0" w:right="0" w:hanging="0"/>
        <w:jc w:val="center"/>
        <w:rPr>
          <w:rFonts w:ascii="arial" w:hAnsi="arial"/>
          <w:b/>
          <w:sz w:val="20"/>
          <w:highlight w:val="white"/>
        </w:rPr>
      </w:pPr>
      <w:r>
        <w:rPr>
          <w:rFonts w:ascii="arial" w:hAnsi="arial"/>
          <w:b/>
          <w:sz w:val="20"/>
          <w:highlight w:val="white"/>
        </w:rPr>
        <w:t xml:space="preserve">OR </w:t>
      </w:r>
    </w:p>
    <w:p>
      <w:pPr>
        <w:pStyle w:val="TextBody"/>
        <w:spacing w:before="0" w:after="0"/>
        <w:ind w:left="0" w:right="0" w:hanging="0"/>
        <w:jc w:val="left"/>
        <w:rPr>
          <w:highlight w:val="white"/>
        </w:rPr>
      </w:pPr>
      <w:r>
        <w:rPr>
          <w:highlight w:val="white"/>
        </w:rPr>
        <w:t> </w:t>
      </w:r>
    </w:p>
    <w:tbl>
      <w:tblPr>
        <w:tblW w:w="9580" w:type="dxa"/>
        <w:jc w:val="left"/>
        <w:tblInd w:w="0" w:type="dxa"/>
        <w:tblCellMar>
          <w:top w:w="0" w:type="dxa"/>
          <w:left w:w="0" w:type="dxa"/>
          <w:bottom w:w="0" w:type="dxa"/>
          <w:right w:w="0" w:type="dxa"/>
        </w:tblCellMar>
      </w:tblPr>
      <w:tblGrid>
        <w:gridCol w:w="245"/>
        <w:gridCol w:w="9335"/>
      </w:tblGrid>
      <w:tr>
        <w:trPr/>
        <w:tc>
          <w:tcPr>
            <w:tcW w:w="245" w:type="dxa"/>
            <w:tcBorders/>
            <w:shd w:fill="auto" w:val="clear"/>
            <w:vAlign w:val="center"/>
          </w:tcPr>
          <w:p>
            <w:pPr>
              <w:pStyle w:val="TableContents"/>
              <w:spacing w:before="0" w:after="0"/>
              <w:jc w:val="left"/>
              <w:rPr>
                <w:spacing w:val="0"/>
              </w:rPr>
            </w:pPr>
            <w:r>
              <w:rPr>
                <w:spacing w:val="0"/>
              </w:rPr>
              <w:t>☐</w:t>
            </w:r>
          </w:p>
        </w:tc>
        <w:tc>
          <w:tcPr>
            <w:tcW w:w="9335" w:type="dxa"/>
            <w:tcBorders/>
            <w:shd w:fill="auto" w:val="clear"/>
            <w:vAlign w:val="center"/>
          </w:tcPr>
          <w:p>
            <w:pPr>
              <w:pStyle w:val="TableContents"/>
              <w:spacing w:before="0" w:after="0"/>
              <w:jc w:val="both"/>
              <w:rPr>
                <w:rFonts w:ascii="arial" w:hAnsi="arial"/>
                <w:b/>
                <w:sz w:val="22"/>
              </w:rPr>
            </w:pPr>
            <w:r>
              <w:rPr>
                <w:rFonts w:ascii="arial" w:hAnsi="arial"/>
                <w:b/>
                <w:sz w:val="22"/>
              </w:rPr>
              <w:t xml:space="preserve">Transition Report pursuant to Section 13 or 15(d) of the Securities Exchange Act of 1934 </w:t>
            </w:r>
          </w:p>
        </w:tc>
      </w:tr>
    </w:tbl>
    <w:p>
      <w:pPr>
        <w:pStyle w:val="TextBody"/>
        <w:spacing w:before="0" w:after="0"/>
        <w:jc w:val="both"/>
        <w:rPr>
          <w:rFonts w:ascii="arial" w:hAnsi="arial"/>
          <w:b/>
          <w:sz w:val="22"/>
          <w:highlight w:val="white"/>
        </w:rPr>
      </w:pPr>
      <w:r>
        <w:rPr>
          <w:rFonts w:ascii="arial" w:hAnsi="arial"/>
          <w:b/>
          <w:sz w:val="22"/>
          <w:highlight w:val="white"/>
        </w:rPr>
        <w:t xml:space="preserve">For the transition period from                 to                  </w:t>
      </w:r>
    </w:p>
    <w:p>
      <w:pPr>
        <w:pStyle w:val="TextBody"/>
        <w:spacing w:before="40" w:after="0"/>
        <w:ind w:left="0" w:right="0" w:hanging="0"/>
        <w:jc w:val="center"/>
        <w:rPr>
          <w:rFonts w:ascii="arial" w:hAnsi="arial"/>
          <w:b/>
          <w:sz w:val="20"/>
          <w:highlight w:val="white"/>
        </w:rPr>
      </w:pPr>
      <w:r>
        <w:rPr>
          <w:rFonts w:ascii="arial" w:hAnsi="arial"/>
          <w:b/>
          <w:sz w:val="20"/>
          <w:highlight w:val="white"/>
        </w:rPr>
        <w:t xml:space="preserve">Commission file number </w:t>
      </w:r>
    </w:p>
    <w:p>
      <w:pPr>
        <w:pStyle w:val="TextBody"/>
        <w:spacing w:before="40" w:after="0"/>
        <w:jc w:val="center"/>
        <w:rPr>
          <w:rFonts w:ascii="arial" w:hAnsi="arial"/>
          <w:b/>
          <w:spacing w:val="0"/>
          <w:sz w:val="20"/>
          <w:highlight w:val="white"/>
        </w:rPr>
      </w:pPr>
      <w:r>
        <w:rPr>
          <w:rFonts w:ascii="arial" w:hAnsi="arial"/>
          <w:b/>
          <w:spacing w:val="0"/>
          <w:sz w:val="20"/>
          <w:highlight w:val="white"/>
        </w:rPr>
        <w:t>001-39695</w:t>
      </w:r>
    </w:p>
    <w:p>
      <w:pPr>
        <w:pStyle w:val="TextBody"/>
        <w:spacing w:before="40" w:after="0"/>
        <w:ind w:left="0" w:right="0" w:hanging="0"/>
        <w:jc w:val="center"/>
        <w:rPr>
          <w:rFonts w:ascii="arial" w:hAnsi="arial"/>
          <w:b/>
          <w:sz w:val="48"/>
          <w:highlight w:val="white"/>
        </w:rPr>
      </w:pPr>
      <w:r>
        <w:rPr>
          <w:rFonts w:ascii="arial" w:hAnsi="arial"/>
          <w:b/>
          <w:sz w:val="48"/>
          <w:highlight w:val="white"/>
        </w:rPr>
        <w:t xml:space="preserve">VIATRIS INC. </w:t>
      </w:r>
    </w:p>
    <w:p>
      <w:pPr>
        <w:pStyle w:val="TextBody"/>
        <w:spacing w:before="40" w:after="0"/>
        <w:ind w:left="0" w:right="0" w:hanging="0"/>
        <w:jc w:val="center"/>
        <w:rPr>
          <w:rFonts w:ascii="arial" w:hAnsi="arial"/>
          <w:i/>
          <w:caps w:val="false"/>
          <w:smallCaps w:val="false"/>
          <w:spacing w:val="0"/>
          <w:sz w:val="18"/>
          <w:highlight w:val="white"/>
        </w:rPr>
      </w:pPr>
      <w:r>
        <w:rPr>
          <w:rFonts w:ascii="arial" w:hAnsi="arial"/>
          <w:i/>
          <w:caps w:val="false"/>
          <w:smallCaps w:val="false"/>
          <w:spacing w:val="0"/>
          <w:sz w:val="18"/>
          <w:highlight w:val="white"/>
        </w:rPr>
        <w:t xml:space="preserve">(Exact name of registrant as specified in its charter) </w:t>
      </w:r>
    </w:p>
    <w:p>
      <w:pPr>
        <w:pStyle w:val="TextBody"/>
        <w:spacing w:before="40" w:after="0"/>
        <w:jc w:val="center"/>
        <w:rPr>
          <w:rFonts w:ascii="arial" w:hAnsi="arial"/>
          <w:sz w:val="18"/>
        </w:rPr>
      </w:pPr>
      <w:r>
        <w:rPr>
          <w:rFonts w:ascii="arial" w:hAnsi="arial"/>
          <w:sz w:val="18"/>
        </w:rPr>
      </w:r>
    </w:p>
    <w:tbl>
      <w:tblPr>
        <w:tblW w:w="9205" w:type="dxa"/>
        <w:jc w:val="left"/>
        <w:tblInd w:w="0" w:type="dxa"/>
        <w:tblCellMar>
          <w:top w:w="0" w:type="dxa"/>
          <w:left w:w="0" w:type="dxa"/>
          <w:bottom w:w="0" w:type="dxa"/>
          <w:right w:w="0" w:type="dxa"/>
        </w:tblCellMar>
      </w:tblPr>
      <w:tblGrid>
        <w:gridCol w:w="5735"/>
        <w:gridCol w:w="60"/>
        <w:gridCol w:w="3410"/>
      </w:tblGrid>
      <w:tr>
        <w:trPr/>
        <w:tc>
          <w:tcPr>
            <w:tcW w:w="573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410" w:type="dxa"/>
            <w:tcBorders/>
            <w:shd w:fill="auto" w:val="clear"/>
            <w:vAlign w:val="center"/>
          </w:tcPr>
          <w:p>
            <w:pPr>
              <w:pStyle w:val="TableContents"/>
              <w:spacing w:before="0" w:after="283"/>
              <w:rPr/>
            </w:pPr>
            <w:r>
              <w:rPr/>
              <w:t> </w:t>
            </w:r>
          </w:p>
        </w:tc>
      </w:tr>
      <w:tr>
        <w:trPr/>
        <w:tc>
          <w:tcPr>
            <w:tcW w:w="5735" w:type="dxa"/>
            <w:tcBorders/>
            <w:shd w:fill="auto" w:val="clear"/>
            <w:vAlign w:val="center"/>
          </w:tcPr>
          <w:p>
            <w:pPr>
              <w:pStyle w:val="TableContents"/>
              <w:spacing w:before="0" w:after="0"/>
              <w:jc w:val="center"/>
              <w:rPr>
                <w:b/>
                <w:spacing w:val="0"/>
              </w:rPr>
            </w:pPr>
            <w:r>
              <w:rPr>
                <w:b/>
                <w:spacing w:val="0"/>
              </w:rPr>
              <w:t>Delaware</w:t>
            </w:r>
          </w:p>
        </w:tc>
        <w:tc>
          <w:tcPr>
            <w:tcW w:w="60" w:type="dxa"/>
            <w:tcBorders/>
            <w:shd w:fill="auto" w:val="clear"/>
            <w:vAlign w:val="center"/>
          </w:tcPr>
          <w:p>
            <w:pPr>
              <w:pStyle w:val="TableContents"/>
              <w:spacing w:before="0" w:after="283"/>
              <w:rPr/>
            </w:pPr>
            <w:r>
              <w:rPr/>
              <w:t> </w:t>
            </w:r>
          </w:p>
        </w:tc>
        <w:tc>
          <w:tcPr>
            <w:tcW w:w="3410" w:type="dxa"/>
            <w:tcBorders/>
            <w:shd w:fill="auto" w:val="clear"/>
            <w:vAlign w:val="center"/>
          </w:tcPr>
          <w:p>
            <w:pPr>
              <w:pStyle w:val="TableContents"/>
              <w:spacing w:before="0" w:after="0"/>
              <w:jc w:val="center"/>
              <w:rPr>
                <w:b/>
                <w:spacing w:val="0"/>
              </w:rPr>
            </w:pPr>
            <w:r>
              <w:rPr>
                <w:b/>
                <w:spacing w:val="0"/>
              </w:rPr>
              <w:t>83-4364296</w:t>
            </w:r>
          </w:p>
        </w:tc>
      </w:tr>
      <w:tr>
        <w:trPr/>
        <w:tc>
          <w:tcPr>
            <w:tcW w:w="5735" w:type="dxa"/>
            <w:tcBorders/>
            <w:shd w:fill="auto" w:val="clear"/>
            <w:vAlign w:val="center"/>
          </w:tcPr>
          <w:p>
            <w:pPr>
              <w:pStyle w:val="TableContents"/>
              <w:spacing w:before="0" w:after="0"/>
              <w:jc w:val="center"/>
              <w:rPr>
                <w:i/>
                <w:caps w:val="false"/>
                <w:smallCaps w:val="false"/>
                <w:spacing w:val="0"/>
              </w:rPr>
            </w:pPr>
            <w:r>
              <w:rPr>
                <w:i/>
                <w:caps w:val="false"/>
                <w:smallCaps w:val="false"/>
                <w:spacing w:val="0"/>
              </w:rPr>
              <w:t>(State or other jurisdiction of incorporation or organization)</w:t>
            </w:r>
          </w:p>
        </w:tc>
        <w:tc>
          <w:tcPr>
            <w:tcW w:w="60" w:type="dxa"/>
            <w:tcBorders/>
            <w:shd w:fill="auto" w:val="clear"/>
            <w:vAlign w:val="center"/>
          </w:tcPr>
          <w:p>
            <w:pPr>
              <w:pStyle w:val="TableContents"/>
              <w:spacing w:before="0" w:after="283"/>
              <w:rPr/>
            </w:pPr>
            <w:r>
              <w:rPr/>
              <w:t> </w:t>
            </w:r>
          </w:p>
        </w:tc>
        <w:tc>
          <w:tcPr>
            <w:tcW w:w="3410" w:type="dxa"/>
            <w:tcBorders/>
            <w:shd w:fill="auto" w:val="clear"/>
            <w:vAlign w:val="center"/>
          </w:tcPr>
          <w:p>
            <w:pPr>
              <w:pStyle w:val="TableContents"/>
              <w:spacing w:before="0" w:after="0"/>
              <w:jc w:val="center"/>
              <w:rPr>
                <w:i/>
                <w:caps w:val="false"/>
                <w:smallCaps w:val="false"/>
                <w:spacing w:val="0"/>
              </w:rPr>
            </w:pPr>
            <w:r>
              <w:rPr>
                <w:i/>
                <w:caps w:val="false"/>
                <w:smallCaps w:val="false"/>
                <w:spacing w:val="0"/>
              </w:rPr>
              <w:t>(I.R.S. Employer Identification No.)</w:t>
            </w:r>
          </w:p>
        </w:tc>
      </w:tr>
    </w:tbl>
    <w:p>
      <w:pPr>
        <w:pStyle w:val="TextBody"/>
        <w:spacing w:before="40" w:after="0"/>
        <w:ind w:left="0" w:right="0" w:hanging="0"/>
        <w:jc w:val="center"/>
        <w:rPr>
          <w:rFonts w:ascii="arial" w:hAnsi="arial"/>
          <w:b/>
          <w:sz w:val="18"/>
          <w:highlight w:val="white"/>
        </w:rPr>
      </w:pPr>
      <w:r>
        <w:rPr>
          <w:rFonts w:ascii="arial" w:hAnsi="arial"/>
          <w:b/>
          <w:sz w:val="18"/>
          <w:highlight w:val="white"/>
        </w:rPr>
        <w:t xml:space="preserve">1000 Mylan Boulevard, Canonsburg, Pennsylvania, 15317 </w:t>
      </w:r>
    </w:p>
    <w:p>
      <w:pPr>
        <w:pStyle w:val="TextBody"/>
        <w:spacing w:before="0" w:after="0"/>
        <w:ind w:left="0" w:right="0" w:hanging="0"/>
        <w:jc w:val="center"/>
        <w:rPr>
          <w:rFonts w:ascii="arial" w:hAnsi="arial"/>
          <w:i/>
          <w:caps w:val="false"/>
          <w:smallCaps w:val="false"/>
          <w:spacing w:val="0"/>
          <w:sz w:val="16"/>
          <w:highlight w:val="white"/>
        </w:rPr>
      </w:pPr>
      <w:r>
        <w:rPr>
          <w:rFonts w:ascii="arial" w:hAnsi="arial"/>
          <w:i/>
          <w:caps w:val="false"/>
          <w:smallCaps w:val="false"/>
          <w:spacing w:val="0"/>
          <w:sz w:val="16"/>
          <w:highlight w:val="white"/>
        </w:rPr>
        <w:t xml:space="preserve">(Address of principal executive offices) (Zip Code) </w:t>
      </w:r>
    </w:p>
    <w:p>
      <w:pPr>
        <w:pStyle w:val="TextBody"/>
        <w:spacing w:before="0" w:after="0"/>
        <w:ind w:left="0" w:right="0" w:hanging="0"/>
        <w:jc w:val="center"/>
        <w:rPr>
          <w:rFonts w:ascii="arial" w:hAnsi="arial"/>
          <w:b/>
          <w:sz w:val="20"/>
          <w:highlight w:val="white"/>
        </w:rPr>
      </w:pPr>
      <w:r>
        <w:rPr>
          <w:rFonts w:ascii="arial" w:hAnsi="arial"/>
          <w:b/>
          <w:sz w:val="20"/>
          <w:highlight w:val="white"/>
        </w:rPr>
        <w:t xml:space="preserve">(724) </w:t>
      </w:r>
    </w:p>
    <w:p>
      <w:pPr>
        <w:pStyle w:val="TextBody"/>
        <w:spacing w:before="0" w:after="0"/>
        <w:jc w:val="center"/>
        <w:rPr>
          <w:rFonts w:ascii="arial" w:hAnsi="arial"/>
          <w:b/>
          <w:spacing w:val="0"/>
          <w:sz w:val="20"/>
          <w:highlight w:val="white"/>
        </w:rPr>
      </w:pPr>
      <w:r>
        <w:rPr>
          <w:rFonts w:ascii="arial" w:hAnsi="arial"/>
          <w:b/>
          <w:spacing w:val="0"/>
          <w:sz w:val="20"/>
          <w:highlight w:val="white"/>
        </w:rPr>
        <w:t>514-1800</w:t>
      </w:r>
    </w:p>
    <w:p>
      <w:pPr>
        <w:pStyle w:val="TextBody"/>
        <w:spacing w:before="0" w:after="0"/>
        <w:ind w:left="0" w:right="0" w:hanging="0"/>
        <w:jc w:val="center"/>
        <w:rPr>
          <w:rFonts w:ascii="arial" w:hAnsi="arial"/>
          <w:i/>
          <w:caps w:val="false"/>
          <w:smallCaps w:val="false"/>
          <w:spacing w:val="0"/>
          <w:sz w:val="18"/>
          <w:highlight w:val="white"/>
        </w:rPr>
      </w:pPr>
      <w:r>
        <w:rPr>
          <w:rFonts w:ascii="arial" w:hAnsi="arial"/>
          <w:i/>
          <w:caps w:val="false"/>
          <w:smallCaps w:val="false"/>
          <w:spacing w:val="0"/>
          <w:sz w:val="18"/>
          <w:highlight w:val="white"/>
        </w:rPr>
        <w:t xml:space="preserve">(Registrant’s telephone number, including area code) </w:t>
      </w:r>
    </w:p>
    <w:p>
      <w:pPr>
        <w:pStyle w:val="TextBody"/>
        <w:spacing w:before="40" w:after="0"/>
        <w:ind w:left="0" w:right="0" w:hanging="0"/>
        <w:jc w:val="left"/>
        <w:rPr>
          <w:rFonts w:ascii="arial" w:hAnsi="arial"/>
          <w:b/>
          <w:sz w:val="20"/>
          <w:highlight w:val="white"/>
        </w:rPr>
      </w:pPr>
      <w:r>
        <w:rPr>
          <w:rFonts w:ascii="arial" w:hAnsi="arial"/>
          <w:b/>
          <w:sz w:val="20"/>
          <w:highlight w:val="white"/>
        </w:rPr>
        <w:t xml:space="preserve">Securities registered pursuant to Section 12(b) of the Act: </w:t>
      </w:r>
    </w:p>
    <w:p>
      <w:pPr>
        <w:pStyle w:val="TextBody"/>
        <w:spacing w:before="0" w:after="0"/>
        <w:ind w:left="0" w:right="0" w:hanging="0"/>
        <w:jc w:val="left"/>
        <w:rPr>
          <w:highlight w:val="white"/>
        </w:rPr>
      </w:pPr>
      <w:r>
        <w:rPr>
          <w:highlight w:val="white"/>
        </w:rPr>
        <w:t> </w:t>
      </w:r>
    </w:p>
    <w:tbl>
      <w:tblPr>
        <w:tblW w:w="7950" w:type="dxa"/>
        <w:jc w:val="left"/>
        <w:tblInd w:w="0" w:type="dxa"/>
        <w:tblCellMar>
          <w:top w:w="0" w:type="dxa"/>
          <w:left w:w="0" w:type="dxa"/>
          <w:bottom w:w="0" w:type="dxa"/>
          <w:right w:w="0" w:type="dxa"/>
        </w:tblCellMar>
      </w:tblPr>
      <w:tblGrid>
        <w:gridCol w:w="4025"/>
        <w:gridCol w:w="60"/>
        <w:gridCol w:w="965"/>
        <w:gridCol w:w="60"/>
        <w:gridCol w:w="2840"/>
      </w:tblGrid>
      <w:tr>
        <w:trPr/>
        <w:tc>
          <w:tcPr>
            <w:tcW w:w="402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96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2840" w:type="dxa"/>
            <w:tcBorders/>
            <w:shd w:fill="auto" w:val="clear"/>
            <w:vAlign w:val="center"/>
          </w:tcPr>
          <w:p>
            <w:pPr>
              <w:pStyle w:val="TableContents"/>
              <w:spacing w:before="0" w:after="0"/>
              <w:rPr>
                <w:spacing w:val="0"/>
              </w:rPr>
            </w:pPr>
            <w:r>
              <w:rPr>
                <w:spacing w:val="0"/>
              </w:rPr>
              <w:t> </w:t>
            </w:r>
          </w:p>
        </w:tc>
      </w:tr>
      <w:tr>
        <w:trPr/>
        <w:tc>
          <w:tcPr>
            <w:tcW w:w="4025" w:type="dxa"/>
            <w:tcBorders/>
            <w:shd w:fill="auto" w:val="clear"/>
            <w:vAlign w:val="center"/>
          </w:tcPr>
          <w:p>
            <w:pPr>
              <w:pStyle w:val="TableContents"/>
              <w:spacing w:before="0" w:after="0"/>
              <w:jc w:val="center"/>
              <w:rPr>
                <w:b/>
                <w:spacing w:val="0"/>
              </w:rPr>
            </w:pPr>
            <w:r>
              <w:rPr>
                <w:b/>
                <w:spacing w:val="0"/>
              </w:rPr>
              <w:t>Title of Each Class:</w:t>
            </w:r>
          </w:p>
        </w:tc>
        <w:tc>
          <w:tcPr>
            <w:tcW w:w="60" w:type="dxa"/>
            <w:tcBorders/>
            <w:shd w:fill="auto" w:val="clear"/>
            <w:vAlign w:val="center"/>
          </w:tcPr>
          <w:p>
            <w:pPr>
              <w:pStyle w:val="TableContents"/>
              <w:spacing w:before="0" w:after="283"/>
              <w:rPr/>
            </w:pPr>
            <w:r>
              <w:rPr/>
              <w:t> </w:t>
            </w:r>
          </w:p>
        </w:tc>
        <w:tc>
          <w:tcPr>
            <w:tcW w:w="965" w:type="dxa"/>
            <w:tcBorders/>
            <w:shd w:fill="auto" w:val="clear"/>
            <w:vAlign w:val="center"/>
          </w:tcPr>
          <w:p>
            <w:pPr>
              <w:pStyle w:val="TableContents"/>
              <w:spacing w:before="0" w:after="0"/>
              <w:jc w:val="center"/>
              <w:rPr>
                <w:rFonts w:ascii="arial" w:hAnsi="arial"/>
                <w:b/>
                <w:sz w:val="20"/>
              </w:rPr>
            </w:pPr>
            <w:r>
              <w:rPr>
                <w:rFonts w:ascii="arial" w:hAnsi="arial"/>
                <w:b/>
                <w:sz w:val="20"/>
              </w:rPr>
              <w:t>Trading</w:t>
            </w:r>
          </w:p>
          <w:p>
            <w:pPr>
              <w:pStyle w:val="TableContents"/>
              <w:spacing w:before="0" w:after="20"/>
              <w:jc w:val="center"/>
              <w:rPr>
                <w:rFonts w:ascii="arial" w:hAnsi="arial"/>
                <w:b/>
                <w:sz w:val="20"/>
              </w:rPr>
            </w:pPr>
            <w:r>
              <w:rPr>
                <w:rFonts w:ascii="arial" w:hAnsi="arial"/>
                <w:b/>
                <w:sz w:val="20"/>
              </w:rPr>
              <w:t>Symbol(s)</w:t>
            </w:r>
          </w:p>
        </w:tc>
        <w:tc>
          <w:tcPr>
            <w:tcW w:w="60" w:type="dxa"/>
            <w:tcBorders/>
            <w:shd w:fill="auto" w:val="clear"/>
            <w:vAlign w:val="center"/>
          </w:tcPr>
          <w:p>
            <w:pPr>
              <w:pStyle w:val="TableContents"/>
              <w:spacing w:before="0" w:after="283"/>
              <w:rPr/>
            </w:pPr>
            <w:r>
              <w:rPr/>
              <w:t> </w:t>
            </w:r>
          </w:p>
        </w:tc>
        <w:tc>
          <w:tcPr>
            <w:tcW w:w="2840" w:type="dxa"/>
            <w:tcBorders/>
            <w:shd w:fill="auto" w:val="clear"/>
            <w:vAlign w:val="center"/>
          </w:tcPr>
          <w:p>
            <w:pPr>
              <w:pStyle w:val="TableContents"/>
              <w:spacing w:before="0" w:after="0"/>
              <w:jc w:val="center"/>
              <w:rPr>
                <w:b/>
                <w:spacing w:val="0"/>
              </w:rPr>
            </w:pPr>
            <w:r>
              <w:rPr>
                <w:b/>
                <w:spacing w:val="0"/>
              </w:rPr>
              <w:t>Name of Each Exchange</w:t>
              <w:br/>
              <w:t>on Which Registered:</w:t>
            </w:r>
          </w:p>
        </w:tc>
      </w:tr>
      <w:tr>
        <w:trPr/>
        <w:tc>
          <w:tcPr>
            <w:tcW w:w="4025" w:type="dxa"/>
            <w:tcBorders/>
            <w:shd w:fill="auto" w:val="clear"/>
            <w:vAlign w:val="center"/>
          </w:tcPr>
          <w:p>
            <w:pPr>
              <w:pStyle w:val="TableContents"/>
              <w:spacing w:before="0" w:after="283"/>
              <w:jc w:val="center"/>
              <w:rPr/>
            </w:pPr>
            <w:r>
              <w:rPr/>
              <w:t>Common Stock, par value $0.01 per share</w:t>
            </w:r>
          </w:p>
        </w:tc>
        <w:tc>
          <w:tcPr>
            <w:tcW w:w="60" w:type="dxa"/>
            <w:tcBorders/>
            <w:shd w:fill="auto" w:val="clear"/>
            <w:vAlign w:val="center"/>
          </w:tcPr>
          <w:p>
            <w:pPr>
              <w:pStyle w:val="TableContents"/>
              <w:spacing w:before="0" w:after="283"/>
              <w:rPr/>
            </w:pPr>
            <w:r>
              <w:rPr/>
              <w:t> </w:t>
            </w:r>
          </w:p>
        </w:tc>
        <w:tc>
          <w:tcPr>
            <w:tcW w:w="965" w:type="dxa"/>
            <w:tcBorders/>
            <w:shd w:fill="auto" w:val="clear"/>
            <w:vAlign w:val="center"/>
          </w:tcPr>
          <w:p>
            <w:pPr>
              <w:pStyle w:val="TableContents"/>
              <w:spacing w:before="0" w:after="283"/>
              <w:jc w:val="center"/>
              <w:rPr/>
            </w:pPr>
            <w:r>
              <w:rPr/>
              <w:t>VTRS</w:t>
            </w:r>
          </w:p>
        </w:tc>
        <w:tc>
          <w:tcPr>
            <w:tcW w:w="60" w:type="dxa"/>
            <w:tcBorders/>
            <w:shd w:fill="auto" w:val="clear"/>
            <w:vAlign w:val="center"/>
          </w:tcPr>
          <w:p>
            <w:pPr>
              <w:pStyle w:val="TableContents"/>
              <w:spacing w:before="0" w:after="283"/>
              <w:rPr/>
            </w:pPr>
            <w:r>
              <w:rPr/>
              <w:t> </w:t>
            </w:r>
          </w:p>
        </w:tc>
        <w:tc>
          <w:tcPr>
            <w:tcW w:w="2840" w:type="dxa"/>
            <w:tcBorders/>
            <w:shd w:fill="auto" w:val="clear"/>
            <w:vAlign w:val="center"/>
          </w:tcPr>
          <w:p>
            <w:pPr>
              <w:pStyle w:val="TableContents"/>
              <w:spacing w:before="0" w:after="283"/>
              <w:jc w:val="center"/>
              <w:rPr/>
            </w:pPr>
            <w:r>
              <w:rPr/>
              <w:t>The NASDAQ Stock Market</w:t>
            </w:r>
          </w:p>
        </w:tc>
      </w:tr>
    </w:tbl>
    <w:p>
      <w:pPr>
        <w:pStyle w:val="TextBody"/>
        <w:spacing w:before="40" w:after="0"/>
        <w:ind w:left="0" w:right="0" w:hanging="0"/>
        <w:jc w:val="left"/>
        <w:rPr>
          <w:rFonts w:ascii="arial" w:hAnsi="arial"/>
          <w:b/>
          <w:sz w:val="20"/>
          <w:highlight w:val="white"/>
        </w:rPr>
      </w:pPr>
      <w:r>
        <w:rPr>
          <w:rFonts w:ascii="arial" w:hAnsi="arial"/>
          <w:b/>
          <w:sz w:val="20"/>
          <w:highlight w:val="white"/>
        </w:rPr>
        <w:t xml:space="preserve">Securities registered pursuant to Section 12(g) of the Act: None </w:t>
      </w:r>
    </w:p>
    <w:p>
      <w:pPr>
        <w:pStyle w:val="TextBody"/>
        <w:spacing w:before="40" w:after="0"/>
        <w:ind w:left="0" w:right="0" w:hanging="0"/>
        <w:jc w:val="both"/>
        <w:rPr>
          <w:rFonts w:ascii="arial" w:hAnsi="arial"/>
          <w:sz w:val="20"/>
          <w:highlight w:val="white"/>
        </w:rPr>
      </w:pPr>
      <w:r>
        <w:rPr>
          <w:rFonts w:ascii="arial" w:hAnsi="arial"/>
          <w:sz w:val="20"/>
          <w:highlight w:val="white"/>
        </w:rPr>
        <w:t>Indicate by check mark if the registrant is a well-known seasoned issuer, as defined in Rule 405 of the Securities Act.    Yes  </w:t>
      </w:r>
    </w:p>
    <w:p>
      <w:pPr>
        <w:pStyle w:val="TextBody"/>
        <w:spacing w:before="40" w:after="0"/>
        <w:jc w:val="both"/>
        <w:rPr>
          <w:spacing w:val="0"/>
          <w:highlight w:val="white"/>
        </w:rPr>
      </w:pPr>
      <w:r>
        <w:rPr>
          <w:spacing w:val="0"/>
          <w:highlight w:val="white"/>
        </w:rPr>
        <w:t>☑</w:t>
      </w:r>
    </w:p>
    <w:p>
      <w:pPr>
        <w:pStyle w:val="TextBody"/>
        <w:spacing w:before="40" w:after="0"/>
        <w:jc w:val="both"/>
        <w:rPr>
          <w:highlight w:val="white"/>
        </w:rPr>
      </w:pPr>
      <w:r>
        <w:rPr>
          <w:highlight w:val="white"/>
        </w:rPr>
        <w:t>    </w:t>
      </w:r>
      <w:r>
        <w:rPr>
          <w:rFonts w:ascii="arial" w:hAnsi="arial"/>
          <w:sz w:val="20"/>
          <w:highlight w:val="white"/>
        </w:rPr>
        <w:t>No  </w:t>
      </w:r>
    </w:p>
    <w:p>
      <w:pPr>
        <w:pStyle w:val="TextBody"/>
        <w:spacing w:before="40" w:after="0"/>
        <w:jc w:val="both"/>
        <w:rPr>
          <w:spacing w:val="0"/>
          <w:highlight w:val="white"/>
        </w:rPr>
      </w:pPr>
      <w:r>
        <w:rPr>
          <w:spacing w:val="0"/>
          <w:highlight w:val="white"/>
        </w:rPr>
        <w:t>☐</w:t>
      </w:r>
    </w:p>
    <w:p>
      <w:pPr>
        <w:pStyle w:val="TextBody"/>
        <w:spacing w:before="40" w:after="0"/>
        <w:ind w:left="0" w:right="0" w:hanging="0"/>
        <w:jc w:val="both"/>
        <w:rPr>
          <w:rFonts w:ascii="arial" w:hAnsi="arial"/>
          <w:sz w:val="20"/>
          <w:highlight w:val="white"/>
        </w:rPr>
      </w:pPr>
      <w:r>
        <w:rPr>
          <w:rFonts w:ascii="arial" w:hAnsi="arial"/>
          <w:sz w:val="20"/>
          <w:highlight w:val="white"/>
        </w:rPr>
        <w:t>Indicate by check mark if the registrant is not required to file reports pursuant to Section 13 or Section 15(d) of the Act.    Yes  </w:t>
      </w:r>
    </w:p>
    <w:p>
      <w:pPr>
        <w:pStyle w:val="TextBody"/>
        <w:spacing w:before="40" w:after="0"/>
        <w:jc w:val="both"/>
        <w:rPr>
          <w:spacing w:val="0"/>
          <w:highlight w:val="white"/>
        </w:rPr>
      </w:pPr>
      <w:r>
        <w:rPr>
          <w:spacing w:val="0"/>
          <w:highlight w:val="white"/>
        </w:rPr>
        <w:t>☐</w:t>
      </w:r>
    </w:p>
    <w:p>
      <w:pPr>
        <w:pStyle w:val="TextBody"/>
        <w:spacing w:before="40" w:after="0"/>
        <w:jc w:val="both"/>
        <w:rPr>
          <w:highlight w:val="white"/>
        </w:rPr>
      </w:pPr>
      <w:r>
        <w:rPr>
          <w:highlight w:val="white"/>
        </w:rPr>
        <w:t>    </w:t>
      </w:r>
      <w:r>
        <w:rPr>
          <w:rFonts w:ascii="arial" w:hAnsi="arial"/>
          <w:sz w:val="20"/>
          <w:highlight w:val="white"/>
        </w:rPr>
        <w:t>No  </w:t>
      </w:r>
    </w:p>
    <w:p>
      <w:pPr>
        <w:pStyle w:val="TextBody"/>
        <w:spacing w:before="40" w:after="0"/>
        <w:jc w:val="both"/>
        <w:rPr>
          <w:spacing w:val="0"/>
          <w:highlight w:val="white"/>
        </w:rPr>
      </w:pPr>
      <w:r>
        <w:rPr>
          <w:spacing w:val="0"/>
          <w:highlight w:val="white"/>
        </w:rPr>
        <w:t>☑</w:t>
      </w:r>
    </w:p>
    <w:p>
      <w:pPr>
        <w:pStyle w:val="TextBody"/>
        <w:spacing w:before="40" w:after="0"/>
        <w:ind w:left="0" w:right="0" w:hanging="0"/>
        <w:jc w:val="both"/>
        <w:rPr>
          <w:rFonts w:ascii="arial" w:hAnsi="arial"/>
          <w:sz w:val="20"/>
          <w:highlight w:val="white"/>
        </w:rPr>
      </w:pPr>
      <w:r>
        <w:rPr>
          <w:rFonts w:ascii="arial" w:hAnsi="arial"/>
          <w:sz w:val="20"/>
          <w:highlight w:val="white"/>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p>
    <w:p>
      <w:pPr>
        <w:pStyle w:val="TextBody"/>
        <w:spacing w:before="40" w:after="0"/>
        <w:jc w:val="both"/>
        <w:rPr>
          <w:spacing w:val="0"/>
          <w:highlight w:val="white"/>
        </w:rPr>
      </w:pPr>
      <w:r>
        <w:rPr>
          <w:spacing w:val="0"/>
          <w:highlight w:val="white"/>
        </w:rPr>
        <w:t>☑</w:t>
      </w:r>
    </w:p>
    <w:p>
      <w:pPr>
        <w:pStyle w:val="TextBody"/>
        <w:spacing w:before="40" w:after="0"/>
        <w:jc w:val="both"/>
        <w:rPr>
          <w:highlight w:val="white"/>
        </w:rPr>
      </w:pPr>
      <w:r>
        <w:rPr>
          <w:highlight w:val="white"/>
        </w:rPr>
        <w:t>    </w:t>
      </w:r>
      <w:r>
        <w:rPr>
          <w:rFonts w:ascii="arial" w:hAnsi="arial"/>
          <w:sz w:val="20"/>
          <w:highlight w:val="white"/>
        </w:rPr>
        <w:t>No  </w:t>
      </w:r>
    </w:p>
    <w:p>
      <w:pPr>
        <w:pStyle w:val="TextBody"/>
        <w:spacing w:before="40" w:after="0"/>
        <w:jc w:val="both"/>
        <w:rPr>
          <w:spacing w:val="0"/>
          <w:highlight w:val="white"/>
        </w:rPr>
      </w:pPr>
      <w:r>
        <w:rPr>
          <w:spacing w:val="0"/>
          <w:highlight w:val="white"/>
        </w:rPr>
        <w:t>☐</w:t>
      </w:r>
    </w:p>
    <w:p>
      <w:pPr>
        <w:pStyle w:val="TextBody"/>
        <w:spacing w:before="40" w:after="0"/>
        <w:ind w:left="0" w:right="0" w:hanging="0"/>
        <w:jc w:val="both"/>
        <w:rPr>
          <w:rFonts w:ascii="arial" w:hAnsi="arial"/>
          <w:sz w:val="20"/>
          <w:highlight w:val="white"/>
        </w:rPr>
      </w:pPr>
      <w:r>
        <w:rPr>
          <w:rFonts w:ascii="arial" w:hAnsi="arial"/>
          <w:sz w:val="20"/>
          <w:highlight w:val="white"/>
        </w:rPr>
        <w:t xml:space="preserve">Indicate by check mark whether the registrant has submitted electronically every Interactive Data File required to be submitted pursuant to Rule 405 of </w:t>
      </w:r>
    </w:p>
    <w:p>
      <w:pPr>
        <w:pStyle w:val="TextBody"/>
        <w:spacing w:before="40" w:after="0"/>
        <w:jc w:val="both"/>
        <w:rPr>
          <w:rFonts w:ascii="arial" w:hAnsi="arial"/>
          <w:spacing w:val="0"/>
          <w:sz w:val="20"/>
          <w:highlight w:val="white"/>
        </w:rPr>
      </w:pPr>
      <w:r>
        <w:rPr>
          <w:rFonts w:ascii="arial" w:hAnsi="arial"/>
          <w:spacing w:val="0"/>
          <w:sz w:val="20"/>
          <w:highlight w:val="white"/>
        </w:rPr>
        <w:t>Regulation S-T</w:t>
      </w:r>
    </w:p>
    <w:p>
      <w:pPr>
        <w:pStyle w:val="TextBody"/>
        <w:spacing w:before="40" w:after="0"/>
        <w:jc w:val="both"/>
        <w:rPr>
          <w:rFonts w:ascii="arial" w:hAnsi="arial"/>
          <w:sz w:val="20"/>
          <w:highlight w:val="white"/>
        </w:rPr>
      </w:pPr>
      <w:r>
        <w:rPr>
          <w:rFonts w:ascii="arial" w:hAnsi="arial"/>
          <w:sz w:val="20"/>
          <w:highlight w:val="white"/>
        </w:rPr>
        <w:t>(§ 232.405 of this chapter) during the preceding 12 months (or for such shorter period that the registrant was required to submit such files).    Yes  </w:t>
      </w:r>
    </w:p>
    <w:p>
      <w:pPr>
        <w:pStyle w:val="TextBody"/>
        <w:spacing w:before="40" w:after="0"/>
        <w:jc w:val="both"/>
        <w:rPr>
          <w:spacing w:val="0"/>
          <w:highlight w:val="white"/>
        </w:rPr>
      </w:pPr>
      <w:r>
        <w:rPr>
          <w:spacing w:val="0"/>
          <w:highlight w:val="white"/>
        </w:rPr>
        <w:t>☑</w:t>
      </w:r>
    </w:p>
    <w:p>
      <w:pPr>
        <w:pStyle w:val="TextBody"/>
        <w:spacing w:before="40" w:after="0"/>
        <w:jc w:val="both"/>
        <w:rPr>
          <w:highlight w:val="white"/>
        </w:rPr>
      </w:pPr>
      <w:r>
        <w:rPr>
          <w:highlight w:val="white"/>
        </w:rPr>
        <w:t>    </w:t>
      </w:r>
      <w:r>
        <w:rPr>
          <w:rFonts w:ascii="arial" w:hAnsi="arial"/>
          <w:sz w:val="20"/>
          <w:highlight w:val="white"/>
        </w:rPr>
        <w:t>No  </w:t>
      </w:r>
    </w:p>
    <w:p>
      <w:pPr>
        <w:pStyle w:val="TextBody"/>
        <w:spacing w:before="40" w:after="0"/>
        <w:jc w:val="both"/>
        <w:rPr>
          <w:spacing w:val="0"/>
          <w:highlight w:val="white"/>
        </w:rPr>
      </w:pPr>
      <w:r>
        <w:rPr>
          <w:spacing w:val="0"/>
          <w:highlight w:val="white"/>
        </w:rPr>
        <w:t>☐</w:t>
      </w:r>
    </w:p>
    <w:p>
      <w:pPr>
        <w:pStyle w:val="TextBody"/>
        <w:spacing w:before="40" w:after="0"/>
        <w:ind w:left="0" w:right="0" w:hanging="0"/>
        <w:jc w:val="both"/>
        <w:rPr>
          <w:rFonts w:ascii="arial" w:hAnsi="arial"/>
          <w:sz w:val="20"/>
          <w:highlight w:val="white"/>
        </w:rPr>
      </w:pPr>
      <w:r>
        <w:rPr>
          <w:rFonts w:ascii="arial" w:hAnsi="arial"/>
          <w:sz w:val="20"/>
          <w:highlight w:val="white"/>
        </w:rPr>
        <w:t xml:space="preserve">Indicate by check mark whether the registrant is a large accelerated filer, an accelerated filer, a </w:t>
      </w:r>
    </w:p>
    <w:p>
      <w:pPr>
        <w:pStyle w:val="TextBody"/>
        <w:spacing w:before="40" w:after="0"/>
        <w:jc w:val="both"/>
        <w:rPr>
          <w:rFonts w:ascii="arial" w:hAnsi="arial"/>
          <w:spacing w:val="0"/>
          <w:sz w:val="20"/>
          <w:highlight w:val="white"/>
        </w:rPr>
      </w:pPr>
      <w:r>
        <w:rPr>
          <w:rFonts w:ascii="arial" w:hAnsi="arial"/>
          <w:spacing w:val="0"/>
          <w:sz w:val="20"/>
          <w:highlight w:val="white"/>
        </w:rPr>
        <w:t>non-accelerated</w:t>
      </w:r>
    </w:p>
    <w:p>
      <w:pPr>
        <w:pStyle w:val="TextBody"/>
        <w:spacing w:before="40" w:after="0"/>
        <w:jc w:val="both"/>
        <w:rPr>
          <w:rFonts w:ascii="arial" w:hAnsi="arial"/>
          <w:sz w:val="20"/>
          <w:highlight w:val="white"/>
        </w:rPr>
      </w:pPr>
      <w:r>
        <w:rPr>
          <w:rFonts w:ascii="arial" w:hAnsi="arial"/>
          <w:sz w:val="20"/>
          <w:highlight w:val="white"/>
        </w:rPr>
        <w:t xml:space="preserve">filer, a smaller reporting company, or an emerging growth company. See the definitions of “large accelerated filer,” “accelerated filer,” “smaller reporting company,” and “emerging growth company” in </w:t>
      </w:r>
    </w:p>
    <w:p>
      <w:pPr>
        <w:pStyle w:val="TextBody"/>
        <w:spacing w:before="40" w:after="0"/>
        <w:jc w:val="both"/>
        <w:rPr>
          <w:rFonts w:ascii="arial" w:hAnsi="arial"/>
          <w:spacing w:val="0"/>
          <w:sz w:val="20"/>
          <w:highlight w:val="white"/>
        </w:rPr>
      </w:pPr>
      <w:r>
        <w:rPr>
          <w:rFonts w:ascii="arial" w:hAnsi="arial"/>
          <w:spacing w:val="0"/>
          <w:sz w:val="20"/>
          <w:highlight w:val="white"/>
        </w:rPr>
        <w:t>Rule 12b-2</w:t>
      </w:r>
    </w:p>
    <w:p>
      <w:pPr>
        <w:pStyle w:val="TextBody"/>
        <w:spacing w:before="40" w:after="0"/>
        <w:jc w:val="both"/>
        <w:rPr>
          <w:rFonts w:ascii="arial" w:hAnsi="arial"/>
          <w:sz w:val="20"/>
          <w:highlight w:val="white"/>
        </w:rPr>
      </w:pPr>
      <w:r>
        <w:rPr>
          <w:rFonts w:ascii="arial" w:hAnsi="arial"/>
          <w:sz w:val="20"/>
          <w:highlight w:val="white"/>
        </w:rPr>
        <w:t xml:space="preserve">of the Exchange Act. </w:t>
      </w:r>
    </w:p>
    <w:p>
      <w:pPr>
        <w:pStyle w:val="TextBody"/>
        <w:spacing w:before="0" w:after="0"/>
        <w:ind w:left="0" w:right="0" w:hanging="0"/>
        <w:jc w:val="left"/>
        <w:rPr>
          <w:highlight w:val="white"/>
        </w:rPr>
      </w:pPr>
      <w:r>
        <w:rPr>
          <w:highlight w:val="white"/>
        </w:rPr>
        <w:t> </w:t>
      </w:r>
    </w:p>
    <w:tbl>
      <w:tblPr>
        <w:tblW w:w="5015" w:type="dxa"/>
        <w:jc w:val="left"/>
        <w:tblInd w:w="0" w:type="dxa"/>
        <w:tblCellMar>
          <w:top w:w="0" w:type="dxa"/>
          <w:left w:w="0" w:type="dxa"/>
          <w:bottom w:w="0" w:type="dxa"/>
          <w:right w:w="0" w:type="dxa"/>
        </w:tblCellMar>
      </w:tblPr>
      <w:tblGrid>
        <w:gridCol w:w="1955"/>
        <w:gridCol w:w="60"/>
        <w:gridCol w:w="230"/>
        <w:gridCol w:w="120"/>
        <w:gridCol w:w="2345"/>
        <w:gridCol w:w="60"/>
        <w:gridCol w:w="245"/>
      </w:tblGrid>
      <w:tr>
        <w:trPr/>
        <w:tc>
          <w:tcPr>
            <w:tcW w:w="195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23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2345" w:type="dxa"/>
            <w:tcBorders/>
            <w:shd w:fill="auto" w:val="clear"/>
            <w:vAlign w:val="center"/>
          </w:tcPr>
          <w:p>
            <w:pPr>
              <w:pStyle w:val="TableContents"/>
              <w:spacing w:before="0" w:after="0"/>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245" w:type="dxa"/>
            <w:tcBorders/>
            <w:shd w:fill="auto" w:val="clear"/>
            <w:vAlign w:val="center"/>
          </w:tcPr>
          <w:p>
            <w:pPr>
              <w:pStyle w:val="TableContents"/>
              <w:spacing w:before="0" w:after="0"/>
              <w:rPr>
                <w:spacing w:val="0"/>
              </w:rPr>
            </w:pPr>
            <w:r>
              <w:rPr>
                <w:spacing w:val="0"/>
              </w:rPr>
              <w:t> </w:t>
            </w:r>
          </w:p>
        </w:tc>
      </w:tr>
      <w:tr>
        <w:trPr/>
        <w:tc>
          <w:tcPr>
            <w:tcW w:w="1955" w:type="dxa"/>
            <w:tcBorders/>
            <w:shd w:fill="auto" w:val="clear"/>
            <w:vAlign w:val="center"/>
          </w:tcPr>
          <w:p>
            <w:pPr>
              <w:pStyle w:val="TableContents"/>
              <w:spacing w:before="0" w:after="0"/>
              <w:jc w:val="both"/>
              <w:rPr>
                <w:rFonts w:ascii="arial" w:hAnsi="arial"/>
                <w:sz w:val="20"/>
              </w:rPr>
            </w:pPr>
            <w:r>
              <w:rPr>
                <w:rFonts w:ascii="arial" w:hAnsi="arial"/>
                <w:sz w:val="20"/>
              </w:rPr>
              <w:t>Large accelerated filer</w:t>
            </w:r>
          </w:p>
        </w:tc>
        <w:tc>
          <w:tcPr>
            <w:tcW w:w="60"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0"/>
              <w:jc w:val="both"/>
              <w:rPr>
                <w:spacing w:val="0"/>
              </w:rPr>
            </w:pPr>
            <w:r>
              <w:rPr>
                <w:spacing w:val="0"/>
              </w:rPr>
              <w:t>☑</w:t>
            </w:r>
          </w:p>
        </w:tc>
        <w:tc>
          <w:tcPr>
            <w:tcW w:w="120" w:type="dxa"/>
            <w:tcBorders/>
            <w:shd w:fill="auto" w:val="clear"/>
            <w:vAlign w:val="center"/>
          </w:tcPr>
          <w:p>
            <w:pPr>
              <w:pStyle w:val="TableContents"/>
              <w:spacing w:before="0" w:after="283"/>
              <w:rPr/>
            </w:pPr>
            <w:r>
              <w:rPr/>
              <w:t>  </w:t>
            </w:r>
          </w:p>
        </w:tc>
        <w:tc>
          <w:tcPr>
            <w:tcW w:w="2345" w:type="dxa"/>
            <w:tcBorders/>
            <w:shd w:fill="auto" w:val="clear"/>
            <w:vAlign w:val="center"/>
          </w:tcPr>
          <w:p>
            <w:pPr>
              <w:pStyle w:val="TableContents"/>
              <w:spacing w:before="0" w:after="0"/>
              <w:jc w:val="both"/>
              <w:rPr>
                <w:rFonts w:ascii="arial" w:hAnsi="arial"/>
                <w:sz w:val="20"/>
              </w:rPr>
            </w:pPr>
            <w:r>
              <w:rPr>
                <w:rFonts w:ascii="arial" w:hAnsi="arial"/>
                <w:sz w:val="20"/>
              </w:rPr>
              <w:t>Accelerated filer</w:t>
            </w:r>
          </w:p>
        </w:tc>
        <w:tc>
          <w:tcPr>
            <w:tcW w:w="6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0"/>
              <w:jc w:val="both"/>
              <w:rPr>
                <w:spacing w:val="0"/>
              </w:rPr>
            </w:pPr>
            <w:r>
              <w:rPr>
                <w:spacing w:val="0"/>
              </w:rPr>
              <w:t>☐</w:t>
            </w:r>
          </w:p>
        </w:tc>
      </w:tr>
      <w:tr>
        <w:trPr/>
        <w:tc>
          <w:tcPr>
            <w:tcW w:w="1955" w:type="dxa"/>
            <w:tcBorders/>
            <w:shd w:fill="auto" w:val="clear"/>
            <w:vAlign w:val="center"/>
          </w:tcPr>
          <w:p>
            <w:pPr>
              <w:pStyle w:val="TableContents"/>
              <w:spacing w:before="0" w:after="283"/>
              <w:rPr/>
            </w:pPr>
            <w:r>
              <w:rPr/>
              <w:t> </w:t>
            </w:r>
          </w:p>
        </w:tc>
        <w:tc>
          <w:tcPr>
            <w:tcW w:w="290" w:type="dxa"/>
            <w:gridSpan w:val="2"/>
            <w:tcBorders/>
            <w:shd w:fill="auto" w:val="clear"/>
            <w:vAlign w:val="center"/>
          </w:tcPr>
          <w:p>
            <w:pPr>
              <w:pStyle w:val="TableContents"/>
              <w:spacing w:before="0" w:after="283"/>
              <w:rPr/>
            </w:pPr>
            <w:r>
              <w:rPr/>
              <w:t> </w:t>
            </w:r>
          </w:p>
        </w:tc>
        <w:tc>
          <w:tcPr>
            <w:tcW w:w="2465" w:type="dxa"/>
            <w:gridSpan w:val="2"/>
            <w:tcBorders/>
            <w:shd w:fill="auto" w:val="clear"/>
            <w:vAlign w:val="center"/>
          </w:tcPr>
          <w:p>
            <w:pPr>
              <w:pStyle w:val="TableContents"/>
              <w:spacing w:before="0" w:after="283"/>
              <w:rPr/>
            </w:pPr>
            <w:r>
              <w:rPr/>
              <w:t> </w:t>
            </w:r>
          </w:p>
        </w:tc>
        <w:tc>
          <w:tcPr>
            <w:tcW w:w="305" w:type="dxa"/>
            <w:gridSpan w:val="2"/>
            <w:tcBorders/>
            <w:shd w:fill="auto" w:val="clear"/>
            <w:vAlign w:val="center"/>
          </w:tcPr>
          <w:p>
            <w:pPr>
              <w:pStyle w:val="TableContents"/>
              <w:spacing w:before="0" w:after="283"/>
              <w:rPr/>
            </w:pPr>
            <w:r>
              <w:rPr/>
              <w:t> </w:t>
            </w:r>
          </w:p>
        </w:tc>
      </w:tr>
      <w:tr>
        <w:trPr/>
        <w:tc>
          <w:tcPr>
            <w:tcW w:w="1955" w:type="dxa"/>
            <w:tcBorders/>
            <w:shd w:fill="auto" w:val="clear"/>
            <w:vAlign w:val="center"/>
          </w:tcPr>
          <w:p>
            <w:pPr>
              <w:pStyle w:val="TableContents"/>
              <w:spacing w:before="0" w:after="0"/>
              <w:jc w:val="both"/>
              <w:rPr>
                <w:rFonts w:ascii="arial" w:hAnsi="arial"/>
                <w:spacing w:val="0"/>
                <w:sz w:val="20"/>
              </w:rPr>
            </w:pPr>
            <w:r>
              <w:rPr>
                <w:rFonts w:ascii="arial" w:hAnsi="arial"/>
                <w:spacing w:val="0"/>
                <w:sz w:val="20"/>
              </w:rPr>
              <w:t>Non-accelerated</w:t>
            </w:r>
          </w:p>
          <w:p>
            <w:pPr>
              <w:pStyle w:val="TableContents"/>
              <w:spacing w:before="0" w:after="0"/>
              <w:jc w:val="both"/>
              <w:rPr>
                <w:rFonts w:ascii="arial" w:hAnsi="arial"/>
                <w:sz w:val="20"/>
              </w:rPr>
            </w:pPr>
            <w:r>
              <w:rPr>
                <w:rFonts w:ascii="arial" w:hAnsi="arial"/>
                <w:sz w:val="20"/>
              </w:rPr>
              <w:t>filer</w:t>
            </w:r>
          </w:p>
        </w:tc>
        <w:tc>
          <w:tcPr>
            <w:tcW w:w="60"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0"/>
              <w:jc w:val="both"/>
              <w:rPr>
                <w:spacing w:val="0"/>
              </w:rPr>
            </w:pPr>
            <w:r>
              <w:rPr>
                <w:spacing w:val="0"/>
              </w:rPr>
              <w:t>☐</w:t>
            </w:r>
          </w:p>
        </w:tc>
        <w:tc>
          <w:tcPr>
            <w:tcW w:w="120" w:type="dxa"/>
            <w:tcBorders/>
            <w:shd w:fill="auto" w:val="clear"/>
            <w:vAlign w:val="center"/>
          </w:tcPr>
          <w:p>
            <w:pPr>
              <w:pStyle w:val="TableContents"/>
              <w:spacing w:before="0" w:after="283"/>
              <w:rPr/>
            </w:pPr>
            <w:r>
              <w:rPr/>
              <w:t>  </w:t>
            </w:r>
          </w:p>
        </w:tc>
        <w:tc>
          <w:tcPr>
            <w:tcW w:w="2345" w:type="dxa"/>
            <w:tcBorders/>
            <w:shd w:fill="auto" w:val="clear"/>
            <w:vAlign w:val="center"/>
          </w:tcPr>
          <w:p>
            <w:pPr>
              <w:pStyle w:val="TableContents"/>
              <w:spacing w:before="0" w:after="0"/>
              <w:jc w:val="both"/>
              <w:rPr>
                <w:rFonts w:ascii="arial" w:hAnsi="arial"/>
                <w:sz w:val="20"/>
              </w:rPr>
            </w:pPr>
            <w:r>
              <w:rPr>
                <w:rFonts w:ascii="arial" w:hAnsi="arial"/>
                <w:sz w:val="20"/>
              </w:rPr>
              <w:t>Smaller reporting company</w:t>
            </w:r>
          </w:p>
        </w:tc>
        <w:tc>
          <w:tcPr>
            <w:tcW w:w="6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0"/>
              <w:jc w:val="both"/>
              <w:rPr>
                <w:spacing w:val="0"/>
              </w:rPr>
            </w:pPr>
            <w:r>
              <w:rPr>
                <w:spacing w:val="0"/>
              </w:rPr>
              <w:t>☐</w:t>
            </w:r>
          </w:p>
        </w:tc>
      </w:tr>
      <w:tr>
        <w:trPr/>
        <w:tc>
          <w:tcPr>
            <w:tcW w:w="1955" w:type="dxa"/>
            <w:tcBorders/>
            <w:shd w:fill="auto" w:val="clear"/>
            <w:vAlign w:val="center"/>
          </w:tcPr>
          <w:p>
            <w:pPr>
              <w:pStyle w:val="TableContents"/>
              <w:spacing w:before="0" w:after="283"/>
              <w:rPr/>
            </w:pPr>
            <w:r>
              <w:rPr/>
              <w:t> </w:t>
            </w:r>
          </w:p>
        </w:tc>
        <w:tc>
          <w:tcPr>
            <w:tcW w:w="290" w:type="dxa"/>
            <w:gridSpan w:val="2"/>
            <w:tcBorders/>
            <w:shd w:fill="auto" w:val="clear"/>
            <w:vAlign w:val="center"/>
          </w:tcPr>
          <w:p>
            <w:pPr>
              <w:pStyle w:val="TableContents"/>
              <w:spacing w:before="0" w:after="283"/>
              <w:rPr/>
            </w:pPr>
            <w:r>
              <w:rPr/>
              <w:t> </w:t>
            </w:r>
          </w:p>
        </w:tc>
        <w:tc>
          <w:tcPr>
            <w:tcW w:w="2465" w:type="dxa"/>
            <w:gridSpan w:val="2"/>
            <w:tcBorders/>
            <w:shd w:fill="auto" w:val="clear"/>
            <w:vAlign w:val="center"/>
          </w:tcPr>
          <w:p>
            <w:pPr>
              <w:pStyle w:val="TableContents"/>
              <w:spacing w:before="0" w:after="283"/>
              <w:rPr/>
            </w:pPr>
            <w:r>
              <w:rPr/>
              <w:t> </w:t>
            </w:r>
          </w:p>
        </w:tc>
        <w:tc>
          <w:tcPr>
            <w:tcW w:w="305" w:type="dxa"/>
            <w:gridSpan w:val="2"/>
            <w:tcBorders/>
            <w:shd w:fill="auto" w:val="clear"/>
            <w:vAlign w:val="center"/>
          </w:tcPr>
          <w:p>
            <w:pPr>
              <w:pStyle w:val="TableContents"/>
              <w:spacing w:before="0" w:after="283"/>
              <w:rPr/>
            </w:pPr>
            <w:r>
              <w:rPr/>
              <w:t> </w:t>
            </w:r>
          </w:p>
        </w:tc>
      </w:tr>
      <w:tr>
        <w:trPr/>
        <w:tc>
          <w:tcPr>
            <w:tcW w:w="19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345" w:type="dxa"/>
            <w:tcBorders/>
            <w:shd w:fill="auto" w:val="clear"/>
            <w:vAlign w:val="center"/>
          </w:tcPr>
          <w:p>
            <w:pPr>
              <w:pStyle w:val="TableContents"/>
              <w:spacing w:before="0" w:after="0"/>
              <w:jc w:val="both"/>
              <w:rPr>
                <w:rFonts w:ascii="arial" w:hAnsi="arial"/>
                <w:sz w:val="20"/>
              </w:rPr>
            </w:pPr>
            <w:r>
              <w:rPr>
                <w:rFonts w:ascii="arial" w:hAnsi="arial"/>
                <w:sz w:val="20"/>
              </w:rPr>
              <w:t>Emerging growth company</w:t>
            </w:r>
          </w:p>
        </w:tc>
        <w:tc>
          <w:tcPr>
            <w:tcW w:w="6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0"/>
              <w:jc w:val="both"/>
              <w:rPr>
                <w:spacing w:val="0"/>
              </w:rPr>
            </w:pPr>
            <w:r>
              <w:rPr>
                <w:spacing w:val="0"/>
              </w:rPr>
              <w:t>☐</w:t>
            </w:r>
          </w:p>
        </w:tc>
      </w:tr>
    </w:tbl>
    <w:p>
      <w:pPr>
        <w:pStyle w:val="TextBody"/>
        <w:spacing w:before="40" w:after="0"/>
        <w:ind w:left="0" w:right="0" w:hanging="0"/>
        <w:jc w:val="both"/>
        <w:rPr>
          <w:rFonts w:ascii="arial" w:hAnsi="arial"/>
          <w:sz w:val="20"/>
          <w:highlight w:val="white"/>
        </w:rPr>
      </w:pPr>
      <w:r>
        <w:rPr>
          <w:rFonts w:ascii="arial" w:hAnsi="arial"/>
          <w:sz w:val="20"/>
          <w:highlight w:val="white"/>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40" w:after="0"/>
        <w:jc w:val="both"/>
        <w:rPr>
          <w:spacing w:val="0"/>
          <w:highlight w:val="white"/>
        </w:rPr>
      </w:pPr>
      <w:r>
        <w:rPr>
          <w:spacing w:val="0"/>
          <w:highlight w:val="white"/>
        </w:rPr>
        <w:t>☐</w:t>
      </w:r>
    </w:p>
    <w:p>
      <w:pPr>
        <w:pStyle w:val="TextBody"/>
        <w:spacing w:before="40" w:after="0"/>
        <w:ind w:left="0" w:right="0" w:hanging="0"/>
        <w:jc w:val="both"/>
        <w:rPr>
          <w:rFonts w:ascii="arial" w:hAnsi="arial"/>
          <w:sz w:val="20"/>
          <w:highlight w:val="white"/>
        </w:rPr>
      </w:pPr>
      <w:r>
        <w:rPr>
          <w:rFonts w:ascii="arial" w:hAnsi="arial"/>
          <w:sz w:val="20"/>
          <w:highlight w:val="white"/>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spacing w:before="40" w:after="0"/>
        <w:jc w:val="both"/>
        <w:rPr>
          <w:spacing w:val="0"/>
          <w:highlight w:val="white"/>
        </w:rPr>
      </w:pPr>
      <w:r>
        <w:rPr>
          <w:spacing w:val="0"/>
          <w:highlight w:val="white"/>
        </w:rPr>
        <w:t>☑</w:t>
      </w:r>
    </w:p>
    <w:p>
      <w:pPr>
        <w:pStyle w:val="TextBody"/>
        <w:spacing w:before="40" w:after="0"/>
        <w:ind w:left="0" w:right="0" w:hanging="0"/>
        <w:jc w:val="both"/>
        <w:rPr>
          <w:rFonts w:ascii="arial" w:hAnsi="arial"/>
          <w:sz w:val="20"/>
          <w:highlight w:val="white"/>
        </w:rPr>
      </w:pPr>
      <w:r>
        <w:rPr>
          <w:rFonts w:ascii="arial" w:hAnsi="arial"/>
          <w:sz w:val="20"/>
          <w:highlight w:val="white"/>
        </w:rPr>
        <w:t xml:space="preserve">Indicate by check mark whether the registrant is a shell company (as defined in </w:t>
      </w:r>
    </w:p>
    <w:p>
      <w:pPr>
        <w:pStyle w:val="TextBody"/>
        <w:spacing w:before="40" w:after="0"/>
        <w:jc w:val="both"/>
        <w:rPr>
          <w:rFonts w:ascii="arial" w:hAnsi="arial"/>
          <w:spacing w:val="0"/>
          <w:sz w:val="20"/>
          <w:highlight w:val="white"/>
        </w:rPr>
      </w:pPr>
      <w:r>
        <w:rPr>
          <w:rFonts w:ascii="arial" w:hAnsi="arial"/>
          <w:spacing w:val="0"/>
          <w:sz w:val="20"/>
          <w:highlight w:val="white"/>
        </w:rPr>
        <w:t>Rule 12b-2</w:t>
      </w:r>
    </w:p>
    <w:p>
      <w:pPr>
        <w:pStyle w:val="TextBody"/>
        <w:spacing w:before="40" w:after="0"/>
        <w:jc w:val="both"/>
        <w:rPr>
          <w:rFonts w:ascii="arial" w:hAnsi="arial"/>
          <w:sz w:val="20"/>
          <w:highlight w:val="white"/>
        </w:rPr>
      </w:pPr>
      <w:r>
        <w:rPr>
          <w:rFonts w:ascii="arial" w:hAnsi="arial"/>
          <w:sz w:val="20"/>
          <w:highlight w:val="white"/>
        </w:rPr>
        <w:t>of the Act).    Yes  </w:t>
      </w:r>
    </w:p>
    <w:p>
      <w:pPr>
        <w:pStyle w:val="TextBody"/>
        <w:spacing w:before="40" w:after="0"/>
        <w:jc w:val="both"/>
        <w:rPr>
          <w:spacing w:val="0"/>
          <w:highlight w:val="white"/>
        </w:rPr>
      </w:pPr>
      <w:r>
        <w:rPr>
          <w:spacing w:val="0"/>
          <w:highlight w:val="white"/>
        </w:rPr>
        <w:t>☐</w:t>
      </w:r>
    </w:p>
    <w:p>
      <w:pPr>
        <w:pStyle w:val="TextBody"/>
        <w:spacing w:before="40" w:after="0"/>
        <w:jc w:val="both"/>
        <w:rPr>
          <w:highlight w:val="white"/>
        </w:rPr>
      </w:pPr>
      <w:r>
        <w:rPr>
          <w:highlight w:val="white"/>
        </w:rPr>
        <w:t>    </w:t>
      </w:r>
      <w:r>
        <w:rPr>
          <w:rFonts w:ascii="arial" w:hAnsi="arial"/>
          <w:sz w:val="20"/>
          <w:highlight w:val="white"/>
        </w:rPr>
        <w:t>No  </w:t>
      </w:r>
    </w:p>
    <w:p>
      <w:pPr>
        <w:pStyle w:val="TextBody"/>
        <w:spacing w:before="40" w:after="0"/>
        <w:jc w:val="both"/>
        <w:rPr>
          <w:spacing w:val="0"/>
          <w:highlight w:val="white"/>
        </w:rPr>
      </w:pPr>
      <w:r>
        <w:rPr>
          <w:spacing w:val="0"/>
          <w:highlight w:val="white"/>
        </w:rPr>
        <w:t>☑</w:t>
      </w:r>
    </w:p>
    <w:p>
      <w:pPr>
        <w:pStyle w:val="TextBody"/>
        <w:spacing w:before="40" w:after="0"/>
        <w:ind w:left="0" w:right="0" w:hanging="0"/>
        <w:jc w:val="both"/>
        <w:rPr>
          <w:rFonts w:ascii="arial" w:hAnsi="arial"/>
          <w:sz w:val="20"/>
          <w:highlight w:val="white"/>
        </w:rPr>
      </w:pPr>
      <w:r>
        <w:rPr>
          <w:rFonts w:ascii="arial" w:hAnsi="arial"/>
          <w:sz w:val="20"/>
          <w:highlight w:val="white"/>
        </w:rPr>
        <w:t xml:space="preserve">The aggregate market value of the voting and </w:t>
      </w:r>
    </w:p>
    <w:p>
      <w:pPr>
        <w:pStyle w:val="TextBody"/>
        <w:spacing w:before="40" w:after="0"/>
        <w:jc w:val="both"/>
        <w:rPr>
          <w:rFonts w:ascii="arial" w:hAnsi="arial"/>
          <w:spacing w:val="0"/>
          <w:sz w:val="20"/>
          <w:highlight w:val="white"/>
        </w:rPr>
      </w:pPr>
      <w:r>
        <w:rPr>
          <w:rFonts w:ascii="arial" w:hAnsi="arial"/>
          <w:spacing w:val="0"/>
          <w:sz w:val="20"/>
          <w:highlight w:val="white"/>
        </w:rPr>
        <w:t>non-voting</w:t>
      </w:r>
    </w:p>
    <w:p>
      <w:pPr>
        <w:pStyle w:val="TextBody"/>
        <w:spacing w:before="40" w:after="0"/>
        <w:jc w:val="both"/>
        <w:rPr>
          <w:rFonts w:ascii="arial" w:hAnsi="arial"/>
          <w:sz w:val="20"/>
          <w:highlight w:val="white"/>
        </w:rPr>
      </w:pPr>
      <w:r>
        <w:rPr>
          <w:rFonts w:ascii="arial" w:hAnsi="arial"/>
          <w:sz w:val="20"/>
          <w:highlight w:val="white"/>
        </w:rPr>
        <w:t xml:space="preserve">common equity held by </w:t>
      </w:r>
    </w:p>
    <w:p>
      <w:pPr>
        <w:pStyle w:val="TextBody"/>
        <w:spacing w:before="40" w:after="0"/>
        <w:jc w:val="both"/>
        <w:rPr>
          <w:rFonts w:ascii="arial" w:hAnsi="arial"/>
          <w:spacing w:val="0"/>
          <w:sz w:val="20"/>
          <w:highlight w:val="white"/>
        </w:rPr>
      </w:pPr>
      <w:r>
        <w:rPr>
          <w:rFonts w:ascii="arial" w:hAnsi="arial"/>
          <w:spacing w:val="0"/>
          <w:sz w:val="20"/>
          <w:highlight w:val="white"/>
        </w:rPr>
        <w:t>non-affiliates</w:t>
      </w:r>
    </w:p>
    <w:p>
      <w:pPr>
        <w:pStyle w:val="TextBody"/>
        <w:spacing w:before="40" w:after="0"/>
        <w:jc w:val="both"/>
        <w:rPr>
          <w:rFonts w:ascii="arial" w:hAnsi="arial"/>
          <w:sz w:val="20"/>
          <w:highlight w:val="white"/>
        </w:rPr>
      </w:pPr>
      <w:r>
        <w:rPr>
          <w:rFonts w:ascii="arial" w:hAnsi="arial"/>
          <w:sz w:val="20"/>
          <w:highlight w:val="white"/>
        </w:rPr>
        <w:t xml:space="preserve">of the registrant as of June 30, 2022, the last business day of the registrant’s most recently completed second fiscal quarter, was approximately $12,662,127,991. </w:t>
      </w:r>
    </w:p>
    <w:p>
      <w:pPr>
        <w:pStyle w:val="TextBody"/>
        <w:spacing w:before="40" w:after="0"/>
        <w:ind w:left="0" w:right="0" w:hanging="0"/>
        <w:jc w:val="both"/>
        <w:rPr>
          <w:rFonts w:ascii="arial" w:hAnsi="arial"/>
          <w:sz w:val="20"/>
          <w:highlight w:val="white"/>
        </w:rPr>
      </w:pPr>
      <w:r>
        <w:rPr>
          <w:rFonts w:ascii="arial" w:hAnsi="arial"/>
          <w:sz w:val="20"/>
          <w:highlight w:val="white"/>
        </w:rPr>
        <w:t xml:space="preserve">The number of shares of common stock outstanding, par value $0.01 per share, of the registrant as of </w:t>
      </w:r>
    </w:p>
    <w:p>
      <w:pPr>
        <w:pStyle w:val="TextBody"/>
        <w:widowControl/>
        <w:spacing w:before="40" w:after="0"/>
        <w:ind w:left="0" w:right="0" w:hanging="0"/>
        <w:jc w:val="both"/>
        <w:rPr>
          <w:rFonts w:ascii="arial" w:hAnsi="arial"/>
          <w:b w:val="false"/>
          <w:i w:val="false"/>
          <w:caps w:val="false"/>
          <w:smallCaps w:val="false"/>
          <w:color w:val="000000"/>
          <w:spacing w:val="0"/>
          <w:sz w:val="20"/>
          <w:highlight w:val="white"/>
        </w:rPr>
      </w:pPr>
      <w:r>
        <w:rPr>
          <w:rFonts w:ascii="arial" w:hAnsi="arial"/>
          <w:b w:val="false"/>
          <w:i w:val="false"/>
          <w:caps w:val="false"/>
          <w:smallCaps w:val="false"/>
          <w:color w:val="000000"/>
          <w:spacing w:val="0"/>
          <w:sz w:val="20"/>
          <w:highlight w:val="white"/>
        </w:rPr>
        <w:t>April 24, 2023 was 1,199,008,181.</w:t>
      </w:r>
    </w:p>
    <w:p>
      <w:pPr>
        <w:pStyle w:val="TextBody"/>
        <w:spacing w:before="40" w:after="0"/>
        <w:ind w:left="0" w:right="0" w:hanging="0"/>
        <w:jc w:val="center"/>
        <w:rPr>
          <w:rFonts w:ascii="arial" w:hAnsi="arial"/>
          <w:b/>
          <w:sz w:val="20"/>
          <w:highlight w:val="white"/>
        </w:rPr>
      </w:pPr>
      <w:r>
        <w:rPr>
          <w:rFonts w:ascii="arial" w:hAnsi="arial"/>
          <w:b/>
          <w:sz w:val="20"/>
          <w:highlight w:val="white"/>
        </w:rPr>
        <w:t xml:space="preserve">DOCUMENTS INCORPORATED BY REFERENCE </w:t>
      </w:r>
    </w:p>
    <w:p>
      <w:pPr>
        <w:pStyle w:val="TextBody"/>
        <w:spacing w:before="40" w:after="0"/>
        <w:ind w:left="0" w:right="0" w:hanging="0"/>
        <w:jc w:val="both"/>
        <w:rPr>
          <w:rFonts w:ascii="arial" w:hAnsi="arial"/>
          <w:sz w:val="20"/>
          <w:highlight w:val="white"/>
        </w:rPr>
      </w:pPr>
      <w:r>
        <w:rPr>
          <w:rFonts w:ascii="arial" w:hAnsi="arial"/>
          <w:sz w:val="20"/>
          <w:highlight w:val="white"/>
        </w:rPr>
        <w:t xml:space="preserve">None. </w:t>
      </w:r>
    </w:p>
    <w:tbl>
      <w:tblPr>
        <w:tblW w:w="145" w:type="dxa"/>
        <w:jc w:val="left"/>
        <w:tblInd w:w="0" w:type="dxa"/>
        <w:tblCellMar>
          <w:top w:w="0" w:type="dxa"/>
          <w:left w:w="0" w:type="dxa"/>
          <w:bottom w:w="0" w:type="dxa"/>
          <w:right w:w="0" w:type="dxa"/>
        </w:tblCellMar>
      </w:tblPr>
      <w:tblGrid>
        <w:gridCol w:w="38"/>
        <w:gridCol w:w="23"/>
        <w:gridCol w:w="23"/>
        <w:gridCol w:w="23"/>
        <w:gridCol w:w="38"/>
      </w:tblGrid>
      <w:tr>
        <w:trPr/>
        <w:tc>
          <w:tcPr>
            <w:tcW w:w="38"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rPr>
          <w:sz w:val="6"/>
        </w:rPr>
      </w:pPr>
      <w:r>
        <w:rPr>
          <w:sz w:val="6"/>
        </w:rPr>
      </w:r>
    </w:p>
    <w:tbl>
      <w:tblPr>
        <w:tblW w:w="10095" w:type="dxa"/>
        <w:jc w:val="left"/>
        <w:tblInd w:w="0" w:type="dxa"/>
        <w:tblCellMar>
          <w:top w:w="0" w:type="dxa"/>
          <w:left w:w="0" w:type="dxa"/>
          <w:bottom w:w="0" w:type="dxa"/>
          <w:right w:w="0" w:type="dxa"/>
        </w:tblCellMar>
      </w:tblPr>
      <w:tblGrid>
        <w:gridCol w:w="3785"/>
        <w:gridCol w:w="120"/>
        <w:gridCol w:w="4115"/>
        <w:gridCol w:w="120"/>
        <w:gridCol w:w="1955"/>
      </w:tblGrid>
      <w:tr>
        <w:trPr/>
        <w:tc>
          <w:tcPr>
            <w:tcW w:w="3785" w:type="dxa"/>
            <w:tcBorders/>
            <w:shd w:fill="auto" w:val="clear"/>
            <w:vAlign w:val="center"/>
          </w:tcPr>
          <w:p>
            <w:pPr>
              <w:pStyle w:val="TableContents"/>
              <w:spacing w:before="0" w:after="283"/>
              <w:rPr/>
            </w:pPr>
            <w:r>
              <w:rPr/>
              <w:t>Auditor Name: Deloitte &amp; Touche LLP</w:t>
            </w:r>
          </w:p>
        </w:tc>
        <w:tc>
          <w:tcPr>
            <w:tcW w:w="120" w:type="dxa"/>
            <w:tcBorders/>
            <w:shd w:fill="auto" w:val="clear"/>
            <w:vAlign w:val="center"/>
          </w:tcPr>
          <w:p>
            <w:pPr>
              <w:pStyle w:val="TableContents"/>
              <w:spacing w:before="0" w:after="283"/>
              <w:rPr/>
            </w:pPr>
            <w:r>
              <w:rPr/>
              <w:t>  </w:t>
            </w:r>
          </w:p>
        </w:tc>
        <w:tc>
          <w:tcPr>
            <w:tcW w:w="4115" w:type="dxa"/>
            <w:tcBorders/>
            <w:shd w:fill="auto" w:val="clear"/>
            <w:vAlign w:val="center"/>
          </w:tcPr>
          <w:p>
            <w:pPr>
              <w:pStyle w:val="TableContents"/>
              <w:spacing w:before="0" w:after="283"/>
              <w:jc w:val="center"/>
              <w:rPr/>
            </w:pPr>
            <w:r>
              <w:rPr/>
              <w:t>Auditor Location: Pittsburgh, Pennsylvania</w:t>
            </w:r>
          </w:p>
        </w:tc>
        <w:tc>
          <w:tcPr>
            <w:tcW w:w="120" w:type="dxa"/>
            <w:tcBorders/>
            <w:shd w:fill="auto" w:val="clear"/>
            <w:vAlign w:val="center"/>
          </w:tcPr>
          <w:p>
            <w:pPr>
              <w:pStyle w:val="TableContents"/>
              <w:spacing w:before="0" w:after="283"/>
              <w:rPr/>
            </w:pPr>
            <w:r>
              <w:rPr/>
              <w:t>  </w:t>
            </w:r>
          </w:p>
        </w:tc>
        <w:tc>
          <w:tcPr>
            <w:tcW w:w="1955" w:type="dxa"/>
            <w:tcBorders/>
            <w:shd w:fill="auto" w:val="clear"/>
            <w:vAlign w:val="center"/>
          </w:tcPr>
          <w:p>
            <w:pPr>
              <w:pStyle w:val="TableContents"/>
              <w:spacing w:before="0" w:after="283"/>
              <w:jc w:val="center"/>
              <w:rPr/>
            </w:pPr>
            <w:r>
              <w:rPr/>
              <w:t>Auditor Firm ID: 34</w:t>
            </w:r>
          </w:p>
        </w:tc>
      </w:tr>
    </w:tbl>
    <w:p>
      <w:pPr>
        <w:pStyle w:val="TextBody"/>
        <w:spacing w:before="0" w:after="0"/>
        <w:ind w:left="0" w:right="0" w:hanging="0"/>
        <w:jc w:val="left"/>
        <w:rPr>
          <w:highlight w:val="white"/>
        </w:rPr>
      </w:pPr>
      <w:r>
        <w:rPr>
          <w:highlight w:val="white"/>
        </w:rPr>
        <w:t> </w:t>
      </w:r>
    </w:p>
    <w:p>
      <w:pPr>
        <w:pStyle w:val="TextBody"/>
        <w:spacing w:lineRule="atLeast" w:line="141" w:before="0" w:after="0"/>
        <w:ind w:left="0" w:right="0" w:hanging="0"/>
        <w:jc w:val="left"/>
        <w:rPr>
          <w:highlight w:val="white"/>
          <w:bdr w:val="single" w:sz="2" w:space="1" w:color="000000"/>
        </w:rPr>
      </w:pPr>
      <w:r>
        <w:rPr>
          <w:highlight w:val="white"/>
          <w:bdr w:val="single" w:sz="2" w:space="1" w:color="000000"/>
        </w:rPr>
        <w:t> </w:t>
      </w:r>
    </w:p>
    <w:p>
      <w:pPr>
        <w:pStyle w:val="TextBody"/>
        <w:spacing w:lineRule="atLeast" w:line="141" w:before="0" w:after="0"/>
        <w:ind w:left="0" w:right="0" w:hanging="0"/>
        <w:jc w:val="left"/>
        <w:rPr>
          <w:highlight w:val="white"/>
          <w:bdr w:val="single" w:sz="16" w:space="1" w:color="000000"/>
        </w:rPr>
      </w:pPr>
      <w:r>
        <w:rPr>
          <w:highlight w:val="white"/>
          <w:bdr w:val="single" w:sz="16" w:space="1" w:color="000000"/>
        </w:rPr>
        <w:t> </w:t>
      </w:r>
    </w:p>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center"/>
        <w:rPr>
          <w:rFonts w:ascii="arial" w:hAnsi="arial"/>
          <w:b/>
          <w:sz w:val="20"/>
          <w:highlight w:val="white"/>
        </w:rPr>
      </w:pPr>
      <w:r>
        <w:rPr>
          <w:rFonts w:ascii="arial" w:hAnsi="arial"/>
          <w:b/>
          <w:sz w:val="20"/>
          <w:highlight w:val="white"/>
        </w:rPr>
        <w:t xml:space="preserve">EXPLANATORY NOTE </w:t>
      </w:r>
    </w:p>
    <w:p>
      <w:pPr>
        <w:pStyle w:val="TextBody"/>
        <w:spacing w:before="240" w:after="0"/>
        <w:jc w:val="both"/>
        <w:rPr>
          <w:rFonts w:ascii="arial" w:hAnsi="arial"/>
          <w:sz w:val="18"/>
          <w:highlight w:val="white"/>
        </w:rPr>
      </w:pPr>
      <w:r>
        <w:rPr>
          <w:rFonts w:ascii="arial" w:hAnsi="arial"/>
          <w:sz w:val="18"/>
          <w:highlight w:val="white"/>
        </w:rPr>
        <w:t xml:space="preserve">This Amendment No. 1 on Form </w:t>
      </w:r>
    </w:p>
    <w:p>
      <w:pPr>
        <w:pStyle w:val="TextBody"/>
        <w:spacing w:before="240" w:after="0"/>
        <w:jc w:val="both"/>
        <w:rPr>
          <w:rFonts w:ascii="arial" w:hAnsi="arial"/>
          <w:spacing w:val="0"/>
          <w:sz w:val="18"/>
          <w:highlight w:val="white"/>
        </w:rPr>
      </w:pPr>
      <w:r>
        <w:rPr>
          <w:rFonts w:ascii="arial" w:hAnsi="arial"/>
          <w:spacing w:val="0"/>
          <w:sz w:val="18"/>
          <w:highlight w:val="white"/>
        </w:rPr>
        <w:t>10-K/A</w:t>
      </w:r>
    </w:p>
    <w:p>
      <w:pPr>
        <w:pStyle w:val="TextBody"/>
        <w:spacing w:before="240" w:after="0"/>
        <w:jc w:val="both"/>
        <w:rPr>
          <w:rFonts w:ascii="arial" w:hAnsi="arial"/>
          <w:sz w:val="18"/>
          <w:highlight w:val="white"/>
        </w:rPr>
      </w:pPr>
      <w:r>
        <w:rPr>
          <w:rFonts w:ascii="arial" w:hAnsi="arial"/>
          <w:sz w:val="18"/>
          <w:highlight w:val="white"/>
        </w:rPr>
        <w:t xml:space="preserve">(this “Amendment”) amends our Annual Report on Form </w:t>
      </w:r>
    </w:p>
    <w:p>
      <w:pPr>
        <w:pStyle w:val="TextBody"/>
        <w:spacing w:before="240" w:after="0"/>
        <w:jc w:val="both"/>
        <w:rPr>
          <w:rFonts w:ascii="arial" w:hAnsi="arial"/>
          <w:spacing w:val="0"/>
          <w:sz w:val="18"/>
          <w:highlight w:val="white"/>
        </w:rPr>
      </w:pPr>
      <w:r>
        <w:rPr>
          <w:rFonts w:ascii="arial" w:hAnsi="arial"/>
          <w:spacing w:val="0"/>
          <w:sz w:val="18"/>
          <w:highlight w:val="white"/>
        </w:rPr>
        <w:t>10-K</w:t>
      </w:r>
    </w:p>
    <w:p>
      <w:pPr>
        <w:pStyle w:val="TextBody"/>
        <w:spacing w:before="240" w:after="0"/>
        <w:jc w:val="both"/>
        <w:rPr>
          <w:rFonts w:ascii="arial" w:hAnsi="arial"/>
          <w:sz w:val="18"/>
          <w:highlight w:val="white"/>
        </w:rPr>
      </w:pPr>
      <w:r>
        <w:rPr>
          <w:rFonts w:ascii="arial" w:hAnsi="arial"/>
          <w:sz w:val="18"/>
          <w:highlight w:val="white"/>
        </w:rPr>
        <w:t xml:space="preserve">for the fiscal year ended December 31, 2022, originally filed on February 27, 2023 (the “Original Filing”). We are filing this Amendment to include the information required by Part III and not included in the Original Filing, as we do not intend to file a definitive proxy statement for an annual meeting of shareholders within 120 days of the end of our fiscal year ended December 31, 2022. In addition, in connection with the filing of this Amendment and pursuant to the rules of the Securities and Exchange Commission (the “SEC”), we are including with this Amendment new certifications of our principal executive officer and principal financial officer pursuant to Section 302 of the Sarbanes-Oxley Act of 2002. Item 15 of Part IV has also been amended to reflect the filing of these new certifications. Except as described above, no other changes have been made to the Original Filing. The Original Filing continues to speak as of the date of the Original Filing, and we have not updated the disclosures contained therein to reflect any events which occurred at a date subsequent to the filing of the Original Filing. </w:t>
      </w:r>
    </w:p>
    <w:p>
      <w:pPr>
        <w:pStyle w:val="TextBody"/>
        <w:spacing w:before="240" w:after="0"/>
        <w:ind w:left="0" w:right="0" w:hanging="0"/>
        <w:jc w:val="both"/>
        <w:rPr>
          <w:rFonts w:ascii="arial" w:hAnsi="arial"/>
          <w:spacing w:val="0"/>
          <w:sz w:val="18"/>
          <w:highlight w:val="white"/>
        </w:rPr>
      </w:pPr>
      <w:r>
        <w:rPr>
          <w:rFonts w:ascii="arial" w:hAnsi="arial"/>
          <w:spacing w:val="0"/>
          <w:sz w:val="18"/>
          <w:highlight w:val="white"/>
        </w:rPr>
        <w:t xml:space="preserve">As used in this Amendment, unless the context requires otherwise, the “Company”, “Viatris”, “our”, and “we” mean Viatris Inc. and its consolidated subsidiaries, “NASDAQ” means The NASDAQ Global Select Stock Market and “U.S. GAAP” means accounting principles generally accepted in the United States (“U.S.”). </w:t>
      </w:r>
    </w:p>
    <w:p>
      <w:pPr>
        <w:pStyle w:val="TextBody"/>
        <w:spacing w:before="240" w:after="0"/>
        <w:jc w:val="both"/>
        <w:rPr>
          <w:rFonts w:ascii="arial" w:hAnsi="arial"/>
          <w:sz w:val="18"/>
          <w:highlight w:val="white"/>
        </w:rPr>
      </w:pPr>
      <w:r>
        <w:rPr>
          <w:rFonts w:ascii="arial" w:hAnsi="arial"/>
          <w:sz w:val="18"/>
          <w:highlight w:val="white"/>
        </w:rPr>
        <w:t xml:space="preserve">On November 16, 2020, Viatris, formerly known as Upjohn Inc., Mylan N.V. (“Mylan”) and Pfizer Inc. (“Pfizer”) consummated the combination of Mylan with Pfizer’s Upjohn business (the “Upjohn Business”) through a Reverse Morris Trust transaction (the “Combination”). As a result of the Combination, Viatris held the combined Upjohn Business and Mylan business and Mylan ceased to exist as a separate legal entity after merging with and into Mylan II B.V., an indirect wholly owned subsidiary of Viatris. In accordance with </w:t>
      </w:r>
    </w:p>
    <w:p>
      <w:pPr>
        <w:pStyle w:val="TextBody"/>
        <w:spacing w:before="240" w:after="0"/>
        <w:jc w:val="both"/>
        <w:rPr>
          <w:rFonts w:ascii="arial" w:hAnsi="arial"/>
          <w:i/>
          <w:caps w:val="false"/>
          <w:smallCaps w:val="false"/>
          <w:spacing w:val="0"/>
          <w:sz w:val="18"/>
          <w:highlight w:val="white"/>
        </w:rPr>
      </w:pPr>
      <w:r>
        <w:rPr>
          <w:rFonts w:ascii="arial" w:hAnsi="arial"/>
          <w:i/>
          <w:caps w:val="false"/>
          <w:smallCaps w:val="false"/>
          <w:spacing w:val="0"/>
          <w:sz w:val="18"/>
          <w:highlight w:val="white"/>
        </w:rPr>
        <w:t>Accounting Standards Codification 805, Business Combinations</w:t>
      </w:r>
    </w:p>
    <w:p>
      <w:pPr>
        <w:pStyle w:val="TextBody"/>
        <w:spacing w:before="240" w:after="0"/>
        <w:jc w:val="both"/>
        <w:rPr>
          <w:rFonts w:ascii="arial" w:hAnsi="arial"/>
          <w:sz w:val="18"/>
          <w:highlight w:val="white"/>
        </w:rPr>
      </w:pPr>
      <w:r>
        <w:rPr>
          <w:rFonts w:ascii="arial" w:hAnsi="arial"/>
          <w:sz w:val="18"/>
          <w:highlight w:val="white"/>
        </w:rPr>
        <w:t xml:space="preserve">, Mylan is considered the accounting acquirer of the Upjohn Business and all historical financial information of the Company prior to November 16, 2020 represents Mylan’s historical results and the Company’s thereafter. </w:t>
      </w:r>
    </w:p>
    <w:p>
      <w:pPr>
        <w:pStyle w:val="TextBody"/>
        <w:spacing w:before="360" w:after="0"/>
        <w:jc w:val="left"/>
        <w:rPr>
          <w:rFonts w:ascii="arial" w:hAnsi="arial"/>
          <w:b/>
          <w:sz w:val="20"/>
          <w:highlight w:val="white"/>
        </w:rPr>
      </w:pPr>
      <w:r>
        <w:rPr>
          <w:rFonts w:ascii="arial" w:hAnsi="arial"/>
          <w:b/>
          <w:sz w:val="20"/>
          <w:highlight w:val="white"/>
        </w:rPr>
        <w:t xml:space="preserve">Forward-Looking Statements </w:t>
      </w:r>
    </w:p>
    <w:p>
      <w:pPr>
        <w:pStyle w:val="TextBody"/>
        <w:spacing w:before="120" w:after="0"/>
        <w:jc w:val="both"/>
        <w:rPr>
          <w:rFonts w:ascii="arial" w:hAnsi="arial"/>
          <w:sz w:val="18"/>
          <w:highlight w:val="white"/>
        </w:rPr>
      </w:pPr>
      <w:r>
        <w:rPr>
          <w:rFonts w:ascii="arial" w:hAnsi="arial"/>
          <w:sz w:val="18"/>
          <w:highlight w:val="white"/>
        </w:rPr>
        <w:t xml:space="preserve">This Amendment contains “forward-looking statements”. These statements are made pursuant to the safe harbor provisions of the Private Securities Litigation Reform Act of 1995. Such forward-looking statements may include, without limitation, statements about the goals or outlooks with respect to the Company’s strategic initiatives, including but not limited to the Company’s </w:t>
      </w:r>
    </w:p>
    <w:p>
      <w:pPr>
        <w:pStyle w:val="TextBody"/>
        <w:spacing w:before="120" w:after="0"/>
        <w:jc w:val="both"/>
        <w:rPr>
          <w:rFonts w:ascii="arial" w:hAnsi="arial"/>
          <w:spacing w:val="0"/>
          <w:sz w:val="18"/>
          <w:highlight w:val="white"/>
        </w:rPr>
      </w:pPr>
      <w:r>
        <w:rPr>
          <w:rFonts w:ascii="arial" w:hAnsi="arial"/>
          <w:spacing w:val="0"/>
          <w:sz w:val="18"/>
          <w:highlight w:val="white"/>
        </w:rPr>
        <w:t>two-phased</w:t>
      </w:r>
    </w:p>
    <w:p>
      <w:pPr>
        <w:pStyle w:val="TextBody"/>
        <w:spacing w:before="120" w:after="0"/>
        <w:jc w:val="both"/>
        <w:rPr>
          <w:rFonts w:ascii="arial" w:hAnsi="arial"/>
          <w:sz w:val="18"/>
          <w:highlight w:val="white"/>
        </w:rPr>
      </w:pPr>
      <w:r>
        <w:rPr>
          <w:rFonts w:ascii="arial" w:hAnsi="arial"/>
          <w:sz w:val="18"/>
          <w:highlight w:val="white"/>
        </w:rPr>
        <w:t xml:space="preserve">strategic vision and potential divestitures and acquisitions; the benefits and synergies of acquisitions, divestitures or our global restructuring program, future opportunities for the Company and its products and any other statements regarding the Company’s future operations, financial or operating results, capital allocation, dividend policy and payments, stock repurchases, debt ratio and covenants, anticipated business levels, future earnings, planned activities, anticipated growth, market opportunities, strategies, competitions, commitments, confidence in future results, efforts to create, enhance or otherwise unlock the value of our unique global platform, and other expectations and targets for future periods. Forward-looking statements may often be identified by the use of words such as “will”, “may”, “could”, “should”, “would”, “project”, “believe”, “anticipate”, “expect”, “plan”, “estimate”, “forecast”, “potential”, “pipeline”, “intend”, “continue”, “target”, “seek” and variations of these words or comparable words. Because forward-looking statements inherently involve risks and uncertainties, actual future results may differ materially from those expressed or implied by such forward-looking statements. Factors that could cause or contribute to such differences include, but are not limited to: </w:t>
      </w:r>
    </w:p>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arial" w:hAnsi="arial"/>
                <w:sz w:val="18"/>
              </w:rPr>
            </w:pPr>
            <w:r>
              <w:rPr>
                <w:rFonts w:ascii="arial" w:hAnsi="arial"/>
                <w:sz w:val="18"/>
              </w:rPr>
              <w:t xml:space="preserve">the possibility that the Company may be unable to realize the intended benefits of, or achieve the intended goals or outlooks with respect to, its strategic initiatives; </w:t>
            </w:r>
          </w:p>
        </w:tc>
      </w:tr>
    </w:tbl>
    <w:p>
      <w:pPr>
        <w:pStyle w:val="HorizontalLine"/>
        <w:rPr/>
      </w:pPr>
      <w:r>
        <w:rPr/>
      </w:r>
    </w:p>
    <w:p>
      <w:pPr>
        <w:pStyle w:val="TextBody"/>
        <w:spacing w:before="0" w:after="0"/>
        <w:rPr/>
      </w:pPr>
      <w:hyperlink w:anchor="toc">
        <w:r>
          <w:rPr>
            <w:rStyle w:val="InternetLink"/>
            <w:highlight w:val="white"/>
          </w:rPr>
          <w:t>Table of Contents</w:t>
        </w:r>
      </w:hyperlink>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arial" w:hAnsi="arial"/>
                <w:sz w:val="18"/>
              </w:rPr>
            </w:pPr>
            <w:r>
              <w:rPr>
                <w:rFonts w:ascii="arial" w:hAnsi="arial"/>
                <w:sz w:val="18"/>
              </w:rPr>
              <w:t xml:space="preserve">the possibility that the Company may be unable to achieve expected benefits, synergies and operating efficiencies in connection with acquisitions, divestitures, or its global restructuring program, within the expected timeframe or at all; </w:t>
            </w:r>
          </w:p>
        </w:tc>
      </w:tr>
    </w:tbl>
    <w:p>
      <w:pPr>
        <w:pStyle w:val="TextBody"/>
        <w:spacing w:before="0" w:after="0"/>
        <w:jc w:val="left"/>
        <w:rPr>
          <w:highlight w:val="white"/>
        </w:rPr>
      </w:pPr>
      <w:r>
        <w:rPr>
          <w:highlight w:val="white"/>
        </w:rPr>
        <w:t> </w:t>
      </w:r>
    </w:p>
    <w:tbl>
      <w:tblPr>
        <w:tblW w:w="7780" w:type="dxa"/>
        <w:jc w:val="left"/>
        <w:tblInd w:w="0" w:type="dxa"/>
        <w:tblCellMar>
          <w:top w:w="0" w:type="dxa"/>
          <w:left w:w="0" w:type="dxa"/>
          <w:bottom w:w="0" w:type="dxa"/>
          <w:right w:w="0" w:type="dxa"/>
        </w:tblCellMar>
      </w:tblPr>
      <w:tblGrid>
        <w:gridCol w:w="75"/>
        <w:gridCol w:w="110"/>
        <w:gridCol w:w="60"/>
        <w:gridCol w:w="753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535" w:type="dxa"/>
            <w:tcBorders/>
            <w:shd w:fill="auto" w:val="clear"/>
            <w:vAlign w:val="center"/>
          </w:tcPr>
          <w:p>
            <w:pPr>
              <w:pStyle w:val="TableContents"/>
              <w:spacing w:before="0" w:after="0"/>
              <w:jc w:val="both"/>
              <w:rPr>
                <w:rFonts w:ascii="arial" w:hAnsi="arial"/>
                <w:sz w:val="18"/>
              </w:rPr>
            </w:pPr>
            <w:r>
              <w:rPr>
                <w:rFonts w:ascii="arial" w:hAnsi="arial"/>
                <w:sz w:val="18"/>
              </w:rPr>
              <w:t xml:space="preserve">impairment charges or other losses related to the divestiture or sale of businesses or assets; </w:t>
            </w:r>
          </w:p>
        </w:tc>
      </w:tr>
    </w:tbl>
    <w:p>
      <w:pPr>
        <w:pStyle w:val="TextBody"/>
        <w:spacing w:before="0" w:after="0"/>
        <w:jc w:val="left"/>
        <w:rPr>
          <w:highlight w:val="white"/>
        </w:rPr>
      </w:pPr>
      <w:r>
        <w:rPr>
          <w:highlight w:val="white"/>
        </w:rPr>
        <w:t> </w:t>
      </w:r>
    </w:p>
    <w:tbl>
      <w:tblPr>
        <w:tblW w:w="9220" w:type="dxa"/>
        <w:jc w:val="left"/>
        <w:tblInd w:w="0" w:type="dxa"/>
        <w:tblCellMar>
          <w:top w:w="0" w:type="dxa"/>
          <w:left w:w="0" w:type="dxa"/>
          <w:bottom w:w="0" w:type="dxa"/>
          <w:right w:w="0" w:type="dxa"/>
        </w:tblCellMar>
      </w:tblPr>
      <w:tblGrid>
        <w:gridCol w:w="75"/>
        <w:gridCol w:w="110"/>
        <w:gridCol w:w="60"/>
        <w:gridCol w:w="89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975" w:type="dxa"/>
            <w:tcBorders/>
            <w:shd w:fill="auto" w:val="clear"/>
            <w:vAlign w:val="center"/>
          </w:tcPr>
          <w:p>
            <w:pPr>
              <w:pStyle w:val="TableContents"/>
              <w:spacing w:before="0" w:after="0"/>
              <w:jc w:val="both"/>
              <w:rPr>
                <w:rFonts w:ascii="arial" w:hAnsi="arial"/>
                <w:sz w:val="18"/>
              </w:rPr>
            </w:pPr>
            <w:r>
              <w:rPr>
                <w:rFonts w:ascii="arial" w:hAnsi="arial"/>
                <w:sz w:val="18"/>
              </w:rPr>
              <w:t xml:space="preserve">the Company’s failure to achieve expected or targeted future financial and operating performance and results; </w:t>
            </w:r>
          </w:p>
        </w:tc>
      </w:tr>
    </w:tbl>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arial" w:hAnsi="arial"/>
                <w:sz w:val="18"/>
              </w:rPr>
            </w:pPr>
            <w:r>
              <w:rPr>
                <w:rFonts w:ascii="arial" w:hAnsi="arial"/>
                <w:sz w:val="18"/>
              </w:rPr>
              <w:t xml:space="preserve">the potential impact of public health outbreaks, epidemics and pandemics, including the ongoing challenges and uncertainties posed by the </w:t>
            </w:r>
          </w:p>
          <w:p>
            <w:pPr>
              <w:pStyle w:val="TableContents"/>
              <w:spacing w:before="0" w:after="0"/>
              <w:jc w:val="both"/>
              <w:rPr>
                <w:rFonts w:ascii="arial" w:hAnsi="arial"/>
                <w:spacing w:val="0"/>
                <w:sz w:val="18"/>
              </w:rPr>
            </w:pPr>
            <w:r>
              <w:rPr>
                <w:rFonts w:ascii="arial" w:hAnsi="arial"/>
                <w:spacing w:val="0"/>
                <w:sz w:val="18"/>
              </w:rPr>
              <w:t>COVID-19</w:t>
            </w:r>
          </w:p>
          <w:p>
            <w:pPr>
              <w:pStyle w:val="TableContents"/>
              <w:spacing w:before="0" w:after="0"/>
              <w:jc w:val="both"/>
              <w:rPr>
                <w:rFonts w:ascii="arial" w:hAnsi="arial"/>
                <w:sz w:val="18"/>
              </w:rPr>
            </w:pPr>
            <w:r>
              <w:rPr>
                <w:rFonts w:ascii="arial" w:hAnsi="arial"/>
                <w:sz w:val="18"/>
              </w:rPr>
              <w:t xml:space="preserve">pandemic; </w:t>
            </w:r>
          </w:p>
        </w:tc>
      </w:tr>
    </w:tbl>
    <w:p>
      <w:pPr>
        <w:pStyle w:val="TextBody"/>
        <w:spacing w:before="0" w:after="0"/>
        <w:jc w:val="left"/>
        <w:rPr>
          <w:highlight w:val="white"/>
        </w:rPr>
      </w:pPr>
      <w:r>
        <w:rPr>
          <w:highlight w:val="white"/>
        </w:rPr>
        <w:t> </w:t>
      </w:r>
    </w:p>
    <w:tbl>
      <w:tblPr>
        <w:tblW w:w="5785" w:type="dxa"/>
        <w:jc w:val="left"/>
        <w:tblInd w:w="0" w:type="dxa"/>
        <w:tblCellMar>
          <w:top w:w="0" w:type="dxa"/>
          <w:left w:w="0" w:type="dxa"/>
          <w:bottom w:w="0" w:type="dxa"/>
          <w:right w:w="0" w:type="dxa"/>
        </w:tblCellMar>
      </w:tblPr>
      <w:tblGrid>
        <w:gridCol w:w="75"/>
        <w:gridCol w:w="110"/>
        <w:gridCol w:w="60"/>
        <w:gridCol w:w="554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540" w:type="dxa"/>
            <w:tcBorders/>
            <w:shd w:fill="auto" w:val="clear"/>
            <w:vAlign w:val="center"/>
          </w:tcPr>
          <w:p>
            <w:pPr>
              <w:pStyle w:val="TableContents"/>
              <w:spacing w:before="0" w:after="0"/>
              <w:jc w:val="both"/>
              <w:rPr>
                <w:rFonts w:ascii="arial" w:hAnsi="arial"/>
                <w:sz w:val="18"/>
              </w:rPr>
            </w:pPr>
            <w:r>
              <w:rPr>
                <w:rFonts w:ascii="arial" w:hAnsi="arial"/>
                <w:sz w:val="18"/>
              </w:rPr>
              <w:t xml:space="preserve">actions and decisions of healthcare and pharmaceutical regulators; </w:t>
            </w:r>
          </w:p>
        </w:tc>
      </w:tr>
    </w:tbl>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arial" w:hAnsi="arial"/>
                <w:sz w:val="18"/>
              </w:rPr>
            </w:pPr>
            <w:r>
              <w:rPr>
                <w:rFonts w:ascii="arial" w:hAnsi="arial"/>
                <w:sz w:val="18"/>
              </w:rPr>
              <w:t xml:space="preserve">changes in relevant laws and regulations, including but not limited to changes in tax, healthcare and pharmaceutical laws and regulations globally (including the impact of recent and potential tax reform in the U.S.); </w:t>
            </w:r>
          </w:p>
        </w:tc>
      </w:tr>
    </w:tbl>
    <w:p>
      <w:pPr>
        <w:pStyle w:val="TextBody"/>
        <w:spacing w:before="0" w:after="0"/>
        <w:jc w:val="left"/>
        <w:rPr>
          <w:highlight w:val="white"/>
        </w:rPr>
      </w:pPr>
      <w:r>
        <w:rPr>
          <w:highlight w:val="white"/>
        </w:rPr>
        <w:t> </w:t>
      </w:r>
    </w:p>
    <w:tbl>
      <w:tblPr>
        <w:tblW w:w="3955" w:type="dxa"/>
        <w:jc w:val="left"/>
        <w:tblInd w:w="0" w:type="dxa"/>
        <w:tblCellMar>
          <w:top w:w="0" w:type="dxa"/>
          <w:left w:w="0" w:type="dxa"/>
          <w:bottom w:w="0" w:type="dxa"/>
          <w:right w:w="0" w:type="dxa"/>
        </w:tblCellMar>
      </w:tblPr>
      <w:tblGrid>
        <w:gridCol w:w="75"/>
        <w:gridCol w:w="110"/>
        <w:gridCol w:w="60"/>
        <w:gridCol w:w="371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710" w:type="dxa"/>
            <w:tcBorders/>
            <w:shd w:fill="auto" w:val="clear"/>
            <w:vAlign w:val="center"/>
          </w:tcPr>
          <w:p>
            <w:pPr>
              <w:pStyle w:val="TableContents"/>
              <w:spacing w:before="0" w:after="0"/>
              <w:jc w:val="both"/>
              <w:rPr>
                <w:rFonts w:ascii="arial" w:hAnsi="arial"/>
                <w:sz w:val="18"/>
              </w:rPr>
            </w:pPr>
            <w:r>
              <w:rPr>
                <w:rFonts w:ascii="arial" w:hAnsi="arial"/>
                <w:sz w:val="18"/>
              </w:rPr>
              <w:t xml:space="preserve">the ability to attract and retain key personnel; </w:t>
            </w:r>
          </w:p>
        </w:tc>
      </w:tr>
    </w:tbl>
    <w:p>
      <w:pPr>
        <w:pStyle w:val="TextBody"/>
        <w:spacing w:before="0" w:after="0"/>
        <w:jc w:val="left"/>
        <w:rPr>
          <w:highlight w:val="white"/>
        </w:rPr>
      </w:pPr>
      <w:r>
        <w:rPr>
          <w:highlight w:val="white"/>
        </w:rPr>
        <w:t> </w:t>
      </w:r>
    </w:p>
    <w:tbl>
      <w:tblPr>
        <w:tblW w:w="6190" w:type="dxa"/>
        <w:jc w:val="left"/>
        <w:tblInd w:w="0" w:type="dxa"/>
        <w:tblCellMar>
          <w:top w:w="0" w:type="dxa"/>
          <w:left w:w="0" w:type="dxa"/>
          <w:bottom w:w="0" w:type="dxa"/>
          <w:right w:w="0" w:type="dxa"/>
        </w:tblCellMar>
      </w:tblPr>
      <w:tblGrid>
        <w:gridCol w:w="75"/>
        <w:gridCol w:w="110"/>
        <w:gridCol w:w="60"/>
        <w:gridCol w:w="594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945" w:type="dxa"/>
            <w:tcBorders/>
            <w:shd w:fill="auto" w:val="clear"/>
            <w:vAlign w:val="center"/>
          </w:tcPr>
          <w:p>
            <w:pPr>
              <w:pStyle w:val="TableContents"/>
              <w:spacing w:before="0" w:after="0"/>
              <w:jc w:val="both"/>
              <w:rPr>
                <w:rFonts w:ascii="arial" w:hAnsi="arial"/>
                <w:sz w:val="18"/>
              </w:rPr>
            </w:pPr>
            <w:r>
              <w:rPr>
                <w:rFonts w:ascii="arial" w:hAnsi="arial"/>
                <w:sz w:val="18"/>
              </w:rPr>
              <w:t xml:space="preserve">the Company’s liquidity, capital resources and ability to obtain financing; </w:t>
            </w:r>
          </w:p>
        </w:tc>
      </w:tr>
    </w:tbl>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arial" w:hAnsi="arial"/>
                <w:sz w:val="18"/>
              </w:rPr>
            </w:pPr>
            <w:r>
              <w:rPr>
                <w:rFonts w:ascii="arial" w:hAnsi="arial"/>
                <w:sz w:val="18"/>
              </w:rPr>
              <w:t xml:space="preserve">any regulatory, legal or other impediments to the Company’s ability to bring new products to market, including but not limited to </w:t>
            </w:r>
          </w:p>
          <w:p>
            <w:pPr>
              <w:pStyle w:val="TableContents"/>
              <w:spacing w:before="0" w:after="0"/>
              <w:jc w:val="both"/>
              <w:rPr>
                <w:spacing w:val="0"/>
              </w:rPr>
            </w:pPr>
            <w:r>
              <w:rPr>
                <w:spacing w:val="0"/>
              </w:rPr>
              <w:t>“</w:t>
            </w:r>
            <w:r>
              <w:rPr>
                <w:rFonts w:ascii="arial" w:hAnsi="arial"/>
                <w:spacing w:val="0"/>
                <w:sz w:val="18"/>
              </w:rPr>
              <w:t>at-risk</w:t>
            </w:r>
          </w:p>
          <w:p>
            <w:pPr>
              <w:pStyle w:val="TableContents"/>
              <w:spacing w:before="0" w:after="0"/>
              <w:jc w:val="both"/>
              <w:rPr>
                <w:rFonts w:ascii="arial" w:hAnsi="arial"/>
                <w:sz w:val="18"/>
              </w:rPr>
            </w:pPr>
            <w:r>
              <w:rPr>
                <w:rFonts w:ascii="arial" w:hAnsi="arial"/>
                <w:sz w:val="18"/>
              </w:rPr>
              <w:t xml:space="preserve">launches”; </w:t>
            </w:r>
          </w:p>
        </w:tc>
      </w:tr>
    </w:tbl>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arial" w:hAnsi="arial"/>
                <w:sz w:val="18"/>
              </w:rPr>
            </w:pPr>
            <w:r>
              <w:rPr>
                <w:rFonts w:ascii="arial" w:hAnsi="arial"/>
                <w:sz w:val="18"/>
              </w:rPr>
              <w:t xml:space="preserve">success of clinical trials and the Company’s or its partners’ ability to execute on new product opportunities and develop, manufacture and commercialize products; </w:t>
            </w:r>
          </w:p>
        </w:tc>
      </w:tr>
    </w:tbl>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arial" w:hAnsi="arial"/>
                <w:sz w:val="18"/>
              </w:rPr>
            </w:pPr>
            <w:r>
              <w:rPr>
                <w:rFonts w:ascii="arial" w:hAnsi="arial"/>
                <w:sz w:val="18"/>
              </w:rPr>
              <w:t xml:space="preserve">any changes in or difficulties with the Company’s manufacturing facilities, including with respect to inspections, remediation and restructuring activities, supply chain or inventory or the ability to meet anticipated demand; </w:t>
            </w:r>
          </w:p>
        </w:tc>
      </w:tr>
    </w:tbl>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arial" w:hAnsi="arial"/>
                <w:sz w:val="18"/>
              </w:rPr>
            </w:pPr>
            <w:r>
              <w:rPr>
                <w:rFonts w:ascii="arial" w:hAnsi="arial"/>
                <w:sz w:val="18"/>
              </w:rPr>
              <w:t xml:space="preserve">the scope, timing and outcome of any ongoing legal proceedings, including government inquiries or investigations, and the impact of any such proceedings on the Company; </w:t>
            </w:r>
          </w:p>
        </w:tc>
      </w:tr>
    </w:tbl>
    <w:p>
      <w:pPr>
        <w:pStyle w:val="TextBody"/>
        <w:spacing w:before="0" w:after="0"/>
        <w:jc w:val="left"/>
        <w:rPr>
          <w:highlight w:val="white"/>
        </w:rPr>
      </w:pPr>
      <w:r>
        <w:rPr>
          <w:highlight w:val="white"/>
        </w:rPr>
        <w:t> </w:t>
      </w:r>
    </w:p>
    <w:tbl>
      <w:tblPr>
        <w:tblW w:w="8950" w:type="dxa"/>
        <w:jc w:val="left"/>
        <w:tblInd w:w="0" w:type="dxa"/>
        <w:tblCellMar>
          <w:top w:w="0" w:type="dxa"/>
          <w:left w:w="0" w:type="dxa"/>
          <w:bottom w:w="0" w:type="dxa"/>
          <w:right w:w="0" w:type="dxa"/>
        </w:tblCellMar>
      </w:tblPr>
      <w:tblGrid>
        <w:gridCol w:w="75"/>
        <w:gridCol w:w="110"/>
        <w:gridCol w:w="60"/>
        <w:gridCol w:w="870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705" w:type="dxa"/>
            <w:tcBorders/>
            <w:shd w:fill="auto" w:val="clear"/>
            <w:vAlign w:val="center"/>
          </w:tcPr>
          <w:p>
            <w:pPr>
              <w:pStyle w:val="TableContents"/>
              <w:spacing w:before="0" w:after="0"/>
              <w:jc w:val="both"/>
              <w:rPr>
                <w:rFonts w:ascii="arial" w:hAnsi="arial"/>
                <w:sz w:val="18"/>
              </w:rPr>
            </w:pPr>
            <w:r>
              <w:rPr>
                <w:rFonts w:ascii="arial" w:hAnsi="arial"/>
                <w:sz w:val="18"/>
              </w:rPr>
              <w:t xml:space="preserve">any significant breach of data security or data privacy or disruptions to our information technology systems; </w:t>
            </w:r>
          </w:p>
        </w:tc>
      </w:tr>
    </w:tbl>
    <w:p>
      <w:pPr>
        <w:pStyle w:val="TextBody"/>
        <w:spacing w:before="0" w:after="0"/>
        <w:jc w:val="left"/>
        <w:rPr>
          <w:highlight w:val="white"/>
        </w:rPr>
      </w:pPr>
      <w:r>
        <w:rPr>
          <w:highlight w:val="white"/>
        </w:rPr>
        <w:t> </w:t>
      </w:r>
    </w:p>
    <w:tbl>
      <w:tblPr>
        <w:tblW w:w="5125" w:type="dxa"/>
        <w:jc w:val="left"/>
        <w:tblInd w:w="0" w:type="dxa"/>
        <w:tblCellMar>
          <w:top w:w="0" w:type="dxa"/>
          <w:left w:w="0" w:type="dxa"/>
          <w:bottom w:w="0" w:type="dxa"/>
          <w:right w:w="0" w:type="dxa"/>
        </w:tblCellMar>
      </w:tblPr>
      <w:tblGrid>
        <w:gridCol w:w="75"/>
        <w:gridCol w:w="110"/>
        <w:gridCol w:w="60"/>
        <w:gridCol w:w="488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880" w:type="dxa"/>
            <w:tcBorders/>
            <w:shd w:fill="auto" w:val="clear"/>
            <w:vAlign w:val="center"/>
          </w:tcPr>
          <w:p>
            <w:pPr>
              <w:pStyle w:val="TableContents"/>
              <w:spacing w:before="0" w:after="0"/>
              <w:jc w:val="both"/>
              <w:rPr>
                <w:rFonts w:ascii="arial" w:hAnsi="arial"/>
                <w:sz w:val="18"/>
              </w:rPr>
            </w:pPr>
            <w:r>
              <w:rPr>
                <w:rFonts w:ascii="arial" w:hAnsi="arial"/>
                <w:sz w:val="18"/>
              </w:rPr>
              <w:t xml:space="preserve">risks associated with having significant operations globally; </w:t>
            </w:r>
          </w:p>
        </w:tc>
      </w:tr>
    </w:tbl>
    <w:p>
      <w:pPr>
        <w:pStyle w:val="TextBody"/>
        <w:spacing w:before="0" w:after="0"/>
        <w:jc w:val="left"/>
        <w:rPr>
          <w:highlight w:val="white"/>
        </w:rPr>
      </w:pPr>
      <w:r>
        <w:rPr>
          <w:highlight w:val="white"/>
        </w:rPr>
        <w:t> </w:t>
      </w:r>
    </w:p>
    <w:tbl>
      <w:tblPr>
        <w:tblW w:w="6865" w:type="dxa"/>
        <w:jc w:val="left"/>
        <w:tblInd w:w="0" w:type="dxa"/>
        <w:tblCellMar>
          <w:top w:w="0" w:type="dxa"/>
          <w:left w:w="0" w:type="dxa"/>
          <w:bottom w:w="0" w:type="dxa"/>
          <w:right w:w="0" w:type="dxa"/>
        </w:tblCellMar>
      </w:tblPr>
      <w:tblGrid>
        <w:gridCol w:w="75"/>
        <w:gridCol w:w="110"/>
        <w:gridCol w:w="60"/>
        <w:gridCol w:w="66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620" w:type="dxa"/>
            <w:tcBorders/>
            <w:shd w:fill="auto" w:val="clear"/>
            <w:vAlign w:val="center"/>
          </w:tcPr>
          <w:p>
            <w:pPr>
              <w:pStyle w:val="TableContents"/>
              <w:spacing w:before="0" w:after="0"/>
              <w:jc w:val="both"/>
              <w:rPr>
                <w:rFonts w:ascii="arial" w:hAnsi="arial"/>
                <w:sz w:val="18"/>
              </w:rPr>
            </w:pPr>
            <w:r>
              <w:rPr>
                <w:rFonts w:ascii="arial" w:hAnsi="arial"/>
                <w:sz w:val="18"/>
              </w:rPr>
              <w:t xml:space="preserve">the ability to protect intellectual property and preserve intellectual property rights; </w:t>
            </w:r>
          </w:p>
        </w:tc>
      </w:tr>
    </w:tbl>
    <w:p>
      <w:pPr>
        <w:pStyle w:val="TextBody"/>
        <w:spacing w:before="0" w:after="0"/>
        <w:jc w:val="left"/>
        <w:rPr>
          <w:highlight w:val="white"/>
        </w:rPr>
      </w:pPr>
      <w:r>
        <w:rPr>
          <w:highlight w:val="white"/>
        </w:rPr>
        <w:t> </w:t>
      </w:r>
    </w:p>
    <w:tbl>
      <w:tblPr>
        <w:tblW w:w="3235" w:type="dxa"/>
        <w:jc w:val="left"/>
        <w:tblInd w:w="0" w:type="dxa"/>
        <w:tblCellMar>
          <w:top w:w="0" w:type="dxa"/>
          <w:left w:w="0" w:type="dxa"/>
          <w:bottom w:w="0" w:type="dxa"/>
          <w:right w:w="0" w:type="dxa"/>
        </w:tblCellMar>
      </w:tblPr>
      <w:tblGrid>
        <w:gridCol w:w="75"/>
        <w:gridCol w:w="110"/>
        <w:gridCol w:w="60"/>
        <w:gridCol w:w="299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990" w:type="dxa"/>
            <w:tcBorders/>
            <w:shd w:fill="auto" w:val="clear"/>
            <w:vAlign w:val="center"/>
          </w:tcPr>
          <w:p>
            <w:pPr>
              <w:pStyle w:val="TableContents"/>
              <w:spacing w:before="0" w:after="0"/>
              <w:jc w:val="both"/>
              <w:rPr>
                <w:rFonts w:ascii="arial" w:hAnsi="arial"/>
                <w:sz w:val="18"/>
              </w:rPr>
            </w:pPr>
            <w:r>
              <w:rPr>
                <w:rFonts w:ascii="arial" w:hAnsi="arial"/>
                <w:sz w:val="18"/>
              </w:rPr>
              <w:t xml:space="preserve">changes in third-party relationships; </w:t>
            </w:r>
          </w:p>
        </w:tc>
      </w:tr>
    </w:tbl>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arial" w:hAnsi="arial"/>
                <w:sz w:val="18"/>
              </w:rPr>
            </w:pPr>
            <w:r>
              <w:rPr>
                <w:rFonts w:ascii="arial" w:hAnsi="arial"/>
                <w:sz w:val="18"/>
              </w:rPr>
              <w:t xml:space="preserve">the effect of any changes in the Company’s or its partners’ customer and supplier relationships and customer purchasing patterns, including customer loss and business disruption being greater than expected following an acquisition or divestiture; </w:t>
            </w:r>
          </w:p>
        </w:tc>
      </w:tr>
    </w:tbl>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arial" w:hAnsi="arial"/>
                <w:sz w:val="18"/>
              </w:rPr>
            </w:pPr>
            <w:r>
              <w:rPr>
                <w:rFonts w:ascii="arial" w:hAnsi="arial"/>
                <w:sz w:val="18"/>
              </w:rPr>
              <w:t xml:space="preserve">the impacts of competition, including decreases in sales or revenues as a result of the loss of market exclusivity for certain products; </w:t>
            </w:r>
          </w:p>
        </w:tc>
      </w:tr>
    </w:tbl>
    <w:p>
      <w:pPr>
        <w:pStyle w:val="TextBody"/>
        <w:spacing w:before="0" w:after="0"/>
        <w:jc w:val="left"/>
        <w:rPr>
          <w:highlight w:val="white"/>
        </w:rPr>
      </w:pPr>
      <w:r>
        <w:rPr>
          <w:highlight w:val="white"/>
        </w:rPr>
        <w:t> </w:t>
      </w:r>
    </w:p>
    <w:tbl>
      <w:tblPr>
        <w:tblW w:w="6880" w:type="dxa"/>
        <w:jc w:val="left"/>
        <w:tblInd w:w="0" w:type="dxa"/>
        <w:tblCellMar>
          <w:top w:w="0" w:type="dxa"/>
          <w:left w:w="0" w:type="dxa"/>
          <w:bottom w:w="0" w:type="dxa"/>
          <w:right w:w="0" w:type="dxa"/>
        </w:tblCellMar>
      </w:tblPr>
      <w:tblGrid>
        <w:gridCol w:w="75"/>
        <w:gridCol w:w="110"/>
        <w:gridCol w:w="60"/>
        <w:gridCol w:w="663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635" w:type="dxa"/>
            <w:tcBorders/>
            <w:shd w:fill="auto" w:val="clear"/>
            <w:vAlign w:val="center"/>
          </w:tcPr>
          <w:p>
            <w:pPr>
              <w:pStyle w:val="TableContents"/>
              <w:spacing w:before="0" w:after="0"/>
              <w:jc w:val="both"/>
              <w:rPr>
                <w:rFonts w:ascii="arial" w:hAnsi="arial"/>
                <w:sz w:val="18"/>
              </w:rPr>
            </w:pPr>
            <w:r>
              <w:rPr>
                <w:rFonts w:ascii="arial" w:hAnsi="arial"/>
                <w:sz w:val="18"/>
              </w:rPr>
              <w:t xml:space="preserve">changes in the economic and financial conditions of the Company or its partners; </w:t>
            </w:r>
          </w:p>
        </w:tc>
      </w:tr>
    </w:tbl>
    <w:p>
      <w:pPr>
        <w:pStyle w:val="TextBody"/>
        <w:spacing w:before="0" w:after="0"/>
        <w:jc w:val="left"/>
        <w:rPr>
          <w:highlight w:val="white"/>
        </w:rPr>
      </w:pPr>
      <w:r>
        <w:rPr>
          <w:highlight w:val="white"/>
        </w:rPr>
        <w:t> </w:t>
      </w:r>
    </w:p>
    <w:tbl>
      <w:tblPr>
        <w:tblW w:w="8050" w:type="dxa"/>
        <w:jc w:val="left"/>
        <w:tblInd w:w="0" w:type="dxa"/>
        <w:tblCellMar>
          <w:top w:w="0" w:type="dxa"/>
          <w:left w:w="0" w:type="dxa"/>
          <w:bottom w:w="0" w:type="dxa"/>
          <w:right w:w="0" w:type="dxa"/>
        </w:tblCellMar>
      </w:tblPr>
      <w:tblGrid>
        <w:gridCol w:w="75"/>
        <w:gridCol w:w="110"/>
        <w:gridCol w:w="60"/>
        <w:gridCol w:w="780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805" w:type="dxa"/>
            <w:tcBorders/>
            <w:shd w:fill="auto" w:val="clear"/>
            <w:vAlign w:val="center"/>
          </w:tcPr>
          <w:p>
            <w:pPr>
              <w:pStyle w:val="TableContents"/>
              <w:spacing w:before="0" w:after="0"/>
              <w:jc w:val="both"/>
              <w:rPr>
                <w:rFonts w:ascii="arial" w:hAnsi="arial"/>
                <w:sz w:val="18"/>
              </w:rPr>
            </w:pPr>
            <w:r>
              <w:rPr>
                <w:rFonts w:ascii="arial" w:hAnsi="arial"/>
                <w:sz w:val="18"/>
              </w:rPr>
              <w:t xml:space="preserve">uncertainties regarding future demand, pricing and reimbursement for the Company’s products; </w:t>
            </w:r>
          </w:p>
        </w:tc>
      </w:tr>
    </w:tbl>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arial" w:hAnsi="arial"/>
                <w:sz w:val="18"/>
              </w:rPr>
            </w:pPr>
            <w:r>
              <w:rPr>
                <w:rFonts w:ascii="arial" w:hAnsi="arial"/>
                <w:sz w:val="18"/>
              </w:rPr>
              <w:t xml:space="preserve">uncertainties and matters beyond the control of management, including but not limited to general political and economic conditions, inflation rates and global exchange rates; and </w:t>
            </w:r>
          </w:p>
        </w:tc>
      </w:tr>
    </w:tbl>
    <w:p>
      <w:pPr>
        <w:pStyle w:val="TextBody"/>
        <w:spacing w:before="0" w:after="0"/>
        <w:jc w:val="left"/>
        <w:rPr>
          <w:highlight w:val="white"/>
        </w:rPr>
      </w:pPr>
      <w:r>
        <w:rPr>
          <w:highlight w:val="white"/>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arial" w:hAnsi="arial"/>
                <w:sz w:val="18"/>
              </w:rPr>
            </w:pPr>
            <w:r>
              <w:rPr>
                <w:rFonts w:ascii="arial" w:hAnsi="arial"/>
                <w:sz w:val="18"/>
              </w:rPr>
              <w:t xml:space="preserve">inherent uncertainties involved in the estimates and judgments used in the preparation of financial statements, and the providing of estimates of financial measures, in accordance with U.S. GAAP and related standards or on an adjusted basis. </w:t>
            </w:r>
          </w:p>
        </w:tc>
      </w:tr>
    </w:tbl>
    <w:p>
      <w:pPr>
        <w:pStyle w:val="HorizontalLine"/>
        <w:rPr/>
      </w:pPr>
      <w:r>
        <w:rPr/>
      </w:r>
    </w:p>
    <w:p>
      <w:pPr>
        <w:pStyle w:val="TextBody"/>
        <w:spacing w:before="0" w:after="0"/>
        <w:rPr/>
      </w:pPr>
      <w:hyperlink w:anchor="toc">
        <w:r>
          <w:rPr>
            <w:rStyle w:val="InternetLink"/>
            <w:highlight w:val="white"/>
          </w:rPr>
          <w:t>Table of Contents</w:t>
        </w:r>
      </w:hyperlink>
    </w:p>
    <w:p>
      <w:pPr>
        <w:pStyle w:val="TextBody"/>
        <w:spacing w:before="0" w:after="0"/>
        <w:jc w:val="both"/>
        <w:rPr>
          <w:rFonts w:ascii="arial" w:hAnsi="arial"/>
          <w:sz w:val="18"/>
          <w:highlight w:val="white"/>
        </w:rPr>
      </w:pPr>
      <w:r>
        <w:rPr>
          <w:rFonts w:ascii="arial" w:hAnsi="arial"/>
          <w:sz w:val="18"/>
          <w:highlight w:val="white"/>
        </w:rPr>
        <w:t xml:space="preserve">For more detailed information on the risks and uncertainties associated with Viatris, see the risks described in Part I, Item 1A of the Original Filing and our other filings with the SEC. </w:t>
      </w:r>
    </w:p>
    <w:p>
      <w:pPr>
        <w:pStyle w:val="TextBody"/>
        <w:spacing w:before="240" w:after="0"/>
        <w:jc w:val="both"/>
        <w:rPr>
          <w:rFonts w:ascii="arial" w:hAnsi="arial"/>
          <w:sz w:val="18"/>
          <w:highlight w:val="white"/>
        </w:rPr>
      </w:pPr>
      <w:r>
        <w:rPr>
          <w:rFonts w:ascii="arial" w:hAnsi="arial"/>
          <w:sz w:val="18"/>
          <w:highlight w:val="white"/>
        </w:rPr>
        <w:t xml:space="preserve">You can access Viatris’ filings with the SEC through the SEC website at www.sec.gov or through our website and Viatris strongly encourages you to do so. Viatris routinely posts information that may be important to investors on our website at investor.viatris.com, and we use this website address as a means of disclosing material information to the public in a broad, </w:t>
      </w:r>
    </w:p>
    <w:p>
      <w:pPr>
        <w:pStyle w:val="TextBody"/>
        <w:spacing w:before="240" w:after="0"/>
        <w:jc w:val="both"/>
        <w:rPr>
          <w:rFonts w:ascii="arial" w:hAnsi="arial"/>
          <w:spacing w:val="0"/>
          <w:sz w:val="18"/>
          <w:highlight w:val="white"/>
        </w:rPr>
      </w:pPr>
      <w:r>
        <w:rPr>
          <w:rFonts w:ascii="arial" w:hAnsi="arial"/>
          <w:spacing w:val="0"/>
          <w:sz w:val="18"/>
          <w:highlight w:val="white"/>
        </w:rPr>
        <w:t>non-exclusionary</w:t>
      </w:r>
    </w:p>
    <w:p>
      <w:pPr>
        <w:pStyle w:val="TextBody"/>
        <w:spacing w:before="240" w:after="0"/>
        <w:jc w:val="both"/>
        <w:rPr>
          <w:rFonts w:ascii="arial" w:hAnsi="arial"/>
          <w:sz w:val="18"/>
          <w:highlight w:val="white"/>
        </w:rPr>
      </w:pPr>
      <w:r>
        <w:rPr>
          <w:rFonts w:ascii="arial" w:hAnsi="arial"/>
          <w:sz w:val="18"/>
          <w:highlight w:val="white"/>
        </w:rPr>
        <w:t xml:space="preserve">manner for purposes of the SEC’s Regulation Fair Disclosure (Reg FD). The contents of our website are not incorporated by reference in this Amendment and shall not be deemed “filed” under the Securities Exchange Act of 1934, as amended (the “Exchange Act”). Viatris undertakes no obligation to update any statements herein for revisions or changes after the filing date of this Amendment other than as required by law. </w:t>
      </w:r>
    </w:p>
    <w:p>
      <w:pPr>
        <w:pStyle w:val="TextBody"/>
        <w:spacing w:before="360" w:after="0"/>
        <w:jc w:val="left"/>
        <w:rPr>
          <w:rFonts w:ascii="arial" w:hAnsi="arial"/>
          <w:b/>
          <w:spacing w:val="0"/>
          <w:sz w:val="20"/>
          <w:highlight w:val="white"/>
        </w:rPr>
      </w:pPr>
      <w:r>
        <w:rPr>
          <w:rFonts w:ascii="arial" w:hAnsi="arial"/>
          <w:b/>
          <w:spacing w:val="0"/>
          <w:sz w:val="20"/>
          <w:highlight w:val="white"/>
        </w:rPr>
        <w:t>Non-GAAP</w:t>
      </w:r>
    </w:p>
    <w:p>
      <w:pPr>
        <w:pStyle w:val="TextBody"/>
        <w:spacing w:before="360" w:after="0"/>
        <w:jc w:val="left"/>
        <w:rPr>
          <w:rFonts w:ascii="arial" w:hAnsi="arial"/>
          <w:b/>
          <w:sz w:val="20"/>
          <w:highlight w:val="white"/>
        </w:rPr>
      </w:pPr>
      <w:r>
        <w:rPr>
          <w:rFonts w:ascii="arial" w:hAnsi="arial"/>
          <w:b/>
          <w:sz w:val="20"/>
          <w:highlight w:val="white"/>
        </w:rPr>
        <w:t xml:space="preserve">Financial Measures </w:t>
      </w:r>
    </w:p>
    <w:p>
      <w:pPr>
        <w:pStyle w:val="TextBody"/>
        <w:spacing w:before="120" w:after="0"/>
        <w:ind w:left="0" w:right="0" w:hanging="0"/>
        <w:jc w:val="both"/>
        <w:rPr>
          <w:rFonts w:ascii="arial" w:hAnsi="arial"/>
          <w:spacing w:val="0"/>
          <w:sz w:val="18"/>
          <w:highlight w:val="white"/>
        </w:rPr>
      </w:pPr>
      <w:r>
        <w:rPr>
          <w:rFonts w:ascii="arial" w:hAnsi="arial"/>
          <w:spacing w:val="0"/>
          <w:sz w:val="18"/>
          <w:highlight w:val="white"/>
        </w:rPr>
        <w:t xml:space="preserve">This Amendment includes the presentation and discussion of certain financial information that differs from what is reported under U.S. GAAP. These </w:t>
      </w:r>
    </w:p>
    <w:p>
      <w:pPr>
        <w:pStyle w:val="TextBody"/>
        <w:spacing w:before="120" w:after="0"/>
        <w:jc w:val="both"/>
        <w:rPr>
          <w:rFonts w:ascii="arial" w:hAnsi="arial"/>
          <w:spacing w:val="0"/>
          <w:sz w:val="18"/>
          <w:highlight w:val="white"/>
        </w:rPr>
      </w:pPr>
      <w:r>
        <w:rPr>
          <w:rFonts w:ascii="arial" w:hAnsi="arial"/>
          <w:spacing w:val="0"/>
          <w:sz w:val="18"/>
          <w:highlight w:val="white"/>
        </w:rPr>
        <w:t>non-GAAP</w:t>
      </w:r>
    </w:p>
    <w:p>
      <w:pPr>
        <w:pStyle w:val="TextBody"/>
        <w:spacing w:before="120" w:after="0"/>
        <w:jc w:val="both"/>
        <w:rPr>
          <w:rFonts w:ascii="arial" w:hAnsi="arial"/>
          <w:spacing w:val="0"/>
          <w:sz w:val="18"/>
          <w:highlight w:val="white"/>
        </w:rPr>
      </w:pPr>
      <w:r>
        <w:rPr>
          <w:rFonts w:ascii="arial" w:hAnsi="arial"/>
          <w:spacing w:val="0"/>
          <w:sz w:val="18"/>
          <w:highlight w:val="white"/>
        </w:rPr>
        <w:t xml:space="preserve">financial measures, including adjusted EBITDA and free cash flow, are presented in order to supplement investors’ and other readers’ understanding and assessment of Viatris’ financial performance. Management uses these measures internally for forecasting, budgeting, measuring its operating performance, and incentive-based awards. Primarily due to acquisitions and other significant events which may impact comparability of our periodic operating results, we believe that an evaluation of our ongoing operations (and comparisons of our current operations with historical and future operations) would be difficult if the disclosure of our financial results was limited to financial measures prepared only in accordance with U.S. GAAP. We believe that </w:t>
      </w:r>
    </w:p>
    <w:p>
      <w:pPr>
        <w:pStyle w:val="TextBody"/>
        <w:spacing w:before="120" w:after="0"/>
        <w:jc w:val="both"/>
        <w:rPr>
          <w:rFonts w:ascii="arial" w:hAnsi="arial"/>
          <w:spacing w:val="0"/>
          <w:sz w:val="18"/>
          <w:highlight w:val="white"/>
        </w:rPr>
      </w:pPr>
      <w:r>
        <w:rPr>
          <w:rFonts w:ascii="arial" w:hAnsi="arial"/>
          <w:spacing w:val="0"/>
          <w:sz w:val="18"/>
          <w:highlight w:val="white"/>
        </w:rPr>
        <w:t>non-GAAP</w:t>
      </w:r>
    </w:p>
    <w:p>
      <w:pPr>
        <w:pStyle w:val="TextBody"/>
        <w:spacing w:before="120" w:after="0"/>
        <w:jc w:val="both"/>
        <w:rPr>
          <w:rFonts w:ascii="arial" w:hAnsi="arial"/>
          <w:spacing w:val="0"/>
          <w:sz w:val="18"/>
          <w:highlight w:val="white"/>
        </w:rPr>
      </w:pPr>
      <w:r>
        <w:rPr>
          <w:rFonts w:ascii="arial" w:hAnsi="arial"/>
          <w:spacing w:val="0"/>
          <w:sz w:val="18"/>
          <w:highlight w:val="white"/>
        </w:rPr>
        <w:t xml:space="preserve">financial measures are useful supplemental information for our investors and when considered together with our U.S. GAAP financial measures and the reconciliation to the most directly comparable U.S. GAAP financial measure, provide a more complete understanding of the factors and trends affecting our operations. The financial performance of the Company is measured by senior management, in part, using these adjusted metrics, along with other performance metrics. In addition, the Company believes that including EBITDA and supplemental adjustments applied in presenting adjusted EBITDA is appropriate to provide additional information to investors to demonstrate the Company’s ability to comply with financial debt covenants and assess the Company’s ability to incur additional indebtedness. The Company also believes that adjusted EBITDA better focuses management on the Company’s underlying operational results and true business performance and is used, in part, for management’s incentive compensation. Appendix A to this Amendment contains reconciliations of such </w:t>
      </w:r>
    </w:p>
    <w:p>
      <w:pPr>
        <w:pStyle w:val="TextBody"/>
        <w:spacing w:before="120" w:after="0"/>
        <w:jc w:val="both"/>
        <w:rPr>
          <w:rFonts w:ascii="arial" w:hAnsi="arial"/>
          <w:spacing w:val="0"/>
          <w:sz w:val="18"/>
          <w:highlight w:val="white"/>
        </w:rPr>
      </w:pPr>
      <w:r>
        <w:rPr>
          <w:rFonts w:ascii="arial" w:hAnsi="arial"/>
          <w:spacing w:val="0"/>
          <w:sz w:val="18"/>
          <w:highlight w:val="white"/>
        </w:rPr>
        <w:t>non-GAAP</w:t>
      </w:r>
    </w:p>
    <w:p>
      <w:pPr>
        <w:pStyle w:val="TextBody"/>
        <w:spacing w:before="120" w:after="0"/>
        <w:jc w:val="both"/>
        <w:rPr>
          <w:rFonts w:ascii="arial" w:hAnsi="arial"/>
          <w:spacing w:val="0"/>
          <w:sz w:val="18"/>
          <w:highlight w:val="white"/>
        </w:rPr>
      </w:pPr>
      <w:r>
        <w:rPr>
          <w:rFonts w:ascii="arial" w:hAnsi="arial"/>
          <w:spacing w:val="0"/>
          <w:sz w:val="18"/>
          <w:highlight w:val="white"/>
        </w:rPr>
        <w:t xml:space="preserve">financial measures to the most directly comparable U.S. GAAP financial measures. Investors and other readers are encouraged to review the related U.S. GAAP financial measures and the reconciliations of the </w:t>
      </w:r>
    </w:p>
    <w:p>
      <w:pPr>
        <w:pStyle w:val="TextBody"/>
        <w:spacing w:before="120" w:after="0"/>
        <w:jc w:val="both"/>
        <w:rPr>
          <w:rFonts w:ascii="arial" w:hAnsi="arial"/>
          <w:spacing w:val="0"/>
          <w:sz w:val="18"/>
          <w:highlight w:val="white"/>
        </w:rPr>
      </w:pPr>
      <w:r>
        <w:rPr>
          <w:rFonts w:ascii="arial" w:hAnsi="arial"/>
          <w:spacing w:val="0"/>
          <w:sz w:val="18"/>
          <w:highlight w:val="white"/>
        </w:rPr>
        <w:t>non-GAAP</w:t>
      </w:r>
    </w:p>
    <w:p>
      <w:pPr>
        <w:pStyle w:val="TextBody"/>
        <w:spacing w:before="120" w:after="0"/>
        <w:jc w:val="both"/>
        <w:rPr>
          <w:rFonts w:ascii="arial" w:hAnsi="arial"/>
          <w:spacing w:val="0"/>
          <w:sz w:val="18"/>
          <w:highlight w:val="white"/>
        </w:rPr>
      </w:pPr>
      <w:r>
        <w:rPr>
          <w:rFonts w:ascii="arial" w:hAnsi="arial"/>
          <w:spacing w:val="0"/>
          <w:sz w:val="18"/>
          <w:highlight w:val="white"/>
        </w:rPr>
        <w:t xml:space="preserve">measures to their most directly comparable U.S. GAAP measures set forth in Appendix A, and investors and other readers should consider </w:t>
      </w:r>
    </w:p>
    <w:p>
      <w:pPr>
        <w:pStyle w:val="TextBody"/>
        <w:spacing w:before="120" w:after="0"/>
        <w:jc w:val="both"/>
        <w:rPr>
          <w:rFonts w:ascii="arial" w:hAnsi="arial"/>
          <w:spacing w:val="0"/>
          <w:sz w:val="18"/>
          <w:highlight w:val="white"/>
        </w:rPr>
      </w:pPr>
      <w:r>
        <w:rPr>
          <w:rFonts w:ascii="arial" w:hAnsi="arial"/>
          <w:spacing w:val="0"/>
          <w:sz w:val="18"/>
          <w:highlight w:val="white"/>
        </w:rPr>
        <w:t>non-GAAP</w:t>
      </w:r>
    </w:p>
    <w:p>
      <w:pPr>
        <w:pStyle w:val="TextBody"/>
        <w:spacing w:before="120" w:after="283"/>
        <w:jc w:val="both"/>
        <w:rPr>
          <w:rFonts w:ascii="arial" w:hAnsi="arial"/>
          <w:spacing w:val="0"/>
          <w:sz w:val="18"/>
          <w:highlight w:val="white"/>
        </w:rPr>
      </w:pPr>
      <w:r>
        <w:rPr>
          <w:rFonts w:ascii="arial" w:hAnsi="arial"/>
          <w:spacing w:val="0"/>
          <w:sz w:val="18"/>
          <w:highlight w:val="white"/>
        </w:rPr>
        <w:t xml:space="preserve">measures only as supplements to, not as substitutes for or as superior measures to, the measures of financial performance prepared in accordance with U.S. GAAP. </w:t>
      </w:r>
      <w:r>
        <w:br w:type="page"/>
      </w:r>
    </w:p>
    <w:p>
      <w:pPr>
        <w:pStyle w:val="HorizontalLine"/>
        <w:rPr/>
      </w:pPr>
      <w:r>
        <w:rPr/>
      </w:r>
    </w:p>
    <w:p>
      <w:pPr>
        <w:pStyle w:val="TextBody"/>
        <w:spacing w:before="0" w:after="0"/>
        <w:jc w:val="center"/>
        <w:rPr>
          <w:rFonts w:ascii="arial" w:hAnsi="arial"/>
          <w:b/>
          <w:sz w:val="20"/>
        </w:rPr>
      </w:pPr>
      <w:r>
        <w:rPr>
          <w:rFonts w:ascii="arial" w:hAnsi="arial"/>
          <w:b/>
          <w:sz w:val="20"/>
        </w:rPr>
        <w:t xml:space="preserve">VIATRIS INC. </w:t>
      </w:r>
    </w:p>
    <w:p>
      <w:pPr>
        <w:pStyle w:val="TextBody"/>
        <w:spacing w:before="120" w:after="0"/>
        <w:jc w:val="center"/>
        <w:rPr>
          <w:rFonts w:ascii="arial" w:hAnsi="arial"/>
          <w:b/>
          <w:sz w:val="20"/>
        </w:rPr>
      </w:pPr>
      <w:bookmarkStart w:id="2" w:name="toc"/>
      <w:bookmarkEnd w:id="2"/>
      <w:r>
        <w:rPr>
          <w:rFonts w:ascii="arial" w:hAnsi="arial"/>
          <w:b/>
          <w:sz w:val="20"/>
        </w:rPr>
        <w:t xml:space="preserve">INDEX TO FORM 10-K/A </w:t>
      </w:r>
    </w:p>
    <w:p>
      <w:pPr>
        <w:pStyle w:val="TextBody"/>
        <w:spacing w:before="0" w:after="0"/>
        <w:jc w:val="center"/>
        <w:rPr>
          <w:rFonts w:ascii="arial" w:hAnsi="arial"/>
          <w:b/>
          <w:sz w:val="20"/>
        </w:rPr>
      </w:pPr>
      <w:r>
        <w:rPr>
          <w:rFonts w:ascii="arial" w:hAnsi="arial"/>
          <w:b/>
          <w:sz w:val="20"/>
        </w:rPr>
        <w:t xml:space="preserve">For the Year Ended December 31, 2022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837"/>
        <w:gridCol w:w="120"/>
        <w:gridCol w:w="8567"/>
        <w:gridCol w:w="120"/>
        <w:gridCol w:w="86"/>
        <w:gridCol w:w="399"/>
        <w:gridCol w:w="76"/>
      </w:tblGrid>
      <w:tr>
        <w:trPr/>
        <w:tc>
          <w:tcPr>
            <w:tcW w:w="83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56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6"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r>
      <w:tr>
        <w:trPr/>
        <w:tc>
          <w:tcPr>
            <w:tcW w:w="837"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8567"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485" w:type="dxa"/>
            <w:gridSpan w:val="2"/>
            <w:tcBorders/>
            <w:shd w:fill="auto" w:val="clear"/>
            <w:vAlign w:val="center"/>
          </w:tcPr>
          <w:p>
            <w:pPr>
              <w:pStyle w:val="TableContents"/>
              <w:spacing w:before="0" w:after="283"/>
              <w:jc w:val="center"/>
              <w:rPr/>
            </w:pPr>
            <w:r>
              <w:rPr/>
              <w:t>Page</w:t>
            </w:r>
          </w:p>
        </w:tc>
        <w:tc>
          <w:tcPr>
            <w:tcW w:w="76" w:type="dxa"/>
            <w:tcBorders/>
            <w:shd w:fill="auto" w:val="clear"/>
            <w:vAlign w:val="center"/>
          </w:tcPr>
          <w:p>
            <w:pPr>
              <w:pStyle w:val="TableContents"/>
              <w:spacing w:before="0" w:after="283"/>
              <w:rPr/>
            </w:pPr>
            <w:r>
              <w:rPr/>
              <w:t> </w:t>
            </w:r>
          </w:p>
        </w:tc>
      </w:tr>
      <w:tr>
        <w:trPr/>
        <w:tc>
          <w:tcPr>
            <w:tcW w:w="9524" w:type="dxa"/>
            <w:gridSpan w:val="3"/>
            <w:tcBorders/>
            <w:shd w:fill="auto" w:val="clear"/>
            <w:vAlign w:val="center"/>
          </w:tcPr>
          <w:p>
            <w:pPr>
              <w:pStyle w:val="TableContents"/>
              <w:spacing w:before="0" w:after="283"/>
              <w:jc w:val="center"/>
              <w:rPr/>
            </w:pPr>
            <w:r>
              <w:rPr/>
              <w:t>PART III</w:t>
            </w:r>
          </w:p>
        </w:tc>
        <w:tc>
          <w:tcPr>
            <w:tcW w:w="120" w:type="dxa"/>
            <w:tcBorders/>
            <w:shd w:fill="auto" w:val="clear"/>
            <w:vAlign w:val="center"/>
          </w:tcPr>
          <w:p>
            <w:pPr>
              <w:pStyle w:val="TableContents"/>
              <w:spacing w:before="0" w:after="283"/>
              <w:rPr/>
            </w:pPr>
            <w:r>
              <w:rPr/>
              <w:t>  </w:t>
            </w:r>
          </w:p>
        </w:tc>
        <w:tc>
          <w:tcPr>
            <w:tcW w:w="86"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r>
      <w:tr>
        <w:trPr/>
        <w:tc>
          <w:tcPr>
            <w:tcW w:w="837" w:type="dxa"/>
            <w:tcBorders/>
            <w:shd w:fill="auto" w:val="clear"/>
            <w:vAlign w:val="center"/>
          </w:tcPr>
          <w:p>
            <w:pPr>
              <w:pStyle w:val="TableContents"/>
              <w:spacing w:before="0" w:after="0"/>
              <w:rPr>
                <w:rFonts w:ascii="arial" w:hAnsi="arial"/>
                <w:sz w:val="20"/>
              </w:rPr>
            </w:pPr>
            <w:r>
              <w:rPr>
                <w:rFonts w:ascii="arial" w:hAnsi="arial"/>
                <w:sz w:val="20"/>
              </w:rPr>
              <w:t>ITEM 10.</w:t>
            </w:r>
          </w:p>
        </w:tc>
        <w:tc>
          <w:tcPr>
            <w:tcW w:w="120" w:type="dxa"/>
            <w:tcBorders/>
            <w:shd w:fill="auto" w:val="clear"/>
            <w:vAlign w:val="center"/>
          </w:tcPr>
          <w:p>
            <w:pPr>
              <w:pStyle w:val="TableContents"/>
              <w:spacing w:before="0" w:after="283"/>
              <w:rPr/>
            </w:pPr>
            <w:r>
              <w:rPr/>
              <w:t>  </w:t>
            </w:r>
          </w:p>
        </w:tc>
        <w:tc>
          <w:tcPr>
            <w:tcW w:w="8567" w:type="dxa"/>
            <w:tcBorders/>
            <w:shd w:fill="auto" w:val="clear"/>
            <w:vAlign w:val="center"/>
          </w:tcPr>
          <w:p>
            <w:pPr>
              <w:pStyle w:val="TableContents"/>
              <w:spacing w:before="0" w:after="0"/>
              <w:rPr/>
            </w:pPr>
            <w:hyperlink w:anchor="toc487324_1">
              <w:r>
                <w:rPr>
                  <w:rStyle w:val="InternetLink"/>
                  <w:rFonts w:ascii="arial" w:hAnsi="arial"/>
                  <w:sz w:val="20"/>
                </w:rPr>
                <w:t>Directors, Executive Officers and Corporate Governance</w:t>
              </w:r>
            </w:hyperlink>
          </w:p>
        </w:tc>
        <w:tc>
          <w:tcPr>
            <w:tcW w:w="120" w:type="dxa"/>
            <w:tcBorders/>
            <w:shd w:fill="auto" w:val="clear"/>
            <w:vAlign w:val="center"/>
          </w:tcPr>
          <w:p>
            <w:pPr>
              <w:pStyle w:val="TableContents"/>
              <w:spacing w:before="0" w:after="283"/>
              <w:rPr/>
            </w:pPr>
            <w:r>
              <w:rPr/>
              <w:t>  </w:t>
            </w:r>
          </w:p>
        </w:tc>
        <w:tc>
          <w:tcPr>
            <w:tcW w:w="86" w:type="dxa"/>
            <w:tcBorders/>
            <w:shd w:fill="auto" w:val="clear"/>
            <w:vAlign w:val="center"/>
          </w:tcPr>
          <w:p>
            <w:pPr>
              <w:pStyle w:val="TableContents"/>
              <w:spacing w:before="0" w:after="283"/>
              <w:rPr/>
            </w:pPr>
            <w:r>
              <w:rPr/>
              <w:t> </w:t>
            </w:r>
          </w:p>
        </w:tc>
        <w:tc>
          <w:tcPr>
            <w:tcW w:w="399" w:type="dxa"/>
            <w:tcBorders/>
            <w:shd w:fill="auto" w:val="clear"/>
            <w:vAlign w:val="center"/>
          </w:tcPr>
          <w:p>
            <w:pPr>
              <w:pStyle w:val="TableContents"/>
              <w:spacing w:before="0" w:after="283"/>
              <w:jc w:val="right"/>
              <w:rPr/>
            </w:pPr>
            <w:r>
              <w:rPr/>
              <w:t>1</w:t>
            </w:r>
          </w:p>
        </w:tc>
        <w:tc>
          <w:tcPr>
            <w:tcW w:w="76" w:type="dxa"/>
            <w:tcBorders/>
            <w:shd w:fill="auto" w:val="clear"/>
            <w:vAlign w:val="center"/>
          </w:tcPr>
          <w:p>
            <w:pPr>
              <w:pStyle w:val="TableContents"/>
              <w:spacing w:before="0" w:after="283"/>
              <w:rPr/>
            </w:pPr>
            <w:r>
              <w:rPr/>
              <w:t> </w:t>
            </w:r>
          </w:p>
        </w:tc>
      </w:tr>
      <w:tr>
        <w:trPr/>
        <w:tc>
          <w:tcPr>
            <w:tcW w:w="837" w:type="dxa"/>
            <w:tcBorders/>
            <w:shd w:fill="auto" w:val="clear"/>
            <w:vAlign w:val="center"/>
          </w:tcPr>
          <w:p>
            <w:pPr>
              <w:pStyle w:val="TableContents"/>
              <w:spacing w:before="0" w:after="0"/>
              <w:rPr>
                <w:rFonts w:ascii="arial" w:hAnsi="arial"/>
                <w:sz w:val="20"/>
              </w:rPr>
            </w:pPr>
            <w:r>
              <w:rPr>
                <w:rFonts w:ascii="arial" w:hAnsi="arial"/>
                <w:sz w:val="20"/>
              </w:rPr>
              <w:t>ITEM 11.</w:t>
            </w:r>
          </w:p>
        </w:tc>
        <w:tc>
          <w:tcPr>
            <w:tcW w:w="120" w:type="dxa"/>
            <w:tcBorders/>
            <w:shd w:fill="auto" w:val="clear"/>
            <w:vAlign w:val="center"/>
          </w:tcPr>
          <w:p>
            <w:pPr>
              <w:pStyle w:val="TableContents"/>
              <w:spacing w:before="0" w:after="283"/>
              <w:rPr/>
            </w:pPr>
            <w:r>
              <w:rPr/>
              <w:t>  </w:t>
            </w:r>
          </w:p>
        </w:tc>
        <w:tc>
          <w:tcPr>
            <w:tcW w:w="8567" w:type="dxa"/>
            <w:tcBorders/>
            <w:shd w:fill="auto" w:val="clear"/>
            <w:vAlign w:val="center"/>
          </w:tcPr>
          <w:p>
            <w:pPr>
              <w:pStyle w:val="TableContents"/>
              <w:spacing w:before="0" w:after="283"/>
              <w:rPr/>
            </w:pPr>
            <w:hyperlink w:anchor="toc487324_2">
              <w:r>
                <w:rPr>
                  <w:rStyle w:val="InternetLink"/>
                </w:rPr>
                <w:t>Executive Compensation</w:t>
              </w:r>
            </w:hyperlink>
          </w:p>
        </w:tc>
        <w:tc>
          <w:tcPr>
            <w:tcW w:w="120" w:type="dxa"/>
            <w:tcBorders/>
            <w:shd w:fill="auto" w:val="clear"/>
            <w:vAlign w:val="center"/>
          </w:tcPr>
          <w:p>
            <w:pPr>
              <w:pStyle w:val="TableContents"/>
              <w:spacing w:before="0" w:after="283"/>
              <w:rPr/>
            </w:pPr>
            <w:r>
              <w:rPr/>
              <w:t>  </w:t>
            </w:r>
          </w:p>
        </w:tc>
        <w:tc>
          <w:tcPr>
            <w:tcW w:w="86" w:type="dxa"/>
            <w:tcBorders/>
            <w:shd w:fill="auto" w:val="clear"/>
            <w:vAlign w:val="center"/>
          </w:tcPr>
          <w:p>
            <w:pPr>
              <w:pStyle w:val="TableContents"/>
              <w:spacing w:before="0" w:after="283"/>
              <w:rPr/>
            </w:pPr>
            <w:r>
              <w:rPr/>
              <w:t> </w:t>
            </w:r>
          </w:p>
        </w:tc>
        <w:tc>
          <w:tcPr>
            <w:tcW w:w="399" w:type="dxa"/>
            <w:tcBorders/>
            <w:shd w:fill="auto" w:val="clear"/>
            <w:vAlign w:val="center"/>
          </w:tcPr>
          <w:p>
            <w:pPr>
              <w:pStyle w:val="TableContents"/>
              <w:spacing w:before="0" w:after="283"/>
              <w:jc w:val="right"/>
              <w:rPr/>
            </w:pPr>
            <w:r>
              <w:rPr/>
              <w:t>23</w:t>
            </w:r>
          </w:p>
        </w:tc>
        <w:tc>
          <w:tcPr>
            <w:tcW w:w="76" w:type="dxa"/>
            <w:tcBorders/>
            <w:shd w:fill="auto" w:val="clear"/>
            <w:vAlign w:val="center"/>
          </w:tcPr>
          <w:p>
            <w:pPr>
              <w:pStyle w:val="TableContents"/>
              <w:spacing w:before="0" w:after="283"/>
              <w:rPr/>
            </w:pPr>
            <w:r>
              <w:rPr/>
              <w:t> </w:t>
            </w:r>
          </w:p>
        </w:tc>
      </w:tr>
      <w:tr>
        <w:trPr/>
        <w:tc>
          <w:tcPr>
            <w:tcW w:w="837" w:type="dxa"/>
            <w:tcBorders/>
            <w:shd w:fill="auto" w:val="clear"/>
            <w:vAlign w:val="center"/>
          </w:tcPr>
          <w:p>
            <w:pPr>
              <w:pStyle w:val="TableContents"/>
              <w:spacing w:before="0" w:after="0"/>
              <w:rPr>
                <w:rFonts w:ascii="arial" w:hAnsi="arial"/>
                <w:sz w:val="20"/>
              </w:rPr>
            </w:pPr>
            <w:r>
              <w:rPr>
                <w:rFonts w:ascii="arial" w:hAnsi="arial"/>
                <w:sz w:val="20"/>
              </w:rPr>
              <w:t>ITEM 12.</w:t>
            </w:r>
          </w:p>
        </w:tc>
        <w:tc>
          <w:tcPr>
            <w:tcW w:w="120" w:type="dxa"/>
            <w:tcBorders/>
            <w:shd w:fill="auto" w:val="clear"/>
            <w:vAlign w:val="center"/>
          </w:tcPr>
          <w:p>
            <w:pPr>
              <w:pStyle w:val="TableContents"/>
              <w:spacing w:before="0" w:after="283"/>
              <w:rPr/>
            </w:pPr>
            <w:r>
              <w:rPr/>
              <w:t>  </w:t>
            </w:r>
          </w:p>
        </w:tc>
        <w:tc>
          <w:tcPr>
            <w:tcW w:w="8567" w:type="dxa"/>
            <w:tcBorders/>
            <w:shd w:fill="auto" w:val="clear"/>
            <w:vAlign w:val="center"/>
          </w:tcPr>
          <w:p>
            <w:pPr>
              <w:pStyle w:val="TableContents"/>
              <w:spacing w:before="0" w:after="283"/>
              <w:rPr/>
            </w:pPr>
            <w:hyperlink w:anchor="toc487324_3">
              <w:r>
                <w:rPr>
                  <w:rStyle w:val="InternetLink"/>
                </w:rPr>
                <w:t>Security Ownership of Certain Beneficial Owners and Management and Related Stockholder Matters</w:t>
              </w:r>
            </w:hyperlink>
          </w:p>
        </w:tc>
        <w:tc>
          <w:tcPr>
            <w:tcW w:w="120" w:type="dxa"/>
            <w:tcBorders/>
            <w:shd w:fill="auto" w:val="clear"/>
            <w:vAlign w:val="center"/>
          </w:tcPr>
          <w:p>
            <w:pPr>
              <w:pStyle w:val="TableContents"/>
              <w:spacing w:before="0" w:after="283"/>
              <w:rPr/>
            </w:pPr>
            <w:r>
              <w:rPr/>
              <w:t>  </w:t>
            </w:r>
          </w:p>
        </w:tc>
        <w:tc>
          <w:tcPr>
            <w:tcW w:w="86" w:type="dxa"/>
            <w:tcBorders/>
            <w:shd w:fill="auto" w:val="clear"/>
            <w:vAlign w:val="center"/>
          </w:tcPr>
          <w:p>
            <w:pPr>
              <w:pStyle w:val="TableContents"/>
              <w:spacing w:before="0" w:after="283"/>
              <w:rPr/>
            </w:pPr>
            <w:r>
              <w:rPr/>
              <w:t> </w:t>
            </w:r>
          </w:p>
        </w:tc>
        <w:tc>
          <w:tcPr>
            <w:tcW w:w="399" w:type="dxa"/>
            <w:tcBorders/>
            <w:shd w:fill="auto" w:val="clear"/>
            <w:vAlign w:val="center"/>
          </w:tcPr>
          <w:p>
            <w:pPr>
              <w:pStyle w:val="TableContents"/>
              <w:spacing w:before="0" w:after="283"/>
              <w:jc w:val="right"/>
              <w:rPr/>
            </w:pPr>
            <w:r>
              <w:rPr/>
              <w:t>51</w:t>
            </w:r>
          </w:p>
        </w:tc>
        <w:tc>
          <w:tcPr>
            <w:tcW w:w="76" w:type="dxa"/>
            <w:tcBorders/>
            <w:shd w:fill="auto" w:val="clear"/>
            <w:vAlign w:val="center"/>
          </w:tcPr>
          <w:p>
            <w:pPr>
              <w:pStyle w:val="TableContents"/>
              <w:spacing w:before="0" w:after="283"/>
              <w:rPr/>
            </w:pPr>
            <w:r>
              <w:rPr/>
              <w:t> </w:t>
            </w:r>
          </w:p>
        </w:tc>
      </w:tr>
      <w:tr>
        <w:trPr/>
        <w:tc>
          <w:tcPr>
            <w:tcW w:w="837" w:type="dxa"/>
            <w:tcBorders/>
            <w:shd w:fill="auto" w:val="clear"/>
            <w:vAlign w:val="center"/>
          </w:tcPr>
          <w:p>
            <w:pPr>
              <w:pStyle w:val="TableContents"/>
              <w:spacing w:before="0" w:after="0"/>
              <w:rPr>
                <w:rFonts w:ascii="arial" w:hAnsi="arial"/>
                <w:sz w:val="20"/>
              </w:rPr>
            </w:pPr>
            <w:r>
              <w:rPr>
                <w:rFonts w:ascii="arial" w:hAnsi="arial"/>
                <w:sz w:val="20"/>
              </w:rPr>
              <w:t>ITEM 13.</w:t>
            </w:r>
          </w:p>
        </w:tc>
        <w:tc>
          <w:tcPr>
            <w:tcW w:w="120" w:type="dxa"/>
            <w:tcBorders/>
            <w:shd w:fill="auto" w:val="clear"/>
            <w:vAlign w:val="center"/>
          </w:tcPr>
          <w:p>
            <w:pPr>
              <w:pStyle w:val="TableContents"/>
              <w:spacing w:before="0" w:after="283"/>
              <w:rPr/>
            </w:pPr>
            <w:r>
              <w:rPr/>
              <w:t>  </w:t>
            </w:r>
          </w:p>
        </w:tc>
        <w:tc>
          <w:tcPr>
            <w:tcW w:w="8567" w:type="dxa"/>
            <w:tcBorders/>
            <w:shd w:fill="auto" w:val="clear"/>
            <w:vAlign w:val="center"/>
          </w:tcPr>
          <w:p>
            <w:pPr>
              <w:pStyle w:val="TableContents"/>
              <w:spacing w:before="0" w:after="283"/>
              <w:rPr/>
            </w:pPr>
            <w:hyperlink w:anchor="toc487324_4">
              <w:r>
                <w:rPr>
                  <w:rStyle w:val="InternetLink"/>
                </w:rPr>
                <w:t>Certain Relationships and Related Transactions, and Director Independence</w:t>
              </w:r>
            </w:hyperlink>
          </w:p>
        </w:tc>
        <w:tc>
          <w:tcPr>
            <w:tcW w:w="120" w:type="dxa"/>
            <w:tcBorders/>
            <w:shd w:fill="auto" w:val="clear"/>
            <w:vAlign w:val="center"/>
          </w:tcPr>
          <w:p>
            <w:pPr>
              <w:pStyle w:val="TableContents"/>
              <w:spacing w:before="0" w:after="283"/>
              <w:rPr/>
            </w:pPr>
            <w:r>
              <w:rPr/>
              <w:t>  </w:t>
            </w:r>
          </w:p>
        </w:tc>
        <w:tc>
          <w:tcPr>
            <w:tcW w:w="86" w:type="dxa"/>
            <w:tcBorders/>
            <w:shd w:fill="auto" w:val="clear"/>
            <w:vAlign w:val="center"/>
          </w:tcPr>
          <w:p>
            <w:pPr>
              <w:pStyle w:val="TableContents"/>
              <w:spacing w:before="0" w:after="283"/>
              <w:rPr/>
            </w:pPr>
            <w:r>
              <w:rPr/>
              <w:t> </w:t>
            </w:r>
          </w:p>
        </w:tc>
        <w:tc>
          <w:tcPr>
            <w:tcW w:w="399" w:type="dxa"/>
            <w:tcBorders/>
            <w:shd w:fill="auto" w:val="clear"/>
            <w:vAlign w:val="center"/>
          </w:tcPr>
          <w:p>
            <w:pPr>
              <w:pStyle w:val="TableContents"/>
              <w:spacing w:before="0" w:after="283"/>
              <w:jc w:val="right"/>
              <w:rPr/>
            </w:pPr>
            <w:r>
              <w:rPr/>
              <w:t>53</w:t>
            </w:r>
          </w:p>
        </w:tc>
        <w:tc>
          <w:tcPr>
            <w:tcW w:w="76" w:type="dxa"/>
            <w:tcBorders/>
            <w:shd w:fill="auto" w:val="clear"/>
            <w:vAlign w:val="center"/>
          </w:tcPr>
          <w:p>
            <w:pPr>
              <w:pStyle w:val="TableContents"/>
              <w:spacing w:before="0" w:after="283"/>
              <w:rPr/>
            </w:pPr>
            <w:r>
              <w:rPr/>
              <w:t> </w:t>
            </w:r>
          </w:p>
        </w:tc>
      </w:tr>
      <w:tr>
        <w:trPr/>
        <w:tc>
          <w:tcPr>
            <w:tcW w:w="837" w:type="dxa"/>
            <w:tcBorders/>
            <w:shd w:fill="auto" w:val="clear"/>
            <w:vAlign w:val="center"/>
          </w:tcPr>
          <w:p>
            <w:pPr>
              <w:pStyle w:val="TableContents"/>
              <w:spacing w:before="0" w:after="0"/>
              <w:rPr>
                <w:rFonts w:ascii="arial" w:hAnsi="arial"/>
                <w:sz w:val="20"/>
              </w:rPr>
            </w:pPr>
            <w:r>
              <w:rPr>
                <w:rFonts w:ascii="arial" w:hAnsi="arial"/>
                <w:sz w:val="20"/>
              </w:rPr>
              <w:t>ITEM 14.</w:t>
            </w:r>
          </w:p>
        </w:tc>
        <w:tc>
          <w:tcPr>
            <w:tcW w:w="120" w:type="dxa"/>
            <w:tcBorders/>
            <w:shd w:fill="auto" w:val="clear"/>
            <w:vAlign w:val="center"/>
          </w:tcPr>
          <w:p>
            <w:pPr>
              <w:pStyle w:val="TableContents"/>
              <w:spacing w:before="0" w:after="283"/>
              <w:rPr/>
            </w:pPr>
            <w:r>
              <w:rPr/>
              <w:t>  </w:t>
            </w:r>
          </w:p>
        </w:tc>
        <w:tc>
          <w:tcPr>
            <w:tcW w:w="8567" w:type="dxa"/>
            <w:tcBorders/>
            <w:shd w:fill="auto" w:val="clear"/>
            <w:vAlign w:val="center"/>
          </w:tcPr>
          <w:p>
            <w:pPr>
              <w:pStyle w:val="TableContents"/>
              <w:spacing w:before="0" w:after="283"/>
              <w:rPr/>
            </w:pPr>
            <w:hyperlink w:anchor="toc487324_5">
              <w:r>
                <w:rPr>
                  <w:rStyle w:val="InternetLink"/>
                </w:rPr>
                <w:t>Principal Accounting Fees and Services</w:t>
              </w:r>
            </w:hyperlink>
          </w:p>
        </w:tc>
        <w:tc>
          <w:tcPr>
            <w:tcW w:w="120" w:type="dxa"/>
            <w:tcBorders/>
            <w:shd w:fill="auto" w:val="clear"/>
            <w:vAlign w:val="center"/>
          </w:tcPr>
          <w:p>
            <w:pPr>
              <w:pStyle w:val="TableContents"/>
              <w:spacing w:before="0" w:after="283"/>
              <w:rPr/>
            </w:pPr>
            <w:r>
              <w:rPr/>
              <w:t>  </w:t>
            </w:r>
          </w:p>
        </w:tc>
        <w:tc>
          <w:tcPr>
            <w:tcW w:w="86" w:type="dxa"/>
            <w:tcBorders/>
            <w:shd w:fill="auto" w:val="clear"/>
            <w:vAlign w:val="center"/>
          </w:tcPr>
          <w:p>
            <w:pPr>
              <w:pStyle w:val="TableContents"/>
              <w:spacing w:before="0" w:after="283"/>
              <w:rPr/>
            </w:pPr>
            <w:r>
              <w:rPr/>
              <w:t> </w:t>
            </w:r>
          </w:p>
        </w:tc>
        <w:tc>
          <w:tcPr>
            <w:tcW w:w="399" w:type="dxa"/>
            <w:tcBorders/>
            <w:shd w:fill="auto" w:val="clear"/>
            <w:vAlign w:val="center"/>
          </w:tcPr>
          <w:p>
            <w:pPr>
              <w:pStyle w:val="TableContents"/>
              <w:spacing w:before="0" w:after="283"/>
              <w:jc w:val="right"/>
              <w:rPr/>
            </w:pPr>
            <w:r>
              <w:rPr/>
              <w:t>55</w:t>
            </w:r>
          </w:p>
        </w:tc>
        <w:tc>
          <w:tcPr>
            <w:tcW w:w="76" w:type="dxa"/>
            <w:tcBorders/>
            <w:shd w:fill="auto" w:val="clear"/>
            <w:vAlign w:val="center"/>
          </w:tcPr>
          <w:p>
            <w:pPr>
              <w:pStyle w:val="TableContents"/>
              <w:spacing w:before="0" w:after="283"/>
              <w:rPr/>
            </w:pPr>
            <w:r>
              <w:rPr/>
              <w:t> </w:t>
            </w:r>
          </w:p>
        </w:tc>
      </w:tr>
      <w:tr>
        <w:trPr/>
        <w:tc>
          <w:tcPr>
            <w:tcW w:w="9524" w:type="dxa"/>
            <w:gridSpan w:val="3"/>
            <w:tcBorders/>
            <w:shd w:fill="auto" w:val="clear"/>
            <w:vAlign w:val="center"/>
          </w:tcPr>
          <w:p>
            <w:pPr>
              <w:pStyle w:val="TableContents"/>
              <w:spacing w:before="0" w:after="283"/>
              <w:rPr>
                <w:sz w:val="4"/>
                <w:szCs w:val="4"/>
              </w:rPr>
            </w:pPr>
            <w:r>
              <w:rPr>
                <w:sz w:val="4"/>
                <w:szCs w:val="4"/>
              </w:rPr>
            </w:r>
          </w:p>
        </w:tc>
        <w:tc>
          <w:tcPr>
            <w:tcW w:w="681" w:type="dxa"/>
            <w:gridSpan w:val="4"/>
            <w:tcBorders/>
            <w:shd w:fill="auto" w:val="clear"/>
            <w:vAlign w:val="center"/>
          </w:tcPr>
          <w:p>
            <w:pPr>
              <w:pStyle w:val="TableContents"/>
              <w:spacing w:before="0" w:after="283"/>
              <w:rPr>
                <w:sz w:val="4"/>
                <w:szCs w:val="4"/>
              </w:rPr>
            </w:pPr>
            <w:r>
              <w:rPr>
                <w:sz w:val="4"/>
                <w:szCs w:val="4"/>
              </w:rPr>
            </w:r>
          </w:p>
        </w:tc>
      </w:tr>
      <w:tr>
        <w:trPr/>
        <w:tc>
          <w:tcPr>
            <w:tcW w:w="9524" w:type="dxa"/>
            <w:gridSpan w:val="3"/>
            <w:tcBorders/>
            <w:shd w:fill="auto" w:val="clear"/>
            <w:vAlign w:val="center"/>
          </w:tcPr>
          <w:p>
            <w:pPr>
              <w:pStyle w:val="TableContents"/>
              <w:spacing w:before="0" w:after="283"/>
              <w:jc w:val="center"/>
              <w:rPr/>
            </w:pPr>
            <w:r>
              <w:rPr/>
              <w:t>PART IV</w:t>
            </w:r>
          </w:p>
        </w:tc>
        <w:tc>
          <w:tcPr>
            <w:tcW w:w="120" w:type="dxa"/>
            <w:tcBorders/>
            <w:shd w:fill="auto" w:val="clear"/>
            <w:vAlign w:val="center"/>
          </w:tcPr>
          <w:p>
            <w:pPr>
              <w:pStyle w:val="TableContents"/>
              <w:spacing w:before="0" w:after="283"/>
              <w:rPr/>
            </w:pPr>
            <w:r>
              <w:rPr/>
              <w:t>  </w:t>
            </w:r>
          </w:p>
        </w:tc>
        <w:tc>
          <w:tcPr>
            <w:tcW w:w="86"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r>
      <w:tr>
        <w:trPr/>
        <w:tc>
          <w:tcPr>
            <w:tcW w:w="837" w:type="dxa"/>
            <w:tcBorders/>
            <w:shd w:fill="auto" w:val="clear"/>
            <w:vAlign w:val="center"/>
          </w:tcPr>
          <w:p>
            <w:pPr>
              <w:pStyle w:val="TableContents"/>
              <w:spacing w:before="0" w:after="0"/>
              <w:rPr>
                <w:rFonts w:ascii="arial" w:hAnsi="arial"/>
                <w:sz w:val="20"/>
              </w:rPr>
            </w:pPr>
            <w:r>
              <w:rPr>
                <w:rFonts w:ascii="arial" w:hAnsi="arial"/>
                <w:sz w:val="20"/>
              </w:rPr>
              <w:t>ITEM 15.</w:t>
            </w:r>
          </w:p>
        </w:tc>
        <w:tc>
          <w:tcPr>
            <w:tcW w:w="120" w:type="dxa"/>
            <w:tcBorders/>
            <w:shd w:fill="auto" w:val="clear"/>
            <w:vAlign w:val="center"/>
          </w:tcPr>
          <w:p>
            <w:pPr>
              <w:pStyle w:val="TableContents"/>
              <w:spacing w:before="0" w:after="283"/>
              <w:rPr/>
            </w:pPr>
            <w:r>
              <w:rPr/>
              <w:t>  </w:t>
            </w:r>
          </w:p>
        </w:tc>
        <w:tc>
          <w:tcPr>
            <w:tcW w:w="8567" w:type="dxa"/>
            <w:tcBorders/>
            <w:shd w:fill="auto" w:val="clear"/>
            <w:vAlign w:val="center"/>
          </w:tcPr>
          <w:p>
            <w:pPr>
              <w:pStyle w:val="TableContents"/>
              <w:spacing w:before="0" w:after="283"/>
              <w:rPr/>
            </w:pPr>
            <w:hyperlink w:anchor="toc487324_6">
              <w:r>
                <w:rPr>
                  <w:rStyle w:val="InternetLink"/>
                </w:rPr>
                <w:t xml:space="preserve">Exhibits </w:t>
              </w:r>
            </w:hyperlink>
          </w:p>
        </w:tc>
        <w:tc>
          <w:tcPr>
            <w:tcW w:w="120" w:type="dxa"/>
            <w:tcBorders/>
            <w:shd w:fill="auto" w:val="clear"/>
            <w:vAlign w:val="center"/>
          </w:tcPr>
          <w:p>
            <w:pPr>
              <w:pStyle w:val="TableContents"/>
              <w:spacing w:before="0" w:after="283"/>
              <w:rPr/>
            </w:pPr>
            <w:r>
              <w:rPr/>
              <w:t>  </w:t>
            </w:r>
          </w:p>
        </w:tc>
        <w:tc>
          <w:tcPr>
            <w:tcW w:w="86" w:type="dxa"/>
            <w:tcBorders/>
            <w:shd w:fill="auto" w:val="clear"/>
            <w:vAlign w:val="center"/>
          </w:tcPr>
          <w:p>
            <w:pPr>
              <w:pStyle w:val="TableContents"/>
              <w:spacing w:before="0" w:after="283"/>
              <w:rPr/>
            </w:pPr>
            <w:r>
              <w:rPr/>
              <w:t> </w:t>
            </w:r>
          </w:p>
        </w:tc>
        <w:tc>
          <w:tcPr>
            <w:tcW w:w="399" w:type="dxa"/>
            <w:tcBorders/>
            <w:shd w:fill="auto" w:val="clear"/>
            <w:vAlign w:val="center"/>
          </w:tcPr>
          <w:p>
            <w:pPr>
              <w:pStyle w:val="TableContents"/>
              <w:spacing w:before="0" w:after="283"/>
              <w:jc w:val="right"/>
              <w:rPr/>
            </w:pPr>
            <w:r>
              <w:rPr/>
              <w:t>56</w:t>
            </w:r>
          </w:p>
        </w:tc>
        <w:tc>
          <w:tcPr>
            <w:tcW w:w="76" w:type="dxa"/>
            <w:tcBorders/>
            <w:shd w:fill="auto" w:val="clear"/>
            <w:vAlign w:val="center"/>
          </w:tcPr>
          <w:p>
            <w:pPr>
              <w:pStyle w:val="TableContents"/>
              <w:spacing w:before="0" w:after="283"/>
              <w:rPr/>
            </w:pPr>
            <w:r>
              <w:rPr/>
              <w:t> </w:t>
            </w:r>
          </w:p>
        </w:tc>
      </w:tr>
      <w:tr>
        <w:trPr/>
        <w:tc>
          <w:tcPr>
            <w:tcW w:w="9524" w:type="dxa"/>
            <w:gridSpan w:val="3"/>
            <w:tcBorders/>
            <w:shd w:fill="auto" w:val="clear"/>
            <w:vAlign w:val="center"/>
          </w:tcPr>
          <w:p>
            <w:pPr>
              <w:pStyle w:val="TableContents"/>
              <w:spacing w:before="0" w:after="0"/>
              <w:rPr/>
            </w:pPr>
            <w:hyperlink w:anchor="toc487324_7">
              <w:r>
                <w:rPr>
                  <w:rStyle w:val="InternetLink"/>
                  <w:rFonts w:ascii="arial" w:hAnsi="arial"/>
                  <w:sz w:val="20"/>
                </w:rPr>
                <w:t>Signature</w:t>
              </w:r>
            </w:hyperlink>
          </w:p>
        </w:tc>
        <w:tc>
          <w:tcPr>
            <w:tcW w:w="120" w:type="dxa"/>
            <w:tcBorders/>
            <w:shd w:fill="auto" w:val="clear"/>
            <w:vAlign w:val="center"/>
          </w:tcPr>
          <w:p>
            <w:pPr>
              <w:pStyle w:val="TableContents"/>
              <w:spacing w:before="0" w:after="283"/>
              <w:rPr/>
            </w:pPr>
            <w:r>
              <w:rPr/>
              <w:t>  </w:t>
            </w:r>
          </w:p>
        </w:tc>
        <w:tc>
          <w:tcPr>
            <w:tcW w:w="86" w:type="dxa"/>
            <w:tcBorders/>
            <w:shd w:fill="auto" w:val="clear"/>
            <w:vAlign w:val="center"/>
          </w:tcPr>
          <w:p>
            <w:pPr>
              <w:pStyle w:val="TableContents"/>
              <w:spacing w:before="0" w:after="283"/>
              <w:rPr/>
            </w:pPr>
            <w:r>
              <w:rPr/>
              <w:t> </w:t>
            </w:r>
          </w:p>
        </w:tc>
        <w:tc>
          <w:tcPr>
            <w:tcW w:w="399" w:type="dxa"/>
            <w:tcBorders/>
            <w:shd w:fill="auto" w:val="clear"/>
            <w:vAlign w:val="center"/>
          </w:tcPr>
          <w:p>
            <w:pPr>
              <w:pStyle w:val="TableContents"/>
              <w:spacing w:before="0" w:after="283"/>
              <w:jc w:val="right"/>
              <w:rPr/>
            </w:pPr>
            <w:r>
              <w:rPr/>
              <w:t>57</w:t>
            </w:r>
          </w:p>
        </w:tc>
        <w:tc>
          <w:tcPr>
            <w:tcW w:w="76" w:type="dxa"/>
            <w:tcBorders/>
            <w:shd w:fill="auto" w:val="clear"/>
            <w:vAlign w:val="center"/>
          </w:tcPr>
          <w:p>
            <w:pPr>
              <w:pStyle w:val="TableContents"/>
              <w:spacing w:before="0" w:after="283"/>
              <w:rPr/>
            </w:pPr>
            <w:r>
              <w:rPr/>
              <w:t> </w:t>
            </w:r>
          </w:p>
        </w:tc>
      </w:tr>
      <w:tr>
        <w:trPr/>
        <w:tc>
          <w:tcPr>
            <w:tcW w:w="9524" w:type="dxa"/>
            <w:gridSpan w:val="3"/>
            <w:tcBorders/>
            <w:shd w:fill="auto" w:val="clear"/>
            <w:vAlign w:val="center"/>
          </w:tcPr>
          <w:p>
            <w:pPr>
              <w:pStyle w:val="TableContents"/>
              <w:spacing w:before="0" w:after="0"/>
              <w:rPr/>
            </w:pPr>
            <w:hyperlink w:anchor="toc487324_8">
              <w:r>
                <w:rPr>
                  <w:rStyle w:val="InternetLink"/>
                  <w:rFonts w:ascii="arial" w:hAnsi="arial"/>
                  <w:sz w:val="20"/>
                </w:rPr>
                <w:t>Appendix A — Reconciliations of Non-GAAP Financial Measures (Unaudited)</w:t>
              </w:r>
            </w:hyperlink>
          </w:p>
        </w:tc>
        <w:tc>
          <w:tcPr>
            <w:tcW w:w="120" w:type="dxa"/>
            <w:tcBorders/>
            <w:shd w:fill="auto" w:val="clear"/>
            <w:vAlign w:val="center"/>
          </w:tcPr>
          <w:p>
            <w:pPr>
              <w:pStyle w:val="TableContents"/>
              <w:spacing w:before="0" w:after="283"/>
              <w:rPr/>
            </w:pPr>
            <w:r>
              <w:rPr/>
              <w:t>  </w:t>
            </w:r>
          </w:p>
        </w:tc>
        <w:tc>
          <w:tcPr>
            <w:tcW w:w="86" w:type="dxa"/>
            <w:tcBorders/>
            <w:shd w:fill="auto" w:val="clear"/>
            <w:vAlign w:val="center"/>
          </w:tcPr>
          <w:p>
            <w:pPr>
              <w:pStyle w:val="TableContents"/>
              <w:spacing w:before="0" w:after="283"/>
              <w:rPr/>
            </w:pPr>
            <w:r>
              <w:rPr/>
              <w:t> </w:t>
            </w:r>
          </w:p>
        </w:tc>
        <w:tc>
          <w:tcPr>
            <w:tcW w:w="399" w:type="dxa"/>
            <w:tcBorders/>
            <w:shd w:fill="auto" w:val="clear"/>
            <w:vAlign w:val="center"/>
          </w:tcPr>
          <w:p>
            <w:pPr>
              <w:pStyle w:val="TableContents"/>
              <w:spacing w:before="0" w:after="283"/>
              <w:jc w:val="right"/>
              <w:rPr/>
            </w:pPr>
            <w:r>
              <w:rPr/>
              <w:t>A-1</w:t>
            </w:r>
          </w:p>
        </w:tc>
        <w:tc>
          <w:tcPr>
            <w:tcW w:w="76" w:type="dxa"/>
            <w:tcBorders/>
            <w:shd w:fill="auto" w:val="clear"/>
            <w:vAlign w:val="center"/>
          </w:tcPr>
          <w:p>
            <w:pPr>
              <w:pStyle w:val="TableContents"/>
              <w:spacing w:before="0" w:after="283"/>
              <w:rPr/>
            </w:pPr>
            <w:r>
              <w:rPr/>
              <w:t> </w:t>
            </w:r>
          </w:p>
        </w:tc>
      </w:tr>
    </w:tbl>
    <w:p>
      <w:pPr>
        <w:pStyle w:val="HorizontalLine"/>
        <w:rPr/>
      </w:pPr>
      <w:r>
        <w:br w:type="page"/>
      </w:r>
      <w:r>
        <w:rPr/>
      </w:r>
    </w:p>
    <w:p>
      <w:pPr>
        <w:pStyle w:val="TextBody"/>
        <w:spacing w:before="0" w:after="0"/>
        <w:jc w:val="center"/>
        <w:rPr>
          <w:rFonts w:ascii="arial" w:hAnsi="arial"/>
          <w:b/>
          <w:sz w:val="20"/>
        </w:rPr>
      </w:pPr>
      <w:r>
        <w:rPr>
          <w:rFonts w:ascii="arial" w:hAnsi="arial"/>
          <w:b/>
          <w:sz w:val="20"/>
        </w:rPr>
        <w:t xml:space="preserve">PART III </w:t>
      </w:r>
    </w:p>
    <w:p>
      <w:pPr>
        <w:pStyle w:val="TextBody"/>
        <w:spacing w:before="0" w:after="0"/>
        <w:jc w:val="left"/>
        <w:rPr/>
      </w:pPr>
      <w:r>
        <w:rPr/>
        <w:t> </w:t>
      </w:r>
    </w:p>
    <w:tbl>
      <w:tblPr>
        <w:tblW w:w="6325" w:type="dxa"/>
        <w:jc w:val="left"/>
        <w:tblInd w:w="0" w:type="dxa"/>
        <w:tblCellMar>
          <w:top w:w="0" w:type="dxa"/>
          <w:left w:w="0" w:type="dxa"/>
          <w:bottom w:w="0" w:type="dxa"/>
          <w:right w:w="0" w:type="dxa"/>
        </w:tblCellMar>
      </w:tblPr>
      <w:tblGrid>
        <w:gridCol w:w="1040"/>
        <w:gridCol w:w="5285"/>
      </w:tblGrid>
      <w:tr>
        <w:trPr/>
        <w:tc>
          <w:tcPr>
            <w:tcW w:w="1040" w:type="dxa"/>
            <w:tcBorders/>
            <w:shd w:fill="auto" w:val="clear"/>
            <w:vAlign w:val="center"/>
          </w:tcPr>
          <w:p>
            <w:pPr>
              <w:pStyle w:val="TableContents"/>
              <w:spacing w:before="0" w:after="283"/>
              <w:jc w:val="left"/>
              <w:rPr>
                <w:b/>
              </w:rPr>
            </w:pPr>
            <w:bookmarkStart w:id="3" w:name="toc487324_1"/>
            <w:bookmarkEnd w:id="3"/>
            <w:r>
              <w:rPr>
                <w:b/>
              </w:rPr>
              <w:t>ITEM 10.</w:t>
            </w:r>
          </w:p>
        </w:tc>
        <w:tc>
          <w:tcPr>
            <w:tcW w:w="5285" w:type="dxa"/>
            <w:tcBorders/>
            <w:shd w:fill="auto" w:val="clear"/>
            <w:vAlign w:val="center"/>
          </w:tcPr>
          <w:p>
            <w:pPr>
              <w:pStyle w:val="TableContents"/>
              <w:spacing w:before="0" w:after="0"/>
              <w:jc w:val="left"/>
              <w:rPr>
                <w:rFonts w:ascii="arial" w:hAnsi="arial"/>
                <w:b/>
                <w:sz w:val="20"/>
              </w:rPr>
            </w:pPr>
            <w:r>
              <w:rPr>
                <w:rFonts w:ascii="arial" w:hAnsi="arial"/>
                <w:b/>
                <w:sz w:val="20"/>
              </w:rPr>
              <w:t xml:space="preserve">Directors, Executive Officers and Corporate Governance </w:t>
            </w:r>
          </w:p>
        </w:tc>
      </w:tr>
    </w:tbl>
    <w:p>
      <w:pPr>
        <w:pStyle w:val="TextBody"/>
        <w:spacing w:before="240" w:after="0"/>
        <w:jc w:val="left"/>
        <w:rPr>
          <w:rFonts w:ascii="arial" w:hAnsi="arial"/>
          <w:b/>
          <w:color w:val="666666"/>
          <w:sz w:val="28"/>
        </w:rPr>
      </w:pPr>
      <w:r>
        <w:rPr>
          <w:rFonts w:ascii="arial" w:hAnsi="arial"/>
          <w:b/>
          <w:color w:val="666666"/>
          <w:sz w:val="28"/>
        </w:rPr>
        <w:t xml:space="preserve">Executive Officers </w:t>
      </w:r>
    </w:p>
    <w:p>
      <w:pPr>
        <w:pStyle w:val="TextBody"/>
        <w:pBdr>
          <w:bottom w:val="single" w:sz="2" w:space="1" w:color="732282"/>
        </w:pBdr>
        <w:spacing w:lineRule="atLeast" w:line="141" w:before="0" w:after="40"/>
        <w:jc w:val="left"/>
        <w:rPr/>
      </w:pPr>
      <w:r>
        <w:rPr/>
        <w:t> </w:t>
      </w:r>
    </w:p>
    <w:p>
      <w:pPr>
        <w:pStyle w:val="TextBody"/>
        <w:spacing w:before="120" w:after="0"/>
        <w:jc w:val="both"/>
        <w:rPr>
          <w:rFonts w:ascii="arial" w:hAnsi="arial"/>
          <w:sz w:val="18"/>
        </w:rPr>
      </w:pPr>
      <w:r>
        <w:rPr>
          <w:rFonts w:ascii="arial" w:hAnsi="arial"/>
          <w:sz w:val="18"/>
        </w:rPr>
        <w:t xml:space="preserve">The following table sets forth the names, ages, and positions of Viatris’ executive officers as of April 24, 2023: </w:t>
      </w:r>
    </w:p>
    <w:p>
      <w:pPr>
        <w:pStyle w:val="TextBody"/>
        <w:spacing w:before="0" w:after="0"/>
        <w:jc w:val="left"/>
        <w:rPr/>
      </w:pPr>
      <w:r>
        <w:rPr/>
        <w:t> </w:t>
      </w:r>
    </w:p>
    <w:tbl>
      <w:tblPr>
        <w:tblW w:w="8655" w:type="dxa"/>
        <w:jc w:val="left"/>
        <w:tblInd w:w="0" w:type="dxa"/>
        <w:tblCellMar>
          <w:top w:w="0" w:type="dxa"/>
          <w:left w:w="0" w:type="dxa"/>
          <w:bottom w:w="0" w:type="dxa"/>
          <w:right w:w="0" w:type="dxa"/>
        </w:tblCellMar>
      </w:tblPr>
      <w:tblGrid>
        <w:gridCol w:w="1745"/>
        <w:gridCol w:w="120"/>
        <w:gridCol w:w="230"/>
        <w:gridCol w:w="120"/>
        <w:gridCol w:w="6440"/>
      </w:tblGrid>
      <w:tr>
        <w:trPr/>
        <w:tc>
          <w:tcPr>
            <w:tcW w:w="17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440" w:type="dxa"/>
            <w:tcBorders/>
            <w:shd w:fill="auto" w:val="clear"/>
            <w:vAlign w:val="center"/>
          </w:tcPr>
          <w:p>
            <w:pPr>
              <w:pStyle w:val="TableContents"/>
              <w:spacing w:before="0" w:after="283"/>
              <w:rPr>
                <w:sz w:val="4"/>
                <w:szCs w:val="4"/>
              </w:rPr>
            </w:pPr>
            <w:r>
              <w:rPr>
                <w:sz w:val="4"/>
                <w:szCs w:val="4"/>
              </w:rPr>
            </w:r>
          </w:p>
        </w:tc>
      </w:tr>
      <w:tr>
        <w:trPr/>
        <w:tc>
          <w:tcPr>
            <w:tcW w:w="1745" w:type="dxa"/>
            <w:tcBorders/>
            <w:shd w:fill="auto" w:val="clear"/>
            <w:vAlign w:val="center"/>
          </w:tcPr>
          <w:p>
            <w:pPr>
              <w:pStyle w:val="TableContents"/>
              <w:spacing w:before="0" w:after="0"/>
              <w:jc w:val="both"/>
              <w:rPr>
                <w:rFonts w:ascii="arial" w:hAnsi="arial"/>
                <w:sz w:val="18"/>
              </w:rPr>
            </w:pPr>
            <w:r>
              <w:rPr>
                <w:rFonts w:ascii="arial" w:hAnsi="arial"/>
                <w:sz w:val="18"/>
              </w:rPr>
              <w:t>Scott A. Smith</w:t>
            </w:r>
          </w:p>
        </w:tc>
        <w:tc>
          <w:tcPr>
            <w:tcW w:w="120"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0"/>
              <w:jc w:val="both"/>
              <w:rPr>
                <w:rFonts w:ascii="arial" w:hAnsi="arial"/>
                <w:sz w:val="18"/>
              </w:rPr>
            </w:pPr>
            <w:r>
              <w:rPr>
                <w:rFonts w:ascii="arial" w:hAnsi="arial"/>
                <w:sz w:val="18"/>
              </w:rPr>
              <w:t>61</w:t>
            </w:r>
          </w:p>
        </w:tc>
        <w:tc>
          <w:tcPr>
            <w:tcW w:w="120" w:type="dxa"/>
            <w:tcBorders/>
            <w:shd w:fill="auto" w:val="clear"/>
            <w:vAlign w:val="center"/>
          </w:tcPr>
          <w:p>
            <w:pPr>
              <w:pStyle w:val="TableContents"/>
              <w:spacing w:before="0" w:after="283"/>
              <w:rPr/>
            </w:pPr>
            <w:r>
              <w:rPr/>
              <w:t>  </w:t>
            </w:r>
          </w:p>
        </w:tc>
        <w:tc>
          <w:tcPr>
            <w:tcW w:w="6440" w:type="dxa"/>
            <w:tcBorders/>
            <w:shd w:fill="auto" w:val="clear"/>
            <w:vAlign w:val="center"/>
          </w:tcPr>
          <w:p>
            <w:pPr>
              <w:pStyle w:val="TableContents"/>
              <w:spacing w:before="0" w:after="0"/>
              <w:jc w:val="both"/>
              <w:rPr>
                <w:rFonts w:ascii="arial" w:hAnsi="arial"/>
                <w:sz w:val="18"/>
              </w:rPr>
            </w:pPr>
            <w:r>
              <w:rPr>
                <w:rFonts w:ascii="arial" w:hAnsi="arial"/>
                <w:sz w:val="18"/>
              </w:rPr>
              <w:t>Chief Executive Officer (principal executive officer)</w:t>
            </w:r>
          </w:p>
        </w:tc>
      </w:tr>
      <w:tr>
        <w:trPr/>
        <w:tc>
          <w:tcPr>
            <w:tcW w:w="1745" w:type="dxa"/>
            <w:tcBorders/>
            <w:shd w:fill="auto" w:val="clear"/>
            <w:vAlign w:val="center"/>
          </w:tcPr>
          <w:p>
            <w:pPr>
              <w:pStyle w:val="TableContents"/>
              <w:spacing w:before="0" w:after="0"/>
              <w:jc w:val="both"/>
              <w:rPr>
                <w:rFonts w:ascii="arial" w:hAnsi="arial"/>
                <w:sz w:val="18"/>
              </w:rPr>
            </w:pPr>
            <w:r>
              <w:rPr>
                <w:rFonts w:ascii="arial" w:hAnsi="arial"/>
                <w:sz w:val="18"/>
              </w:rPr>
              <w:t>Rajiv Malik</w:t>
            </w:r>
          </w:p>
        </w:tc>
        <w:tc>
          <w:tcPr>
            <w:tcW w:w="120"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0"/>
              <w:jc w:val="both"/>
              <w:rPr>
                <w:rFonts w:ascii="arial" w:hAnsi="arial"/>
                <w:sz w:val="18"/>
              </w:rPr>
            </w:pPr>
            <w:r>
              <w:rPr>
                <w:rFonts w:ascii="arial" w:hAnsi="arial"/>
                <w:sz w:val="18"/>
              </w:rPr>
              <w:t>62</w:t>
            </w:r>
          </w:p>
        </w:tc>
        <w:tc>
          <w:tcPr>
            <w:tcW w:w="120" w:type="dxa"/>
            <w:tcBorders/>
            <w:shd w:fill="auto" w:val="clear"/>
            <w:vAlign w:val="center"/>
          </w:tcPr>
          <w:p>
            <w:pPr>
              <w:pStyle w:val="TableContents"/>
              <w:spacing w:before="0" w:after="283"/>
              <w:rPr/>
            </w:pPr>
            <w:r>
              <w:rPr/>
              <w:t>  </w:t>
            </w:r>
          </w:p>
        </w:tc>
        <w:tc>
          <w:tcPr>
            <w:tcW w:w="6440" w:type="dxa"/>
            <w:tcBorders/>
            <w:shd w:fill="auto" w:val="clear"/>
            <w:vAlign w:val="center"/>
          </w:tcPr>
          <w:p>
            <w:pPr>
              <w:pStyle w:val="TableContents"/>
              <w:spacing w:before="0" w:after="0"/>
              <w:jc w:val="both"/>
              <w:rPr>
                <w:rFonts w:ascii="arial" w:hAnsi="arial"/>
                <w:sz w:val="18"/>
              </w:rPr>
            </w:pPr>
            <w:r>
              <w:rPr>
                <w:rFonts w:ascii="arial" w:hAnsi="arial"/>
                <w:sz w:val="18"/>
              </w:rPr>
              <w:t>President</w:t>
            </w:r>
          </w:p>
        </w:tc>
      </w:tr>
      <w:tr>
        <w:trPr/>
        <w:tc>
          <w:tcPr>
            <w:tcW w:w="1745" w:type="dxa"/>
            <w:tcBorders/>
            <w:shd w:fill="auto" w:val="clear"/>
            <w:vAlign w:val="center"/>
          </w:tcPr>
          <w:p>
            <w:pPr>
              <w:pStyle w:val="TableContents"/>
              <w:spacing w:before="0" w:after="0"/>
              <w:jc w:val="both"/>
              <w:rPr>
                <w:rFonts w:ascii="arial" w:hAnsi="arial"/>
                <w:sz w:val="18"/>
              </w:rPr>
            </w:pPr>
            <w:r>
              <w:rPr>
                <w:rFonts w:ascii="arial" w:hAnsi="arial"/>
                <w:sz w:val="18"/>
              </w:rPr>
              <w:t>Sanjeev Narula</w:t>
            </w:r>
          </w:p>
        </w:tc>
        <w:tc>
          <w:tcPr>
            <w:tcW w:w="120"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0"/>
              <w:jc w:val="both"/>
              <w:rPr>
                <w:rFonts w:ascii="arial" w:hAnsi="arial"/>
                <w:sz w:val="18"/>
              </w:rPr>
            </w:pPr>
            <w:r>
              <w:rPr>
                <w:rFonts w:ascii="arial" w:hAnsi="arial"/>
                <w:sz w:val="18"/>
              </w:rPr>
              <w:t>62</w:t>
            </w:r>
          </w:p>
        </w:tc>
        <w:tc>
          <w:tcPr>
            <w:tcW w:w="120" w:type="dxa"/>
            <w:tcBorders/>
            <w:shd w:fill="auto" w:val="clear"/>
            <w:vAlign w:val="center"/>
          </w:tcPr>
          <w:p>
            <w:pPr>
              <w:pStyle w:val="TableContents"/>
              <w:spacing w:before="0" w:after="283"/>
              <w:rPr/>
            </w:pPr>
            <w:r>
              <w:rPr/>
              <w:t>  </w:t>
            </w:r>
          </w:p>
        </w:tc>
        <w:tc>
          <w:tcPr>
            <w:tcW w:w="6440" w:type="dxa"/>
            <w:tcBorders/>
            <w:shd w:fill="auto" w:val="clear"/>
            <w:vAlign w:val="center"/>
          </w:tcPr>
          <w:p>
            <w:pPr>
              <w:pStyle w:val="TableContents"/>
              <w:spacing w:before="0" w:after="0"/>
              <w:jc w:val="both"/>
              <w:rPr>
                <w:rFonts w:ascii="arial" w:hAnsi="arial"/>
                <w:sz w:val="18"/>
              </w:rPr>
            </w:pPr>
            <w:r>
              <w:rPr>
                <w:rFonts w:ascii="arial" w:hAnsi="arial"/>
                <w:sz w:val="18"/>
              </w:rPr>
              <w:t>Chief Financial Officer (principal financial officer)</w:t>
            </w:r>
          </w:p>
        </w:tc>
      </w:tr>
      <w:tr>
        <w:trPr/>
        <w:tc>
          <w:tcPr>
            <w:tcW w:w="1745" w:type="dxa"/>
            <w:tcBorders/>
            <w:shd w:fill="auto" w:val="clear"/>
            <w:vAlign w:val="center"/>
          </w:tcPr>
          <w:p>
            <w:pPr>
              <w:pStyle w:val="TableContents"/>
              <w:spacing w:before="0" w:after="0"/>
              <w:jc w:val="both"/>
              <w:rPr>
                <w:rFonts w:ascii="arial" w:hAnsi="arial"/>
                <w:sz w:val="18"/>
              </w:rPr>
            </w:pPr>
            <w:r>
              <w:rPr>
                <w:rFonts w:ascii="arial" w:hAnsi="arial"/>
                <w:sz w:val="18"/>
              </w:rPr>
              <w:t>Paul Campbell</w:t>
            </w:r>
          </w:p>
        </w:tc>
        <w:tc>
          <w:tcPr>
            <w:tcW w:w="120"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0"/>
              <w:jc w:val="both"/>
              <w:rPr>
                <w:rFonts w:ascii="arial" w:hAnsi="arial"/>
                <w:sz w:val="18"/>
              </w:rPr>
            </w:pPr>
            <w:r>
              <w:rPr>
                <w:rFonts w:ascii="arial" w:hAnsi="arial"/>
                <w:sz w:val="18"/>
              </w:rPr>
              <w:t>56</w:t>
            </w:r>
          </w:p>
        </w:tc>
        <w:tc>
          <w:tcPr>
            <w:tcW w:w="120" w:type="dxa"/>
            <w:tcBorders/>
            <w:shd w:fill="auto" w:val="clear"/>
            <w:vAlign w:val="center"/>
          </w:tcPr>
          <w:p>
            <w:pPr>
              <w:pStyle w:val="TableContents"/>
              <w:spacing w:before="0" w:after="283"/>
              <w:rPr/>
            </w:pPr>
            <w:r>
              <w:rPr/>
              <w:t>  </w:t>
            </w:r>
          </w:p>
        </w:tc>
        <w:tc>
          <w:tcPr>
            <w:tcW w:w="6440" w:type="dxa"/>
            <w:tcBorders/>
            <w:shd w:fill="auto" w:val="clear"/>
            <w:vAlign w:val="center"/>
          </w:tcPr>
          <w:p>
            <w:pPr>
              <w:pStyle w:val="TableContents"/>
              <w:spacing w:before="0" w:after="0"/>
              <w:jc w:val="both"/>
              <w:rPr>
                <w:rFonts w:ascii="arial" w:hAnsi="arial"/>
                <w:sz w:val="18"/>
              </w:rPr>
            </w:pPr>
            <w:r>
              <w:rPr>
                <w:rFonts w:ascii="arial" w:hAnsi="arial"/>
                <w:sz w:val="18"/>
              </w:rPr>
              <w:t>Chief Accounting Officer and Corporate Controller (principal accounting officer)</w:t>
            </w:r>
          </w:p>
        </w:tc>
      </w:tr>
      <w:tr>
        <w:trPr/>
        <w:tc>
          <w:tcPr>
            <w:tcW w:w="1745" w:type="dxa"/>
            <w:tcBorders/>
            <w:shd w:fill="auto" w:val="clear"/>
            <w:vAlign w:val="center"/>
          </w:tcPr>
          <w:p>
            <w:pPr>
              <w:pStyle w:val="TableContents"/>
              <w:spacing w:before="0" w:after="0"/>
              <w:jc w:val="both"/>
              <w:rPr>
                <w:rFonts w:ascii="arial" w:hAnsi="arial"/>
                <w:sz w:val="18"/>
              </w:rPr>
            </w:pPr>
            <w:r>
              <w:rPr>
                <w:rFonts w:ascii="arial" w:hAnsi="arial"/>
                <w:sz w:val="18"/>
              </w:rPr>
              <w:t>Brian Roman</w:t>
            </w:r>
          </w:p>
        </w:tc>
        <w:tc>
          <w:tcPr>
            <w:tcW w:w="120"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0"/>
              <w:jc w:val="both"/>
              <w:rPr>
                <w:rFonts w:ascii="arial" w:hAnsi="arial"/>
                <w:sz w:val="18"/>
              </w:rPr>
            </w:pPr>
            <w:r>
              <w:rPr>
                <w:rFonts w:ascii="arial" w:hAnsi="arial"/>
                <w:sz w:val="18"/>
              </w:rPr>
              <w:t>53</w:t>
            </w:r>
          </w:p>
        </w:tc>
        <w:tc>
          <w:tcPr>
            <w:tcW w:w="120" w:type="dxa"/>
            <w:tcBorders/>
            <w:shd w:fill="auto" w:val="clear"/>
            <w:vAlign w:val="center"/>
          </w:tcPr>
          <w:p>
            <w:pPr>
              <w:pStyle w:val="TableContents"/>
              <w:spacing w:before="0" w:after="283"/>
              <w:rPr/>
            </w:pPr>
            <w:r>
              <w:rPr/>
              <w:t>  </w:t>
            </w:r>
          </w:p>
        </w:tc>
        <w:tc>
          <w:tcPr>
            <w:tcW w:w="6440" w:type="dxa"/>
            <w:tcBorders/>
            <w:shd w:fill="auto" w:val="clear"/>
            <w:vAlign w:val="center"/>
          </w:tcPr>
          <w:p>
            <w:pPr>
              <w:pStyle w:val="TableContents"/>
              <w:spacing w:before="0" w:after="0"/>
              <w:jc w:val="both"/>
              <w:rPr>
                <w:rFonts w:ascii="arial" w:hAnsi="arial"/>
                <w:sz w:val="18"/>
              </w:rPr>
            </w:pPr>
            <w:r>
              <w:rPr>
                <w:rFonts w:ascii="arial" w:hAnsi="arial"/>
                <w:sz w:val="18"/>
              </w:rPr>
              <w:t>Global General Counsel</w:t>
            </w:r>
          </w:p>
        </w:tc>
      </w:tr>
      <w:tr>
        <w:trPr/>
        <w:tc>
          <w:tcPr>
            <w:tcW w:w="1745" w:type="dxa"/>
            <w:tcBorders/>
            <w:shd w:fill="auto" w:val="clear"/>
            <w:vAlign w:val="center"/>
          </w:tcPr>
          <w:p>
            <w:pPr>
              <w:pStyle w:val="TableContents"/>
              <w:spacing w:before="0" w:after="0"/>
              <w:jc w:val="both"/>
              <w:rPr>
                <w:rFonts w:ascii="arial" w:hAnsi="arial"/>
                <w:sz w:val="18"/>
              </w:rPr>
            </w:pPr>
            <w:r>
              <w:rPr>
                <w:rFonts w:ascii="arial" w:hAnsi="arial"/>
                <w:sz w:val="18"/>
              </w:rPr>
              <w:t>Andrew Cuneo</w:t>
            </w:r>
          </w:p>
        </w:tc>
        <w:tc>
          <w:tcPr>
            <w:tcW w:w="120"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0"/>
              <w:jc w:val="both"/>
              <w:rPr>
                <w:rFonts w:ascii="arial" w:hAnsi="arial"/>
                <w:sz w:val="18"/>
              </w:rPr>
            </w:pPr>
            <w:r>
              <w:rPr>
                <w:rFonts w:ascii="arial" w:hAnsi="arial"/>
                <w:sz w:val="18"/>
              </w:rPr>
              <w:t>47</w:t>
            </w:r>
          </w:p>
        </w:tc>
        <w:tc>
          <w:tcPr>
            <w:tcW w:w="120" w:type="dxa"/>
            <w:tcBorders/>
            <w:shd w:fill="auto" w:val="clear"/>
            <w:vAlign w:val="center"/>
          </w:tcPr>
          <w:p>
            <w:pPr>
              <w:pStyle w:val="TableContents"/>
              <w:spacing w:before="0" w:after="283"/>
              <w:rPr/>
            </w:pPr>
            <w:r>
              <w:rPr/>
              <w:t>  </w:t>
            </w:r>
          </w:p>
        </w:tc>
        <w:tc>
          <w:tcPr>
            <w:tcW w:w="6440" w:type="dxa"/>
            <w:tcBorders/>
            <w:shd w:fill="auto" w:val="clear"/>
            <w:vAlign w:val="center"/>
          </w:tcPr>
          <w:p>
            <w:pPr>
              <w:pStyle w:val="TableContents"/>
              <w:spacing w:before="0" w:after="0"/>
              <w:jc w:val="both"/>
              <w:rPr>
                <w:rFonts w:ascii="arial" w:hAnsi="arial"/>
                <w:sz w:val="18"/>
              </w:rPr>
            </w:pPr>
            <w:r>
              <w:rPr>
                <w:rFonts w:ascii="arial" w:hAnsi="arial"/>
                <w:sz w:val="18"/>
              </w:rPr>
              <w:t>President, Japan, Australia and New Zealand (“JANZ”) and Emerging Markets</w:t>
            </w:r>
          </w:p>
        </w:tc>
      </w:tr>
      <w:tr>
        <w:trPr/>
        <w:tc>
          <w:tcPr>
            <w:tcW w:w="1745" w:type="dxa"/>
            <w:tcBorders/>
            <w:shd w:fill="auto" w:val="clear"/>
            <w:vAlign w:val="center"/>
          </w:tcPr>
          <w:p>
            <w:pPr>
              <w:pStyle w:val="TableContents"/>
              <w:spacing w:before="0" w:after="0"/>
              <w:jc w:val="both"/>
              <w:rPr>
                <w:rFonts w:ascii="arial" w:hAnsi="arial"/>
                <w:sz w:val="18"/>
              </w:rPr>
            </w:pPr>
            <w:r>
              <w:rPr>
                <w:rFonts w:ascii="arial" w:hAnsi="arial"/>
                <w:sz w:val="18"/>
              </w:rPr>
              <w:t>Anthony Mauro</w:t>
            </w:r>
          </w:p>
        </w:tc>
        <w:tc>
          <w:tcPr>
            <w:tcW w:w="120"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0"/>
              <w:jc w:val="both"/>
              <w:rPr>
                <w:rFonts w:ascii="arial" w:hAnsi="arial"/>
                <w:sz w:val="18"/>
              </w:rPr>
            </w:pPr>
            <w:r>
              <w:rPr>
                <w:rFonts w:ascii="arial" w:hAnsi="arial"/>
                <w:sz w:val="18"/>
              </w:rPr>
              <w:t>50</w:t>
            </w:r>
          </w:p>
        </w:tc>
        <w:tc>
          <w:tcPr>
            <w:tcW w:w="120" w:type="dxa"/>
            <w:tcBorders/>
            <w:shd w:fill="auto" w:val="clear"/>
            <w:vAlign w:val="center"/>
          </w:tcPr>
          <w:p>
            <w:pPr>
              <w:pStyle w:val="TableContents"/>
              <w:spacing w:before="0" w:after="283"/>
              <w:rPr/>
            </w:pPr>
            <w:r>
              <w:rPr/>
              <w:t>  </w:t>
            </w:r>
          </w:p>
        </w:tc>
        <w:tc>
          <w:tcPr>
            <w:tcW w:w="6440" w:type="dxa"/>
            <w:tcBorders/>
            <w:shd w:fill="auto" w:val="clear"/>
            <w:vAlign w:val="center"/>
          </w:tcPr>
          <w:p>
            <w:pPr>
              <w:pStyle w:val="TableContents"/>
              <w:spacing w:before="0" w:after="0"/>
              <w:jc w:val="both"/>
              <w:rPr>
                <w:rFonts w:ascii="arial" w:hAnsi="arial"/>
                <w:sz w:val="18"/>
              </w:rPr>
            </w:pPr>
            <w:r>
              <w:rPr>
                <w:rFonts w:ascii="arial" w:hAnsi="arial"/>
                <w:sz w:val="18"/>
              </w:rPr>
              <w:t>President, Developed Markets</w:t>
            </w:r>
          </w:p>
        </w:tc>
      </w:tr>
      <w:tr>
        <w:trPr/>
        <w:tc>
          <w:tcPr>
            <w:tcW w:w="1745" w:type="dxa"/>
            <w:tcBorders/>
            <w:shd w:fill="auto" w:val="clear"/>
            <w:vAlign w:val="center"/>
          </w:tcPr>
          <w:p>
            <w:pPr>
              <w:pStyle w:val="TableContents"/>
              <w:spacing w:before="0" w:after="0"/>
              <w:jc w:val="both"/>
              <w:rPr>
                <w:rFonts w:ascii="arial" w:hAnsi="arial"/>
                <w:sz w:val="18"/>
              </w:rPr>
            </w:pPr>
            <w:r>
              <w:rPr>
                <w:rFonts w:ascii="arial" w:hAnsi="arial"/>
                <w:sz w:val="18"/>
              </w:rPr>
              <w:t>Xiangyang (Sean) Ni</w:t>
            </w:r>
          </w:p>
        </w:tc>
        <w:tc>
          <w:tcPr>
            <w:tcW w:w="120"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0"/>
              <w:jc w:val="both"/>
              <w:rPr>
                <w:rFonts w:ascii="arial" w:hAnsi="arial"/>
                <w:sz w:val="18"/>
              </w:rPr>
            </w:pPr>
            <w:r>
              <w:rPr>
                <w:rFonts w:ascii="arial" w:hAnsi="arial"/>
                <w:sz w:val="18"/>
              </w:rPr>
              <w:t>54</w:t>
            </w:r>
          </w:p>
        </w:tc>
        <w:tc>
          <w:tcPr>
            <w:tcW w:w="120" w:type="dxa"/>
            <w:tcBorders/>
            <w:shd w:fill="auto" w:val="clear"/>
            <w:vAlign w:val="center"/>
          </w:tcPr>
          <w:p>
            <w:pPr>
              <w:pStyle w:val="TableContents"/>
              <w:spacing w:before="0" w:after="283"/>
              <w:rPr/>
            </w:pPr>
            <w:r>
              <w:rPr/>
              <w:t>  </w:t>
            </w:r>
          </w:p>
        </w:tc>
        <w:tc>
          <w:tcPr>
            <w:tcW w:w="6440" w:type="dxa"/>
            <w:tcBorders/>
            <w:shd w:fill="auto" w:val="clear"/>
            <w:vAlign w:val="center"/>
          </w:tcPr>
          <w:p>
            <w:pPr>
              <w:pStyle w:val="TableContents"/>
              <w:spacing w:before="0" w:after="0"/>
              <w:jc w:val="both"/>
              <w:rPr>
                <w:rFonts w:ascii="arial" w:hAnsi="arial"/>
                <w:sz w:val="18"/>
              </w:rPr>
            </w:pPr>
            <w:r>
              <w:rPr>
                <w:rFonts w:ascii="arial" w:hAnsi="arial"/>
                <w:sz w:val="18"/>
              </w:rPr>
              <w:t>President, Greater China</w:t>
            </w:r>
          </w:p>
        </w:tc>
      </w:tr>
      <w:tr>
        <w:trPr/>
        <w:tc>
          <w:tcPr>
            <w:tcW w:w="1745" w:type="dxa"/>
            <w:tcBorders/>
            <w:shd w:fill="auto" w:val="clear"/>
            <w:vAlign w:val="center"/>
          </w:tcPr>
          <w:p>
            <w:pPr>
              <w:pStyle w:val="TableContents"/>
              <w:spacing w:before="0" w:after="0"/>
              <w:jc w:val="both"/>
              <w:rPr>
                <w:rFonts w:ascii="arial" w:hAnsi="arial"/>
                <w:sz w:val="18"/>
              </w:rPr>
            </w:pPr>
            <w:r>
              <w:rPr>
                <w:rFonts w:ascii="arial" w:hAnsi="arial"/>
                <w:sz w:val="18"/>
              </w:rPr>
              <w:t>Robert J. Coury</w:t>
            </w:r>
          </w:p>
        </w:tc>
        <w:tc>
          <w:tcPr>
            <w:tcW w:w="120"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0"/>
              <w:jc w:val="both"/>
              <w:rPr>
                <w:rFonts w:ascii="arial" w:hAnsi="arial"/>
                <w:sz w:val="18"/>
              </w:rPr>
            </w:pPr>
            <w:r>
              <w:rPr>
                <w:rFonts w:ascii="arial" w:hAnsi="arial"/>
                <w:sz w:val="18"/>
              </w:rPr>
              <w:t>62</w:t>
            </w:r>
          </w:p>
        </w:tc>
        <w:tc>
          <w:tcPr>
            <w:tcW w:w="120" w:type="dxa"/>
            <w:tcBorders/>
            <w:shd w:fill="auto" w:val="clear"/>
            <w:vAlign w:val="center"/>
          </w:tcPr>
          <w:p>
            <w:pPr>
              <w:pStyle w:val="TableContents"/>
              <w:spacing w:before="0" w:after="283"/>
              <w:rPr/>
            </w:pPr>
            <w:r>
              <w:rPr/>
              <w:t>  </w:t>
            </w:r>
          </w:p>
        </w:tc>
        <w:tc>
          <w:tcPr>
            <w:tcW w:w="6440" w:type="dxa"/>
            <w:tcBorders/>
            <w:shd w:fill="auto" w:val="clear"/>
            <w:vAlign w:val="center"/>
          </w:tcPr>
          <w:p>
            <w:pPr>
              <w:pStyle w:val="TableContents"/>
              <w:spacing w:before="0" w:after="0"/>
              <w:jc w:val="both"/>
              <w:rPr>
                <w:rFonts w:ascii="arial" w:hAnsi="arial"/>
                <w:sz w:val="18"/>
              </w:rPr>
            </w:pPr>
            <w:r>
              <w:rPr>
                <w:rFonts w:ascii="arial" w:hAnsi="arial"/>
                <w:sz w:val="18"/>
              </w:rPr>
              <w:t>Executive Chairman</w:t>
            </w:r>
          </w:p>
        </w:tc>
      </w:tr>
    </w:tbl>
    <w:p>
      <w:pPr>
        <w:pStyle w:val="TextBody"/>
        <w:spacing w:before="240" w:after="0"/>
        <w:jc w:val="both"/>
        <w:rPr>
          <w:rFonts w:ascii="arial" w:hAnsi="arial"/>
          <w:sz w:val="18"/>
        </w:rPr>
      </w:pPr>
      <w:r>
        <w:rPr>
          <w:rFonts w:ascii="arial" w:hAnsi="arial"/>
          <w:b/>
          <w:sz w:val="18"/>
        </w:rPr>
        <w:t>Scott A. Smith</w:t>
      </w:r>
      <w:r>
        <w:rPr>
          <w:rFonts w:ascii="arial" w:hAnsi="arial"/>
          <w:sz w:val="18"/>
        </w:rPr>
        <w:t xml:space="preserve">. Mr. Smith has served as Viatris’ Chief Executive Officer (“CEO”) since April 1, 2023. His responsibilities include leading the daily management and the overall performance of the Company and executing on the strategies developed in collaboration with the Executive Chairman and the Board of Directors of Viatris (the “Board”), among other responsibilities. Additional details regarding Mr. Smith’s background and experience can be found under the heading “Viatris’ Board of Directors” on page 9. </w:t>
      </w:r>
    </w:p>
    <w:p>
      <w:pPr>
        <w:pStyle w:val="TextBody"/>
        <w:spacing w:before="240" w:after="0"/>
        <w:jc w:val="both"/>
        <w:rPr>
          <w:rFonts w:ascii="arial" w:hAnsi="arial"/>
          <w:sz w:val="18"/>
        </w:rPr>
      </w:pPr>
      <w:r>
        <w:rPr>
          <w:rFonts w:ascii="arial" w:hAnsi="arial"/>
          <w:b/>
          <w:sz w:val="18"/>
        </w:rPr>
        <w:t>Rajiv Malik</w:t>
      </w:r>
      <w:r>
        <w:rPr>
          <w:rFonts w:ascii="arial" w:hAnsi="arial"/>
          <w:sz w:val="18"/>
        </w:rPr>
        <w:t xml:space="preserve">. Mr. Malik has served as Viatris’ President since the closing of the Combination on November 16, 2020. His responsibilities include the day-to-day operations of the Company, overseeing the Company’s commercial business units, the Medical, Information Technology and Quality functions, and Research &amp; Development (“R&amp;D”) and Operations. Additional details regarding Mr. Malik’s background and experience can be found under the heading “Viatris’ Board of Directors” on page 7. </w:t>
      </w:r>
    </w:p>
    <w:p>
      <w:pPr>
        <w:pStyle w:val="TextBody"/>
        <w:spacing w:before="240" w:after="0"/>
        <w:jc w:val="both"/>
        <w:rPr>
          <w:rFonts w:ascii="arial" w:hAnsi="arial"/>
          <w:sz w:val="18"/>
        </w:rPr>
      </w:pPr>
      <w:r>
        <w:rPr>
          <w:rFonts w:ascii="arial" w:hAnsi="arial"/>
          <w:b/>
          <w:sz w:val="18"/>
        </w:rPr>
        <w:t>Sanjeev Narula</w:t>
      </w:r>
      <w:r>
        <w:rPr>
          <w:rFonts w:ascii="arial" w:hAnsi="arial"/>
          <w:sz w:val="18"/>
        </w:rPr>
        <w:t xml:space="preserve">. Mr. Narula has served as Viatris’ Chief Financial Officer since the closing of the Combination on November 16, 2020. His responsibilities include oversight of the global Finance Department, which includes corporate controllership, financial planning and analysis, internal audit, and tax functions, among others. Prior to the Combination, Mr. Narula served as Chief Financial Officer of Pfizer’s Upjohn division beginning in January 2019, with responsibility for oversight of finance, procurement and business technology for all functions of the business. From January 2014 to January 2019, Mr. Narula served as Vice President, Finance for Pfizer’s Essential Health Business, with responsibility for finance, business development, financial planning and analysis, and the operating plan process and forecasting. Mr. Narula also held several other financial leadership positions during his 16 years at Pfizer and Upjohn, including as the finance lead for the Primary Care Business Unit. Prior to joining Pfizer, Mr. Narula held financial and operational leadership roles at American Express and Xerox. </w:t>
      </w:r>
    </w:p>
    <w:p>
      <w:pPr>
        <w:pStyle w:val="TextBody"/>
        <w:spacing w:before="240" w:after="0"/>
        <w:jc w:val="both"/>
        <w:rPr>
          <w:rFonts w:ascii="arial" w:hAnsi="arial"/>
          <w:sz w:val="18"/>
        </w:rPr>
      </w:pPr>
      <w:r>
        <w:rPr>
          <w:rFonts w:ascii="arial" w:hAnsi="arial"/>
          <w:b/>
          <w:sz w:val="18"/>
        </w:rPr>
        <w:t>Paul Campbell</w:t>
      </w:r>
      <w:r>
        <w:rPr>
          <w:rFonts w:ascii="arial" w:hAnsi="arial"/>
          <w:sz w:val="18"/>
        </w:rPr>
        <w:t xml:space="preserve">. Mr. Campbell has served as Viatris’ Chief Accounting Officer and Corporate Controller since the closing of the Combination on November 16, 2020. He is responsible for oversight of the day-to-day operations of the accounting and finance functions of the Company, including planning, implementing, and managing the Company’s finance and accounting activities. Prior to the closing of the Combination, Mr. Campbell was Mylan’s Chief Accounting Officer, Senior Vice President and Controller. Before his appointment as Chief Accounting Officer in November 2015, Mr. Campbell served as Mylan’s Senior Vice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1 </w:t>
      </w:r>
      <w:r>
        <w:br w:type="page"/>
      </w:r>
    </w:p>
    <w:p>
      <w:pPr>
        <w:pStyle w:val="HorizontalLine"/>
        <w:rPr/>
      </w:pPr>
      <w:r>
        <w:rPr/>
      </w:r>
    </w:p>
    <w:p>
      <w:pPr>
        <w:pStyle w:val="TextBody"/>
        <w:spacing w:before="0" w:after="0"/>
        <w:jc w:val="both"/>
        <w:rPr>
          <w:rFonts w:ascii="arial" w:hAnsi="arial"/>
          <w:sz w:val="18"/>
        </w:rPr>
      </w:pPr>
      <w:r>
        <w:rPr>
          <w:rFonts w:ascii="arial" w:hAnsi="arial"/>
          <w:sz w:val="18"/>
        </w:rPr>
        <w:t xml:space="preserve">President and Controller beginning in May 2015, with responsibility for overseeing the company’s accounting and financial operations and reporting, and he previously held roles of increasing responsibility at Mylan since 2002. </w:t>
      </w:r>
    </w:p>
    <w:p>
      <w:pPr>
        <w:pStyle w:val="TextBody"/>
        <w:spacing w:before="240" w:after="0"/>
        <w:jc w:val="both"/>
        <w:rPr>
          <w:rFonts w:ascii="arial" w:hAnsi="arial"/>
          <w:sz w:val="18"/>
        </w:rPr>
      </w:pPr>
      <w:r>
        <w:rPr>
          <w:rFonts w:ascii="arial" w:hAnsi="arial"/>
          <w:b/>
          <w:sz w:val="18"/>
        </w:rPr>
        <w:t>Brian Roman</w:t>
      </w:r>
      <w:r>
        <w:rPr>
          <w:rFonts w:ascii="arial" w:hAnsi="arial"/>
          <w:sz w:val="18"/>
        </w:rPr>
        <w:t xml:space="preserve">. Mr. Roman has served as Viatris’ Global General Counsel since the closing of the Combination on November 16, 2020. His responsibilities include oversight of the Company’s global legal organization, including securities, global contracts, labor and employment, global regulatory, business development, litigation, and intellectual property, among other areas. From July 2017 until the closing of the Combination, Mr. Roman was Mylan’s Global General Counsel, with similar responsibilities. Prior to 2017, Mr. Roman served as Mylan’s Chief Administrative Officer from January 2016 until June 2017, with responsibility for oversight of the Human Relations, Compliance, Facilities, Security, Information Security, and Privacy functions. He served as Mylan’s Senior Vice President and Chief Compliance Officer from April 2010 until December 2015 and Vice President and General Counsel, North America from October 2005 until April 2010. </w:t>
      </w:r>
    </w:p>
    <w:p>
      <w:pPr>
        <w:pStyle w:val="TextBody"/>
        <w:spacing w:before="240" w:after="0"/>
        <w:jc w:val="both"/>
        <w:rPr>
          <w:rFonts w:ascii="arial" w:hAnsi="arial"/>
          <w:sz w:val="18"/>
        </w:rPr>
      </w:pPr>
      <w:r>
        <w:rPr>
          <w:rFonts w:ascii="arial" w:hAnsi="arial"/>
          <w:b/>
          <w:sz w:val="18"/>
        </w:rPr>
        <w:t>Andrew Cuneo</w:t>
      </w:r>
      <w:r>
        <w:rPr>
          <w:rFonts w:ascii="arial" w:hAnsi="arial"/>
          <w:sz w:val="18"/>
        </w:rPr>
        <w:t xml:space="preserve">. Mr. Cuneo has served as President, JANZ since the closing of the Combination on November 16, 2020, and as President, JANZ and Emerging Markets since November 2022. His responsibilities include oversight of the day-to-day operations in those regions. From April 2017 until the closing of the Combination, Mr. Cuneo was Mylan’s President — Rest of World, with responsibility for executing on commercial objectives in more than 120 countries, including developed and emerging markets. Mr. Cuneo joined Mylan in February 2009 and served as Head of Global Business Development until April 2017. Previously, Mr. Cuneo served as Director of Merrill Lynch’s Global Healthcare Investment Banking Group. </w:t>
      </w:r>
    </w:p>
    <w:p>
      <w:pPr>
        <w:pStyle w:val="TextBody"/>
        <w:spacing w:before="240" w:after="0"/>
        <w:jc w:val="both"/>
        <w:rPr>
          <w:rFonts w:ascii="arial" w:hAnsi="arial"/>
          <w:sz w:val="18"/>
        </w:rPr>
      </w:pPr>
      <w:r>
        <w:rPr>
          <w:rFonts w:ascii="arial" w:hAnsi="arial"/>
          <w:b/>
          <w:sz w:val="18"/>
        </w:rPr>
        <w:t>Anthony Mauro</w:t>
      </w:r>
      <w:r>
        <w:rPr>
          <w:rFonts w:ascii="arial" w:hAnsi="arial"/>
          <w:sz w:val="18"/>
        </w:rPr>
        <w:t xml:space="preserve">. Mr. Mauro has served as President, Developed Markets since the closing of the Combination on November 16, 2020. His responsibilities include oversight of the commercial functions in more than 35 countries in North America and Europe, including sales and marketing strategies in those regions. From January 2016 until the closing of the Combination, Mr. Mauro served as Chief Commercial Officer of Mylan, with responsibility for overseeing Mylan’s commercial businesses around the world. Prior to 2016, Mr. Mauro served as Mylan’s President, North America beginning January 1, 2012. He served as President of Mylan Pharmaceuticals Inc. from 2009 through February 2013. Mr. Mauro previously served as Chief Operating Officer of Mylan Pharmaceuticals ULC in Canada, Vice President of North America Strategic Development, and Vice President of North America Sales. </w:t>
      </w:r>
    </w:p>
    <w:p>
      <w:pPr>
        <w:pStyle w:val="TextBody"/>
        <w:spacing w:before="240" w:after="0"/>
        <w:jc w:val="both"/>
        <w:rPr>
          <w:rFonts w:ascii="arial" w:hAnsi="arial"/>
          <w:sz w:val="18"/>
        </w:rPr>
      </w:pPr>
      <w:r>
        <w:rPr>
          <w:rFonts w:ascii="arial" w:hAnsi="arial"/>
          <w:b/>
          <w:sz w:val="18"/>
        </w:rPr>
        <w:t>Xiangyang (Sean) Ni</w:t>
      </w:r>
      <w:r>
        <w:rPr>
          <w:rFonts w:ascii="arial" w:hAnsi="arial"/>
          <w:sz w:val="18"/>
        </w:rPr>
        <w:t xml:space="preserve">. Mr. Ni has served as President, Greater China since the closing of the Combination on November 16, 2020. His responsibilities include oversight of the day-to-day operations in the region and overseeing the development and execution of the Company’s strategy in Greater China. From March 2019 until the closing of the Combination, Mr. Ni served as Senior Vice President of Global Strategy, Business Development, and Commercial Development at Pfizer’s Upjohn division, with responsibility for corporate strategy, business development, global marketing, pricing and channel management, commercial operations, and commercial excellence. He was Head of Established Brands, Global Product and Portfolio Strategy with AstraZeneca from July 2017 until February 2019, with responsibility for the global established brands portfolio based in the U.S. Prior to that, he was Vice President of Alliances and Business Development for AstraZeneca China from April 2014 until July 2017 and Executive Director, Strategic Planning and Business Development from February 2013 to April 2014. </w:t>
      </w:r>
    </w:p>
    <w:p>
      <w:pPr>
        <w:pStyle w:val="TextBody"/>
        <w:spacing w:before="240" w:after="0"/>
        <w:jc w:val="both"/>
        <w:rPr>
          <w:rFonts w:ascii="arial" w:hAnsi="arial"/>
          <w:sz w:val="18"/>
        </w:rPr>
      </w:pPr>
      <w:r>
        <w:rPr>
          <w:rFonts w:ascii="arial" w:hAnsi="arial"/>
          <w:b/>
          <w:sz w:val="18"/>
        </w:rPr>
        <w:t>Robert J. Coury</w:t>
      </w:r>
      <w:r>
        <w:rPr>
          <w:rFonts w:ascii="arial" w:hAnsi="arial"/>
          <w:sz w:val="18"/>
        </w:rPr>
        <w:t xml:space="preserve">. Mr. Coury has served as Viatris’ Executive Chairman since the closing of the Combination on November 16, 2020. Mr. Coury leads the Board, leads the strategic direction of the Company with the Board and in collaboration with executive management, advises the management team on important ongoing business matters, including as they execute on the Company’s strategy to drive value creation, and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2 </w:t>
      </w:r>
      <w:r>
        <w:br w:type="page"/>
      </w:r>
    </w:p>
    <w:p>
      <w:pPr>
        <w:pStyle w:val="HorizontalLine"/>
        <w:rPr/>
      </w:pPr>
      <w:r>
        <w:rPr/>
      </w:r>
    </w:p>
    <w:p>
      <w:pPr>
        <w:pStyle w:val="TextBody"/>
        <w:spacing w:before="0" w:after="0"/>
        <w:jc w:val="both"/>
        <w:rPr>
          <w:rFonts w:ascii="arial" w:hAnsi="arial"/>
          <w:sz w:val="18"/>
        </w:rPr>
      </w:pPr>
      <w:r>
        <w:rPr>
          <w:rFonts w:ascii="arial" w:hAnsi="arial"/>
          <w:sz w:val="18"/>
        </w:rPr>
        <w:t xml:space="preserve">leads Company strategy on highly complex matters and other strategic initiatives, while also ensuring robust board engagement with shareholders and other key stakeholders, among other responsibilities. Additional details regarding Mr. Coury’s background and experience can be found under the heading “Viatris’ Board of Directors” below. </w:t>
      </w:r>
    </w:p>
    <w:p>
      <w:pPr>
        <w:pStyle w:val="TextBody"/>
        <w:spacing w:before="240" w:after="0"/>
        <w:jc w:val="both"/>
        <w:rPr>
          <w:rFonts w:ascii="arial" w:hAnsi="arial"/>
          <w:sz w:val="18"/>
        </w:rPr>
      </w:pPr>
      <w:r>
        <w:rPr>
          <w:rFonts w:ascii="arial" w:hAnsi="arial"/>
          <w:sz w:val="18"/>
        </w:rPr>
        <w:t xml:space="preserve">Messrs. Coury, Smith, and Malik are also members of the Board. </w:t>
      </w:r>
    </w:p>
    <w:p>
      <w:pPr>
        <w:pStyle w:val="TextBody"/>
        <w:spacing w:before="240" w:after="0"/>
        <w:jc w:val="both"/>
        <w:rPr>
          <w:rFonts w:ascii="arial" w:hAnsi="arial"/>
          <w:sz w:val="18"/>
        </w:rPr>
      </w:pPr>
      <w:r>
        <w:rPr>
          <w:rFonts w:ascii="arial" w:hAnsi="arial"/>
          <w:sz w:val="18"/>
        </w:rPr>
        <w:t xml:space="preserve">Pursuant to Viatris Inc.’s Amended and Restated Bylaws (“Bylaws”), officers hold office until their successors are chosen and qualify in their stead or until their earlier death, resignation or removal. </w:t>
      </w:r>
    </w:p>
    <w:p>
      <w:pPr>
        <w:pStyle w:val="TextBody"/>
        <w:spacing w:before="360" w:after="0"/>
        <w:jc w:val="left"/>
        <w:rPr>
          <w:rFonts w:ascii="arial" w:hAnsi="arial"/>
          <w:b/>
          <w:color w:val="666666"/>
          <w:sz w:val="28"/>
        </w:rPr>
      </w:pPr>
      <w:r>
        <w:rPr>
          <w:rFonts w:ascii="arial" w:hAnsi="arial"/>
          <w:b/>
          <w:color w:val="666666"/>
          <w:sz w:val="28"/>
        </w:rPr>
        <w:t xml:space="preserve">Viatris’ Board of Directors </w:t>
      </w:r>
    </w:p>
    <w:p>
      <w:pPr>
        <w:pStyle w:val="TextBody"/>
        <w:pBdr>
          <w:bottom w:val="single" w:sz="2" w:space="1" w:color="732282"/>
        </w:pBdr>
        <w:spacing w:lineRule="atLeast" w:line="141" w:before="0" w:after="40"/>
        <w:jc w:val="left"/>
        <w:rPr/>
      </w:pPr>
      <w:r>
        <w:rPr/>
        <w:t> </w:t>
      </w:r>
    </w:p>
    <w:p>
      <w:pPr>
        <w:pStyle w:val="TextBody"/>
        <w:spacing w:before="120" w:after="0"/>
        <w:jc w:val="both"/>
        <w:rPr>
          <w:rFonts w:ascii="arial" w:hAnsi="arial"/>
          <w:sz w:val="18"/>
        </w:rPr>
      </w:pPr>
      <w:r>
        <w:rPr>
          <w:rFonts w:ascii="arial" w:hAnsi="arial"/>
          <w:sz w:val="18"/>
        </w:rPr>
        <w:t xml:space="preserve">Viatris’ Board currently consists of 12 directors.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720"/>
        <w:gridCol w:w="120"/>
        <w:gridCol w:w="624"/>
        <w:gridCol w:w="120"/>
        <w:gridCol w:w="7621"/>
      </w:tblGrid>
      <w:tr>
        <w:trPr/>
        <w:tc>
          <w:tcPr>
            <w:tcW w:w="17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2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621" w:type="dxa"/>
            <w:tcBorders/>
            <w:shd w:fill="auto" w:val="clear"/>
            <w:vAlign w:val="center"/>
          </w:tcPr>
          <w:p>
            <w:pPr>
              <w:pStyle w:val="TableContents"/>
              <w:spacing w:before="0" w:after="283"/>
              <w:rPr>
                <w:sz w:val="4"/>
                <w:szCs w:val="4"/>
              </w:rPr>
            </w:pPr>
            <w:r>
              <w:rPr>
                <w:sz w:val="4"/>
                <w:szCs w:val="4"/>
              </w:rPr>
            </w:r>
          </w:p>
        </w:tc>
      </w:tr>
      <w:tr>
        <w:trPr/>
        <w:tc>
          <w:tcPr>
            <w:tcW w:w="1720" w:type="dxa"/>
            <w:tcBorders>
              <w:bottom w:val="single" w:sz="8" w:space="0" w:color="000000"/>
            </w:tcBorders>
            <w:shd w:fill="auto" w:val="clear"/>
            <w:tcMar>
              <w:bottom w:w="28" w:type="dxa"/>
            </w:tcMar>
            <w:vAlign w:val="center"/>
          </w:tcPr>
          <w:p>
            <w:pPr>
              <w:pStyle w:val="TableContents"/>
              <w:spacing w:before="0" w:after="20"/>
              <w:jc w:val="center"/>
              <w:rPr>
                <w:rFonts w:ascii="arial" w:hAnsi="arial"/>
                <w:b/>
                <w:color w:val="732282"/>
                <w:sz w:val="18"/>
              </w:rPr>
            </w:pPr>
            <w:r>
              <w:rPr>
                <w:rFonts w:ascii="arial" w:hAnsi="arial"/>
                <w:b/>
                <w:color w:val="732282"/>
                <w:sz w:val="18"/>
              </w:rPr>
              <w:t>Name</w:t>
            </w:r>
          </w:p>
        </w:tc>
        <w:tc>
          <w:tcPr>
            <w:tcW w:w="120" w:type="dxa"/>
            <w:tcBorders/>
            <w:shd w:fill="auto" w:val="clear"/>
            <w:vAlign w:val="center"/>
          </w:tcPr>
          <w:p>
            <w:pPr>
              <w:pStyle w:val="TableContents"/>
              <w:spacing w:before="0" w:after="283"/>
              <w:rPr/>
            </w:pPr>
            <w:r>
              <w:rPr/>
              <w:t>  </w:t>
            </w:r>
          </w:p>
        </w:tc>
        <w:tc>
          <w:tcPr>
            <w:tcW w:w="624" w:type="dxa"/>
            <w:tcBorders>
              <w:bottom w:val="single" w:sz="8" w:space="0" w:color="000000"/>
            </w:tcBorders>
            <w:shd w:fill="auto" w:val="clear"/>
            <w:tcMar>
              <w:bottom w:w="28" w:type="dxa"/>
            </w:tcMar>
            <w:vAlign w:val="center"/>
          </w:tcPr>
          <w:p>
            <w:pPr>
              <w:pStyle w:val="TableContents"/>
              <w:spacing w:before="0" w:after="283"/>
              <w:jc w:val="center"/>
              <w:rPr>
                <w:b/>
                <w:color w:val="732282"/>
              </w:rPr>
            </w:pPr>
            <w:r>
              <w:rPr>
                <w:b/>
                <w:color w:val="732282"/>
              </w:rPr>
              <w:t>Age(1)</w:t>
            </w:r>
          </w:p>
        </w:tc>
        <w:tc>
          <w:tcPr>
            <w:tcW w:w="120" w:type="dxa"/>
            <w:tcBorders/>
            <w:shd w:fill="auto" w:val="clear"/>
            <w:vAlign w:val="center"/>
          </w:tcPr>
          <w:p>
            <w:pPr>
              <w:pStyle w:val="TableContents"/>
              <w:spacing w:before="0" w:after="283"/>
              <w:rPr/>
            </w:pPr>
            <w:r>
              <w:rPr/>
              <w:t>  </w:t>
            </w:r>
          </w:p>
        </w:tc>
        <w:tc>
          <w:tcPr>
            <w:tcW w:w="7621" w:type="dxa"/>
            <w:tcBorders>
              <w:bottom w:val="single" w:sz="8" w:space="0" w:color="000000"/>
            </w:tcBorders>
            <w:shd w:fill="auto" w:val="clear"/>
            <w:tcMar>
              <w:bottom w:w="28" w:type="dxa"/>
            </w:tcMar>
            <w:vAlign w:val="center"/>
          </w:tcPr>
          <w:p>
            <w:pPr>
              <w:pStyle w:val="TableContents"/>
              <w:spacing w:before="0" w:after="20"/>
              <w:jc w:val="center"/>
              <w:rPr>
                <w:rFonts w:ascii="arial" w:hAnsi="arial"/>
                <w:b/>
                <w:color w:val="732282"/>
                <w:sz w:val="18"/>
              </w:rPr>
            </w:pPr>
            <w:r>
              <w:rPr>
                <w:rFonts w:ascii="arial" w:hAnsi="arial"/>
                <w:b/>
                <w:color w:val="732282"/>
                <w:sz w:val="18"/>
              </w:rPr>
              <w:t>Other Positions with Viatris and Principal Occupation</w:t>
            </w:r>
          </w:p>
        </w:tc>
      </w:tr>
      <w:tr>
        <w:trPr/>
        <w:tc>
          <w:tcPr>
            <w:tcW w:w="1720" w:type="dxa"/>
            <w:tcBorders/>
            <w:shd w:fill="auto" w:val="clear"/>
            <w:vAlign w:val="center"/>
          </w:tcPr>
          <w:p>
            <w:pPr>
              <w:pStyle w:val="TableContents"/>
              <w:spacing w:before="0" w:after="0"/>
              <w:jc w:val="both"/>
              <w:rPr>
                <w:rFonts w:ascii="arial" w:hAnsi="arial"/>
                <w:sz w:val="18"/>
              </w:rPr>
            </w:pPr>
            <w:r>
              <w:rPr>
                <w:rFonts w:ascii="arial" w:hAnsi="arial"/>
                <w:sz w:val="18"/>
              </w:rPr>
              <w:t>W. Don Cornwell</w:t>
            </w:r>
          </w:p>
        </w:tc>
        <w:tc>
          <w:tcPr>
            <w:tcW w:w="120" w:type="dxa"/>
            <w:tcBorders/>
            <w:shd w:fill="auto" w:val="clear"/>
            <w:vAlign w:val="center"/>
          </w:tcPr>
          <w:p>
            <w:pPr>
              <w:pStyle w:val="TableContents"/>
              <w:spacing w:before="0" w:after="283"/>
              <w:rPr/>
            </w:pPr>
            <w:r>
              <w:rPr/>
              <w:t>  </w:t>
            </w:r>
          </w:p>
        </w:tc>
        <w:tc>
          <w:tcPr>
            <w:tcW w:w="624" w:type="dxa"/>
            <w:tcBorders/>
            <w:shd w:fill="auto" w:val="clear"/>
            <w:vAlign w:val="center"/>
          </w:tcPr>
          <w:p>
            <w:pPr>
              <w:pStyle w:val="TableContents"/>
              <w:spacing w:before="0" w:after="0"/>
              <w:jc w:val="both"/>
              <w:rPr>
                <w:rFonts w:ascii="arial" w:hAnsi="arial"/>
                <w:sz w:val="18"/>
              </w:rPr>
            </w:pPr>
            <w:r>
              <w:rPr>
                <w:rFonts w:ascii="arial" w:hAnsi="arial"/>
                <w:sz w:val="18"/>
              </w:rPr>
              <w:t>75</w:t>
            </w:r>
          </w:p>
        </w:tc>
        <w:tc>
          <w:tcPr>
            <w:tcW w:w="120" w:type="dxa"/>
            <w:tcBorders/>
            <w:shd w:fill="auto" w:val="clear"/>
            <w:vAlign w:val="center"/>
          </w:tcPr>
          <w:p>
            <w:pPr>
              <w:pStyle w:val="TableContents"/>
              <w:spacing w:before="0" w:after="283"/>
              <w:rPr/>
            </w:pPr>
            <w:r>
              <w:rPr/>
              <w:t>  </w:t>
            </w:r>
          </w:p>
        </w:tc>
        <w:tc>
          <w:tcPr>
            <w:tcW w:w="7621" w:type="dxa"/>
            <w:tcBorders/>
            <w:shd w:fill="auto" w:val="clear"/>
            <w:vAlign w:val="center"/>
          </w:tcPr>
          <w:p>
            <w:pPr>
              <w:pStyle w:val="TableContents"/>
              <w:spacing w:before="0" w:after="283"/>
              <w:rPr/>
            </w:pPr>
            <w:r>
              <w:rPr/>
              <w:t>Retired Chairman &amp; Chief Executive Officer, Granite Broadcasting Corporation</w:t>
            </w:r>
          </w:p>
        </w:tc>
      </w:tr>
      <w:tr>
        <w:trPr/>
        <w:tc>
          <w:tcPr>
            <w:tcW w:w="1720" w:type="dxa"/>
            <w:tcBorders/>
            <w:shd w:fill="auto" w:val="clear"/>
            <w:vAlign w:val="center"/>
          </w:tcPr>
          <w:p>
            <w:pPr>
              <w:pStyle w:val="TableContents"/>
              <w:spacing w:before="0" w:after="283"/>
              <w:rPr>
                <w:sz w:val="4"/>
                <w:szCs w:val="4"/>
              </w:rPr>
            </w:pPr>
            <w:r>
              <w:rPr>
                <w:sz w:val="4"/>
                <w:szCs w:val="4"/>
              </w:rPr>
            </w:r>
          </w:p>
        </w:tc>
        <w:tc>
          <w:tcPr>
            <w:tcW w:w="744" w:type="dxa"/>
            <w:gridSpan w:val="2"/>
            <w:tcBorders/>
            <w:shd w:fill="auto" w:val="clear"/>
            <w:vAlign w:val="center"/>
          </w:tcPr>
          <w:p>
            <w:pPr>
              <w:pStyle w:val="TableContents"/>
              <w:spacing w:before="0" w:after="283"/>
              <w:rPr>
                <w:sz w:val="4"/>
                <w:szCs w:val="4"/>
              </w:rPr>
            </w:pPr>
            <w:r>
              <w:rPr>
                <w:sz w:val="4"/>
                <w:szCs w:val="4"/>
              </w:rPr>
            </w:r>
          </w:p>
        </w:tc>
        <w:tc>
          <w:tcPr>
            <w:tcW w:w="7741" w:type="dxa"/>
            <w:gridSpan w:val="2"/>
            <w:tcBorders/>
            <w:shd w:fill="auto" w:val="clear"/>
            <w:vAlign w:val="center"/>
          </w:tcPr>
          <w:p>
            <w:pPr>
              <w:pStyle w:val="TableContents"/>
              <w:spacing w:before="0" w:after="283"/>
              <w:rPr>
                <w:sz w:val="4"/>
                <w:szCs w:val="4"/>
              </w:rPr>
            </w:pPr>
            <w:r>
              <w:rPr>
                <w:sz w:val="4"/>
                <w:szCs w:val="4"/>
              </w:rPr>
            </w:r>
          </w:p>
        </w:tc>
      </w:tr>
      <w:tr>
        <w:trPr/>
        <w:tc>
          <w:tcPr>
            <w:tcW w:w="1720" w:type="dxa"/>
            <w:tcBorders/>
            <w:shd w:fill="auto" w:val="clear"/>
            <w:vAlign w:val="center"/>
          </w:tcPr>
          <w:p>
            <w:pPr>
              <w:pStyle w:val="TableContents"/>
              <w:spacing w:before="0" w:after="0"/>
              <w:jc w:val="both"/>
              <w:rPr>
                <w:rFonts w:ascii="arial" w:hAnsi="arial"/>
                <w:sz w:val="18"/>
              </w:rPr>
            </w:pPr>
            <w:r>
              <w:rPr>
                <w:rFonts w:ascii="arial" w:hAnsi="arial"/>
                <w:sz w:val="18"/>
              </w:rPr>
              <w:t>Robert J. Coury</w:t>
            </w:r>
          </w:p>
        </w:tc>
        <w:tc>
          <w:tcPr>
            <w:tcW w:w="120" w:type="dxa"/>
            <w:tcBorders/>
            <w:shd w:fill="auto" w:val="clear"/>
            <w:vAlign w:val="center"/>
          </w:tcPr>
          <w:p>
            <w:pPr>
              <w:pStyle w:val="TableContents"/>
              <w:spacing w:before="0" w:after="283"/>
              <w:rPr/>
            </w:pPr>
            <w:r>
              <w:rPr/>
              <w:t>  </w:t>
            </w:r>
          </w:p>
        </w:tc>
        <w:tc>
          <w:tcPr>
            <w:tcW w:w="624" w:type="dxa"/>
            <w:tcBorders/>
            <w:shd w:fill="auto" w:val="clear"/>
            <w:vAlign w:val="center"/>
          </w:tcPr>
          <w:p>
            <w:pPr>
              <w:pStyle w:val="TableContents"/>
              <w:spacing w:before="0" w:after="0"/>
              <w:jc w:val="both"/>
              <w:rPr>
                <w:rFonts w:ascii="arial" w:hAnsi="arial"/>
                <w:sz w:val="18"/>
              </w:rPr>
            </w:pPr>
            <w:r>
              <w:rPr>
                <w:rFonts w:ascii="arial" w:hAnsi="arial"/>
                <w:sz w:val="18"/>
              </w:rPr>
              <w:t>62</w:t>
            </w:r>
          </w:p>
        </w:tc>
        <w:tc>
          <w:tcPr>
            <w:tcW w:w="120" w:type="dxa"/>
            <w:tcBorders/>
            <w:shd w:fill="auto" w:val="clear"/>
            <w:vAlign w:val="center"/>
          </w:tcPr>
          <w:p>
            <w:pPr>
              <w:pStyle w:val="TableContents"/>
              <w:spacing w:before="0" w:after="283"/>
              <w:rPr/>
            </w:pPr>
            <w:r>
              <w:rPr/>
              <w:t>  </w:t>
            </w:r>
          </w:p>
        </w:tc>
        <w:tc>
          <w:tcPr>
            <w:tcW w:w="7621" w:type="dxa"/>
            <w:tcBorders/>
            <w:shd w:fill="auto" w:val="clear"/>
            <w:vAlign w:val="center"/>
          </w:tcPr>
          <w:p>
            <w:pPr>
              <w:pStyle w:val="TableContents"/>
              <w:spacing w:before="0" w:after="283"/>
              <w:rPr/>
            </w:pPr>
            <w:r>
              <w:rPr/>
              <w:t>Executive Chairman, Viatris</w:t>
            </w:r>
          </w:p>
        </w:tc>
      </w:tr>
      <w:tr>
        <w:trPr/>
        <w:tc>
          <w:tcPr>
            <w:tcW w:w="1720" w:type="dxa"/>
            <w:tcBorders/>
            <w:shd w:fill="auto" w:val="clear"/>
            <w:vAlign w:val="center"/>
          </w:tcPr>
          <w:p>
            <w:pPr>
              <w:pStyle w:val="TableContents"/>
              <w:spacing w:before="0" w:after="283"/>
              <w:rPr>
                <w:sz w:val="4"/>
                <w:szCs w:val="4"/>
              </w:rPr>
            </w:pPr>
            <w:r>
              <w:rPr>
                <w:sz w:val="4"/>
                <w:szCs w:val="4"/>
              </w:rPr>
            </w:r>
          </w:p>
        </w:tc>
        <w:tc>
          <w:tcPr>
            <w:tcW w:w="744" w:type="dxa"/>
            <w:gridSpan w:val="2"/>
            <w:tcBorders/>
            <w:shd w:fill="auto" w:val="clear"/>
            <w:vAlign w:val="center"/>
          </w:tcPr>
          <w:p>
            <w:pPr>
              <w:pStyle w:val="TableContents"/>
              <w:spacing w:before="0" w:after="283"/>
              <w:rPr>
                <w:sz w:val="4"/>
                <w:szCs w:val="4"/>
              </w:rPr>
            </w:pPr>
            <w:r>
              <w:rPr>
                <w:sz w:val="4"/>
                <w:szCs w:val="4"/>
              </w:rPr>
            </w:r>
          </w:p>
        </w:tc>
        <w:tc>
          <w:tcPr>
            <w:tcW w:w="7741" w:type="dxa"/>
            <w:gridSpan w:val="2"/>
            <w:tcBorders/>
            <w:shd w:fill="auto" w:val="clear"/>
            <w:vAlign w:val="center"/>
          </w:tcPr>
          <w:p>
            <w:pPr>
              <w:pStyle w:val="TableContents"/>
              <w:spacing w:before="0" w:after="283"/>
              <w:rPr>
                <w:sz w:val="4"/>
                <w:szCs w:val="4"/>
              </w:rPr>
            </w:pPr>
            <w:r>
              <w:rPr>
                <w:sz w:val="4"/>
                <w:szCs w:val="4"/>
              </w:rPr>
            </w:r>
          </w:p>
        </w:tc>
      </w:tr>
      <w:tr>
        <w:trPr/>
        <w:tc>
          <w:tcPr>
            <w:tcW w:w="1720" w:type="dxa"/>
            <w:tcBorders/>
            <w:shd w:fill="auto" w:val="clear"/>
            <w:vAlign w:val="center"/>
          </w:tcPr>
          <w:p>
            <w:pPr>
              <w:pStyle w:val="TableContents"/>
              <w:spacing w:before="0" w:after="0"/>
              <w:jc w:val="both"/>
              <w:rPr>
                <w:rFonts w:ascii="arial" w:hAnsi="arial"/>
                <w:sz w:val="18"/>
              </w:rPr>
            </w:pPr>
            <w:r>
              <w:rPr>
                <w:rFonts w:ascii="arial" w:hAnsi="arial"/>
                <w:sz w:val="18"/>
              </w:rPr>
              <w:t>JoEllen Lyons Dillon</w:t>
            </w:r>
          </w:p>
        </w:tc>
        <w:tc>
          <w:tcPr>
            <w:tcW w:w="120" w:type="dxa"/>
            <w:tcBorders/>
            <w:shd w:fill="auto" w:val="clear"/>
            <w:vAlign w:val="center"/>
          </w:tcPr>
          <w:p>
            <w:pPr>
              <w:pStyle w:val="TableContents"/>
              <w:spacing w:before="0" w:after="283"/>
              <w:rPr/>
            </w:pPr>
            <w:r>
              <w:rPr/>
              <w:t>  </w:t>
            </w:r>
          </w:p>
        </w:tc>
        <w:tc>
          <w:tcPr>
            <w:tcW w:w="624" w:type="dxa"/>
            <w:tcBorders/>
            <w:shd w:fill="auto" w:val="clear"/>
            <w:vAlign w:val="center"/>
          </w:tcPr>
          <w:p>
            <w:pPr>
              <w:pStyle w:val="TableContents"/>
              <w:spacing w:before="0" w:after="0"/>
              <w:jc w:val="both"/>
              <w:rPr>
                <w:rFonts w:ascii="arial" w:hAnsi="arial"/>
                <w:sz w:val="18"/>
              </w:rPr>
            </w:pPr>
            <w:r>
              <w:rPr>
                <w:rFonts w:ascii="arial" w:hAnsi="arial"/>
                <w:sz w:val="18"/>
              </w:rPr>
              <w:t>59</w:t>
            </w:r>
          </w:p>
        </w:tc>
        <w:tc>
          <w:tcPr>
            <w:tcW w:w="120" w:type="dxa"/>
            <w:tcBorders/>
            <w:shd w:fill="auto" w:val="clear"/>
            <w:vAlign w:val="center"/>
          </w:tcPr>
          <w:p>
            <w:pPr>
              <w:pStyle w:val="TableContents"/>
              <w:spacing w:before="0" w:after="283"/>
              <w:rPr/>
            </w:pPr>
            <w:r>
              <w:rPr/>
              <w:t>  </w:t>
            </w:r>
          </w:p>
        </w:tc>
        <w:tc>
          <w:tcPr>
            <w:tcW w:w="7621" w:type="dxa"/>
            <w:tcBorders/>
            <w:shd w:fill="auto" w:val="clear"/>
            <w:vAlign w:val="center"/>
          </w:tcPr>
          <w:p>
            <w:pPr>
              <w:pStyle w:val="TableContents"/>
              <w:spacing w:before="0" w:after="283"/>
              <w:rPr/>
            </w:pPr>
            <w:r>
              <w:rPr/>
              <w:t>Retired Executive Vice President, Chief Legal Officer and Corporate Secretary, The ExOne Company</w:t>
            </w:r>
          </w:p>
        </w:tc>
      </w:tr>
      <w:tr>
        <w:trPr/>
        <w:tc>
          <w:tcPr>
            <w:tcW w:w="1720" w:type="dxa"/>
            <w:tcBorders/>
            <w:shd w:fill="auto" w:val="clear"/>
            <w:vAlign w:val="center"/>
          </w:tcPr>
          <w:p>
            <w:pPr>
              <w:pStyle w:val="TableContents"/>
              <w:spacing w:before="0" w:after="283"/>
              <w:rPr>
                <w:sz w:val="4"/>
                <w:szCs w:val="4"/>
              </w:rPr>
            </w:pPr>
            <w:r>
              <w:rPr>
                <w:sz w:val="4"/>
                <w:szCs w:val="4"/>
              </w:rPr>
            </w:r>
          </w:p>
        </w:tc>
        <w:tc>
          <w:tcPr>
            <w:tcW w:w="744" w:type="dxa"/>
            <w:gridSpan w:val="2"/>
            <w:tcBorders/>
            <w:shd w:fill="auto" w:val="clear"/>
            <w:vAlign w:val="center"/>
          </w:tcPr>
          <w:p>
            <w:pPr>
              <w:pStyle w:val="TableContents"/>
              <w:spacing w:before="0" w:after="283"/>
              <w:rPr>
                <w:sz w:val="4"/>
                <w:szCs w:val="4"/>
              </w:rPr>
            </w:pPr>
            <w:r>
              <w:rPr>
                <w:sz w:val="4"/>
                <w:szCs w:val="4"/>
              </w:rPr>
            </w:r>
          </w:p>
        </w:tc>
        <w:tc>
          <w:tcPr>
            <w:tcW w:w="7741" w:type="dxa"/>
            <w:gridSpan w:val="2"/>
            <w:tcBorders/>
            <w:shd w:fill="auto" w:val="clear"/>
            <w:vAlign w:val="center"/>
          </w:tcPr>
          <w:p>
            <w:pPr>
              <w:pStyle w:val="TableContents"/>
              <w:spacing w:before="0" w:after="283"/>
              <w:rPr>
                <w:sz w:val="4"/>
                <w:szCs w:val="4"/>
              </w:rPr>
            </w:pPr>
            <w:r>
              <w:rPr>
                <w:sz w:val="4"/>
                <w:szCs w:val="4"/>
              </w:rPr>
            </w:r>
          </w:p>
        </w:tc>
      </w:tr>
      <w:tr>
        <w:trPr/>
        <w:tc>
          <w:tcPr>
            <w:tcW w:w="1720" w:type="dxa"/>
            <w:tcBorders/>
            <w:shd w:fill="auto" w:val="clear"/>
            <w:vAlign w:val="center"/>
          </w:tcPr>
          <w:p>
            <w:pPr>
              <w:pStyle w:val="TableContents"/>
              <w:spacing w:before="0" w:after="0"/>
              <w:jc w:val="both"/>
              <w:rPr>
                <w:rFonts w:ascii="arial" w:hAnsi="arial"/>
                <w:sz w:val="18"/>
              </w:rPr>
            </w:pPr>
            <w:r>
              <w:rPr>
                <w:rFonts w:ascii="arial" w:hAnsi="arial"/>
                <w:sz w:val="18"/>
              </w:rPr>
              <w:t>Elisha W. Finney</w:t>
            </w:r>
          </w:p>
        </w:tc>
        <w:tc>
          <w:tcPr>
            <w:tcW w:w="120" w:type="dxa"/>
            <w:tcBorders/>
            <w:shd w:fill="auto" w:val="clear"/>
            <w:vAlign w:val="center"/>
          </w:tcPr>
          <w:p>
            <w:pPr>
              <w:pStyle w:val="TableContents"/>
              <w:spacing w:before="0" w:after="283"/>
              <w:rPr/>
            </w:pPr>
            <w:r>
              <w:rPr/>
              <w:t>  </w:t>
            </w:r>
          </w:p>
        </w:tc>
        <w:tc>
          <w:tcPr>
            <w:tcW w:w="624" w:type="dxa"/>
            <w:tcBorders/>
            <w:shd w:fill="auto" w:val="clear"/>
            <w:vAlign w:val="center"/>
          </w:tcPr>
          <w:p>
            <w:pPr>
              <w:pStyle w:val="TableContents"/>
              <w:spacing w:before="0" w:after="0"/>
              <w:jc w:val="both"/>
              <w:rPr>
                <w:rFonts w:ascii="arial" w:hAnsi="arial"/>
                <w:sz w:val="18"/>
              </w:rPr>
            </w:pPr>
            <w:r>
              <w:rPr>
                <w:rFonts w:ascii="arial" w:hAnsi="arial"/>
                <w:sz w:val="18"/>
              </w:rPr>
              <w:t>61</w:t>
            </w:r>
          </w:p>
        </w:tc>
        <w:tc>
          <w:tcPr>
            <w:tcW w:w="120" w:type="dxa"/>
            <w:tcBorders/>
            <w:shd w:fill="auto" w:val="clear"/>
            <w:vAlign w:val="center"/>
          </w:tcPr>
          <w:p>
            <w:pPr>
              <w:pStyle w:val="TableContents"/>
              <w:spacing w:before="0" w:after="283"/>
              <w:rPr/>
            </w:pPr>
            <w:r>
              <w:rPr/>
              <w:t>  </w:t>
            </w:r>
          </w:p>
        </w:tc>
        <w:tc>
          <w:tcPr>
            <w:tcW w:w="7621" w:type="dxa"/>
            <w:tcBorders/>
            <w:shd w:fill="auto" w:val="clear"/>
            <w:vAlign w:val="center"/>
          </w:tcPr>
          <w:p>
            <w:pPr>
              <w:pStyle w:val="TableContents"/>
              <w:spacing w:before="0" w:after="283"/>
              <w:rPr/>
            </w:pPr>
            <w:r>
              <w:rPr/>
              <w:t>Retired Executive Vice President and Chief Financial Officer, Varian Medical Systems, Inc.</w:t>
            </w:r>
          </w:p>
        </w:tc>
      </w:tr>
      <w:tr>
        <w:trPr/>
        <w:tc>
          <w:tcPr>
            <w:tcW w:w="1720" w:type="dxa"/>
            <w:tcBorders/>
            <w:shd w:fill="auto" w:val="clear"/>
            <w:vAlign w:val="center"/>
          </w:tcPr>
          <w:p>
            <w:pPr>
              <w:pStyle w:val="TableContents"/>
              <w:spacing w:before="0" w:after="283"/>
              <w:rPr>
                <w:sz w:val="4"/>
                <w:szCs w:val="4"/>
              </w:rPr>
            </w:pPr>
            <w:r>
              <w:rPr>
                <w:sz w:val="4"/>
                <w:szCs w:val="4"/>
              </w:rPr>
            </w:r>
          </w:p>
        </w:tc>
        <w:tc>
          <w:tcPr>
            <w:tcW w:w="744" w:type="dxa"/>
            <w:gridSpan w:val="2"/>
            <w:tcBorders/>
            <w:shd w:fill="auto" w:val="clear"/>
            <w:vAlign w:val="center"/>
          </w:tcPr>
          <w:p>
            <w:pPr>
              <w:pStyle w:val="TableContents"/>
              <w:spacing w:before="0" w:after="283"/>
              <w:rPr>
                <w:sz w:val="4"/>
                <w:szCs w:val="4"/>
              </w:rPr>
            </w:pPr>
            <w:r>
              <w:rPr>
                <w:sz w:val="4"/>
                <w:szCs w:val="4"/>
              </w:rPr>
            </w:r>
          </w:p>
        </w:tc>
        <w:tc>
          <w:tcPr>
            <w:tcW w:w="7741" w:type="dxa"/>
            <w:gridSpan w:val="2"/>
            <w:tcBorders/>
            <w:shd w:fill="auto" w:val="clear"/>
            <w:vAlign w:val="center"/>
          </w:tcPr>
          <w:p>
            <w:pPr>
              <w:pStyle w:val="TableContents"/>
              <w:spacing w:before="0" w:after="283"/>
              <w:rPr>
                <w:sz w:val="4"/>
                <w:szCs w:val="4"/>
              </w:rPr>
            </w:pPr>
            <w:r>
              <w:rPr>
                <w:sz w:val="4"/>
                <w:szCs w:val="4"/>
              </w:rPr>
            </w:r>
          </w:p>
        </w:tc>
      </w:tr>
      <w:tr>
        <w:trPr/>
        <w:tc>
          <w:tcPr>
            <w:tcW w:w="1720" w:type="dxa"/>
            <w:tcBorders/>
            <w:shd w:fill="auto" w:val="clear"/>
            <w:vAlign w:val="center"/>
          </w:tcPr>
          <w:p>
            <w:pPr>
              <w:pStyle w:val="TableContents"/>
              <w:spacing w:before="0" w:after="0"/>
              <w:jc w:val="both"/>
              <w:rPr>
                <w:rFonts w:ascii="arial" w:hAnsi="arial"/>
                <w:sz w:val="18"/>
              </w:rPr>
            </w:pPr>
            <w:r>
              <w:rPr>
                <w:rFonts w:ascii="arial" w:hAnsi="arial"/>
                <w:sz w:val="18"/>
              </w:rPr>
              <w:t>Melina Higgins</w:t>
            </w:r>
          </w:p>
        </w:tc>
        <w:tc>
          <w:tcPr>
            <w:tcW w:w="120" w:type="dxa"/>
            <w:tcBorders/>
            <w:shd w:fill="auto" w:val="clear"/>
            <w:vAlign w:val="center"/>
          </w:tcPr>
          <w:p>
            <w:pPr>
              <w:pStyle w:val="TableContents"/>
              <w:spacing w:before="0" w:after="283"/>
              <w:rPr/>
            </w:pPr>
            <w:r>
              <w:rPr/>
              <w:t>  </w:t>
            </w:r>
          </w:p>
        </w:tc>
        <w:tc>
          <w:tcPr>
            <w:tcW w:w="624" w:type="dxa"/>
            <w:tcBorders/>
            <w:shd w:fill="auto" w:val="clear"/>
            <w:vAlign w:val="center"/>
          </w:tcPr>
          <w:p>
            <w:pPr>
              <w:pStyle w:val="TableContents"/>
              <w:spacing w:before="0" w:after="0"/>
              <w:jc w:val="both"/>
              <w:rPr>
                <w:rFonts w:ascii="arial" w:hAnsi="arial"/>
                <w:sz w:val="18"/>
              </w:rPr>
            </w:pPr>
            <w:r>
              <w:rPr>
                <w:rFonts w:ascii="arial" w:hAnsi="arial"/>
                <w:sz w:val="18"/>
              </w:rPr>
              <w:t>55</w:t>
            </w:r>
          </w:p>
        </w:tc>
        <w:tc>
          <w:tcPr>
            <w:tcW w:w="120" w:type="dxa"/>
            <w:tcBorders/>
            <w:shd w:fill="auto" w:val="clear"/>
            <w:vAlign w:val="center"/>
          </w:tcPr>
          <w:p>
            <w:pPr>
              <w:pStyle w:val="TableContents"/>
              <w:spacing w:before="0" w:after="283"/>
              <w:rPr/>
            </w:pPr>
            <w:r>
              <w:rPr/>
              <w:t>  </w:t>
            </w:r>
          </w:p>
        </w:tc>
        <w:tc>
          <w:tcPr>
            <w:tcW w:w="7621" w:type="dxa"/>
            <w:tcBorders/>
            <w:shd w:fill="auto" w:val="clear"/>
            <w:vAlign w:val="center"/>
          </w:tcPr>
          <w:p>
            <w:pPr>
              <w:pStyle w:val="TableContents"/>
              <w:spacing w:before="0" w:after="283"/>
              <w:rPr/>
            </w:pPr>
            <w:r>
              <w:rPr/>
              <w:t>Retired Partner and Managing Director, Goldman Sachs</w:t>
            </w:r>
          </w:p>
        </w:tc>
      </w:tr>
      <w:tr>
        <w:trPr/>
        <w:tc>
          <w:tcPr>
            <w:tcW w:w="1720" w:type="dxa"/>
            <w:tcBorders/>
            <w:shd w:fill="auto" w:val="clear"/>
            <w:vAlign w:val="center"/>
          </w:tcPr>
          <w:p>
            <w:pPr>
              <w:pStyle w:val="TableContents"/>
              <w:spacing w:before="0" w:after="283"/>
              <w:rPr>
                <w:sz w:val="4"/>
                <w:szCs w:val="4"/>
              </w:rPr>
            </w:pPr>
            <w:r>
              <w:rPr>
                <w:sz w:val="4"/>
                <w:szCs w:val="4"/>
              </w:rPr>
            </w:r>
          </w:p>
        </w:tc>
        <w:tc>
          <w:tcPr>
            <w:tcW w:w="744" w:type="dxa"/>
            <w:gridSpan w:val="2"/>
            <w:tcBorders/>
            <w:shd w:fill="auto" w:val="clear"/>
            <w:vAlign w:val="center"/>
          </w:tcPr>
          <w:p>
            <w:pPr>
              <w:pStyle w:val="TableContents"/>
              <w:spacing w:before="0" w:after="283"/>
              <w:rPr>
                <w:sz w:val="4"/>
                <w:szCs w:val="4"/>
              </w:rPr>
            </w:pPr>
            <w:r>
              <w:rPr>
                <w:sz w:val="4"/>
                <w:szCs w:val="4"/>
              </w:rPr>
            </w:r>
          </w:p>
        </w:tc>
        <w:tc>
          <w:tcPr>
            <w:tcW w:w="7741" w:type="dxa"/>
            <w:gridSpan w:val="2"/>
            <w:tcBorders/>
            <w:shd w:fill="auto" w:val="clear"/>
            <w:vAlign w:val="center"/>
          </w:tcPr>
          <w:p>
            <w:pPr>
              <w:pStyle w:val="TableContents"/>
              <w:spacing w:before="0" w:after="283"/>
              <w:rPr>
                <w:sz w:val="4"/>
                <w:szCs w:val="4"/>
              </w:rPr>
            </w:pPr>
            <w:r>
              <w:rPr>
                <w:sz w:val="4"/>
                <w:szCs w:val="4"/>
              </w:rPr>
            </w:r>
          </w:p>
        </w:tc>
      </w:tr>
      <w:tr>
        <w:trPr/>
        <w:tc>
          <w:tcPr>
            <w:tcW w:w="1720" w:type="dxa"/>
            <w:tcBorders/>
            <w:shd w:fill="auto" w:val="clear"/>
            <w:vAlign w:val="center"/>
          </w:tcPr>
          <w:p>
            <w:pPr>
              <w:pStyle w:val="TableContents"/>
              <w:spacing w:before="0" w:after="0"/>
              <w:jc w:val="both"/>
              <w:rPr>
                <w:rFonts w:ascii="arial" w:hAnsi="arial"/>
                <w:sz w:val="18"/>
              </w:rPr>
            </w:pPr>
            <w:r>
              <w:rPr>
                <w:rFonts w:ascii="arial" w:hAnsi="arial"/>
                <w:sz w:val="18"/>
              </w:rPr>
              <w:t>James M. Kilts</w:t>
            </w:r>
          </w:p>
        </w:tc>
        <w:tc>
          <w:tcPr>
            <w:tcW w:w="120" w:type="dxa"/>
            <w:tcBorders/>
            <w:shd w:fill="auto" w:val="clear"/>
            <w:vAlign w:val="center"/>
          </w:tcPr>
          <w:p>
            <w:pPr>
              <w:pStyle w:val="TableContents"/>
              <w:spacing w:before="0" w:after="283"/>
              <w:rPr/>
            </w:pPr>
            <w:r>
              <w:rPr/>
              <w:t>  </w:t>
            </w:r>
          </w:p>
        </w:tc>
        <w:tc>
          <w:tcPr>
            <w:tcW w:w="624" w:type="dxa"/>
            <w:tcBorders/>
            <w:shd w:fill="auto" w:val="clear"/>
            <w:vAlign w:val="center"/>
          </w:tcPr>
          <w:p>
            <w:pPr>
              <w:pStyle w:val="TableContents"/>
              <w:spacing w:before="0" w:after="0"/>
              <w:jc w:val="both"/>
              <w:rPr>
                <w:rFonts w:ascii="arial" w:hAnsi="arial"/>
                <w:sz w:val="18"/>
              </w:rPr>
            </w:pPr>
            <w:r>
              <w:rPr>
                <w:rFonts w:ascii="arial" w:hAnsi="arial"/>
                <w:sz w:val="18"/>
              </w:rPr>
              <w:t>75</w:t>
            </w:r>
          </w:p>
        </w:tc>
        <w:tc>
          <w:tcPr>
            <w:tcW w:w="120" w:type="dxa"/>
            <w:tcBorders/>
            <w:shd w:fill="auto" w:val="clear"/>
            <w:vAlign w:val="center"/>
          </w:tcPr>
          <w:p>
            <w:pPr>
              <w:pStyle w:val="TableContents"/>
              <w:spacing w:before="0" w:after="283"/>
              <w:rPr/>
            </w:pPr>
            <w:r>
              <w:rPr/>
              <w:t>  </w:t>
            </w:r>
          </w:p>
        </w:tc>
        <w:tc>
          <w:tcPr>
            <w:tcW w:w="7621" w:type="dxa"/>
            <w:tcBorders/>
            <w:shd w:fill="auto" w:val="clear"/>
            <w:vAlign w:val="center"/>
          </w:tcPr>
          <w:p>
            <w:pPr>
              <w:pStyle w:val="TableContents"/>
              <w:spacing w:before="0" w:after="283"/>
              <w:rPr/>
            </w:pPr>
            <w:r>
              <w:rPr/>
              <w:t>Founding Partner, Centerview Capital</w:t>
            </w:r>
          </w:p>
        </w:tc>
      </w:tr>
      <w:tr>
        <w:trPr/>
        <w:tc>
          <w:tcPr>
            <w:tcW w:w="1720" w:type="dxa"/>
            <w:tcBorders/>
            <w:shd w:fill="auto" w:val="clear"/>
            <w:vAlign w:val="center"/>
          </w:tcPr>
          <w:p>
            <w:pPr>
              <w:pStyle w:val="TableContents"/>
              <w:spacing w:before="0" w:after="283"/>
              <w:rPr>
                <w:sz w:val="4"/>
                <w:szCs w:val="4"/>
              </w:rPr>
            </w:pPr>
            <w:r>
              <w:rPr>
                <w:sz w:val="4"/>
                <w:szCs w:val="4"/>
              </w:rPr>
            </w:r>
          </w:p>
        </w:tc>
        <w:tc>
          <w:tcPr>
            <w:tcW w:w="744" w:type="dxa"/>
            <w:gridSpan w:val="2"/>
            <w:tcBorders/>
            <w:shd w:fill="auto" w:val="clear"/>
            <w:vAlign w:val="center"/>
          </w:tcPr>
          <w:p>
            <w:pPr>
              <w:pStyle w:val="TableContents"/>
              <w:spacing w:before="0" w:after="283"/>
              <w:rPr>
                <w:sz w:val="4"/>
                <w:szCs w:val="4"/>
              </w:rPr>
            </w:pPr>
            <w:r>
              <w:rPr>
                <w:sz w:val="4"/>
                <w:szCs w:val="4"/>
              </w:rPr>
            </w:r>
          </w:p>
        </w:tc>
        <w:tc>
          <w:tcPr>
            <w:tcW w:w="7741" w:type="dxa"/>
            <w:gridSpan w:val="2"/>
            <w:tcBorders/>
            <w:shd w:fill="auto" w:val="clear"/>
            <w:vAlign w:val="center"/>
          </w:tcPr>
          <w:p>
            <w:pPr>
              <w:pStyle w:val="TableContents"/>
              <w:spacing w:before="0" w:after="283"/>
              <w:rPr>
                <w:sz w:val="4"/>
                <w:szCs w:val="4"/>
              </w:rPr>
            </w:pPr>
            <w:r>
              <w:rPr>
                <w:sz w:val="4"/>
                <w:szCs w:val="4"/>
              </w:rPr>
            </w:r>
          </w:p>
        </w:tc>
      </w:tr>
      <w:tr>
        <w:trPr/>
        <w:tc>
          <w:tcPr>
            <w:tcW w:w="1720" w:type="dxa"/>
            <w:tcBorders/>
            <w:shd w:fill="auto" w:val="clear"/>
            <w:vAlign w:val="center"/>
          </w:tcPr>
          <w:p>
            <w:pPr>
              <w:pStyle w:val="TableContents"/>
              <w:spacing w:before="0" w:after="0"/>
              <w:jc w:val="both"/>
              <w:rPr>
                <w:rFonts w:ascii="arial" w:hAnsi="arial"/>
                <w:sz w:val="18"/>
              </w:rPr>
            </w:pPr>
            <w:r>
              <w:rPr>
                <w:rFonts w:ascii="arial" w:hAnsi="arial"/>
                <w:sz w:val="18"/>
              </w:rPr>
              <w:t>Harry A. Korman</w:t>
            </w:r>
          </w:p>
        </w:tc>
        <w:tc>
          <w:tcPr>
            <w:tcW w:w="120" w:type="dxa"/>
            <w:tcBorders/>
            <w:shd w:fill="auto" w:val="clear"/>
            <w:vAlign w:val="center"/>
          </w:tcPr>
          <w:p>
            <w:pPr>
              <w:pStyle w:val="TableContents"/>
              <w:spacing w:before="0" w:after="283"/>
              <w:rPr/>
            </w:pPr>
            <w:r>
              <w:rPr/>
              <w:t>  </w:t>
            </w:r>
          </w:p>
        </w:tc>
        <w:tc>
          <w:tcPr>
            <w:tcW w:w="624" w:type="dxa"/>
            <w:tcBorders/>
            <w:shd w:fill="auto" w:val="clear"/>
            <w:vAlign w:val="center"/>
          </w:tcPr>
          <w:p>
            <w:pPr>
              <w:pStyle w:val="TableContents"/>
              <w:spacing w:before="0" w:after="0"/>
              <w:jc w:val="both"/>
              <w:rPr>
                <w:rFonts w:ascii="arial" w:hAnsi="arial"/>
                <w:sz w:val="18"/>
              </w:rPr>
            </w:pPr>
            <w:r>
              <w:rPr>
                <w:rFonts w:ascii="arial" w:hAnsi="arial"/>
                <w:sz w:val="18"/>
              </w:rPr>
              <w:t>65</w:t>
            </w:r>
          </w:p>
        </w:tc>
        <w:tc>
          <w:tcPr>
            <w:tcW w:w="120" w:type="dxa"/>
            <w:tcBorders/>
            <w:shd w:fill="auto" w:val="clear"/>
            <w:vAlign w:val="center"/>
          </w:tcPr>
          <w:p>
            <w:pPr>
              <w:pStyle w:val="TableContents"/>
              <w:spacing w:before="0" w:after="283"/>
              <w:rPr/>
            </w:pPr>
            <w:r>
              <w:rPr/>
              <w:t>  </w:t>
            </w:r>
          </w:p>
        </w:tc>
        <w:tc>
          <w:tcPr>
            <w:tcW w:w="7621" w:type="dxa"/>
            <w:tcBorders/>
            <w:shd w:fill="auto" w:val="clear"/>
            <w:vAlign w:val="center"/>
          </w:tcPr>
          <w:p>
            <w:pPr>
              <w:pStyle w:val="TableContents"/>
              <w:spacing w:before="0" w:after="283"/>
              <w:rPr/>
            </w:pPr>
            <w:r>
              <w:rPr/>
              <w:t>Retired Chief Operating Officer, Mylan Inc.</w:t>
            </w:r>
          </w:p>
        </w:tc>
      </w:tr>
      <w:tr>
        <w:trPr/>
        <w:tc>
          <w:tcPr>
            <w:tcW w:w="1720" w:type="dxa"/>
            <w:tcBorders/>
            <w:shd w:fill="auto" w:val="clear"/>
            <w:vAlign w:val="center"/>
          </w:tcPr>
          <w:p>
            <w:pPr>
              <w:pStyle w:val="TableContents"/>
              <w:spacing w:before="0" w:after="283"/>
              <w:rPr>
                <w:sz w:val="4"/>
                <w:szCs w:val="4"/>
              </w:rPr>
            </w:pPr>
            <w:r>
              <w:rPr>
                <w:sz w:val="4"/>
                <w:szCs w:val="4"/>
              </w:rPr>
            </w:r>
          </w:p>
        </w:tc>
        <w:tc>
          <w:tcPr>
            <w:tcW w:w="744" w:type="dxa"/>
            <w:gridSpan w:val="2"/>
            <w:tcBorders/>
            <w:shd w:fill="auto" w:val="clear"/>
            <w:vAlign w:val="center"/>
          </w:tcPr>
          <w:p>
            <w:pPr>
              <w:pStyle w:val="TableContents"/>
              <w:spacing w:before="0" w:after="283"/>
              <w:rPr>
                <w:sz w:val="4"/>
                <w:szCs w:val="4"/>
              </w:rPr>
            </w:pPr>
            <w:r>
              <w:rPr>
                <w:sz w:val="4"/>
                <w:szCs w:val="4"/>
              </w:rPr>
            </w:r>
          </w:p>
        </w:tc>
        <w:tc>
          <w:tcPr>
            <w:tcW w:w="7741" w:type="dxa"/>
            <w:gridSpan w:val="2"/>
            <w:tcBorders/>
            <w:shd w:fill="auto" w:val="clear"/>
            <w:vAlign w:val="center"/>
          </w:tcPr>
          <w:p>
            <w:pPr>
              <w:pStyle w:val="TableContents"/>
              <w:spacing w:before="0" w:after="283"/>
              <w:rPr>
                <w:sz w:val="4"/>
                <w:szCs w:val="4"/>
              </w:rPr>
            </w:pPr>
            <w:r>
              <w:rPr>
                <w:sz w:val="4"/>
                <w:szCs w:val="4"/>
              </w:rPr>
            </w:r>
          </w:p>
        </w:tc>
      </w:tr>
      <w:tr>
        <w:trPr/>
        <w:tc>
          <w:tcPr>
            <w:tcW w:w="1720" w:type="dxa"/>
            <w:tcBorders/>
            <w:shd w:fill="auto" w:val="clear"/>
            <w:vAlign w:val="center"/>
          </w:tcPr>
          <w:p>
            <w:pPr>
              <w:pStyle w:val="TableContents"/>
              <w:spacing w:before="0" w:after="0"/>
              <w:jc w:val="both"/>
              <w:rPr>
                <w:rFonts w:ascii="arial" w:hAnsi="arial"/>
                <w:sz w:val="18"/>
              </w:rPr>
            </w:pPr>
            <w:r>
              <w:rPr>
                <w:rFonts w:ascii="arial" w:hAnsi="arial"/>
                <w:sz w:val="18"/>
              </w:rPr>
              <w:t>Rajiv Malik</w:t>
            </w:r>
          </w:p>
        </w:tc>
        <w:tc>
          <w:tcPr>
            <w:tcW w:w="120" w:type="dxa"/>
            <w:tcBorders/>
            <w:shd w:fill="auto" w:val="clear"/>
            <w:vAlign w:val="center"/>
          </w:tcPr>
          <w:p>
            <w:pPr>
              <w:pStyle w:val="TableContents"/>
              <w:spacing w:before="0" w:after="283"/>
              <w:rPr/>
            </w:pPr>
            <w:r>
              <w:rPr/>
              <w:t>  </w:t>
            </w:r>
          </w:p>
        </w:tc>
        <w:tc>
          <w:tcPr>
            <w:tcW w:w="624" w:type="dxa"/>
            <w:tcBorders/>
            <w:shd w:fill="auto" w:val="clear"/>
            <w:vAlign w:val="center"/>
          </w:tcPr>
          <w:p>
            <w:pPr>
              <w:pStyle w:val="TableContents"/>
              <w:spacing w:before="0" w:after="0"/>
              <w:jc w:val="both"/>
              <w:rPr>
                <w:rFonts w:ascii="arial" w:hAnsi="arial"/>
                <w:sz w:val="18"/>
              </w:rPr>
            </w:pPr>
            <w:r>
              <w:rPr>
                <w:rFonts w:ascii="arial" w:hAnsi="arial"/>
                <w:sz w:val="18"/>
              </w:rPr>
              <w:t>62</w:t>
            </w:r>
          </w:p>
        </w:tc>
        <w:tc>
          <w:tcPr>
            <w:tcW w:w="120" w:type="dxa"/>
            <w:tcBorders/>
            <w:shd w:fill="auto" w:val="clear"/>
            <w:vAlign w:val="center"/>
          </w:tcPr>
          <w:p>
            <w:pPr>
              <w:pStyle w:val="TableContents"/>
              <w:spacing w:before="0" w:after="283"/>
              <w:rPr/>
            </w:pPr>
            <w:r>
              <w:rPr/>
              <w:t>  </w:t>
            </w:r>
          </w:p>
        </w:tc>
        <w:tc>
          <w:tcPr>
            <w:tcW w:w="7621" w:type="dxa"/>
            <w:tcBorders/>
            <w:shd w:fill="auto" w:val="clear"/>
            <w:vAlign w:val="center"/>
          </w:tcPr>
          <w:p>
            <w:pPr>
              <w:pStyle w:val="TableContents"/>
              <w:spacing w:before="0" w:after="283"/>
              <w:rPr/>
            </w:pPr>
            <w:r>
              <w:rPr/>
              <w:t>President, Viatris</w:t>
            </w:r>
          </w:p>
        </w:tc>
      </w:tr>
      <w:tr>
        <w:trPr/>
        <w:tc>
          <w:tcPr>
            <w:tcW w:w="1720" w:type="dxa"/>
            <w:tcBorders/>
            <w:shd w:fill="auto" w:val="clear"/>
            <w:vAlign w:val="center"/>
          </w:tcPr>
          <w:p>
            <w:pPr>
              <w:pStyle w:val="TableContents"/>
              <w:spacing w:before="0" w:after="283"/>
              <w:rPr>
                <w:sz w:val="4"/>
                <w:szCs w:val="4"/>
              </w:rPr>
            </w:pPr>
            <w:r>
              <w:rPr>
                <w:sz w:val="4"/>
                <w:szCs w:val="4"/>
              </w:rPr>
            </w:r>
          </w:p>
        </w:tc>
        <w:tc>
          <w:tcPr>
            <w:tcW w:w="744" w:type="dxa"/>
            <w:gridSpan w:val="2"/>
            <w:tcBorders/>
            <w:shd w:fill="auto" w:val="clear"/>
            <w:vAlign w:val="center"/>
          </w:tcPr>
          <w:p>
            <w:pPr>
              <w:pStyle w:val="TableContents"/>
              <w:spacing w:before="0" w:after="283"/>
              <w:rPr>
                <w:sz w:val="4"/>
                <w:szCs w:val="4"/>
              </w:rPr>
            </w:pPr>
            <w:r>
              <w:rPr>
                <w:sz w:val="4"/>
                <w:szCs w:val="4"/>
              </w:rPr>
            </w:r>
          </w:p>
        </w:tc>
        <w:tc>
          <w:tcPr>
            <w:tcW w:w="7741" w:type="dxa"/>
            <w:gridSpan w:val="2"/>
            <w:tcBorders/>
            <w:shd w:fill="auto" w:val="clear"/>
            <w:vAlign w:val="center"/>
          </w:tcPr>
          <w:p>
            <w:pPr>
              <w:pStyle w:val="TableContents"/>
              <w:spacing w:before="0" w:after="283"/>
              <w:rPr>
                <w:sz w:val="4"/>
                <w:szCs w:val="4"/>
              </w:rPr>
            </w:pPr>
            <w:r>
              <w:rPr>
                <w:sz w:val="4"/>
                <w:szCs w:val="4"/>
              </w:rPr>
            </w:r>
          </w:p>
        </w:tc>
      </w:tr>
      <w:tr>
        <w:trPr/>
        <w:tc>
          <w:tcPr>
            <w:tcW w:w="1720" w:type="dxa"/>
            <w:tcBorders/>
            <w:shd w:fill="auto" w:val="clear"/>
            <w:vAlign w:val="center"/>
          </w:tcPr>
          <w:p>
            <w:pPr>
              <w:pStyle w:val="TableContents"/>
              <w:spacing w:before="0" w:after="0"/>
              <w:jc w:val="both"/>
              <w:rPr>
                <w:rFonts w:ascii="arial" w:hAnsi="arial"/>
                <w:sz w:val="18"/>
              </w:rPr>
            </w:pPr>
            <w:r>
              <w:rPr>
                <w:rFonts w:ascii="arial" w:hAnsi="arial"/>
                <w:sz w:val="18"/>
              </w:rPr>
              <w:t>Richard A. Mark, C.P.A.</w:t>
            </w:r>
          </w:p>
        </w:tc>
        <w:tc>
          <w:tcPr>
            <w:tcW w:w="120" w:type="dxa"/>
            <w:tcBorders/>
            <w:shd w:fill="auto" w:val="clear"/>
            <w:vAlign w:val="center"/>
          </w:tcPr>
          <w:p>
            <w:pPr>
              <w:pStyle w:val="TableContents"/>
              <w:spacing w:before="0" w:after="283"/>
              <w:rPr/>
            </w:pPr>
            <w:r>
              <w:rPr/>
              <w:t>  </w:t>
            </w:r>
          </w:p>
        </w:tc>
        <w:tc>
          <w:tcPr>
            <w:tcW w:w="624" w:type="dxa"/>
            <w:tcBorders/>
            <w:shd w:fill="auto" w:val="clear"/>
            <w:vAlign w:val="center"/>
          </w:tcPr>
          <w:p>
            <w:pPr>
              <w:pStyle w:val="TableContents"/>
              <w:spacing w:before="0" w:after="0"/>
              <w:jc w:val="both"/>
              <w:rPr>
                <w:rFonts w:ascii="arial" w:hAnsi="arial"/>
                <w:sz w:val="18"/>
              </w:rPr>
            </w:pPr>
            <w:r>
              <w:rPr>
                <w:rFonts w:ascii="arial" w:hAnsi="arial"/>
                <w:sz w:val="18"/>
              </w:rPr>
              <w:t>69</w:t>
            </w:r>
          </w:p>
        </w:tc>
        <w:tc>
          <w:tcPr>
            <w:tcW w:w="120" w:type="dxa"/>
            <w:tcBorders/>
            <w:shd w:fill="auto" w:val="clear"/>
            <w:vAlign w:val="center"/>
          </w:tcPr>
          <w:p>
            <w:pPr>
              <w:pStyle w:val="TableContents"/>
              <w:spacing w:before="0" w:after="283"/>
              <w:rPr/>
            </w:pPr>
            <w:r>
              <w:rPr/>
              <w:t>  </w:t>
            </w:r>
          </w:p>
        </w:tc>
        <w:tc>
          <w:tcPr>
            <w:tcW w:w="7621" w:type="dxa"/>
            <w:tcBorders/>
            <w:shd w:fill="auto" w:val="clear"/>
            <w:vAlign w:val="center"/>
          </w:tcPr>
          <w:p>
            <w:pPr>
              <w:pStyle w:val="TableContents"/>
              <w:spacing w:before="0" w:after="283"/>
              <w:rPr/>
            </w:pPr>
            <w:r>
              <w:rPr/>
              <w:t>Retired Partner, Deloitte &amp; Touche LLP</w:t>
            </w:r>
          </w:p>
        </w:tc>
      </w:tr>
      <w:tr>
        <w:trPr/>
        <w:tc>
          <w:tcPr>
            <w:tcW w:w="1720" w:type="dxa"/>
            <w:tcBorders/>
            <w:shd w:fill="auto" w:val="clear"/>
            <w:vAlign w:val="center"/>
          </w:tcPr>
          <w:p>
            <w:pPr>
              <w:pStyle w:val="TableContents"/>
              <w:spacing w:before="0" w:after="283"/>
              <w:rPr>
                <w:sz w:val="4"/>
                <w:szCs w:val="4"/>
              </w:rPr>
            </w:pPr>
            <w:r>
              <w:rPr>
                <w:sz w:val="4"/>
                <w:szCs w:val="4"/>
              </w:rPr>
            </w:r>
          </w:p>
        </w:tc>
        <w:tc>
          <w:tcPr>
            <w:tcW w:w="744" w:type="dxa"/>
            <w:gridSpan w:val="2"/>
            <w:tcBorders/>
            <w:shd w:fill="auto" w:val="clear"/>
            <w:vAlign w:val="center"/>
          </w:tcPr>
          <w:p>
            <w:pPr>
              <w:pStyle w:val="TableContents"/>
              <w:spacing w:before="0" w:after="283"/>
              <w:rPr>
                <w:sz w:val="4"/>
                <w:szCs w:val="4"/>
              </w:rPr>
            </w:pPr>
            <w:r>
              <w:rPr>
                <w:sz w:val="4"/>
                <w:szCs w:val="4"/>
              </w:rPr>
            </w:r>
          </w:p>
        </w:tc>
        <w:tc>
          <w:tcPr>
            <w:tcW w:w="7741" w:type="dxa"/>
            <w:gridSpan w:val="2"/>
            <w:tcBorders/>
            <w:shd w:fill="auto" w:val="clear"/>
            <w:vAlign w:val="center"/>
          </w:tcPr>
          <w:p>
            <w:pPr>
              <w:pStyle w:val="TableContents"/>
              <w:spacing w:before="0" w:after="283"/>
              <w:rPr>
                <w:sz w:val="4"/>
                <w:szCs w:val="4"/>
              </w:rPr>
            </w:pPr>
            <w:r>
              <w:rPr>
                <w:sz w:val="4"/>
                <w:szCs w:val="4"/>
              </w:rPr>
            </w:r>
          </w:p>
        </w:tc>
      </w:tr>
      <w:tr>
        <w:trPr/>
        <w:tc>
          <w:tcPr>
            <w:tcW w:w="1720" w:type="dxa"/>
            <w:tcBorders/>
            <w:shd w:fill="auto" w:val="clear"/>
            <w:vAlign w:val="center"/>
          </w:tcPr>
          <w:p>
            <w:pPr>
              <w:pStyle w:val="TableContents"/>
              <w:spacing w:before="0" w:after="0"/>
              <w:jc w:val="both"/>
              <w:rPr>
                <w:rFonts w:ascii="arial" w:hAnsi="arial"/>
                <w:sz w:val="18"/>
              </w:rPr>
            </w:pPr>
            <w:r>
              <w:rPr>
                <w:rFonts w:ascii="arial" w:hAnsi="arial"/>
                <w:sz w:val="18"/>
              </w:rPr>
              <w:t>Mark W. Parrish</w:t>
            </w:r>
          </w:p>
        </w:tc>
        <w:tc>
          <w:tcPr>
            <w:tcW w:w="120" w:type="dxa"/>
            <w:tcBorders/>
            <w:shd w:fill="auto" w:val="clear"/>
            <w:vAlign w:val="center"/>
          </w:tcPr>
          <w:p>
            <w:pPr>
              <w:pStyle w:val="TableContents"/>
              <w:spacing w:before="0" w:after="283"/>
              <w:rPr/>
            </w:pPr>
            <w:r>
              <w:rPr/>
              <w:t>  </w:t>
            </w:r>
          </w:p>
        </w:tc>
        <w:tc>
          <w:tcPr>
            <w:tcW w:w="624" w:type="dxa"/>
            <w:tcBorders/>
            <w:shd w:fill="auto" w:val="clear"/>
            <w:vAlign w:val="center"/>
          </w:tcPr>
          <w:p>
            <w:pPr>
              <w:pStyle w:val="TableContents"/>
              <w:spacing w:before="0" w:after="0"/>
              <w:jc w:val="both"/>
              <w:rPr>
                <w:rFonts w:ascii="arial" w:hAnsi="arial"/>
                <w:sz w:val="18"/>
              </w:rPr>
            </w:pPr>
            <w:r>
              <w:rPr>
                <w:rFonts w:ascii="arial" w:hAnsi="arial"/>
                <w:sz w:val="18"/>
              </w:rPr>
              <w:t>67</w:t>
            </w:r>
          </w:p>
        </w:tc>
        <w:tc>
          <w:tcPr>
            <w:tcW w:w="120" w:type="dxa"/>
            <w:tcBorders/>
            <w:shd w:fill="auto" w:val="clear"/>
            <w:vAlign w:val="center"/>
          </w:tcPr>
          <w:p>
            <w:pPr>
              <w:pStyle w:val="TableContents"/>
              <w:spacing w:before="0" w:after="283"/>
              <w:rPr/>
            </w:pPr>
            <w:r>
              <w:rPr/>
              <w:t>  </w:t>
            </w:r>
          </w:p>
        </w:tc>
        <w:tc>
          <w:tcPr>
            <w:tcW w:w="7621" w:type="dxa"/>
            <w:tcBorders/>
            <w:shd w:fill="auto" w:val="clear"/>
            <w:vAlign w:val="center"/>
          </w:tcPr>
          <w:p>
            <w:pPr>
              <w:pStyle w:val="TableContents"/>
              <w:spacing w:before="0" w:after="283"/>
              <w:rPr/>
            </w:pPr>
            <w:r>
              <w:rPr/>
              <w:t>Lead Independent Director and Vice Chairman, Viatris; Former Executive Chairman, TridentUSA Health Services</w:t>
            </w:r>
          </w:p>
        </w:tc>
      </w:tr>
      <w:tr>
        <w:trPr/>
        <w:tc>
          <w:tcPr>
            <w:tcW w:w="1720" w:type="dxa"/>
            <w:tcBorders/>
            <w:shd w:fill="auto" w:val="clear"/>
            <w:vAlign w:val="center"/>
          </w:tcPr>
          <w:p>
            <w:pPr>
              <w:pStyle w:val="TableContents"/>
              <w:spacing w:before="0" w:after="283"/>
              <w:rPr>
                <w:sz w:val="4"/>
                <w:szCs w:val="4"/>
              </w:rPr>
            </w:pPr>
            <w:r>
              <w:rPr>
                <w:sz w:val="4"/>
                <w:szCs w:val="4"/>
              </w:rPr>
            </w:r>
          </w:p>
        </w:tc>
        <w:tc>
          <w:tcPr>
            <w:tcW w:w="744" w:type="dxa"/>
            <w:gridSpan w:val="2"/>
            <w:tcBorders/>
            <w:shd w:fill="auto" w:val="clear"/>
            <w:vAlign w:val="center"/>
          </w:tcPr>
          <w:p>
            <w:pPr>
              <w:pStyle w:val="TableContents"/>
              <w:spacing w:before="0" w:after="283"/>
              <w:rPr>
                <w:sz w:val="4"/>
                <w:szCs w:val="4"/>
              </w:rPr>
            </w:pPr>
            <w:r>
              <w:rPr>
                <w:sz w:val="4"/>
                <w:szCs w:val="4"/>
              </w:rPr>
            </w:r>
          </w:p>
        </w:tc>
        <w:tc>
          <w:tcPr>
            <w:tcW w:w="7741" w:type="dxa"/>
            <w:gridSpan w:val="2"/>
            <w:tcBorders/>
            <w:shd w:fill="auto" w:val="clear"/>
            <w:vAlign w:val="center"/>
          </w:tcPr>
          <w:p>
            <w:pPr>
              <w:pStyle w:val="TableContents"/>
              <w:spacing w:before="0" w:after="283"/>
              <w:rPr>
                <w:sz w:val="4"/>
                <w:szCs w:val="4"/>
              </w:rPr>
            </w:pPr>
            <w:r>
              <w:rPr>
                <w:sz w:val="4"/>
                <w:szCs w:val="4"/>
              </w:rPr>
            </w:r>
          </w:p>
        </w:tc>
      </w:tr>
      <w:tr>
        <w:trPr/>
        <w:tc>
          <w:tcPr>
            <w:tcW w:w="1720" w:type="dxa"/>
            <w:tcBorders/>
            <w:shd w:fill="auto" w:val="clear"/>
            <w:vAlign w:val="center"/>
          </w:tcPr>
          <w:p>
            <w:pPr>
              <w:pStyle w:val="TableContents"/>
              <w:spacing w:before="0" w:after="0"/>
              <w:jc w:val="both"/>
              <w:rPr>
                <w:rFonts w:ascii="arial" w:hAnsi="arial"/>
                <w:sz w:val="18"/>
              </w:rPr>
            </w:pPr>
            <w:r>
              <w:rPr>
                <w:rFonts w:ascii="arial" w:hAnsi="arial"/>
                <w:sz w:val="18"/>
              </w:rPr>
              <w:t>Scott A. Smith</w:t>
            </w:r>
          </w:p>
        </w:tc>
        <w:tc>
          <w:tcPr>
            <w:tcW w:w="120" w:type="dxa"/>
            <w:tcBorders/>
            <w:shd w:fill="auto" w:val="clear"/>
            <w:vAlign w:val="center"/>
          </w:tcPr>
          <w:p>
            <w:pPr>
              <w:pStyle w:val="TableContents"/>
              <w:spacing w:before="0" w:after="283"/>
              <w:rPr/>
            </w:pPr>
            <w:r>
              <w:rPr/>
              <w:t>  </w:t>
            </w:r>
          </w:p>
        </w:tc>
        <w:tc>
          <w:tcPr>
            <w:tcW w:w="624" w:type="dxa"/>
            <w:tcBorders/>
            <w:shd w:fill="auto" w:val="clear"/>
            <w:vAlign w:val="center"/>
          </w:tcPr>
          <w:p>
            <w:pPr>
              <w:pStyle w:val="TableContents"/>
              <w:spacing w:before="0" w:after="0"/>
              <w:jc w:val="both"/>
              <w:rPr>
                <w:rFonts w:ascii="arial" w:hAnsi="arial"/>
                <w:sz w:val="18"/>
              </w:rPr>
            </w:pPr>
            <w:r>
              <w:rPr>
                <w:rFonts w:ascii="arial" w:hAnsi="arial"/>
                <w:sz w:val="18"/>
              </w:rPr>
              <w:t>61</w:t>
            </w:r>
          </w:p>
        </w:tc>
        <w:tc>
          <w:tcPr>
            <w:tcW w:w="120" w:type="dxa"/>
            <w:tcBorders/>
            <w:shd w:fill="auto" w:val="clear"/>
            <w:vAlign w:val="center"/>
          </w:tcPr>
          <w:p>
            <w:pPr>
              <w:pStyle w:val="TableContents"/>
              <w:spacing w:before="0" w:after="283"/>
              <w:rPr/>
            </w:pPr>
            <w:r>
              <w:rPr/>
              <w:t>  </w:t>
            </w:r>
          </w:p>
        </w:tc>
        <w:tc>
          <w:tcPr>
            <w:tcW w:w="7621" w:type="dxa"/>
            <w:tcBorders/>
            <w:shd w:fill="auto" w:val="clear"/>
            <w:vAlign w:val="center"/>
          </w:tcPr>
          <w:p>
            <w:pPr>
              <w:pStyle w:val="TableContents"/>
              <w:spacing w:before="0" w:after="283"/>
              <w:rPr/>
            </w:pPr>
            <w:r>
              <w:rPr/>
              <w:t>Chief Executive Officer, Viatris</w:t>
            </w:r>
          </w:p>
        </w:tc>
      </w:tr>
      <w:tr>
        <w:trPr/>
        <w:tc>
          <w:tcPr>
            <w:tcW w:w="1720" w:type="dxa"/>
            <w:tcBorders/>
            <w:shd w:fill="auto" w:val="clear"/>
            <w:vAlign w:val="center"/>
          </w:tcPr>
          <w:p>
            <w:pPr>
              <w:pStyle w:val="TableContents"/>
              <w:spacing w:before="0" w:after="283"/>
              <w:rPr>
                <w:sz w:val="4"/>
                <w:szCs w:val="4"/>
              </w:rPr>
            </w:pPr>
            <w:r>
              <w:rPr>
                <w:sz w:val="4"/>
                <w:szCs w:val="4"/>
              </w:rPr>
            </w:r>
          </w:p>
        </w:tc>
        <w:tc>
          <w:tcPr>
            <w:tcW w:w="744" w:type="dxa"/>
            <w:gridSpan w:val="2"/>
            <w:tcBorders/>
            <w:shd w:fill="auto" w:val="clear"/>
            <w:vAlign w:val="center"/>
          </w:tcPr>
          <w:p>
            <w:pPr>
              <w:pStyle w:val="TableContents"/>
              <w:spacing w:before="0" w:after="283"/>
              <w:rPr>
                <w:sz w:val="4"/>
                <w:szCs w:val="4"/>
              </w:rPr>
            </w:pPr>
            <w:r>
              <w:rPr>
                <w:sz w:val="4"/>
                <w:szCs w:val="4"/>
              </w:rPr>
            </w:r>
          </w:p>
        </w:tc>
        <w:tc>
          <w:tcPr>
            <w:tcW w:w="7741" w:type="dxa"/>
            <w:gridSpan w:val="2"/>
            <w:tcBorders/>
            <w:shd w:fill="auto" w:val="clear"/>
            <w:vAlign w:val="center"/>
          </w:tcPr>
          <w:p>
            <w:pPr>
              <w:pStyle w:val="TableContents"/>
              <w:spacing w:before="0" w:after="283"/>
              <w:rPr>
                <w:sz w:val="4"/>
                <w:szCs w:val="4"/>
              </w:rPr>
            </w:pPr>
            <w:r>
              <w:rPr>
                <w:sz w:val="4"/>
                <w:szCs w:val="4"/>
              </w:rPr>
            </w:r>
          </w:p>
        </w:tc>
      </w:tr>
      <w:tr>
        <w:trPr/>
        <w:tc>
          <w:tcPr>
            <w:tcW w:w="1720" w:type="dxa"/>
            <w:tcBorders/>
            <w:shd w:fill="auto" w:val="clear"/>
            <w:vAlign w:val="center"/>
          </w:tcPr>
          <w:p>
            <w:pPr>
              <w:pStyle w:val="TableContents"/>
              <w:spacing w:before="0" w:after="0"/>
              <w:jc w:val="both"/>
              <w:rPr>
                <w:rFonts w:ascii="arial" w:hAnsi="arial"/>
                <w:sz w:val="18"/>
              </w:rPr>
            </w:pPr>
            <w:r>
              <w:rPr>
                <w:rFonts w:ascii="arial" w:hAnsi="arial"/>
                <w:sz w:val="18"/>
              </w:rPr>
              <w:t>Pauline van der Meer Mohr</w:t>
            </w:r>
          </w:p>
        </w:tc>
        <w:tc>
          <w:tcPr>
            <w:tcW w:w="120" w:type="dxa"/>
            <w:tcBorders/>
            <w:shd w:fill="auto" w:val="clear"/>
            <w:vAlign w:val="center"/>
          </w:tcPr>
          <w:p>
            <w:pPr>
              <w:pStyle w:val="TableContents"/>
              <w:spacing w:before="0" w:after="283"/>
              <w:rPr/>
            </w:pPr>
            <w:r>
              <w:rPr/>
              <w:t>  </w:t>
            </w:r>
          </w:p>
        </w:tc>
        <w:tc>
          <w:tcPr>
            <w:tcW w:w="624" w:type="dxa"/>
            <w:tcBorders/>
            <w:shd w:fill="auto" w:val="clear"/>
            <w:vAlign w:val="center"/>
          </w:tcPr>
          <w:p>
            <w:pPr>
              <w:pStyle w:val="TableContents"/>
              <w:spacing w:before="0" w:after="0"/>
              <w:jc w:val="both"/>
              <w:rPr>
                <w:rFonts w:ascii="arial" w:hAnsi="arial"/>
                <w:sz w:val="18"/>
              </w:rPr>
            </w:pPr>
            <w:r>
              <w:rPr>
                <w:rFonts w:ascii="arial" w:hAnsi="arial"/>
                <w:sz w:val="18"/>
              </w:rPr>
              <w:t>63</w:t>
            </w:r>
          </w:p>
        </w:tc>
        <w:tc>
          <w:tcPr>
            <w:tcW w:w="120" w:type="dxa"/>
            <w:tcBorders/>
            <w:shd w:fill="auto" w:val="clear"/>
            <w:vAlign w:val="center"/>
          </w:tcPr>
          <w:p>
            <w:pPr>
              <w:pStyle w:val="TableContents"/>
              <w:spacing w:before="0" w:after="283"/>
              <w:rPr/>
            </w:pPr>
            <w:r>
              <w:rPr/>
              <w:t>  </w:t>
            </w:r>
          </w:p>
        </w:tc>
        <w:tc>
          <w:tcPr>
            <w:tcW w:w="7621" w:type="dxa"/>
            <w:tcBorders/>
            <w:shd w:fill="auto" w:val="clear"/>
            <w:vAlign w:val="center"/>
          </w:tcPr>
          <w:p>
            <w:pPr>
              <w:pStyle w:val="TableContents"/>
              <w:spacing w:before="0" w:after="283"/>
              <w:rPr/>
            </w:pPr>
            <w:r>
              <w:rPr/>
              <w:t>Former President of the Executive Board at Erasmus University, Rotterdam</w:t>
            </w:r>
          </w:p>
        </w:tc>
      </w:tr>
    </w:tbl>
    <w:p>
      <w:pPr>
        <w:pStyle w:val="TextBody"/>
        <w:pBdr>
          <w:bottom w:val="single" w:sz="2" w:space="1" w:color="000000"/>
        </w:pBdr>
        <w:spacing w:lineRule="atLeast" w:line="160" w:before="0" w:after="40"/>
        <w:jc w:val="left"/>
        <w:rPr/>
      </w:pPr>
      <w:r>
        <w:rPr/>
        <w:t> </w:t>
      </w:r>
    </w:p>
    <w:tbl>
      <w:tblPr>
        <w:tblW w:w="2305" w:type="dxa"/>
        <w:jc w:val="left"/>
        <w:tblInd w:w="0" w:type="dxa"/>
        <w:tblCellMar>
          <w:top w:w="0" w:type="dxa"/>
          <w:left w:w="0" w:type="dxa"/>
          <w:bottom w:w="0" w:type="dxa"/>
          <w:right w:w="0" w:type="dxa"/>
        </w:tblCellMar>
      </w:tblPr>
      <w:tblGrid>
        <w:gridCol w:w="365"/>
        <w:gridCol w:w="1940"/>
      </w:tblGrid>
      <w:tr>
        <w:trPr/>
        <w:tc>
          <w:tcPr>
            <w:tcW w:w="365" w:type="dxa"/>
            <w:tcBorders/>
            <w:shd w:fill="auto" w:val="clear"/>
            <w:vAlign w:val="center"/>
          </w:tcPr>
          <w:p>
            <w:pPr>
              <w:pStyle w:val="TableContents"/>
              <w:spacing w:before="0" w:after="283"/>
              <w:jc w:val="left"/>
              <w:rPr/>
            </w:pPr>
            <w:r>
              <w:rPr/>
              <w:t>(1) </w:t>
            </w:r>
          </w:p>
        </w:tc>
        <w:tc>
          <w:tcPr>
            <w:tcW w:w="1940" w:type="dxa"/>
            <w:tcBorders/>
            <w:shd w:fill="auto" w:val="clear"/>
            <w:vAlign w:val="center"/>
          </w:tcPr>
          <w:p>
            <w:pPr>
              <w:pStyle w:val="TableContents"/>
              <w:spacing w:before="0" w:after="0"/>
              <w:jc w:val="both"/>
              <w:rPr>
                <w:rFonts w:ascii="arial" w:hAnsi="arial"/>
                <w:sz w:val="16"/>
              </w:rPr>
            </w:pPr>
            <w:r>
              <w:rPr>
                <w:rFonts w:ascii="arial" w:hAnsi="arial"/>
                <w:sz w:val="16"/>
              </w:rPr>
              <w:t xml:space="preserve">Ages as of April 24, 2023. </w:t>
            </w:r>
          </w:p>
        </w:tc>
      </w:tr>
    </w:tbl>
    <w:p>
      <w:pPr>
        <w:pStyle w:val="TextBody"/>
        <w:spacing w:before="240" w:after="0"/>
        <w:jc w:val="both"/>
        <w:rPr>
          <w:rFonts w:ascii="arial" w:hAnsi="arial"/>
          <w:sz w:val="18"/>
        </w:rPr>
      </w:pPr>
      <w:r>
        <w:rPr>
          <w:rFonts w:ascii="arial" w:hAnsi="arial"/>
          <w:sz w:val="18"/>
        </w:rPr>
        <w:t xml:space="preserve">Each of the Directors has served on the Board since November 16, 2020, the closing date of the Combination, other than Ms. Finney and Mr. Smith, each of whom joined the Board on December 29, 2022. Additional background information for each Director is set forth immediately below. We believe that our directors represent a wide-range of backgrounds, skills and experience, including with respect to the optimization of shareholder value creation. </w:t>
      </w:r>
    </w:p>
    <w:p>
      <w:pPr>
        <w:pStyle w:val="TextBody"/>
        <w:spacing w:before="240" w:after="0"/>
        <w:jc w:val="both"/>
        <w:rPr>
          <w:rFonts w:ascii="arial" w:hAnsi="arial"/>
          <w:sz w:val="18"/>
        </w:rPr>
      </w:pPr>
      <w:r>
        <w:rPr>
          <w:rFonts w:ascii="arial" w:hAnsi="arial"/>
          <w:b/>
          <w:sz w:val="18"/>
          <w:u w:val="single"/>
        </w:rPr>
        <w:t>Robert J. Coury</w:t>
      </w:r>
      <w:r>
        <w:rPr>
          <w:rFonts w:ascii="arial" w:hAnsi="arial"/>
          <w:b/>
          <w:sz w:val="18"/>
        </w:rPr>
        <w:t>.</w:t>
      </w:r>
      <w:r>
        <w:rPr>
          <w:rFonts w:ascii="arial" w:hAnsi="arial"/>
          <w:sz w:val="18"/>
        </w:rPr>
        <w:t xml:space="preserve"> Mr. Coury has served as Viatris’ Executive Chairman since the closing of the Combination on November 16, 2020. Mr. Coury leads the Board; oversees the strategic direction of the Company with the Board and in collaboration with executive management; advises the management team on important ongoing business matters, including as they execute on the Company’s strategy to drive value creation and to otherwise unlock value; oversees management’s execution of the business strategies approved by the Board; oversees executive talent management; and ensures robust engagement with shareholders and other key stakeholders, among other responsibilities. </w:t>
      </w:r>
    </w:p>
    <w:p>
      <w:pPr>
        <w:pStyle w:val="TextBody"/>
        <w:spacing w:before="240" w:after="0"/>
        <w:jc w:val="both"/>
        <w:rPr>
          <w:rFonts w:ascii="arial" w:hAnsi="arial"/>
          <w:sz w:val="18"/>
        </w:rPr>
      </w:pPr>
      <w:r>
        <w:rPr>
          <w:rFonts w:ascii="arial" w:hAnsi="arial"/>
          <w:sz w:val="18"/>
        </w:rPr>
        <w:t xml:space="preserve">Mr. Coury most recently served as Executive Chairman of Mylan. During his tenure with Mylan, Mr. Coury’s strategic vision led to the creation of a strong foundation for Viatris. Under Mr. Coury’s leadership, Mylan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3 </w:t>
      </w:r>
      <w:r>
        <w:br w:type="page"/>
      </w:r>
    </w:p>
    <w:p>
      <w:pPr>
        <w:pStyle w:val="HorizontalLine"/>
        <w:rPr/>
      </w:pPr>
      <w:r>
        <w:rPr/>
      </w:r>
    </w:p>
    <w:p>
      <w:pPr>
        <w:pStyle w:val="TextBody"/>
        <w:spacing w:before="0" w:after="0"/>
        <w:jc w:val="both"/>
        <w:rPr>
          <w:rFonts w:ascii="arial" w:hAnsi="arial"/>
          <w:sz w:val="18"/>
        </w:rPr>
      </w:pPr>
      <w:r>
        <w:rPr>
          <w:rFonts w:ascii="arial" w:hAnsi="arial"/>
          <w:sz w:val="18"/>
        </w:rPr>
        <w:t xml:space="preserve">grew from the third-largest generics pharmaceutical company in the United States to one of the largest pharmaceutical companies in the world, earning spots in both the S&amp;P 500 and, prior to Mylan’s reincorporation outside of the United States in 2015, the Fortune 500. </w:t>
      </w:r>
    </w:p>
    <w:p>
      <w:pPr>
        <w:pStyle w:val="TextBody"/>
        <w:spacing w:before="240" w:after="0"/>
        <w:jc w:val="both"/>
        <w:rPr>
          <w:rFonts w:ascii="arial" w:hAnsi="arial"/>
          <w:sz w:val="18"/>
        </w:rPr>
      </w:pPr>
      <w:r>
        <w:rPr>
          <w:rFonts w:ascii="arial" w:hAnsi="arial"/>
          <w:sz w:val="18"/>
        </w:rPr>
        <w:t xml:space="preserve">Mr. Coury was first elected to Mylan’s Board of Directors (the “Mylan Board”) in February 2002, having served since 1995 as a strategic advisor to the company. He became the Vice Chairman shortly after his election and served as Chief Executive Officer from September 2002 until January 2012. He then served as Executive Chairman from 2012 until he became non-executive Chairman in June 2016. As Executive Chairman between 2012 and 2016, Mr. Coury’s primary responsibilities were similar to those noted above. As non-executive Chairman, Mr. Coury continued to provide the overall strategic leadership for Mylan and was directly involved in shareholder engagement and material transactions involving Mylan, as well as in other matters considered significant by Mylan’s Board. The Mylan Board reappointed Mr. Coury as Executive Chairman in April 2020. In that role, Mr. Coury’s responsibilities were similar to his current responsibilities, and he provided leadership and strategic direction in navigating the unique challenges posed to Mylan and the pharmaceutical industry by the COVID-19 pandemic and oversight of work related to the Combination. </w:t>
      </w:r>
    </w:p>
    <w:p>
      <w:pPr>
        <w:pStyle w:val="TextBody"/>
        <w:spacing w:before="240" w:after="0"/>
        <w:jc w:val="both"/>
        <w:rPr>
          <w:rFonts w:ascii="arial" w:hAnsi="arial"/>
          <w:sz w:val="18"/>
        </w:rPr>
      </w:pPr>
      <w:r>
        <w:rPr>
          <w:rFonts w:ascii="arial" w:hAnsi="arial"/>
          <w:sz w:val="18"/>
        </w:rPr>
        <w:t xml:space="preserve">Mr. Coury is the founder and president of the Robert J. Coury Family Foundation, which is a private foundation formed to help support his philanthropic efforts and his mission of giving back. He has served as a member of the University of Southern California President’s Leadership Council since 2014. Mr. Coury also serves on the Goldman Sachs Healthcare Advisory Council. </w:t>
      </w:r>
    </w:p>
    <w:p>
      <w:pPr>
        <w:pStyle w:val="TextBody"/>
        <w:spacing w:before="240" w:after="0"/>
        <w:jc w:val="both"/>
        <w:rPr>
          <w:rFonts w:ascii="arial" w:hAnsi="arial"/>
          <w:sz w:val="18"/>
        </w:rPr>
      </w:pPr>
      <w:r>
        <w:rPr>
          <w:rFonts w:ascii="arial" w:hAnsi="arial"/>
          <w:sz w:val="18"/>
        </w:rPr>
        <w:t xml:space="preserve">Mr. Coury’s qualifications to serve on the Board include, among others, his unique strategic vision, leadership, extensive knowledge of the industry and the Company and its management and businesses around the world, demonstrated outstanding business acumen, proven ability to proactively anticipate and respond to opportunities and challenges, and strong business judgment. </w:t>
      </w:r>
    </w:p>
    <w:p>
      <w:pPr>
        <w:pStyle w:val="TextBody"/>
        <w:spacing w:before="240" w:after="0"/>
        <w:jc w:val="both"/>
        <w:rPr>
          <w:rFonts w:ascii="arial" w:hAnsi="arial"/>
          <w:sz w:val="18"/>
        </w:rPr>
      </w:pPr>
      <w:r>
        <w:rPr>
          <w:rFonts w:ascii="arial" w:hAnsi="arial"/>
          <w:b/>
          <w:sz w:val="18"/>
          <w:u w:val="single"/>
        </w:rPr>
        <w:t>W. Don Cornwell</w:t>
      </w:r>
      <w:r>
        <w:rPr>
          <w:rFonts w:ascii="arial" w:hAnsi="arial"/>
          <w:b/>
          <w:sz w:val="18"/>
        </w:rPr>
        <w:t>.</w:t>
      </w:r>
      <w:r>
        <w:rPr>
          <w:rFonts w:ascii="arial" w:hAnsi="arial"/>
          <w:sz w:val="18"/>
        </w:rPr>
        <w:t xml:space="preserve"> Mr. Cornwell has served on the Board since the closing of the Combination on November 16, 2020. Mr. Cornwell also has served on the board of directors of American International Group, Inc. (NYSE: AIG) since 2011, and serves on its Audit and Nominating and Corporate Governance Committees. He also served on the board of directors of Natura &amp; Co Holding S.A. (NYSE: NTCO) from January 2020 to April 2023, most recently serving on its Corporate Governance Committee. Mr. Cornwell was a Director of Avon Products, Inc. from 2002 until its acquisition by Natura in 2020. Mr. Cornwell served on the Pfizer (NYSE: PFE) board of directors from 1997 until the closing of the Combination, where he most recently chaired the Regulatory and Compliance Committee and was a member of the Governance and Sustainability Committee. Mr. Cornwell served as Chairman and Chief Executive Officer of Granite Broadcasting Corporation from 1988 until his retirement in August 2009 and served as Vice Chair until December 2009. Mr. Cornwell also serves on the board of trustees of Big Brothers Big Sisters of New York City and is the Vice Chairman of the board of directors of Blue Meridian Partners, a partnership of philanthropists that invests in strategies to impact social problems confronting young people and families in poverty. </w:t>
      </w:r>
    </w:p>
    <w:p>
      <w:pPr>
        <w:pStyle w:val="TextBody"/>
        <w:spacing w:before="240" w:after="0"/>
        <w:jc w:val="both"/>
        <w:rPr>
          <w:rFonts w:ascii="arial" w:hAnsi="arial"/>
          <w:sz w:val="18"/>
        </w:rPr>
      </w:pPr>
      <w:r>
        <w:rPr>
          <w:rFonts w:ascii="arial" w:hAnsi="arial"/>
          <w:sz w:val="18"/>
        </w:rPr>
        <w:t xml:space="preserve">Mr. Cornwell’s qualifications to serve on the Board include, among others, his experience and expertise regarding public company management, corporate governance, finance, the healthcare industry, human capital management including oversight of diversity, equity and inclusion, global business, information security, legal and regulatory oversight, and strategy and M&amp;A. </w:t>
      </w:r>
    </w:p>
    <w:p>
      <w:pPr>
        <w:pStyle w:val="TextBody"/>
        <w:spacing w:before="240" w:after="0"/>
        <w:jc w:val="both"/>
        <w:rPr>
          <w:rFonts w:ascii="arial" w:hAnsi="arial"/>
          <w:sz w:val="18"/>
        </w:rPr>
      </w:pPr>
      <w:r>
        <w:rPr>
          <w:rFonts w:ascii="arial" w:hAnsi="arial"/>
          <w:b/>
          <w:sz w:val="18"/>
          <w:u w:val="single"/>
        </w:rPr>
        <w:t>JoEllen Lyons Dillon</w:t>
      </w:r>
      <w:r>
        <w:rPr>
          <w:rFonts w:ascii="arial" w:hAnsi="arial"/>
          <w:b/>
          <w:sz w:val="18"/>
        </w:rPr>
        <w:t>.</w:t>
      </w:r>
      <w:r>
        <w:rPr>
          <w:rFonts w:ascii="arial" w:hAnsi="arial"/>
          <w:sz w:val="18"/>
        </w:rPr>
        <w:t xml:space="preserve"> Ms. Dillon has served on the Board since the closing of the Combination on November 16, 2020. Ms. Dillon served as a Director of Mylan from 2014 until the closing of the Combination, most recently chairing the Compensation and Governance and Nominating Committees, and serving as a member of the Audit, Compliance and Executive Committees. She served from March 2013 to August 2017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4 </w:t>
      </w:r>
      <w:r>
        <w:br w:type="page"/>
      </w:r>
    </w:p>
    <w:p>
      <w:pPr>
        <w:pStyle w:val="HorizontalLine"/>
        <w:rPr/>
      </w:pPr>
      <w:r>
        <w:rPr/>
      </w:r>
    </w:p>
    <w:p>
      <w:pPr>
        <w:pStyle w:val="TextBody"/>
        <w:spacing w:before="0" w:after="0"/>
        <w:jc w:val="both"/>
        <w:rPr>
          <w:rFonts w:ascii="arial" w:hAnsi="arial"/>
          <w:sz w:val="18"/>
        </w:rPr>
      </w:pPr>
      <w:r>
        <w:rPr>
          <w:rFonts w:ascii="arial" w:hAnsi="arial"/>
          <w:sz w:val="18"/>
        </w:rPr>
        <w:t xml:space="preserve">as an executive officer of The ExOne Company, a global provider of three-dimensional printing machines and services. She was promoted to Executive Vice President in December 2014, adding to her original duties as Chief Legal Officer and Corporate Secretary. She held responsibilities for, among other things, capital markets development, corporate strategic planning, human resources, global compliance, investor relations, and international business development within Europe and Asia. Previously, Ms. Dillon had an almost 25-year legal career in corporate mergers and acquisitions and securities, where she represented both public and private companies in a variety of complex matters. She was a Partner with Reed Smith LLP, a law firm, from 2002 until 2011. She previously had been at the law firm Buchanan Ingersoll &amp; Rooney PC from 1988 until 2002, where she became a Partner in 1997. From September 2022 to January 2023, Ms. Dillon was a member of the board of directors of World Wrestling Entertainment, Inc. (NYSE: WWE), an integrated media and entertainment company. Ms. Dillon previously served as a member of the board of trustees of the Allegheny District chapter of the National Multiple Sclerosis Society and served as Chair and Audit Committee chair. </w:t>
      </w:r>
    </w:p>
    <w:p>
      <w:pPr>
        <w:pStyle w:val="TextBody"/>
        <w:spacing w:before="240" w:after="0"/>
        <w:jc w:val="both"/>
        <w:rPr>
          <w:rFonts w:ascii="arial" w:hAnsi="arial"/>
          <w:sz w:val="18"/>
        </w:rPr>
      </w:pPr>
      <w:r>
        <w:rPr>
          <w:rFonts w:ascii="arial" w:hAnsi="arial"/>
          <w:sz w:val="18"/>
        </w:rPr>
        <w:t xml:space="preserve">Ms. Dillon’s qualifications to serve on the Board include, among others, her experience and expertise regarding public company management, corporate governance, finance, global business, human capital management including oversight of diversity, equity and inclusion, legal and regulatory oversight, risk oversight and compliance, and strategy and M&amp;A. </w:t>
      </w:r>
    </w:p>
    <w:p>
      <w:pPr>
        <w:pStyle w:val="TextBody"/>
        <w:spacing w:before="240" w:after="0"/>
        <w:jc w:val="both"/>
        <w:rPr>
          <w:rFonts w:ascii="arial" w:hAnsi="arial"/>
          <w:sz w:val="18"/>
        </w:rPr>
      </w:pPr>
      <w:r>
        <w:rPr>
          <w:rFonts w:ascii="arial" w:hAnsi="arial"/>
          <w:b/>
          <w:sz w:val="18"/>
          <w:u w:val="single"/>
        </w:rPr>
        <w:t>Elisha W. Finney</w:t>
      </w:r>
      <w:r>
        <w:rPr>
          <w:rFonts w:ascii="arial" w:hAnsi="arial"/>
          <w:b/>
          <w:sz w:val="18"/>
        </w:rPr>
        <w:t>.</w:t>
      </w:r>
      <w:r>
        <w:rPr>
          <w:rFonts w:ascii="arial" w:hAnsi="arial"/>
          <w:sz w:val="18"/>
        </w:rPr>
        <w:t xml:space="preserve"> Ms. Finney has served on the Board since December 2022. Since November 2017, Ms. Finney has served on the board of directors of Mettler-Toledo International Inc. (NYSE: MTD), a leading global supplier of precision instruments and services, and serves as Chair of the Audit Committee. She joined the board of directors of NanoString Technologies, Inc. (NASDAQ: NSTG), which develops, manufactures and markets technologies that unlock scientifically valuable and clinically actionable information from minute amounts of biological material, primarily for life science researchers in the fields of genomics and proteomics, in May 2017 and serves as Chair of that company’s Audit Committee. Ms. Finney is also a member the board of directors of ICU Medical, Inc. (NASDAQ: ICUI), which develops, manufactures and sells innovative medical products used in infusion therapy, vascular access, and vital care applications, since January 2016, and serves as Chair of that company’s Nominating and Governance Committee and as a member of the Audit Committee. Previously, she served on the boards of directors of iRobot Corporation (NASDAQ: IRBT) from January 2017 to November 2021, serving on the Audit and Compensation and Talent Committees; Cutera, Inc. (NASDAQ: CUTR) from October 2017 to June 2019, chairing the Audit Committee and serving on the Enterprise Risk Committee; Altera Corporation from September 2011 until December 2015, when the company was acquired by Intel Corporation, where she served as Chair of the Audit Committee; and Thoratec Corporation from July 2007 to May 2013, where she served as Chair of the Audit Committee. Ms. Finney is a former public company executive officer who most recently served at Varian Medical Systems, Inc. as Executive Vice President and Chief Financial Officer from February 2012 until her retirement in May 2017 where she oversaw corporate accounting, corporate communications and investor relations, internal audit, risk management, tax and treasury, and corporate information systems. The Board has, in accordance with its Corporate Governance Principles, approved Ms. Finney’s concurrent service on the Audit Committee and the audit committees of more than two other public companies and determined that such service does not impair her ability to effectively serve on the Audit Committee. </w:t>
      </w:r>
    </w:p>
    <w:p>
      <w:pPr>
        <w:pStyle w:val="TextBody"/>
        <w:spacing w:before="240" w:after="0"/>
        <w:jc w:val="both"/>
        <w:rPr>
          <w:rFonts w:ascii="arial" w:hAnsi="arial"/>
          <w:sz w:val="18"/>
        </w:rPr>
      </w:pPr>
      <w:r>
        <w:rPr>
          <w:rFonts w:ascii="arial" w:hAnsi="arial"/>
          <w:sz w:val="18"/>
        </w:rPr>
        <w:t xml:space="preserve">Ms. Finney’s qualifications to serve on the Board include, among others, her experience and expertise regarding public company management, corporate governance, finance, global business, the healthcare industry, risk oversight and compliance, and strategy and M&amp;A. </w:t>
      </w:r>
    </w:p>
    <w:p>
      <w:pPr>
        <w:pStyle w:val="TextBody"/>
        <w:spacing w:before="240" w:after="0"/>
        <w:jc w:val="both"/>
        <w:rPr>
          <w:rFonts w:ascii="arial" w:hAnsi="arial"/>
          <w:sz w:val="18"/>
        </w:rPr>
      </w:pPr>
      <w:r>
        <w:rPr>
          <w:rFonts w:ascii="arial" w:hAnsi="arial"/>
          <w:b/>
          <w:sz w:val="18"/>
          <w:u w:val="single"/>
        </w:rPr>
        <w:t>Melina Higgins</w:t>
      </w:r>
      <w:r>
        <w:rPr>
          <w:rFonts w:ascii="arial" w:hAnsi="arial"/>
          <w:b/>
          <w:sz w:val="18"/>
        </w:rPr>
        <w:t>.</w:t>
      </w:r>
      <w:r>
        <w:rPr>
          <w:rFonts w:ascii="arial" w:hAnsi="arial"/>
          <w:sz w:val="18"/>
        </w:rPr>
        <w:t xml:space="preserve"> Ms. Higgins has served on the Board since the closing of the Combination on November 16, 2020. In May 2021, Ms. Higgins became the nonexecutive Chair of the board of directors of Genworth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5 </w:t>
      </w:r>
      <w:r>
        <w:br w:type="page"/>
      </w:r>
    </w:p>
    <w:p>
      <w:pPr>
        <w:pStyle w:val="HorizontalLine"/>
        <w:rPr/>
      </w:pPr>
      <w:r>
        <w:rPr/>
      </w:r>
    </w:p>
    <w:p>
      <w:pPr>
        <w:pStyle w:val="TextBody"/>
        <w:spacing w:before="0" w:after="0"/>
        <w:jc w:val="both"/>
        <w:rPr>
          <w:rFonts w:ascii="arial" w:hAnsi="arial"/>
          <w:sz w:val="18"/>
        </w:rPr>
      </w:pPr>
      <w:r>
        <w:rPr>
          <w:rFonts w:ascii="arial" w:hAnsi="arial"/>
          <w:sz w:val="18"/>
        </w:rPr>
        <w:t xml:space="preserve">Financial Inc. (NYSE: GNW) (“Genworth”), an insurance company. She has been a member of Genworth’s board since September 2013 and serves on its Audit and Management Development &amp; Compensation Committees. From March to December 2021, Ms. Higgins served on the board of NextGen Acquisition Corp. II, a special purpose acquisition company, chairing its Nominating and Corporate Governance Committee and serving on its Audit and Compensation Committees. In January 2016, Ms. Higgins became non-executive Chair of the board of directors of Antares Midco Inc., a private company that provides financing solutions for middle market, private equity-backed transactions. Ms. Higgins served as a Director of Mylan from 2013 to the closing of the Combination, most recently chairing the Finance Committee and serving on the Audit, Compensation, and Executive Committees. She previously held senior roles of increasing responsibility at The Goldman Sachs Group, Inc. (NYSE: GS), a global investment banking, securities and investment management firm, including Partner and Managing Director, from 1989 to 1992 and 1994 to 2010. Ms. Higgins served as a member of Goldman’s Investment Committee of the Principal Investment Area, which oversaw and approved global private equity and private debt investments. She also served as Head of the Americas for Private Debt and as co-Chairperson of the Investment Advisory Committee for GS Mezzanine Partners funds. Ms. Higgins is a member of the Women’s Leadership Board of Harvard University’s John F. Kennedy School of Government. </w:t>
      </w:r>
    </w:p>
    <w:p>
      <w:pPr>
        <w:pStyle w:val="TextBody"/>
        <w:spacing w:before="240" w:after="0"/>
        <w:jc w:val="both"/>
        <w:rPr>
          <w:rFonts w:ascii="arial" w:hAnsi="arial"/>
          <w:sz w:val="18"/>
        </w:rPr>
      </w:pPr>
      <w:r>
        <w:rPr>
          <w:rFonts w:ascii="arial" w:hAnsi="arial"/>
          <w:sz w:val="18"/>
        </w:rPr>
        <w:t xml:space="preserve">Ms. Higgins’ qualifications to serve on the Board include, among others, her experience and expertise regarding corporate governance, finance, global business, risk oversight, and strategy and M&amp;A. </w:t>
      </w:r>
    </w:p>
    <w:p>
      <w:pPr>
        <w:pStyle w:val="TextBody"/>
        <w:spacing w:before="240" w:after="0"/>
        <w:jc w:val="both"/>
        <w:rPr>
          <w:rFonts w:ascii="arial" w:hAnsi="arial"/>
          <w:sz w:val="18"/>
        </w:rPr>
      </w:pPr>
      <w:r>
        <w:rPr>
          <w:rFonts w:ascii="arial" w:hAnsi="arial"/>
          <w:b/>
          <w:sz w:val="18"/>
          <w:u w:val="single"/>
        </w:rPr>
        <w:t>James M. Kilts</w:t>
      </w:r>
      <w:r>
        <w:rPr>
          <w:rFonts w:ascii="arial" w:hAnsi="arial"/>
          <w:b/>
          <w:sz w:val="18"/>
        </w:rPr>
        <w:t>.</w:t>
      </w:r>
      <w:r>
        <w:rPr>
          <w:rFonts w:ascii="arial" w:hAnsi="arial"/>
          <w:sz w:val="18"/>
        </w:rPr>
        <w:t xml:space="preserve"> Mr. Kilts has served on the Board since the closing of the Combination on November 16, 2020. Mr. Kilts is a founding Partner of Centerview Capital, a private equity firm, and currently serves as non-executive Chairman of Advantage Solutions Inc. (NASDAQ: ADV) and previously served as Lead Director and non-executive Chairman beginning in October 2020 following that company’s combination with Conyers Park II Acquisition Corp., where he served as Executive Chairman from May 2019. From August 2021 to January 2023, Mr. Kilts served as co-Chief Executive Officer of Conyers Park III Acquisition Corp. (NASDAQ: CPAAU, CPAA, CPAAW), a special purpose acquisition company, following which he serves in a special advisory role to the company’s board to, among other responsibilities, identify and evaluate businesses for a potential business combination. He has served as Chairman of The Simply Good Foods Company (NASDAQ: SMPL) since 2017, and serves on that company’s Nominating and Corporate Governance Committee. Previously, Mr. Kilts served as a Director of Unifi Inc. (NYSE: UFI) from 2016 until his retirement from this board in July 2022, and most recently served on that company’s Compensation Committee; served on the board of directors of Pfizer from 2007 until the closing of the Combination, where he most recently served on the Compensation Committee; MetLife, Inc. (NYSE: MET) from 2005 until June 2020, where he most recently chaired the Compensation Committee and was a member of the Governance and Corporate Responsibility Committee; The Procter &amp; Gamble Company (NYSE: PG) from 2005 to 2006; as Chairman of Conyers Park Acquisition Corporation from its formation in April 2016 until its merger with The Simply Good Foods Company in July 2017; as a non-executive Director of Nielsen Holdings plc (NYSE: NLSN) from 2006 until 2017, Chairman of Nielsen Holdings from 2011 until 2013, and Chairman of Nielsen Company B.V. from 2009 until 2014; and as a Director of MeadWestvaco Corporation from 2006 until 2014. Mr. Kilts also served as Chairman and Chief Executive Officer of The Gillette Company from 2001 to 2005 and President from 2003 to 2005, and as President and Chief Executive Officer of Nabisco Group Holdings Corporation from 1998 until its acquisition in 2000. Mr. Kilts also serves on the board of directors of the Cato Institute; as a Life Trustee of Knox College; on the board of trustees of the University of Chicago; and as a life member of the Advisory Council of the University of Chicago Booth School of Business.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6 </w:t>
      </w:r>
      <w:r>
        <w:br w:type="page"/>
      </w:r>
    </w:p>
    <w:p>
      <w:pPr>
        <w:pStyle w:val="HorizontalLine"/>
        <w:rPr/>
      </w:pPr>
      <w:r>
        <w:rPr/>
      </w:r>
    </w:p>
    <w:p>
      <w:pPr>
        <w:pStyle w:val="TextBody"/>
        <w:spacing w:before="0" w:after="0"/>
        <w:jc w:val="both"/>
        <w:rPr>
          <w:rFonts w:ascii="arial" w:hAnsi="arial"/>
          <w:sz w:val="18"/>
        </w:rPr>
      </w:pPr>
      <w:r>
        <w:rPr>
          <w:rFonts w:ascii="arial" w:hAnsi="arial"/>
          <w:sz w:val="18"/>
        </w:rPr>
        <w:t xml:space="preserve">Mr. Kilts’ qualifications to serve on the Board include, among others, his experience and expertise regarding public company management, corporate governance, finance, global business, the healthcare industry, human capital management including oversight of diversity, equity and inclusion, and strategy and M&amp;A. </w:t>
      </w:r>
    </w:p>
    <w:p>
      <w:pPr>
        <w:pStyle w:val="TextBody"/>
        <w:spacing w:before="240" w:after="0"/>
        <w:jc w:val="both"/>
        <w:rPr>
          <w:rFonts w:ascii="arial" w:hAnsi="arial"/>
          <w:sz w:val="18"/>
        </w:rPr>
      </w:pPr>
      <w:r>
        <w:rPr>
          <w:rFonts w:ascii="arial" w:hAnsi="arial"/>
          <w:b/>
          <w:sz w:val="18"/>
          <w:u w:val="single"/>
        </w:rPr>
        <w:t>Harry A. Korman</w:t>
      </w:r>
      <w:r>
        <w:rPr>
          <w:rFonts w:ascii="arial" w:hAnsi="arial"/>
          <w:b/>
          <w:sz w:val="18"/>
        </w:rPr>
        <w:t>.</w:t>
      </w:r>
      <w:r>
        <w:rPr>
          <w:rFonts w:ascii="arial" w:hAnsi="arial"/>
          <w:sz w:val="18"/>
        </w:rPr>
        <w:t xml:space="preserve"> Mr. Korman has served on the Board since the closing of the Combination on November 16, 2020. Mr. Korman served as a Director of Mylan from 2018 until the closing of the Combination, most recently chairing the Risk Oversight Committee and serving as a member of the Compliance, Governance and Nominating, and Science and Technology Committees. Previously, Mr. Korman held senior executive roles of increasing responsibility at Mylan Inc. and its subsidiaries from 1996 until July 2014. He served as Mylan Inc.’s global Chief Operating Officer from January 2012 until July 2014, after which he served in a consultant role with Mylan Inc. for one year. Prior to his service as Chief Operating Officer, he was the President, North America of Mylan Inc. commencing in October 2007. Mr. Korman also served as President of Mylan Pharmaceuticals Inc. from February 2005 to December 2009. He joined Mylan in 1996 after the company’s acquisition of UDL Laboratories, Inc. (n/k/a Mylan Institutional Inc.), and served as its President, among other prior responsibilities. Mr. Korman has served as a past Director and Vice Chairman of the Generic Pharmaceutical Association, now known as the Association for Accessible Medicines. He also previously served as a Director and Vice Chairman of the HDMA Foundation, which serves the healthcare industry by providing research and education focused on healthcare supply issues. </w:t>
      </w:r>
    </w:p>
    <w:p>
      <w:pPr>
        <w:pStyle w:val="TextBody"/>
        <w:spacing w:before="240" w:after="0"/>
        <w:jc w:val="both"/>
        <w:rPr>
          <w:rFonts w:ascii="arial" w:hAnsi="arial"/>
          <w:sz w:val="18"/>
        </w:rPr>
      </w:pPr>
      <w:r>
        <w:rPr>
          <w:rFonts w:ascii="arial" w:hAnsi="arial"/>
          <w:sz w:val="18"/>
        </w:rPr>
        <w:t xml:space="preserve">Mr. Korman’s qualifications to serve on the Board include, among others, his experience and expertise regarding public company management, global business, the healthcare industry, information security, risk oversight and compliance, and strategy and M&amp;A. </w:t>
      </w:r>
    </w:p>
    <w:p>
      <w:pPr>
        <w:pStyle w:val="TextBody"/>
        <w:spacing w:before="240" w:after="0"/>
        <w:jc w:val="both"/>
        <w:rPr>
          <w:rFonts w:ascii="arial" w:hAnsi="arial"/>
          <w:sz w:val="18"/>
        </w:rPr>
      </w:pPr>
      <w:r>
        <w:rPr>
          <w:rFonts w:ascii="arial" w:hAnsi="arial"/>
          <w:b/>
          <w:sz w:val="18"/>
          <w:u w:val="single"/>
        </w:rPr>
        <w:t>Rajiv Malik</w:t>
      </w:r>
      <w:r>
        <w:rPr>
          <w:rFonts w:ascii="arial" w:hAnsi="arial"/>
          <w:b/>
          <w:sz w:val="18"/>
        </w:rPr>
        <w:t>.</w:t>
      </w:r>
      <w:r>
        <w:rPr>
          <w:rFonts w:ascii="arial" w:hAnsi="arial"/>
          <w:sz w:val="18"/>
        </w:rPr>
        <w:t xml:space="preserve"> Mr. Malik has served as Viatris’ President and on the Board since the closing of the Combination on November 16, 2020. His responsibilities include the day-to-day operations of the Company, overseeing the Company’s commercial business units, the Commercial Development, Medical, Information Technology and Quality functions, as well as R&amp;D and Operations. He has also played a leading role in integrating the two legacy companies while stabilizing the business in its first two years of operation. </w:t>
      </w:r>
    </w:p>
    <w:p>
      <w:pPr>
        <w:pStyle w:val="TextBody"/>
        <w:spacing w:before="240" w:after="0"/>
        <w:jc w:val="both"/>
        <w:rPr>
          <w:rFonts w:ascii="arial" w:hAnsi="arial"/>
          <w:sz w:val="18"/>
        </w:rPr>
      </w:pPr>
      <w:r>
        <w:rPr>
          <w:rFonts w:ascii="arial" w:hAnsi="arial"/>
          <w:sz w:val="18"/>
        </w:rPr>
        <w:t xml:space="preserve">Previously, Mr. Malik served as President of Mylan from January 2012 until the closing of the Combination. His responsibilities with Mylan included leading the company’s global commercial, scientific, operational, information technology and business development activities in more than 165 countries and territories. In addition, he oversaw the operations that managed a portfolio of more than 7,500 products, a pipeline of approximately 1,200 products and more than 40 manufacturing facilities around the world. He also served on the Mylan Board from 2012 until the closing of the Combination. Mr. Malik also held various senior roles at Mylan, including Executive Vice President and Chief Operating Officer from July 2009 to December 2012, and head of Global Technical Operations from January 2007 to July 2009. Prior to joining Mylan in January 2007, Mr. Malik served as Chief Executive Officer of Matrix Laboratories Limited (now Mylan Laboratories Limited) from July 2005 to June 2008. Prior to joining Matrix, he served as Head of Global Development and Registrations for Sandoz GmbH from September 2003 to July 2005, and as Head of Global Regulatory Affairs and Head of Pharma Research for Ranbaxy from October 1999 to September 2003. </w:t>
      </w:r>
    </w:p>
    <w:p>
      <w:pPr>
        <w:pStyle w:val="TextBody"/>
        <w:spacing w:before="240" w:after="0"/>
        <w:jc w:val="both"/>
        <w:rPr>
          <w:rFonts w:ascii="arial" w:hAnsi="arial"/>
          <w:sz w:val="18"/>
        </w:rPr>
      </w:pPr>
      <w:r>
        <w:rPr>
          <w:rFonts w:ascii="arial" w:hAnsi="arial"/>
          <w:sz w:val="18"/>
        </w:rPr>
        <w:t xml:space="preserve">Mr. Malik’s qualifications to serve on the Board include, among others, his knowledge and experience regarding public company management, global business, the healthcare industry, human capital management including oversight of diversity, equity and inclusion, legal and regulatory oversight, and strategy and M&amp;A.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7 </w:t>
      </w:r>
      <w:r>
        <w:br w:type="page"/>
      </w:r>
    </w:p>
    <w:p>
      <w:pPr>
        <w:pStyle w:val="HorizontalLine"/>
        <w:rPr/>
      </w:pPr>
      <w:r>
        <w:rPr/>
      </w:r>
    </w:p>
    <w:p>
      <w:pPr>
        <w:pStyle w:val="TextBody"/>
        <w:spacing w:before="0" w:after="0"/>
        <w:jc w:val="both"/>
        <w:rPr>
          <w:rFonts w:ascii="arial" w:hAnsi="arial"/>
          <w:sz w:val="18"/>
        </w:rPr>
      </w:pPr>
      <w:r>
        <w:rPr>
          <w:rFonts w:ascii="arial" w:hAnsi="arial"/>
          <w:b/>
          <w:sz w:val="18"/>
          <w:u w:val="single"/>
        </w:rPr>
        <w:t>Richard A. Mark, C.P.A.</w:t>
      </w:r>
      <w:r>
        <w:rPr>
          <w:rFonts w:ascii="arial" w:hAnsi="arial"/>
          <w:sz w:val="18"/>
        </w:rPr>
        <w:t xml:space="preserve"> Mr. Mark has served on the Board since the closing of the Combination on November 16, 2020. Mr. Mark currently serves on the board of directors of Goldman Sachs BDC, Inc. (“GSBDC”) (NYSE: GSBD), Goldman Sachs Private Credit Fund, LLC, and Goldman Sachs Middle Market Lending Corp. II, chairing their Audit Committees and serving on their Compliance, Contract Review, and Governance and Nominating Committees. He previously served as a Director of Mylan from 2019 until the closing of the Combination, most recently serving on the Audit and Finance Committees. Previously, Mr. Mark served on the board of directors of Goldman Sachs Middle Market Lending Corp. prior to its merger with GSBDC in October 2020, most recently chairing its Audit Committee and serving on its Compliance, Governance and Nominating, and Contract Review Committees. Mr. Mark also was a Partner with Deloitte &amp; Touche LLP (“Deloitte”) from June 2002 to May 2015, most recently leading the advisory corporate development function. Prior to joining Deloitte, Mr. Mark held various positions with Arthur Andersen &amp; Co., including Audit Partner. Mr. Mark also served from July 2015 until August 2016 as Chairman of the board of directors and as a member of the Audit Committee of Katy Industries, Inc., a manufacturer, importer and distributor of commercial cleaning and consumer storage products. He also served on the board of directors of Cadence Health from 1993 until its acquisition by Northwestern Memorial Healthcare (“Northwestern”) in September 2014. Following the acquisition of Cadence Health, Mr. Mark was a Director of Northwestern from September 2014 to August 2015, serving on its Executive and Nominating and Governance committees. Mr. Mark also serves as a Director and chair of the Finance Committee of Home Centered Care Institute, a not-for-profit corporation, which provides medical care to medically complex patients who are either homebound or home-limited. Until December 2021, Mr. Mark served as a Director of Almost Home Kids, a not-for-profit corporation affiliated with Lurie Children’s Hospital of Chicago, a provider of transitional care to children with complicated health needs, training for their families, and respite care. </w:t>
      </w:r>
    </w:p>
    <w:p>
      <w:pPr>
        <w:pStyle w:val="TextBody"/>
        <w:spacing w:before="240" w:after="0"/>
        <w:jc w:val="both"/>
        <w:rPr>
          <w:rFonts w:ascii="arial" w:hAnsi="arial"/>
          <w:sz w:val="18"/>
        </w:rPr>
      </w:pPr>
      <w:r>
        <w:rPr>
          <w:rFonts w:ascii="arial" w:hAnsi="arial"/>
          <w:sz w:val="18"/>
        </w:rPr>
        <w:t xml:space="preserve">Mr. Mark’s qualifications to serve on the Board include, among others, his experience and expertise regarding public company management, corporate governance, finance, global business, the healthcare industry, information security, risk oversight and compliance, and strategy and M&amp;A. </w:t>
      </w:r>
    </w:p>
    <w:p>
      <w:pPr>
        <w:pStyle w:val="TextBody"/>
        <w:spacing w:before="240" w:after="0"/>
        <w:jc w:val="both"/>
        <w:rPr>
          <w:rFonts w:ascii="arial" w:hAnsi="arial"/>
          <w:sz w:val="18"/>
        </w:rPr>
      </w:pPr>
      <w:r>
        <w:rPr>
          <w:rFonts w:ascii="arial" w:hAnsi="arial"/>
          <w:b/>
          <w:sz w:val="18"/>
          <w:u w:val="single"/>
        </w:rPr>
        <w:t>Mark W. Parrish</w:t>
      </w:r>
      <w:r>
        <w:rPr>
          <w:rFonts w:ascii="arial" w:hAnsi="arial"/>
          <w:b/>
          <w:sz w:val="18"/>
        </w:rPr>
        <w:t>.</w:t>
      </w:r>
      <w:r>
        <w:rPr>
          <w:rFonts w:ascii="arial" w:hAnsi="arial"/>
          <w:sz w:val="18"/>
        </w:rPr>
        <w:t xml:space="preserve"> Mr. Parrish has served as the Lead Independent Director and Vice Chairman of the Board since the closing of the Combination on November 16, 2020. He served as Chief Executive Officer of TridentUSA Health Services (“TridentUSA”), a provider of mobile X-ray and laboratory services to the long-term care industry, from 2008 to August 2018, and as Executive Chairman from 2008 to 2013. From August 2018 to September 2019, he served as Executive Chairman of TridentUSA. In February 2019, TridentUSA filed for protection under Chapter 11 of the U.S. Bankruptcy Code and emerged from bankruptcy in September 2019. Since January 2013, Mr. Parrish has served on the board of directors of Omnicell, Inc. (NASDAQ: OMCL), a company that specializes in healthcare technology, and serves on its Audit and Compensation Committees; and since February 2022 has served on the board of directors of Safecor Health, LLC, a private limited liability company that provides unit dose drug packaging services to hospitals and long-term care facilities. Mr. Parrish served as a Director of Mylan from 2009 until the closing of the Combination, most recently serving as Lead Independent Director and Vice Chairman and as Chair of the Compliance Committee and member of the Audit, Executive, Governance and Nominating, and Risk Oversight Committees; Comprehensive Pharmacy Services, a private company that specializes in the outsourcing of hospital pharmacies, from May 2019 until March 2023; Silvergate Pharmaceuticals, a private company that develops and commercializes pediatric medications, from 2013 until June 2019; and Golden State Medical Supply, a private company that specializes in meeting unique labeling and sizing needs and pharmaceutical packaging, serialization and distribution, from May 2014 until August 2019, when it was acquired by Court Square. From 1993 to 2007, Mr. Parrish held management roles of increasing responsibility with Cardinal Health Inc. (NYSE: CAH) and its affiliates, including Chief Executive Officer of healthcare supply chain services, from 2006 to 2007. Mr. Parrish serves as president of the International Federation of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8 </w:t>
      </w:r>
      <w:r>
        <w:br w:type="page"/>
      </w:r>
    </w:p>
    <w:p>
      <w:pPr>
        <w:pStyle w:val="HorizontalLine"/>
        <w:rPr/>
      </w:pPr>
      <w:r>
        <w:rPr/>
      </w:r>
    </w:p>
    <w:p>
      <w:pPr>
        <w:pStyle w:val="TextBody"/>
        <w:spacing w:before="0" w:after="0"/>
        <w:jc w:val="both"/>
        <w:rPr>
          <w:rFonts w:ascii="arial" w:hAnsi="arial"/>
          <w:sz w:val="18"/>
        </w:rPr>
      </w:pPr>
      <w:r>
        <w:rPr>
          <w:rFonts w:ascii="arial" w:hAnsi="arial"/>
          <w:sz w:val="18"/>
        </w:rPr>
        <w:t xml:space="preserve">Pharmaceutical Wholesalers, an association of pharmaceutical wholesalers and pharmaceutical supply chain service companies, and as senior adviser to Frazier Healthcare Ventures, a healthcare-oriented growth equity firm. </w:t>
      </w:r>
    </w:p>
    <w:p>
      <w:pPr>
        <w:pStyle w:val="TextBody"/>
        <w:spacing w:before="240" w:after="0"/>
        <w:jc w:val="both"/>
        <w:rPr>
          <w:rFonts w:ascii="arial" w:hAnsi="arial"/>
          <w:sz w:val="18"/>
        </w:rPr>
      </w:pPr>
      <w:r>
        <w:rPr>
          <w:rFonts w:ascii="arial" w:hAnsi="arial"/>
          <w:sz w:val="18"/>
        </w:rPr>
        <w:t xml:space="preserve">Mr. Parrish’s qualifications to serve on the Board include, among others, his experience and expertise regarding public company management, corporate governance, the healthcare industry, human capital management including oversight of diversity, equity and inclusion, global business, information security, risk oversight and compliance, and strategy and M&amp;A. </w:t>
      </w:r>
    </w:p>
    <w:p>
      <w:pPr>
        <w:pStyle w:val="TextBody"/>
        <w:spacing w:before="240" w:after="0"/>
        <w:jc w:val="both"/>
        <w:rPr>
          <w:rFonts w:ascii="arial" w:hAnsi="arial"/>
          <w:sz w:val="18"/>
        </w:rPr>
      </w:pPr>
      <w:r>
        <w:rPr>
          <w:rFonts w:ascii="arial" w:hAnsi="arial"/>
          <w:b/>
          <w:sz w:val="18"/>
          <w:u w:val="single"/>
        </w:rPr>
        <w:t>Scott A. Smith</w:t>
      </w:r>
      <w:r>
        <w:rPr>
          <w:rFonts w:ascii="arial" w:hAnsi="arial"/>
          <w:b/>
          <w:sz w:val="18"/>
        </w:rPr>
        <w:t>.</w:t>
      </w:r>
      <w:r>
        <w:rPr>
          <w:rFonts w:ascii="arial" w:hAnsi="arial"/>
          <w:sz w:val="18"/>
        </w:rPr>
        <w:t xml:space="preserve"> Mr. Smith has served on the Board since December 2022. In February 2023, the Board appointed him as CEO, effective April 1, 2023. Mr. Smith most recently served as President of BioAtla, Inc. (“BioAtla”), a global biotechnology company focused on the development of Conditionally Active Biologics™ antibody therapeutics, from 2018 to February 2023. At BioAtla, Mr. Smith built a clinical development structure that moved multiple assets from investigational new drug applications into late stage clinical development, drove the company’s long-term strategic operational plan and led all business development activities, among other responsibilities. Prior to joining BioAtla, Mr. Smith was an executive at Celgene Corporation, a global biopharmaceutical company, from 2008 to 2018, rising up the ranks from SVP and Global Head of Immunology to President of Inflammation and Immunology and then, beginning in 2017, President and Chief Operating Officer where he led the company’s oncology, inflammation and immunology franchise, commercial operations and clinical development, among other responsibilities. Mr. Smith has served on the board of directors of BioAtla (NASDAQ: BCAB) since July 2020, is chairman of the board of Triumvira Immunologics, Inc. and has served on that company’s board since June 2018, and he became a member of the Apexigen, Inc. (NASDAQ: APGN, APGNW) board in September 2019 and currently serves on that company’s Compensation and Corporate Governance and Nominating Committees, and has served on the board of directors of Refuge Biotechnologies, Inc. since October 2018. Mr. Smith previously served on the boards of directors of Titan Pharmaceuticals, Inc. (NASDAQ: TTNP), chairing the Compensation and Nominating and Governance Committees; and as Chairman of F-star Therapeutics, Inc., serving on that company’s Audit and Nominating and Corporate Governance Committees. The Board has, in accordance with its Corporate Governance Principles, approved Mr. Smith’s concurrent service as an executive officer of a public company and on more than one other public company board of directors and determined that it will not impair his ability to effectively serve on the Board. </w:t>
      </w:r>
    </w:p>
    <w:p>
      <w:pPr>
        <w:pStyle w:val="TextBody"/>
        <w:spacing w:before="240" w:after="0"/>
        <w:jc w:val="both"/>
        <w:rPr>
          <w:rFonts w:ascii="arial" w:hAnsi="arial"/>
          <w:sz w:val="18"/>
        </w:rPr>
      </w:pPr>
      <w:r>
        <w:rPr>
          <w:rFonts w:ascii="arial" w:hAnsi="arial"/>
          <w:sz w:val="18"/>
        </w:rPr>
        <w:t xml:space="preserve">Mr. Smith’s qualifications to serve on the Board include, among others, his experience and expertise regarding public company management, corporate governance, finance, global business, the healthcare industry, human capital management including oversight of diversity, equity and inclusion, and strategy and M&amp;A. </w:t>
      </w:r>
    </w:p>
    <w:p>
      <w:pPr>
        <w:pStyle w:val="TextBody"/>
        <w:spacing w:before="240" w:after="0"/>
        <w:jc w:val="both"/>
        <w:rPr>
          <w:rFonts w:ascii="arial" w:hAnsi="arial"/>
          <w:sz w:val="18"/>
        </w:rPr>
      </w:pPr>
      <w:r>
        <w:rPr>
          <w:rFonts w:ascii="arial" w:hAnsi="arial"/>
          <w:b/>
          <w:sz w:val="18"/>
          <w:u w:val="single"/>
        </w:rPr>
        <w:t>Pauline van der Meer Mohr</w:t>
      </w:r>
      <w:r>
        <w:rPr>
          <w:rFonts w:ascii="arial" w:hAnsi="arial"/>
          <w:b/>
          <w:sz w:val="18"/>
        </w:rPr>
        <w:t>.</w:t>
      </w:r>
      <w:r>
        <w:rPr>
          <w:rFonts w:ascii="arial" w:hAnsi="arial"/>
          <w:sz w:val="18"/>
        </w:rPr>
        <w:t xml:space="preserve"> Ms. van der Meer Mohr has served on the Board since the closing of the Combination on November 16, 2020. In April 2022, Ms. van der Meer Mohr became a member of the supervisory board of Koninklijke Ahold Delhaize N.V. (AMS: AD) and currently serves as Chair of its Remuneration Committee and a member of its Audit Committee. In September 2021, she became a member of the supervisory board of ASM International N.V. (AMS: ASMIY) and in April 2022 was appointed as Chairperson of the Supervisory Board and is a member of that company’s Nomination, Selection and Remuneration Committee. Since January 2023, she has served on the Supervisory Board of Nationale- Nederlanden N.V. (AMS: NN), an international financial services company, and is a member of its Remuneration and Nomination and Corporate Governance Committees. Ms. van der Meer Mohr most recently served as a Director of HSBC Holdings plc (LON: HSBA), chairing that company’s Group Remuneration Committee and serving as a member of its Group Audit Committee and Nomination &amp;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9 </w:t>
      </w:r>
      <w:r>
        <w:br w:type="page"/>
      </w:r>
    </w:p>
    <w:p>
      <w:pPr>
        <w:pStyle w:val="HorizontalLine"/>
        <w:rPr/>
      </w:pPr>
      <w:r>
        <w:rPr/>
      </w:r>
    </w:p>
    <w:p>
      <w:pPr>
        <w:pStyle w:val="TextBody"/>
        <w:spacing w:before="0" w:after="0"/>
        <w:jc w:val="both"/>
        <w:rPr>
          <w:rFonts w:ascii="arial" w:hAnsi="arial"/>
          <w:sz w:val="18"/>
        </w:rPr>
      </w:pPr>
      <w:r>
        <w:rPr>
          <w:rFonts w:ascii="arial" w:hAnsi="arial"/>
          <w:sz w:val="18"/>
        </w:rPr>
        <w:t xml:space="preserve">Corporate Governance Committee, until her retirement from this board in April 2022. From 2011 to May 2021, she was also a member of the supervisory board of Royal DSM N.V. (AMS: DSM), most recently serving as Deputy Chair, chairing its Remuneration Committee and serving on its Nomination Committee. She is also a member of the supervisory board of EY Netherlands LLP, currently serving as Chair. Ms. van der Meer Mohr also serves as the Chair of the Dutch Corporate Governance Code Monitoring Committee and as Chair of the Appointment Advisory Committee for the President of the Supreme Court of the Netherlands, and she is a member of the Capital Markets Committee of the Dutch Authority for Financial Markets. Previously, Ms. van der Meer Mohr served on the board of directors of Mylan from 2018 until the closing of the Combination, where she most recently served on the Compensation and Risk Oversight Committees. She also served on the supervisory board of ASML Holding N.V. (NASDAQ and AMS: ASML) from 2009 until April 2018, and as President of the executive board of Erasmus University in Rotterdam from 2010 to 2016. Ms. van der Meer Mohr began her career in the legal profession and previously held several legal and management positions at Royal Dutch Shell Group from 1989 to 2004. In 2004, she was appointed Group Human Resources Director at TNT N.V., now known as PostNL (AMS: PNL), before becoming Senior Executive Vice President and Head of Group Human Resources at ABN AMRO NV in 2006. She served as a member of the Dutch Banking Code Monitoring Commission in the Netherlands from 2010 to 2013, and began her own human capital consulting firm in 2008. </w:t>
      </w:r>
    </w:p>
    <w:p>
      <w:pPr>
        <w:pStyle w:val="TextBody"/>
        <w:spacing w:before="240" w:after="0"/>
        <w:jc w:val="both"/>
        <w:rPr>
          <w:rFonts w:ascii="arial" w:hAnsi="arial"/>
          <w:sz w:val="18"/>
        </w:rPr>
      </w:pPr>
      <w:r>
        <w:rPr>
          <w:rFonts w:ascii="arial" w:hAnsi="arial"/>
          <w:sz w:val="18"/>
        </w:rPr>
        <w:t xml:space="preserve">Ms. van der Meer Mohr’s qualifications to serve on the Board include, among others, her experience and expertise regarding public company management, corporate governance, finance, global business, human capital management including oversight of diversity, equity and inclusion, information security, legal and regulatory oversight, risk oversight and compliance, and strategy and M&amp;A. </w:t>
      </w:r>
    </w:p>
    <w:p>
      <w:pPr>
        <w:pStyle w:val="TextBody"/>
        <w:spacing w:before="360" w:after="0"/>
        <w:jc w:val="left"/>
        <w:rPr>
          <w:rFonts w:ascii="arial" w:hAnsi="arial"/>
          <w:b/>
          <w:sz w:val="20"/>
        </w:rPr>
      </w:pPr>
      <w:r>
        <w:rPr>
          <w:rFonts w:ascii="arial" w:hAnsi="arial"/>
          <w:b/>
          <w:sz w:val="20"/>
        </w:rPr>
        <w:t xml:space="preserve">Viatris’ Board Structure </w:t>
      </w:r>
    </w:p>
    <w:p>
      <w:pPr>
        <w:pStyle w:val="TextBody"/>
        <w:spacing w:before="120" w:after="0"/>
        <w:jc w:val="both"/>
        <w:rPr>
          <w:rFonts w:ascii="arial" w:hAnsi="arial"/>
          <w:sz w:val="18"/>
        </w:rPr>
      </w:pPr>
      <w:r>
        <w:rPr>
          <w:rFonts w:ascii="arial" w:hAnsi="arial"/>
          <w:sz w:val="18"/>
        </w:rPr>
        <w:t xml:space="preserve">As set forth in our Bylaws, the Company has a majority vote standard for director elections in the event of an uncontested election and a plurality standard in the event of a contested election. The Bylaws also provide that if a nominee for Director who is an incumbent is not elected and no successor has been elected at such meeting, the Director shall promptly tender his or her irrevocable resignation to the Board, such resignation to be effective upon acceptance by the Board. </w:t>
      </w:r>
    </w:p>
    <w:p>
      <w:pPr>
        <w:pStyle w:val="TextBody"/>
        <w:spacing w:before="240" w:after="0"/>
        <w:jc w:val="both"/>
        <w:rPr>
          <w:rFonts w:ascii="arial" w:hAnsi="arial"/>
          <w:sz w:val="18"/>
        </w:rPr>
      </w:pPr>
      <w:r>
        <w:rPr>
          <w:rFonts w:ascii="arial" w:hAnsi="arial"/>
          <w:sz w:val="18"/>
        </w:rPr>
        <w:t xml:space="preserve">In connection with the Combination, Mylan and Pfizer agreed that the Board would be classified for three years with respect to the time for which Directors hold office (designated as Class I, Class II and Class III). The first term of office of the Class I Directors expired as of the date of the 2021 annual meeting of shareholders (the “2021 Annual Meeting”). At the 2021 Annual Meeting, each Class I Director was re-elected to serve as a Director until the Company’s 2023 annual meeting of shareholders (the “2023 Annual Meeting”). The first term of office of the Class II Directors expired as of the date of the 2022 annual meeting of shareholders (the “2022 Annual Meeting”). At the 2022 Annual Meeting, each Class II Director was re-elected to serve as a Director until the 2023 Annual Meeting. Commencing with the 2023 Annual Meeting and at all subsequent annual meetings of shareholders, the Board will be declassified and all Directors will be submitted for election at each annual meeting of shareholders. Elisha W. Finney, Scott A. Smith, and Pauline van der Meer Mohr are in Class I; W. Don Cornwell, Harry A. Korman, Rajiv Malik, and Richard A. Mark are in Class II; and Robert J. Coury, JoEllen Lyons Dillon, Melina Higgins, James M. Kilts, and Mark W. Parrish are in Class III. In addition, the parties to the Combination determined prior to closing that the Board would include, among others, Robert J. Coury as well as certain persons designated by Pfizer (including W. Don Cornwell and James M. Kilts) and certain persons designated by Mylan (including JoEllen Lyons Dillon, Melina Higgins, Harry A. Korman, Rajiv Malik, Richard A. Mark, Mark W. Parrish and Pauline van der Meer Mohr).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10 </w:t>
      </w:r>
      <w:r>
        <w:br w:type="page"/>
      </w:r>
    </w:p>
    <w:p>
      <w:pPr>
        <w:pStyle w:val="HorizontalLine"/>
        <w:rPr/>
      </w:pPr>
      <w:r>
        <w:rPr/>
      </w:r>
    </w:p>
    <w:p>
      <w:pPr>
        <w:pStyle w:val="TextBody"/>
        <w:spacing w:before="0" w:after="0"/>
        <w:jc w:val="both"/>
        <w:rPr>
          <w:rFonts w:ascii="arial" w:hAnsi="arial"/>
          <w:sz w:val="18"/>
        </w:rPr>
      </w:pPr>
      <w:r>
        <w:rPr>
          <w:rFonts w:ascii="arial" w:hAnsi="arial"/>
          <w:sz w:val="18"/>
        </w:rPr>
        <w:t xml:space="preserve">The members of the Board collectively have expertise in developing and overseeing strategies in the context of a complex and rapidly changing environment, as well as a deep understanding of the management team and culture of the Company, our global platforms, the healthcare systems in which we operate, and the opportunities and challenges facing the Company around the world. Our Board members have key skills and experience including with respect to CEO experience and public company management; the optimization of shareholder value creation; corporate governance, corporate environmental and social responsibility matters; finance, accounting and capital markets; global business experience; healthcare industry; human capital management, including but not limited to diversity, equity and inclusion; information security; legal and regulatory oversight; risk oversight and compliance; and strategy and M&amp;A, among many other areas. We are confident that the collective experience and expertise of our Directors enables the Board to effectively guide and oversee the management team. </w:t>
      </w:r>
    </w:p>
    <w:p>
      <w:pPr>
        <w:pStyle w:val="TextBody"/>
        <w:spacing w:before="240" w:after="0"/>
        <w:jc w:val="both"/>
        <w:rPr>
          <w:rFonts w:ascii="arial" w:hAnsi="arial"/>
          <w:sz w:val="18"/>
        </w:rPr>
      </w:pPr>
      <w:r>
        <w:rPr>
          <w:rFonts w:ascii="arial" w:hAnsi="arial"/>
          <w:sz w:val="18"/>
        </w:rPr>
        <w:t xml:space="preserve">The Board believes it should have the flexibility to select the structure of Board leadership best suited to meet the needs of the Company and our shareholders, including based on the particular opportunities, circumstances, or challenges confronting the Board and the Company at any given time. Accordingly, our governance documents provide the Board with the flexibility to select the most appropriate Board leadership structure. This flexibility benefits the Company and its shareholders because the Board is best positioned to evaluate the optimal leadership structure for the Company based upon the Company’s leadership team, strategy, challenges, and opportunities over time. </w:t>
      </w:r>
    </w:p>
    <w:p>
      <w:pPr>
        <w:pStyle w:val="TextBody"/>
        <w:spacing w:before="240" w:after="0"/>
        <w:jc w:val="both"/>
        <w:rPr>
          <w:rFonts w:ascii="arial" w:hAnsi="arial"/>
          <w:sz w:val="18"/>
        </w:rPr>
      </w:pPr>
      <w:r>
        <w:rPr>
          <w:rFonts w:ascii="arial" w:hAnsi="arial"/>
          <w:sz w:val="18"/>
        </w:rPr>
        <w:t xml:space="preserve">Considering the current opportunities and circumstances facing the Company, including but not limited to, the current economic environment and the Company’s focus on executing its previously disclosed two-phased strategic vision, the Board has determined that its current leadership structure — which separates the Executive Chairman, Lead Independent Director and Vice Chairman, CEO, and President roles, along with a strong, independent majority of Directors — has served the Company well and enables it to best oversee and empower the management team and is optimal for Viatris and its shareholders and other stakeholders. </w:t>
      </w:r>
    </w:p>
    <w:p>
      <w:pPr>
        <w:pStyle w:val="TextBody"/>
        <w:spacing w:before="240" w:after="0"/>
        <w:jc w:val="both"/>
        <w:rPr>
          <w:rFonts w:ascii="arial" w:hAnsi="arial"/>
          <w:sz w:val="18"/>
        </w:rPr>
      </w:pPr>
      <w:r>
        <w:rPr>
          <w:rFonts w:ascii="arial" w:hAnsi="arial"/>
          <w:sz w:val="18"/>
        </w:rPr>
        <w:t xml:space="preserve">In particular, the Board believes that its current leadership structure — which separates the CEO and Chairman positions — enables our Executive Chairman to lead the Board and oversee the strategic direction of the Company in collaboration with executive management, and our CEO to run the Company on a day-to-day basis, leading the overall management of the Company and executing on the Company’s strategy. </w:t>
      </w:r>
    </w:p>
    <w:p>
      <w:pPr>
        <w:pStyle w:val="TextBody"/>
        <w:spacing w:before="240" w:after="0"/>
        <w:jc w:val="both"/>
        <w:rPr>
          <w:rFonts w:ascii="arial" w:hAnsi="arial"/>
          <w:sz w:val="18"/>
        </w:rPr>
      </w:pPr>
      <w:r>
        <w:rPr>
          <w:rFonts w:ascii="arial" w:hAnsi="arial"/>
          <w:sz w:val="18"/>
        </w:rPr>
        <w:t xml:space="preserve">Among other responsibilities, the Executive Chairman advises on important ongoing business matters and leads Company strategy on highly complex matters and other strategic initiatives, including significant M&amp;A activity, management and development of senior executives, and engagement with shareholders and other key stakeholders. </w:t>
      </w:r>
    </w:p>
    <w:p>
      <w:pPr>
        <w:pStyle w:val="TextBody"/>
        <w:spacing w:before="240" w:after="0"/>
        <w:jc w:val="both"/>
        <w:rPr>
          <w:rFonts w:ascii="arial" w:hAnsi="arial"/>
          <w:sz w:val="18"/>
        </w:rPr>
      </w:pPr>
      <w:r>
        <w:rPr>
          <w:rFonts w:ascii="arial" w:hAnsi="arial"/>
          <w:sz w:val="18"/>
        </w:rPr>
        <w:t xml:space="preserve">Our CEO is tasked with leading the daily management and performance of the business, which include, among other responsibilities, building and enhancing the Company’s commercial excellence and executing on its strategy to increase access to medicines and services through the Global Healthcare Gateway®. In February 2023, we announced that Scott A. Smith would serve as CEO of Viatris and take responsibility for the day-to-day management of the Company, effective April 1, 2023. The Board believes that Mr. Smith is best suited to lead the Company’s previously announced Phase 2 (2024 and beyond) strategy and execution and brings experience that positions him to manage the global nature and complexity of a business that we expect to return to growth.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11 </w:t>
      </w:r>
      <w:r>
        <w:br w:type="page"/>
      </w:r>
    </w:p>
    <w:p>
      <w:pPr>
        <w:pStyle w:val="HorizontalLine"/>
        <w:rPr/>
      </w:pPr>
      <w:r>
        <w:rPr/>
      </w:r>
    </w:p>
    <w:p>
      <w:pPr>
        <w:pStyle w:val="TextBody"/>
        <w:spacing w:before="0" w:after="0"/>
        <w:jc w:val="both"/>
        <w:rPr>
          <w:rFonts w:ascii="arial" w:hAnsi="arial"/>
          <w:sz w:val="18"/>
        </w:rPr>
      </w:pPr>
      <w:r>
        <w:rPr>
          <w:rFonts w:ascii="arial" w:hAnsi="arial"/>
          <w:sz w:val="18"/>
        </w:rPr>
        <w:t xml:space="preserve">The Board also believes that the current separation of the Chairman and CEO roles provides a clear delineation of responsibilities for each position and fosters greater accountability of management, which is particularly critical given our focus on execution and results, our reshaping initiatives and our two-phased strategic vision. The Board further believes it is valuable for Mr. Coury to serve as Executive Chairman because his familiarity with and knowledge of our Company and business is unmatched and because of his important relationships in the industry and his unique understanding of the global healthcare markets. With over 20 years of experience at Mylan and now Viatris, Mr. Coury is uniquely positioned to lead the Board and oversee the Company’s strategic direction in collaboration with the Board and executive management. In particular, the Board strongly believes that the separation of the Chairman and CEO roles has played, and continues to play, a vital role in the significant progress we have made in Phase 1 of our two-phased strategic vision. </w:t>
      </w:r>
    </w:p>
    <w:p>
      <w:pPr>
        <w:pStyle w:val="TextBody"/>
        <w:spacing w:before="240" w:after="0"/>
        <w:jc w:val="both"/>
        <w:rPr>
          <w:rFonts w:ascii="arial" w:hAnsi="arial"/>
          <w:sz w:val="18"/>
        </w:rPr>
      </w:pPr>
      <w:r>
        <w:rPr>
          <w:rFonts w:ascii="arial" w:hAnsi="arial"/>
          <w:sz w:val="18"/>
        </w:rPr>
        <w:t xml:space="preserve">Our current Board leadership structure is designed to meet the unique business needs of the Company and to build on the strengths of our Board. Since the Chairman of the Board currently is not an independent Director, the Corporate Governance Principles require the independent Directors to elect a Lead Independent Director who also serves as Vice Chairman and provides leadership for independent oversight of management and the Company. The Lead Independent Director is vested with significant responsibilities set forth below. Mr. Parrish is the Lead Independent Director and Vice Chairman of the Board, with key areas of expertise and experience (including, among others, public company management, corporate governance, the healthcare industry, human capital management including, but not limited to oversight of diversity, equity and inclusion, global business, information security, risk oversight and compliance, and strategy and M&amp;A) that help enhance the Board’s oversight of the management team and the Company. </w:t>
      </w:r>
    </w:p>
    <w:p>
      <w:pPr>
        <w:pStyle w:val="TextBody"/>
        <w:spacing w:before="240" w:after="0"/>
        <w:jc w:val="both"/>
        <w:rPr>
          <w:rFonts w:ascii="arial" w:hAnsi="arial"/>
          <w:sz w:val="18"/>
        </w:rPr>
      </w:pPr>
      <w:r>
        <w:rPr>
          <w:rFonts w:ascii="arial" w:hAnsi="arial"/>
          <w:sz w:val="18"/>
        </w:rPr>
        <w:t xml:space="preserve">The responsibilities of the Lead Independent Director are robust and include: </w:t>
      </w:r>
    </w:p>
    <w:p>
      <w:pPr>
        <w:pStyle w:val="TextBody"/>
        <w:spacing w:before="0" w:after="0"/>
        <w:jc w:val="left"/>
        <w:rPr/>
      </w:pPr>
      <w:r>
        <w:rPr/>
        <w:t> </w:t>
      </w:r>
    </w:p>
    <w:tbl>
      <w:tblPr>
        <w:tblW w:w="5485" w:type="dxa"/>
        <w:jc w:val="left"/>
        <w:tblInd w:w="0" w:type="dxa"/>
        <w:tblCellMar>
          <w:top w:w="0" w:type="dxa"/>
          <w:left w:w="0" w:type="dxa"/>
          <w:bottom w:w="0" w:type="dxa"/>
          <w:right w:w="0" w:type="dxa"/>
        </w:tblCellMar>
      </w:tblPr>
      <w:tblGrid>
        <w:gridCol w:w="75"/>
        <w:gridCol w:w="110"/>
        <w:gridCol w:w="60"/>
        <w:gridCol w:w="524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240" w:type="dxa"/>
            <w:tcBorders/>
            <w:shd w:fill="auto" w:val="clear"/>
            <w:vAlign w:val="center"/>
          </w:tcPr>
          <w:p>
            <w:pPr>
              <w:pStyle w:val="TableContents"/>
              <w:spacing w:before="0" w:after="0"/>
              <w:jc w:val="both"/>
              <w:rPr>
                <w:rFonts w:ascii="arial" w:hAnsi="arial"/>
                <w:sz w:val="18"/>
              </w:rPr>
            </w:pPr>
            <w:r>
              <w:rPr>
                <w:rFonts w:ascii="arial" w:hAnsi="arial"/>
                <w:sz w:val="18"/>
              </w:rPr>
              <w:t xml:space="preserve">presiding over executive sessions of the independent Directors, </w:t>
            </w:r>
          </w:p>
        </w:tc>
      </w:tr>
    </w:tbl>
    <w:p>
      <w:pPr>
        <w:pStyle w:val="TextBody"/>
        <w:spacing w:before="0" w:after="0"/>
        <w:jc w:val="left"/>
        <w:rPr/>
      </w:pPr>
      <w:r>
        <w:rPr/>
        <w:t> </w:t>
      </w:r>
    </w:p>
    <w:tbl>
      <w:tblPr>
        <w:tblW w:w="4060" w:type="dxa"/>
        <w:jc w:val="left"/>
        <w:tblInd w:w="0" w:type="dxa"/>
        <w:tblCellMar>
          <w:top w:w="0" w:type="dxa"/>
          <w:left w:w="0" w:type="dxa"/>
          <w:bottom w:w="0" w:type="dxa"/>
          <w:right w:w="0" w:type="dxa"/>
        </w:tblCellMar>
      </w:tblPr>
      <w:tblGrid>
        <w:gridCol w:w="75"/>
        <w:gridCol w:w="110"/>
        <w:gridCol w:w="60"/>
        <w:gridCol w:w="381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815" w:type="dxa"/>
            <w:tcBorders/>
            <w:shd w:fill="auto" w:val="clear"/>
            <w:vAlign w:val="center"/>
          </w:tcPr>
          <w:p>
            <w:pPr>
              <w:pStyle w:val="TableContents"/>
              <w:spacing w:before="0" w:after="0"/>
              <w:jc w:val="both"/>
              <w:rPr>
                <w:rFonts w:ascii="arial" w:hAnsi="arial"/>
                <w:sz w:val="18"/>
              </w:rPr>
            </w:pPr>
            <w:r>
              <w:rPr>
                <w:rFonts w:ascii="arial" w:hAnsi="arial"/>
                <w:sz w:val="18"/>
              </w:rPr>
              <w:t xml:space="preserve">calling meetings of the independent Directors,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arial" w:hAnsi="arial"/>
                <w:sz w:val="18"/>
              </w:rPr>
            </w:pPr>
            <w:r>
              <w:rPr>
                <w:rFonts w:ascii="arial" w:hAnsi="arial"/>
                <w:sz w:val="18"/>
              </w:rPr>
              <w:t xml:space="preserve">consulting with the Executive Chairman regarding Board meeting schedules, agendas, and information sent to the Board and separately approving those items, and </w:t>
            </w:r>
          </w:p>
        </w:tc>
      </w:tr>
    </w:tbl>
    <w:p>
      <w:pPr>
        <w:pStyle w:val="TextBody"/>
        <w:spacing w:before="0" w:after="0"/>
        <w:jc w:val="left"/>
        <w:rPr/>
      </w:pPr>
      <w:r>
        <w:rPr/>
        <w:t> </w:t>
      </w:r>
    </w:p>
    <w:tbl>
      <w:tblPr>
        <w:tblW w:w="6910" w:type="dxa"/>
        <w:jc w:val="left"/>
        <w:tblInd w:w="0" w:type="dxa"/>
        <w:tblCellMar>
          <w:top w:w="0" w:type="dxa"/>
          <w:left w:w="0" w:type="dxa"/>
          <w:bottom w:w="0" w:type="dxa"/>
          <w:right w:w="0" w:type="dxa"/>
        </w:tblCellMar>
      </w:tblPr>
      <w:tblGrid>
        <w:gridCol w:w="75"/>
        <w:gridCol w:w="110"/>
        <w:gridCol w:w="60"/>
        <w:gridCol w:w="666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665" w:type="dxa"/>
            <w:tcBorders/>
            <w:shd w:fill="auto" w:val="clear"/>
            <w:vAlign w:val="center"/>
          </w:tcPr>
          <w:p>
            <w:pPr>
              <w:pStyle w:val="TableContents"/>
              <w:spacing w:before="0" w:after="0"/>
              <w:jc w:val="both"/>
              <w:rPr>
                <w:rFonts w:ascii="arial" w:hAnsi="arial"/>
                <w:sz w:val="18"/>
              </w:rPr>
            </w:pPr>
            <w:r>
              <w:rPr>
                <w:rFonts w:ascii="arial" w:hAnsi="arial"/>
                <w:sz w:val="18"/>
              </w:rPr>
              <w:t xml:space="preserve">serving as a liaison between the Executive Chairman and independent Directors. </w:t>
            </w:r>
          </w:p>
        </w:tc>
      </w:tr>
    </w:tbl>
    <w:p>
      <w:pPr>
        <w:pStyle w:val="TextBody"/>
        <w:spacing w:before="240" w:after="0"/>
        <w:jc w:val="both"/>
        <w:rPr>
          <w:rFonts w:ascii="arial" w:hAnsi="arial"/>
          <w:sz w:val="18"/>
        </w:rPr>
      </w:pPr>
      <w:r>
        <w:rPr>
          <w:rFonts w:ascii="arial" w:hAnsi="arial"/>
          <w:sz w:val="18"/>
        </w:rPr>
        <w:t xml:space="preserve">The Lead Independent Director, as Vice Chairman, also presides at all meetings of the Board at which the Executive Chairman is not present and serves on the Executive Committee. The Executive Chairman and the Lead Independent Director serve as point persons for shareholders wishing to communicate to the Board. </w:t>
      </w:r>
    </w:p>
    <w:p>
      <w:pPr>
        <w:pStyle w:val="TextBody"/>
        <w:spacing w:before="240" w:after="0"/>
        <w:jc w:val="both"/>
        <w:rPr>
          <w:rFonts w:ascii="arial" w:hAnsi="arial"/>
          <w:sz w:val="18"/>
        </w:rPr>
      </w:pPr>
      <w:r>
        <w:rPr>
          <w:rFonts w:ascii="arial" w:hAnsi="arial"/>
          <w:sz w:val="18"/>
        </w:rPr>
        <w:t xml:space="preserve">The Board and independent Directors have elected, upon the recommendation of the Governance and Nominating Committee, the Executive Chairman and Lead Independent Director, respectively. </w:t>
      </w:r>
    </w:p>
    <w:p>
      <w:pPr>
        <w:pStyle w:val="TextBody"/>
        <w:spacing w:before="240" w:after="0"/>
        <w:jc w:val="both"/>
        <w:rPr>
          <w:rFonts w:ascii="arial" w:hAnsi="arial"/>
          <w:sz w:val="18"/>
        </w:rPr>
      </w:pPr>
      <w:r>
        <w:rPr>
          <w:rFonts w:ascii="arial" w:hAnsi="arial"/>
          <w:sz w:val="18"/>
        </w:rPr>
        <w:t xml:space="preserve">The Board has also adopted the corporate governance policies and practices set forth below that promote a strong and effective Board that provides independent oversight. </w:t>
      </w:r>
    </w:p>
    <w:p>
      <w:pPr>
        <w:pStyle w:val="TextBody"/>
        <w:spacing w:before="240" w:after="0"/>
        <w:jc w:val="both"/>
        <w:rPr>
          <w:rFonts w:ascii="arial" w:hAnsi="arial"/>
          <w:sz w:val="18"/>
        </w:rPr>
      </w:pPr>
      <w:r>
        <w:rPr>
          <w:rFonts w:ascii="arial" w:hAnsi="arial"/>
          <w:sz w:val="18"/>
        </w:rPr>
        <w:t xml:space="preserve">Among the factors that demonstrate the Board’s commitment to good governance practices and enable it to provide highly effective oversight and direction are: </w:t>
      </w:r>
    </w:p>
    <w:p>
      <w:pPr>
        <w:pStyle w:val="TextBody"/>
        <w:spacing w:before="0" w:after="0"/>
        <w:jc w:val="left"/>
        <w:rPr/>
      </w:pPr>
      <w:r>
        <w:rPr/>
        <w:t> </w:t>
      </w:r>
    </w:p>
    <w:tbl>
      <w:tblPr>
        <w:tblW w:w="3400" w:type="dxa"/>
        <w:jc w:val="left"/>
        <w:tblInd w:w="0" w:type="dxa"/>
        <w:tblCellMar>
          <w:top w:w="0" w:type="dxa"/>
          <w:left w:w="0" w:type="dxa"/>
          <w:bottom w:w="0" w:type="dxa"/>
          <w:right w:w="0" w:type="dxa"/>
        </w:tblCellMar>
      </w:tblPr>
      <w:tblGrid>
        <w:gridCol w:w="75"/>
        <w:gridCol w:w="110"/>
        <w:gridCol w:w="60"/>
        <w:gridCol w:w="315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155" w:type="dxa"/>
            <w:tcBorders/>
            <w:shd w:fill="auto" w:val="clear"/>
            <w:vAlign w:val="center"/>
          </w:tcPr>
          <w:p>
            <w:pPr>
              <w:pStyle w:val="TableContents"/>
              <w:spacing w:before="0" w:after="0"/>
              <w:jc w:val="both"/>
              <w:rPr>
                <w:rFonts w:ascii="arial" w:hAnsi="arial"/>
                <w:sz w:val="18"/>
              </w:rPr>
            </w:pPr>
            <w:r>
              <w:rPr>
                <w:rFonts w:ascii="arial" w:hAnsi="arial"/>
                <w:sz w:val="18"/>
              </w:rPr>
              <w:t xml:space="preserve">8 out of 12 Directors are independent;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arial" w:hAnsi="arial"/>
                <w:sz w:val="18"/>
              </w:rPr>
            </w:pPr>
            <w:r>
              <w:rPr>
                <w:rFonts w:ascii="arial" w:hAnsi="arial"/>
                <w:sz w:val="18"/>
              </w:rPr>
              <w:t xml:space="preserve">The responsibilities of the Lead Independent Director (as set forth above), which provide and promote effective, independent Board oversight; </w:t>
            </w:r>
          </w:p>
        </w:tc>
      </w:tr>
    </w:tbl>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12 </w:t>
      </w:r>
      <w:r>
        <w:br w:type="page"/>
      </w:r>
    </w:p>
    <w:p>
      <w:pPr>
        <w:pStyle w:val="HorizontalLine"/>
        <w:rPr/>
      </w:pPr>
      <w:r>
        <w:rPr/>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arial" w:hAnsi="arial"/>
                <w:sz w:val="18"/>
              </w:rPr>
            </w:pPr>
            <w:r>
              <w:rPr>
                <w:rFonts w:ascii="arial" w:hAnsi="arial"/>
                <w:sz w:val="18"/>
              </w:rPr>
              <w:t xml:space="preserve">The Audit, Compliance, Compensation, Finance, Governance and Nominating, and Risk Oversight Committees are composed entirely of independent Directors (as defined in the applicable NASDAQ listing rules and applicable SEC rules), and Board approval of any appointment of members to the Audit, Compensation, Compliance, Governance and Nominating, and Risk Oversight Committees must include an affirmative vote by at least a majority of the independent Directors;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arial" w:hAnsi="arial"/>
                <w:sz w:val="18"/>
              </w:rPr>
            </w:pPr>
            <w:r>
              <w:rPr>
                <w:rFonts w:ascii="arial" w:hAnsi="arial"/>
                <w:sz w:val="18"/>
              </w:rPr>
              <w:t xml:space="preserve">The Board operates pursuant to Corporate Governance Principles, which are reviewed by the Governance and Nominating Committee at least annually;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arial" w:hAnsi="arial"/>
                <w:sz w:val="18"/>
              </w:rPr>
            </w:pPr>
            <w:r>
              <w:rPr>
                <w:rFonts w:ascii="arial" w:hAnsi="arial"/>
                <w:sz w:val="18"/>
              </w:rPr>
              <w:t xml:space="preserve">The Executive Chairman possesses deep knowledge of our management, business, and the healthcare industry, and he fosters a culture of robust Board engagement, interaction, and oversight; </w:t>
            </w:r>
          </w:p>
        </w:tc>
      </w:tr>
    </w:tbl>
    <w:p>
      <w:pPr>
        <w:pStyle w:val="TextBody"/>
        <w:spacing w:before="0" w:after="0"/>
        <w:jc w:val="left"/>
        <w:rPr/>
      </w:pPr>
      <w:r>
        <w:rPr/>
        <w:t> </w:t>
      </w:r>
    </w:p>
    <w:tbl>
      <w:tblPr>
        <w:tblW w:w="8140" w:type="dxa"/>
        <w:jc w:val="left"/>
        <w:tblInd w:w="0" w:type="dxa"/>
        <w:tblCellMar>
          <w:top w:w="0" w:type="dxa"/>
          <w:left w:w="0" w:type="dxa"/>
          <w:bottom w:w="0" w:type="dxa"/>
          <w:right w:w="0" w:type="dxa"/>
        </w:tblCellMar>
      </w:tblPr>
      <w:tblGrid>
        <w:gridCol w:w="75"/>
        <w:gridCol w:w="110"/>
        <w:gridCol w:w="60"/>
        <w:gridCol w:w="789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895" w:type="dxa"/>
            <w:tcBorders/>
            <w:shd w:fill="auto" w:val="clear"/>
            <w:vAlign w:val="center"/>
          </w:tcPr>
          <w:p>
            <w:pPr>
              <w:pStyle w:val="TableContents"/>
              <w:spacing w:before="0" w:after="0"/>
              <w:jc w:val="both"/>
              <w:rPr>
                <w:rFonts w:ascii="arial" w:hAnsi="arial"/>
                <w:sz w:val="18"/>
              </w:rPr>
            </w:pPr>
            <w:r>
              <w:rPr>
                <w:rFonts w:ascii="arial" w:hAnsi="arial"/>
                <w:sz w:val="18"/>
              </w:rPr>
              <w:t xml:space="preserve">All Board committees operate pursuant to written charters and conduct annual self-assessments;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arial" w:hAnsi="arial"/>
                <w:sz w:val="18"/>
              </w:rPr>
            </w:pPr>
            <w:r>
              <w:rPr>
                <w:rFonts w:ascii="arial" w:hAnsi="arial"/>
                <w:sz w:val="18"/>
              </w:rPr>
              <w:t xml:space="preserve">The Risk Oversight Committee assists the Board in its oversight of management’s efforts with respect to the Company’s enterprise risk framework, infrastructure and controls, and corporate environmental and social responsibility matters. The Committee receives reports, including with respect to related risks, risk management, and relevant legislative, regulatory, and technical developments, from senior management on data security, cybersecurity, information security-related matters, corporate environmental and social responsibility matters, certain litigation-related topics and other topics on at least a quarterly basis. The Board and its other committees also have important roles in the oversight of risk as described in more detail in “Risk Oversight” beginning on page 18;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arial" w:hAnsi="arial"/>
                <w:sz w:val="18"/>
              </w:rPr>
            </w:pPr>
            <w:r>
              <w:rPr>
                <w:rFonts w:ascii="arial" w:hAnsi="arial"/>
                <w:sz w:val="18"/>
              </w:rPr>
              <w:t xml:space="preserve">The independent Directors on the Board and its committees receive extensive information and input from multiple layers of management and external advisors, engage in detailed discussion and analysis regarding matters brought before them (including in executive session), and actively engage in the development and approval of significant corporate strategies; </w:t>
            </w:r>
          </w:p>
        </w:tc>
      </w:tr>
    </w:tbl>
    <w:p>
      <w:pPr>
        <w:pStyle w:val="TextBody"/>
        <w:spacing w:before="0" w:after="0"/>
        <w:jc w:val="left"/>
        <w:rPr/>
      </w:pPr>
      <w:r>
        <w:rPr/>
        <w:t> </w:t>
      </w:r>
    </w:p>
    <w:tbl>
      <w:tblPr>
        <w:tblW w:w="7960" w:type="dxa"/>
        <w:jc w:val="left"/>
        <w:tblInd w:w="0" w:type="dxa"/>
        <w:tblCellMar>
          <w:top w:w="0" w:type="dxa"/>
          <w:left w:w="0" w:type="dxa"/>
          <w:bottom w:w="0" w:type="dxa"/>
          <w:right w:w="0" w:type="dxa"/>
        </w:tblCellMar>
      </w:tblPr>
      <w:tblGrid>
        <w:gridCol w:w="75"/>
        <w:gridCol w:w="110"/>
        <w:gridCol w:w="60"/>
        <w:gridCol w:w="771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715" w:type="dxa"/>
            <w:tcBorders/>
            <w:shd w:fill="auto" w:val="clear"/>
            <w:vAlign w:val="center"/>
          </w:tcPr>
          <w:p>
            <w:pPr>
              <w:pStyle w:val="TableContents"/>
              <w:spacing w:before="0" w:after="0"/>
              <w:jc w:val="both"/>
              <w:rPr>
                <w:rFonts w:ascii="arial" w:hAnsi="arial"/>
                <w:sz w:val="18"/>
              </w:rPr>
            </w:pPr>
            <w:r>
              <w:rPr>
                <w:rFonts w:ascii="arial" w:hAnsi="arial"/>
                <w:sz w:val="18"/>
              </w:rPr>
              <w:t xml:space="preserve">The Board and its committees have full access to officers and employees of the Company; and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arial" w:hAnsi="arial"/>
                <w:sz w:val="18"/>
              </w:rPr>
            </w:pPr>
            <w:r>
              <w:rPr>
                <w:rFonts w:ascii="arial" w:hAnsi="arial"/>
                <w:sz w:val="18"/>
              </w:rPr>
              <w:t xml:space="preserve">The Board and its committees have the authority to select, retain, and supervise advisors as necessary to fulfill their mandates. </w:t>
            </w:r>
          </w:p>
        </w:tc>
      </w:tr>
    </w:tbl>
    <w:p>
      <w:pPr>
        <w:pStyle w:val="TextBody"/>
        <w:spacing w:before="360" w:after="0"/>
        <w:jc w:val="left"/>
        <w:rPr>
          <w:rFonts w:ascii="arial" w:hAnsi="arial"/>
          <w:b/>
          <w:sz w:val="20"/>
        </w:rPr>
      </w:pPr>
      <w:r>
        <w:rPr>
          <w:rFonts w:ascii="arial" w:hAnsi="arial"/>
          <w:b/>
          <w:sz w:val="20"/>
        </w:rPr>
        <w:t xml:space="preserve">Meetings of Viatris’ Board </w:t>
      </w:r>
    </w:p>
    <w:p>
      <w:pPr>
        <w:pStyle w:val="TextBody"/>
        <w:spacing w:before="120" w:after="0"/>
        <w:jc w:val="both"/>
        <w:rPr>
          <w:rFonts w:ascii="arial" w:hAnsi="arial"/>
          <w:sz w:val="18"/>
        </w:rPr>
      </w:pPr>
      <w:r>
        <w:rPr>
          <w:rFonts w:ascii="arial" w:hAnsi="arial"/>
          <w:sz w:val="18"/>
        </w:rPr>
        <w:t xml:space="preserve">Viatris’ Board met nine times in 2022. In addition to meetings of the Board, Directors attended meetings of individual Board committees of which they were members, and all Directors attended greater than 75% of the aggregate of Board meetings and meetings of the committees of which they were a member in 2022. </w:t>
      </w:r>
    </w:p>
    <w:p>
      <w:pPr>
        <w:pStyle w:val="TextBody"/>
        <w:spacing w:before="240" w:after="0"/>
        <w:jc w:val="both"/>
        <w:rPr>
          <w:rFonts w:ascii="arial" w:hAnsi="arial"/>
          <w:sz w:val="18"/>
        </w:rPr>
      </w:pPr>
      <w:r>
        <w:rPr>
          <w:rFonts w:ascii="arial" w:hAnsi="arial"/>
          <w:sz w:val="18"/>
        </w:rPr>
        <w:t xml:space="preserve">Viatris’ Corporate Governance Principles require the independent Directors of the Board to meet in separate executive sessions periodically, and at least twice annually, during regularly scheduled meetings of the Board, without any non-independent Directors or members of management present. The independent Directors of the Board met eight times in executive session in 2022, with Mr. Parrish presiding at those executive sessions. </w:t>
      </w:r>
    </w:p>
    <w:p>
      <w:pPr>
        <w:pStyle w:val="TextBody"/>
        <w:spacing w:before="240" w:after="0"/>
        <w:jc w:val="both"/>
        <w:rPr>
          <w:rFonts w:ascii="arial" w:hAnsi="arial"/>
          <w:sz w:val="18"/>
        </w:rPr>
      </w:pPr>
      <w:r>
        <w:rPr>
          <w:rFonts w:ascii="arial" w:hAnsi="arial"/>
          <w:sz w:val="18"/>
        </w:rPr>
        <w:t xml:space="preserve">Pursuant to Viatris’ Corporate Governance Principles, Directors are expected to attend the annual meeting of shareholders of the Company, where practicable. Ten Directors at the time of the 2022 Annual Meeting attended such meeting in person. </w:t>
      </w:r>
    </w:p>
    <w:p>
      <w:pPr>
        <w:pStyle w:val="TextBody"/>
        <w:spacing w:before="360" w:after="0"/>
        <w:jc w:val="left"/>
        <w:rPr>
          <w:rFonts w:ascii="arial" w:hAnsi="arial"/>
          <w:b/>
          <w:sz w:val="20"/>
        </w:rPr>
      </w:pPr>
      <w:r>
        <w:rPr>
          <w:rFonts w:ascii="arial" w:hAnsi="arial"/>
          <w:b/>
          <w:sz w:val="20"/>
        </w:rPr>
        <w:t xml:space="preserve">Meetings of Viatris’ Board Committees </w:t>
      </w:r>
    </w:p>
    <w:p>
      <w:pPr>
        <w:pStyle w:val="TextBody"/>
        <w:spacing w:before="120" w:after="0"/>
        <w:jc w:val="both"/>
        <w:rPr>
          <w:rFonts w:ascii="arial" w:hAnsi="arial"/>
          <w:sz w:val="18"/>
        </w:rPr>
      </w:pPr>
      <w:r>
        <w:rPr>
          <w:rFonts w:ascii="arial" w:hAnsi="arial"/>
          <w:sz w:val="18"/>
        </w:rPr>
        <w:t xml:space="preserve">The committees of the Board include the Audit Committee, the Compensation Committee, the Compliance Committee, the Executive Committee, the Finance Committee, the Governance and Nominating Committee, and the Risk Oversight Committee. Each committee operates pursuant to a written charter, a current copy of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13 </w:t>
      </w:r>
      <w:r>
        <w:br w:type="page"/>
      </w:r>
    </w:p>
    <w:p>
      <w:pPr>
        <w:pStyle w:val="HorizontalLine"/>
        <w:rPr/>
      </w:pPr>
      <w:r>
        <w:rPr/>
      </w:r>
    </w:p>
    <w:p>
      <w:pPr>
        <w:pStyle w:val="TextBody"/>
        <w:spacing w:before="0" w:after="0"/>
        <w:jc w:val="both"/>
        <w:rPr>
          <w:rFonts w:ascii="arial" w:hAnsi="arial"/>
          <w:sz w:val="18"/>
        </w:rPr>
      </w:pPr>
      <w:r>
        <w:rPr>
          <w:rFonts w:ascii="arial" w:hAnsi="arial"/>
          <w:sz w:val="18"/>
        </w:rPr>
        <w:t xml:space="preserve">which, along with our Amended and Restated Certificate of Incorporation, Bylaws, and Corporate Governance Principles, is available on Viatris’ website at https://www.viatris.com/en/About-Us/Corporate-Governance. </w:t>
      </w:r>
    </w:p>
    <w:p>
      <w:pPr>
        <w:pStyle w:val="TextBody"/>
        <w:spacing w:before="240" w:after="0"/>
        <w:jc w:val="both"/>
        <w:rPr>
          <w:rFonts w:ascii="arial" w:hAnsi="arial"/>
          <w:sz w:val="18"/>
        </w:rPr>
      </w:pPr>
      <w:r>
        <w:rPr>
          <w:rFonts w:ascii="arial" w:hAnsi="arial"/>
          <w:sz w:val="18"/>
        </w:rPr>
        <w:t xml:space="preserve">All members of the Audit, Compliance, Compensation, Finance, Governance and Nominating, and Risk Oversight Committees, are independent Directors, as defined in the applicable NASDAQ listing rules and applicable SEC rules. Board approval of any Director appointment to the Audit, Compensation, Compliance, Governance and Nominating, and Risk Oversight Committees must include at least a majority of the independent Directors. The Board has determined that Mr. Mark, the Chair of the Audit Committee, is an “audit committee financial expert”, as that term is defined in the rules of the SEC. </w:t>
      </w:r>
    </w:p>
    <w:p>
      <w:pPr>
        <w:pStyle w:val="TextBody"/>
        <w:spacing w:before="240" w:after="0"/>
        <w:jc w:val="both"/>
        <w:rPr>
          <w:rFonts w:ascii="arial" w:hAnsi="arial"/>
          <w:sz w:val="18"/>
        </w:rPr>
      </w:pPr>
      <w:r>
        <w:rPr>
          <w:rFonts w:ascii="arial" w:hAnsi="arial"/>
          <w:sz w:val="18"/>
        </w:rPr>
        <w:t xml:space="preserve">Information regarding each of the committees is provided on the following pages, and pages 20 to 21 provide additional discussion of committee responsibilities with respect to risk oversight. </w:t>
      </w:r>
    </w:p>
    <w:p>
      <w:pPr>
        <w:pStyle w:val="TextBody"/>
        <w:spacing w:before="240" w:after="0"/>
        <w:jc w:val="both"/>
        <w:rPr>
          <w:rFonts w:ascii="arial" w:hAnsi="arial"/>
          <w:sz w:val="18"/>
        </w:rPr>
      </w:pPr>
      <w:r>
        <w:rPr>
          <w:rFonts w:ascii="arial" w:hAnsi="arial"/>
          <w:sz w:val="18"/>
        </w:rPr>
        <w:t xml:space="preserve">The table below provides the current membership (as of the date of this report) and 2022 meeting information for each Board committee. </w:t>
      </w:r>
    </w:p>
    <w:p>
      <w:pPr>
        <w:pStyle w:val="TextBody"/>
        <w:spacing w:before="0" w:after="0"/>
        <w:jc w:val="left"/>
        <w:rPr/>
      </w:pPr>
      <w:r>
        <w:rPr/>
        <w:t> </w:t>
      </w:r>
    </w:p>
    <w:tbl>
      <w:tblPr>
        <w:tblW w:w="9865" w:type="dxa"/>
        <w:jc w:val="left"/>
        <w:tblInd w:w="0" w:type="dxa"/>
        <w:tblCellMar>
          <w:top w:w="0" w:type="dxa"/>
          <w:left w:w="0" w:type="dxa"/>
          <w:bottom w:w="0" w:type="dxa"/>
          <w:right w:w="0" w:type="dxa"/>
        </w:tblCellMar>
      </w:tblPr>
      <w:tblGrid>
        <w:gridCol w:w="2000"/>
        <w:gridCol w:w="60"/>
        <w:gridCol w:w="605"/>
        <w:gridCol w:w="60"/>
        <w:gridCol w:w="1490"/>
        <w:gridCol w:w="60"/>
        <w:gridCol w:w="1235"/>
        <w:gridCol w:w="60"/>
        <w:gridCol w:w="1010"/>
        <w:gridCol w:w="60"/>
        <w:gridCol w:w="830"/>
        <w:gridCol w:w="60"/>
        <w:gridCol w:w="1250"/>
        <w:gridCol w:w="60"/>
        <w:gridCol w:w="1025"/>
      </w:tblGrid>
      <w:tr>
        <w:trPr/>
        <w:tc>
          <w:tcPr>
            <w:tcW w:w="20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25" w:type="dxa"/>
            <w:tcBorders/>
            <w:shd w:fill="auto" w:val="clear"/>
            <w:vAlign w:val="center"/>
          </w:tcPr>
          <w:p>
            <w:pPr>
              <w:pStyle w:val="TableContents"/>
              <w:spacing w:before="0" w:after="283"/>
              <w:rPr>
                <w:sz w:val="4"/>
                <w:szCs w:val="4"/>
              </w:rPr>
            </w:pPr>
            <w:r>
              <w:rPr>
                <w:sz w:val="4"/>
                <w:szCs w:val="4"/>
              </w:rPr>
            </w:r>
          </w:p>
        </w:tc>
      </w:tr>
      <w:tr>
        <w:trPr/>
        <w:tc>
          <w:tcPr>
            <w:tcW w:w="2000" w:type="dxa"/>
            <w:tcBorders/>
            <w:shd w:fill="231161" w:val="clear"/>
            <w:vAlign w:val="center"/>
          </w:tcPr>
          <w:p>
            <w:pPr>
              <w:pStyle w:val="TableContents"/>
              <w:spacing w:before="0" w:after="283"/>
              <w:rPr>
                <w:sz w:val="4"/>
                <w:szCs w:val="4"/>
              </w:rPr>
            </w:pPr>
            <w:r>
              <w:rPr>
                <w:sz w:val="4"/>
                <w:szCs w:val="4"/>
              </w:rPr>
            </w:r>
          </w:p>
        </w:tc>
        <w:tc>
          <w:tcPr>
            <w:tcW w:w="665" w:type="dxa"/>
            <w:gridSpan w:val="2"/>
            <w:tcBorders/>
            <w:shd w:fill="231161" w:val="clear"/>
            <w:vAlign w:val="center"/>
          </w:tcPr>
          <w:p>
            <w:pPr>
              <w:pStyle w:val="TableContents"/>
              <w:spacing w:before="0" w:after="283"/>
              <w:rPr>
                <w:sz w:val="4"/>
                <w:szCs w:val="4"/>
              </w:rPr>
            </w:pPr>
            <w:r>
              <w:rPr>
                <w:sz w:val="4"/>
                <w:szCs w:val="4"/>
              </w:rPr>
            </w:r>
          </w:p>
        </w:tc>
        <w:tc>
          <w:tcPr>
            <w:tcW w:w="1550" w:type="dxa"/>
            <w:gridSpan w:val="2"/>
            <w:tcBorders/>
            <w:shd w:fill="231161" w:val="clear"/>
            <w:vAlign w:val="center"/>
          </w:tcPr>
          <w:p>
            <w:pPr>
              <w:pStyle w:val="TableContents"/>
              <w:spacing w:before="0" w:after="283"/>
              <w:rPr>
                <w:sz w:val="4"/>
                <w:szCs w:val="4"/>
              </w:rPr>
            </w:pPr>
            <w:r>
              <w:rPr>
                <w:sz w:val="4"/>
                <w:szCs w:val="4"/>
              </w:rPr>
            </w:r>
          </w:p>
        </w:tc>
        <w:tc>
          <w:tcPr>
            <w:tcW w:w="1295" w:type="dxa"/>
            <w:gridSpan w:val="2"/>
            <w:tcBorders/>
            <w:shd w:fill="231161" w:val="clear"/>
            <w:vAlign w:val="center"/>
          </w:tcPr>
          <w:p>
            <w:pPr>
              <w:pStyle w:val="TableContents"/>
              <w:spacing w:before="0" w:after="283"/>
              <w:rPr>
                <w:sz w:val="4"/>
                <w:szCs w:val="4"/>
              </w:rPr>
            </w:pPr>
            <w:r>
              <w:rPr>
                <w:sz w:val="4"/>
                <w:szCs w:val="4"/>
              </w:rPr>
            </w:r>
          </w:p>
        </w:tc>
        <w:tc>
          <w:tcPr>
            <w:tcW w:w="1070" w:type="dxa"/>
            <w:gridSpan w:val="2"/>
            <w:tcBorders/>
            <w:shd w:fill="231161" w:val="clear"/>
            <w:vAlign w:val="center"/>
          </w:tcPr>
          <w:p>
            <w:pPr>
              <w:pStyle w:val="TableContents"/>
              <w:spacing w:before="0" w:after="283"/>
              <w:rPr>
                <w:sz w:val="4"/>
                <w:szCs w:val="4"/>
              </w:rPr>
            </w:pPr>
            <w:r>
              <w:rPr>
                <w:sz w:val="4"/>
                <w:szCs w:val="4"/>
              </w:rPr>
            </w:r>
          </w:p>
        </w:tc>
        <w:tc>
          <w:tcPr>
            <w:tcW w:w="890" w:type="dxa"/>
            <w:gridSpan w:val="2"/>
            <w:tcBorders/>
            <w:shd w:fill="231161" w:val="clear"/>
            <w:vAlign w:val="center"/>
          </w:tcPr>
          <w:p>
            <w:pPr>
              <w:pStyle w:val="TableContents"/>
              <w:spacing w:before="0" w:after="283"/>
              <w:rPr>
                <w:sz w:val="4"/>
                <w:szCs w:val="4"/>
              </w:rPr>
            </w:pPr>
            <w:r>
              <w:rPr>
                <w:sz w:val="4"/>
                <w:szCs w:val="4"/>
              </w:rPr>
            </w:r>
          </w:p>
        </w:tc>
        <w:tc>
          <w:tcPr>
            <w:tcW w:w="1310" w:type="dxa"/>
            <w:gridSpan w:val="2"/>
            <w:tcBorders/>
            <w:shd w:fill="231161" w:val="clear"/>
            <w:vAlign w:val="center"/>
          </w:tcPr>
          <w:p>
            <w:pPr>
              <w:pStyle w:val="TableContents"/>
              <w:spacing w:before="0" w:after="283"/>
              <w:rPr>
                <w:sz w:val="4"/>
                <w:szCs w:val="4"/>
              </w:rPr>
            </w:pPr>
            <w:r>
              <w:rPr>
                <w:sz w:val="4"/>
                <w:szCs w:val="4"/>
              </w:rPr>
            </w:r>
          </w:p>
        </w:tc>
        <w:tc>
          <w:tcPr>
            <w:tcW w:w="1085" w:type="dxa"/>
            <w:gridSpan w:val="2"/>
            <w:tcBorders/>
            <w:shd w:fill="231161" w:val="clear"/>
            <w:vAlign w:val="center"/>
          </w:tcPr>
          <w:p>
            <w:pPr>
              <w:pStyle w:val="TableContents"/>
              <w:spacing w:before="0" w:after="283"/>
              <w:rPr>
                <w:sz w:val="4"/>
                <w:szCs w:val="4"/>
              </w:rPr>
            </w:pPr>
            <w:r>
              <w:rPr>
                <w:sz w:val="4"/>
                <w:szCs w:val="4"/>
              </w:rPr>
            </w:r>
          </w:p>
        </w:tc>
      </w:tr>
      <w:tr>
        <w:trPr/>
        <w:tc>
          <w:tcPr>
            <w:tcW w:w="2000" w:type="dxa"/>
            <w:tcBorders/>
            <w:shd w:fill="231161" w:val="clear"/>
            <w:vAlign w:val="center"/>
          </w:tcPr>
          <w:p>
            <w:pPr>
              <w:pStyle w:val="TableContents"/>
              <w:spacing w:before="0" w:after="0"/>
              <w:rPr>
                <w:rFonts w:ascii="arial" w:hAnsi="arial"/>
                <w:b/>
                <w:color w:val="FFFFFF"/>
                <w:sz w:val="16"/>
              </w:rPr>
            </w:pPr>
            <w:r>
              <w:rPr>
                <w:rFonts w:ascii="arial" w:hAnsi="arial"/>
                <w:b/>
                <w:color w:val="FFFFFF"/>
                <w:sz w:val="16"/>
              </w:rPr>
              <w:t>Director</w:t>
            </w:r>
          </w:p>
        </w:tc>
        <w:tc>
          <w:tcPr>
            <w:tcW w:w="60" w:type="dxa"/>
            <w:tcBorders/>
            <w:shd w:fill="231161" w:val="clear"/>
            <w:vAlign w:val="center"/>
          </w:tcPr>
          <w:p>
            <w:pPr>
              <w:pStyle w:val="TableContents"/>
              <w:spacing w:before="0" w:after="283"/>
              <w:rPr/>
            </w:pPr>
            <w:r>
              <w:rPr/>
              <w:t> </w:t>
            </w:r>
          </w:p>
        </w:tc>
        <w:tc>
          <w:tcPr>
            <w:tcW w:w="605" w:type="dxa"/>
            <w:tcBorders/>
            <w:shd w:fill="231161" w:val="clear"/>
            <w:vAlign w:val="center"/>
          </w:tcPr>
          <w:p>
            <w:pPr>
              <w:pStyle w:val="TableContents"/>
              <w:spacing w:before="0" w:after="283"/>
              <w:jc w:val="center"/>
              <w:rPr>
                <w:b/>
                <w:color w:val="FFFFFF"/>
              </w:rPr>
            </w:pPr>
            <w:r>
              <w:rPr>
                <w:b/>
                <w:color w:val="FFFFFF"/>
              </w:rPr>
              <w:t>Audit</w:t>
            </w:r>
          </w:p>
        </w:tc>
        <w:tc>
          <w:tcPr>
            <w:tcW w:w="60" w:type="dxa"/>
            <w:tcBorders/>
            <w:shd w:fill="231161" w:val="clear"/>
            <w:vAlign w:val="center"/>
          </w:tcPr>
          <w:p>
            <w:pPr>
              <w:pStyle w:val="TableContents"/>
              <w:spacing w:before="0" w:after="283"/>
              <w:rPr/>
            </w:pPr>
            <w:r>
              <w:rPr/>
              <w:t> </w:t>
            </w:r>
          </w:p>
        </w:tc>
        <w:tc>
          <w:tcPr>
            <w:tcW w:w="1490" w:type="dxa"/>
            <w:tcBorders/>
            <w:shd w:fill="231161" w:val="clear"/>
            <w:vAlign w:val="center"/>
          </w:tcPr>
          <w:p>
            <w:pPr>
              <w:pStyle w:val="TableContents"/>
              <w:spacing w:before="0" w:after="283"/>
              <w:jc w:val="center"/>
              <w:rPr>
                <w:b/>
                <w:color w:val="FFFFFF"/>
              </w:rPr>
            </w:pPr>
            <w:r>
              <w:rPr>
                <w:b/>
                <w:color w:val="FFFFFF"/>
              </w:rPr>
              <w:t>Compensation</w:t>
            </w:r>
          </w:p>
        </w:tc>
        <w:tc>
          <w:tcPr>
            <w:tcW w:w="60" w:type="dxa"/>
            <w:tcBorders/>
            <w:shd w:fill="231161" w:val="clear"/>
            <w:vAlign w:val="center"/>
          </w:tcPr>
          <w:p>
            <w:pPr>
              <w:pStyle w:val="TableContents"/>
              <w:spacing w:before="0" w:after="283"/>
              <w:rPr/>
            </w:pPr>
            <w:r>
              <w:rPr/>
              <w:t> </w:t>
            </w:r>
          </w:p>
        </w:tc>
        <w:tc>
          <w:tcPr>
            <w:tcW w:w="1235" w:type="dxa"/>
            <w:tcBorders/>
            <w:shd w:fill="231161" w:val="clear"/>
            <w:vAlign w:val="center"/>
          </w:tcPr>
          <w:p>
            <w:pPr>
              <w:pStyle w:val="TableContents"/>
              <w:spacing w:before="0" w:after="283"/>
              <w:jc w:val="center"/>
              <w:rPr>
                <w:b/>
                <w:color w:val="FFFFFF"/>
              </w:rPr>
            </w:pPr>
            <w:r>
              <w:rPr>
                <w:b/>
                <w:color w:val="FFFFFF"/>
              </w:rPr>
              <w:t>Compliance</w:t>
            </w:r>
          </w:p>
        </w:tc>
        <w:tc>
          <w:tcPr>
            <w:tcW w:w="60" w:type="dxa"/>
            <w:tcBorders/>
            <w:shd w:fill="231161" w:val="clear"/>
            <w:vAlign w:val="center"/>
          </w:tcPr>
          <w:p>
            <w:pPr>
              <w:pStyle w:val="TableContents"/>
              <w:spacing w:before="0" w:after="283"/>
              <w:rPr/>
            </w:pPr>
            <w:r>
              <w:rPr/>
              <w:t> </w:t>
            </w:r>
          </w:p>
        </w:tc>
        <w:tc>
          <w:tcPr>
            <w:tcW w:w="1010" w:type="dxa"/>
            <w:tcBorders/>
            <w:shd w:fill="231161" w:val="clear"/>
            <w:vAlign w:val="center"/>
          </w:tcPr>
          <w:p>
            <w:pPr>
              <w:pStyle w:val="TableContents"/>
              <w:spacing w:before="0" w:after="283"/>
              <w:jc w:val="center"/>
              <w:rPr>
                <w:b/>
                <w:color w:val="FFFFFF"/>
              </w:rPr>
            </w:pPr>
            <w:r>
              <w:rPr>
                <w:b/>
                <w:color w:val="FFFFFF"/>
              </w:rPr>
              <w:t>Executive</w:t>
            </w:r>
          </w:p>
        </w:tc>
        <w:tc>
          <w:tcPr>
            <w:tcW w:w="60" w:type="dxa"/>
            <w:tcBorders/>
            <w:shd w:fill="231161" w:val="clear"/>
            <w:vAlign w:val="center"/>
          </w:tcPr>
          <w:p>
            <w:pPr>
              <w:pStyle w:val="TableContents"/>
              <w:spacing w:before="0" w:after="283"/>
              <w:rPr/>
            </w:pPr>
            <w:r>
              <w:rPr/>
              <w:t> </w:t>
            </w:r>
          </w:p>
        </w:tc>
        <w:tc>
          <w:tcPr>
            <w:tcW w:w="830" w:type="dxa"/>
            <w:tcBorders/>
            <w:shd w:fill="231161" w:val="clear"/>
            <w:vAlign w:val="center"/>
          </w:tcPr>
          <w:p>
            <w:pPr>
              <w:pStyle w:val="TableContents"/>
              <w:spacing w:before="0" w:after="283"/>
              <w:jc w:val="center"/>
              <w:rPr>
                <w:b/>
                <w:color w:val="FFFFFF"/>
              </w:rPr>
            </w:pPr>
            <w:r>
              <w:rPr>
                <w:b/>
                <w:color w:val="FFFFFF"/>
              </w:rPr>
              <w:t>Finance</w:t>
            </w:r>
          </w:p>
        </w:tc>
        <w:tc>
          <w:tcPr>
            <w:tcW w:w="60" w:type="dxa"/>
            <w:tcBorders/>
            <w:shd w:fill="231161" w:val="clear"/>
            <w:vAlign w:val="center"/>
          </w:tcPr>
          <w:p>
            <w:pPr>
              <w:pStyle w:val="TableContents"/>
              <w:spacing w:before="0" w:after="283"/>
              <w:rPr/>
            </w:pPr>
            <w:r>
              <w:rPr/>
              <w:t> </w:t>
            </w:r>
          </w:p>
        </w:tc>
        <w:tc>
          <w:tcPr>
            <w:tcW w:w="1250" w:type="dxa"/>
            <w:tcBorders/>
            <w:shd w:fill="231161" w:val="clear"/>
            <w:vAlign w:val="center"/>
          </w:tcPr>
          <w:p>
            <w:pPr>
              <w:pStyle w:val="TableContents"/>
              <w:spacing w:before="0" w:after="283"/>
              <w:jc w:val="center"/>
              <w:rPr>
                <w:b/>
                <w:color w:val="FFFFFF"/>
              </w:rPr>
            </w:pPr>
            <w:r>
              <w:rPr>
                <w:b/>
                <w:color w:val="FFFFFF"/>
              </w:rPr>
              <w:t>Governance</w:t>
              <w:br/>
              <w:t>and</w:t>
              <w:br/>
              <w:t>Nominating</w:t>
            </w:r>
          </w:p>
        </w:tc>
        <w:tc>
          <w:tcPr>
            <w:tcW w:w="60" w:type="dxa"/>
            <w:tcBorders/>
            <w:shd w:fill="231161" w:val="clear"/>
            <w:vAlign w:val="center"/>
          </w:tcPr>
          <w:p>
            <w:pPr>
              <w:pStyle w:val="TableContents"/>
              <w:spacing w:before="0" w:after="283"/>
              <w:rPr/>
            </w:pPr>
            <w:r>
              <w:rPr/>
              <w:t> </w:t>
            </w:r>
          </w:p>
        </w:tc>
        <w:tc>
          <w:tcPr>
            <w:tcW w:w="1025" w:type="dxa"/>
            <w:tcBorders/>
            <w:shd w:fill="231161" w:val="clear"/>
            <w:vAlign w:val="center"/>
          </w:tcPr>
          <w:p>
            <w:pPr>
              <w:pStyle w:val="TableContents"/>
              <w:spacing w:before="0" w:after="283"/>
              <w:jc w:val="center"/>
              <w:rPr>
                <w:b/>
                <w:color w:val="FFFFFF"/>
              </w:rPr>
            </w:pPr>
            <w:r>
              <w:rPr>
                <w:b/>
                <w:color w:val="FFFFFF"/>
              </w:rPr>
              <w:t>Risk</w:t>
              <w:br/>
              <w:t>Oversight</w:t>
            </w:r>
          </w:p>
        </w:tc>
      </w:tr>
      <w:tr>
        <w:trPr/>
        <w:tc>
          <w:tcPr>
            <w:tcW w:w="2000" w:type="dxa"/>
            <w:tcBorders/>
            <w:shd w:fill="E5E5E5" w:val="clear"/>
            <w:vAlign w:val="center"/>
          </w:tcPr>
          <w:p>
            <w:pPr>
              <w:pStyle w:val="TableContents"/>
              <w:spacing w:before="0" w:after="0"/>
              <w:jc w:val="both"/>
              <w:rPr>
                <w:rFonts w:ascii="arial" w:hAnsi="arial"/>
                <w:sz w:val="16"/>
              </w:rPr>
            </w:pPr>
            <w:r>
              <w:rPr>
                <w:rFonts w:ascii="arial" w:hAnsi="arial"/>
                <w:sz w:val="16"/>
              </w:rPr>
              <w:t>W. Don Cornwell</w:t>
            </w:r>
          </w:p>
        </w:tc>
        <w:tc>
          <w:tcPr>
            <w:tcW w:w="60" w:type="dxa"/>
            <w:tcBorders/>
            <w:shd w:fill="E5E5E5" w:val="clear"/>
            <w:vAlign w:val="center"/>
          </w:tcPr>
          <w:p>
            <w:pPr>
              <w:pStyle w:val="TableContents"/>
              <w:spacing w:before="0" w:after="283"/>
              <w:rPr/>
            </w:pPr>
            <w:r>
              <w:rPr/>
              <w:t> </w:t>
            </w:r>
          </w:p>
        </w:tc>
        <w:tc>
          <w:tcPr>
            <w:tcW w:w="605" w:type="dxa"/>
            <w:tcBorders/>
            <w:shd w:fill="E5E5E5" w:val="clear"/>
            <w:vAlign w:val="center"/>
          </w:tcPr>
          <w:p>
            <w:pPr>
              <w:pStyle w:val="TableContents"/>
              <w:spacing w:before="0" w:after="283"/>
              <w:jc w:val="center"/>
              <w:rPr/>
            </w:pPr>
            <w:r>
              <w:rPr/>
              <w:t>✓</w:t>
            </w:r>
          </w:p>
        </w:tc>
        <w:tc>
          <w:tcPr>
            <w:tcW w:w="60" w:type="dxa"/>
            <w:tcBorders/>
            <w:shd w:fill="E5E5E5" w:val="clear"/>
            <w:vAlign w:val="center"/>
          </w:tcPr>
          <w:p>
            <w:pPr>
              <w:pStyle w:val="TableContents"/>
              <w:spacing w:before="0" w:after="283"/>
              <w:rPr/>
            </w:pPr>
            <w:r>
              <w:rPr/>
              <w:t> </w:t>
            </w:r>
          </w:p>
        </w:tc>
        <w:tc>
          <w:tcPr>
            <w:tcW w:w="1490" w:type="dxa"/>
            <w:tcBorders/>
            <w:shd w:fill="E5E5E5" w:val="clear"/>
            <w:vAlign w:val="center"/>
          </w:tcPr>
          <w:p>
            <w:pPr>
              <w:pStyle w:val="TableContents"/>
              <w:spacing w:before="0" w:after="283"/>
              <w:rPr>
                <w:sz w:val="4"/>
                <w:szCs w:val="4"/>
              </w:rPr>
            </w:pPr>
            <w:r>
              <w:rPr>
                <w:sz w:val="4"/>
                <w:szCs w:val="4"/>
              </w:rPr>
            </w:r>
          </w:p>
        </w:tc>
        <w:tc>
          <w:tcPr>
            <w:tcW w:w="60" w:type="dxa"/>
            <w:tcBorders/>
            <w:shd w:fill="E5E5E5" w:val="clear"/>
            <w:vAlign w:val="center"/>
          </w:tcPr>
          <w:p>
            <w:pPr>
              <w:pStyle w:val="TableContents"/>
              <w:spacing w:before="0" w:after="283"/>
              <w:rPr/>
            </w:pPr>
            <w:r>
              <w:rPr/>
              <w:t> </w:t>
            </w:r>
          </w:p>
        </w:tc>
        <w:tc>
          <w:tcPr>
            <w:tcW w:w="1235" w:type="dxa"/>
            <w:tcBorders/>
            <w:shd w:fill="E5E5E5" w:val="clear"/>
            <w:vAlign w:val="center"/>
          </w:tcPr>
          <w:p>
            <w:pPr>
              <w:pStyle w:val="TableContents"/>
              <w:spacing w:before="0" w:after="283"/>
              <w:rPr>
                <w:sz w:val="4"/>
                <w:szCs w:val="4"/>
              </w:rPr>
            </w:pPr>
            <w:r>
              <w:rPr>
                <w:sz w:val="4"/>
                <w:szCs w:val="4"/>
              </w:rPr>
            </w:r>
          </w:p>
        </w:tc>
        <w:tc>
          <w:tcPr>
            <w:tcW w:w="60" w:type="dxa"/>
            <w:tcBorders/>
            <w:shd w:fill="E5E5E5" w:val="clear"/>
            <w:vAlign w:val="center"/>
          </w:tcPr>
          <w:p>
            <w:pPr>
              <w:pStyle w:val="TableContents"/>
              <w:spacing w:before="0" w:after="283"/>
              <w:rPr/>
            </w:pPr>
            <w:r>
              <w:rPr/>
              <w:t> </w:t>
            </w:r>
          </w:p>
        </w:tc>
        <w:tc>
          <w:tcPr>
            <w:tcW w:w="1010" w:type="dxa"/>
            <w:tcBorders/>
            <w:shd w:fill="E5E5E5" w:val="clear"/>
            <w:vAlign w:val="center"/>
          </w:tcPr>
          <w:p>
            <w:pPr>
              <w:pStyle w:val="TableContents"/>
              <w:spacing w:before="0" w:after="283"/>
              <w:rPr>
                <w:sz w:val="4"/>
                <w:szCs w:val="4"/>
              </w:rPr>
            </w:pPr>
            <w:r>
              <w:rPr>
                <w:sz w:val="4"/>
                <w:szCs w:val="4"/>
              </w:rPr>
            </w:r>
          </w:p>
        </w:tc>
        <w:tc>
          <w:tcPr>
            <w:tcW w:w="60" w:type="dxa"/>
            <w:tcBorders/>
            <w:shd w:fill="E5E5E5" w:val="clear"/>
            <w:vAlign w:val="center"/>
          </w:tcPr>
          <w:p>
            <w:pPr>
              <w:pStyle w:val="TableContents"/>
              <w:spacing w:before="0" w:after="283"/>
              <w:rPr/>
            </w:pPr>
            <w:r>
              <w:rPr/>
              <w:t> </w:t>
            </w:r>
          </w:p>
        </w:tc>
        <w:tc>
          <w:tcPr>
            <w:tcW w:w="830" w:type="dxa"/>
            <w:tcBorders/>
            <w:shd w:fill="E5E5E5" w:val="clear"/>
            <w:vAlign w:val="center"/>
          </w:tcPr>
          <w:p>
            <w:pPr>
              <w:pStyle w:val="TableContents"/>
              <w:spacing w:before="0" w:after="283"/>
              <w:rPr>
                <w:sz w:val="4"/>
                <w:szCs w:val="4"/>
              </w:rPr>
            </w:pPr>
            <w:r>
              <w:rPr>
                <w:sz w:val="4"/>
                <w:szCs w:val="4"/>
              </w:rPr>
            </w:r>
          </w:p>
        </w:tc>
        <w:tc>
          <w:tcPr>
            <w:tcW w:w="60" w:type="dxa"/>
            <w:tcBorders/>
            <w:shd w:fill="E5E5E5" w:val="clear"/>
            <w:vAlign w:val="center"/>
          </w:tcPr>
          <w:p>
            <w:pPr>
              <w:pStyle w:val="TableContents"/>
              <w:spacing w:before="0" w:after="283"/>
              <w:rPr/>
            </w:pPr>
            <w:r>
              <w:rPr/>
              <w:t> </w:t>
            </w:r>
          </w:p>
        </w:tc>
        <w:tc>
          <w:tcPr>
            <w:tcW w:w="1250" w:type="dxa"/>
            <w:tcBorders/>
            <w:shd w:fill="E5E5E5" w:val="clear"/>
            <w:vAlign w:val="center"/>
          </w:tcPr>
          <w:p>
            <w:pPr>
              <w:pStyle w:val="TableContents"/>
              <w:spacing w:before="0" w:after="283"/>
              <w:rPr>
                <w:sz w:val="4"/>
                <w:szCs w:val="4"/>
              </w:rPr>
            </w:pPr>
            <w:r>
              <w:rPr>
                <w:sz w:val="4"/>
                <w:szCs w:val="4"/>
              </w:rPr>
            </w:r>
          </w:p>
        </w:tc>
        <w:tc>
          <w:tcPr>
            <w:tcW w:w="60" w:type="dxa"/>
            <w:tcBorders/>
            <w:shd w:fill="E5E5E5" w:val="clear"/>
            <w:vAlign w:val="center"/>
          </w:tcPr>
          <w:p>
            <w:pPr>
              <w:pStyle w:val="TableContents"/>
              <w:spacing w:before="0" w:after="283"/>
              <w:rPr/>
            </w:pPr>
            <w:r>
              <w:rPr/>
              <w:t> </w:t>
            </w:r>
          </w:p>
        </w:tc>
        <w:tc>
          <w:tcPr>
            <w:tcW w:w="1025" w:type="dxa"/>
            <w:tcBorders/>
            <w:shd w:fill="E5E5E5" w:val="clear"/>
            <w:vAlign w:val="center"/>
          </w:tcPr>
          <w:p>
            <w:pPr>
              <w:pStyle w:val="TableContents"/>
              <w:spacing w:before="0" w:after="283"/>
              <w:jc w:val="center"/>
              <w:rPr/>
            </w:pPr>
            <w:r>
              <w:rPr/>
              <w:t>✓</w:t>
            </w:r>
          </w:p>
        </w:tc>
      </w:tr>
      <w:tr>
        <w:trPr/>
        <w:tc>
          <w:tcPr>
            <w:tcW w:w="2000" w:type="dxa"/>
            <w:tcBorders/>
            <w:shd w:fill="auto" w:val="clear"/>
            <w:vAlign w:val="center"/>
          </w:tcPr>
          <w:p>
            <w:pPr>
              <w:pStyle w:val="TableContents"/>
              <w:spacing w:before="0" w:after="0"/>
              <w:jc w:val="both"/>
              <w:rPr>
                <w:rFonts w:ascii="arial" w:hAnsi="arial"/>
                <w:sz w:val="16"/>
              </w:rPr>
            </w:pPr>
            <w:r>
              <w:rPr>
                <w:rFonts w:ascii="arial" w:hAnsi="arial"/>
                <w:sz w:val="16"/>
              </w:rPr>
              <w:t>Robert J. Coury</w:t>
            </w:r>
          </w:p>
        </w:tc>
        <w:tc>
          <w:tcPr>
            <w:tcW w:w="60" w:type="dxa"/>
            <w:tcBorders/>
            <w:shd w:fill="auto" w:val="clear"/>
            <w:vAlign w:val="center"/>
          </w:tcPr>
          <w:p>
            <w:pPr>
              <w:pStyle w:val="TableContents"/>
              <w:spacing w:before="0" w:after="283"/>
              <w:rPr/>
            </w:pPr>
            <w:r>
              <w:rPr/>
              <w:t> </w:t>
            </w:r>
          </w:p>
        </w:tc>
        <w:tc>
          <w:tcPr>
            <w:tcW w:w="60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4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2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010" w:type="dxa"/>
            <w:tcBorders/>
            <w:shd w:fill="auto" w:val="clear"/>
            <w:vAlign w:val="center"/>
          </w:tcPr>
          <w:p>
            <w:pPr>
              <w:pStyle w:val="TableContents"/>
              <w:spacing w:before="0" w:after="283"/>
              <w:jc w:val="center"/>
              <w:rPr/>
            </w:pPr>
            <w:r>
              <w:rPr/>
              <w:t>Chair</w:t>
            </w:r>
          </w:p>
        </w:tc>
        <w:tc>
          <w:tcPr>
            <w:tcW w:w="60" w:type="dxa"/>
            <w:tcBorders/>
            <w:shd w:fill="auto" w:val="clear"/>
            <w:vAlign w:val="center"/>
          </w:tcPr>
          <w:p>
            <w:pPr>
              <w:pStyle w:val="TableContents"/>
              <w:spacing w:before="0" w:after="283"/>
              <w:rPr/>
            </w:pPr>
            <w:r>
              <w:rPr/>
              <w:t> </w:t>
            </w:r>
          </w:p>
        </w:tc>
        <w:tc>
          <w:tcPr>
            <w:tcW w:w="8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2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025" w:type="dxa"/>
            <w:tcBorders/>
            <w:shd w:fill="auto" w:val="clear"/>
            <w:vAlign w:val="center"/>
          </w:tcPr>
          <w:p>
            <w:pPr>
              <w:pStyle w:val="TableContents"/>
              <w:spacing w:before="0" w:after="283"/>
              <w:rPr>
                <w:sz w:val="4"/>
                <w:szCs w:val="4"/>
              </w:rPr>
            </w:pPr>
            <w:r>
              <w:rPr>
                <w:sz w:val="4"/>
                <w:szCs w:val="4"/>
              </w:rPr>
            </w:r>
          </w:p>
        </w:tc>
      </w:tr>
      <w:tr>
        <w:trPr/>
        <w:tc>
          <w:tcPr>
            <w:tcW w:w="2000" w:type="dxa"/>
            <w:tcBorders/>
            <w:shd w:fill="E5E5E5" w:val="clear"/>
            <w:vAlign w:val="center"/>
          </w:tcPr>
          <w:p>
            <w:pPr>
              <w:pStyle w:val="TableContents"/>
              <w:spacing w:before="0" w:after="0"/>
              <w:jc w:val="both"/>
              <w:rPr>
                <w:rFonts w:ascii="arial" w:hAnsi="arial"/>
                <w:sz w:val="16"/>
              </w:rPr>
            </w:pPr>
            <w:r>
              <w:rPr>
                <w:rFonts w:ascii="arial" w:hAnsi="arial"/>
                <w:sz w:val="16"/>
              </w:rPr>
              <w:t>JoEllen Lyons Dillon</w:t>
            </w:r>
          </w:p>
        </w:tc>
        <w:tc>
          <w:tcPr>
            <w:tcW w:w="60" w:type="dxa"/>
            <w:tcBorders/>
            <w:shd w:fill="E5E5E5" w:val="clear"/>
            <w:vAlign w:val="center"/>
          </w:tcPr>
          <w:p>
            <w:pPr>
              <w:pStyle w:val="TableContents"/>
              <w:spacing w:before="0" w:after="283"/>
              <w:rPr/>
            </w:pPr>
            <w:r>
              <w:rPr/>
              <w:t> </w:t>
            </w:r>
          </w:p>
        </w:tc>
        <w:tc>
          <w:tcPr>
            <w:tcW w:w="605" w:type="dxa"/>
            <w:tcBorders/>
            <w:shd w:fill="E5E5E5" w:val="clear"/>
            <w:vAlign w:val="center"/>
          </w:tcPr>
          <w:p>
            <w:pPr>
              <w:pStyle w:val="TableContents"/>
              <w:spacing w:before="0" w:after="283"/>
              <w:jc w:val="center"/>
              <w:rPr/>
            </w:pPr>
            <w:r>
              <w:rPr/>
              <w:t>✓</w:t>
            </w:r>
          </w:p>
        </w:tc>
        <w:tc>
          <w:tcPr>
            <w:tcW w:w="60" w:type="dxa"/>
            <w:tcBorders/>
            <w:shd w:fill="E5E5E5" w:val="clear"/>
            <w:vAlign w:val="center"/>
          </w:tcPr>
          <w:p>
            <w:pPr>
              <w:pStyle w:val="TableContents"/>
              <w:spacing w:before="0" w:after="283"/>
              <w:rPr/>
            </w:pPr>
            <w:r>
              <w:rPr/>
              <w:t> </w:t>
            </w:r>
          </w:p>
        </w:tc>
        <w:tc>
          <w:tcPr>
            <w:tcW w:w="1490" w:type="dxa"/>
            <w:tcBorders/>
            <w:shd w:fill="E5E5E5" w:val="clear"/>
            <w:vAlign w:val="center"/>
          </w:tcPr>
          <w:p>
            <w:pPr>
              <w:pStyle w:val="TableContents"/>
              <w:spacing w:before="0" w:after="283"/>
              <w:rPr>
                <w:sz w:val="4"/>
                <w:szCs w:val="4"/>
              </w:rPr>
            </w:pPr>
            <w:r>
              <w:rPr>
                <w:sz w:val="4"/>
                <w:szCs w:val="4"/>
              </w:rPr>
            </w:r>
          </w:p>
        </w:tc>
        <w:tc>
          <w:tcPr>
            <w:tcW w:w="60" w:type="dxa"/>
            <w:tcBorders/>
            <w:shd w:fill="E5E5E5" w:val="clear"/>
            <w:vAlign w:val="center"/>
          </w:tcPr>
          <w:p>
            <w:pPr>
              <w:pStyle w:val="TableContents"/>
              <w:spacing w:before="0" w:after="283"/>
              <w:rPr/>
            </w:pPr>
            <w:r>
              <w:rPr/>
              <w:t> </w:t>
            </w:r>
          </w:p>
        </w:tc>
        <w:tc>
          <w:tcPr>
            <w:tcW w:w="1235" w:type="dxa"/>
            <w:tcBorders/>
            <w:shd w:fill="E5E5E5" w:val="clear"/>
            <w:vAlign w:val="center"/>
          </w:tcPr>
          <w:p>
            <w:pPr>
              <w:pStyle w:val="TableContents"/>
              <w:spacing w:before="0" w:after="283"/>
              <w:jc w:val="center"/>
              <w:rPr/>
            </w:pPr>
            <w:r>
              <w:rPr/>
              <w:t>✓</w:t>
            </w:r>
          </w:p>
        </w:tc>
        <w:tc>
          <w:tcPr>
            <w:tcW w:w="60" w:type="dxa"/>
            <w:tcBorders/>
            <w:shd w:fill="E5E5E5" w:val="clear"/>
            <w:vAlign w:val="center"/>
          </w:tcPr>
          <w:p>
            <w:pPr>
              <w:pStyle w:val="TableContents"/>
              <w:spacing w:before="0" w:after="283"/>
              <w:rPr/>
            </w:pPr>
            <w:r>
              <w:rPr/>
              <w:t> </w:t>
            </w:r>
          </w:p>
        </w:tc>
        <w:tc>
          <w:tcPr>
            <w:tcW w:w="1010" w:type="dxa"/>
            <w:tcBorders/>
            <w:shd w:fill="E5E5E5" w:val="clear"/>
            <w:vAlign w:val="center"/>
          </w:tcPr>
          <w:p>
            <w:pPr>
              <w:pStyle w:val="TableContents"/>
              <w:spacing w:before="0" w:after="283"/>
              <w:jc w:val="center"/>
              <w:rPr/>
            </w:pPr>
            <w:r>
              <w:rPr/>
              <w:t>✓</w:t>
            </w:r>
          </w:p>
        </w:tc>
        <w:tc>
          <w:tcPr>
            <w:tcW w:w="60" w:type="dxa"/>
            <w:tcBorders/>
            <w:shd w:fill="E5E5E5" w:val="clear"/>
            <w:vAlign w:val="center"/>
          </w:tcPr>
          <w:p>
            <w:pPr>
              <w:pStyle w:val="TableContents"/>
              <w:spacing w:before="0" w:after="283"/>
              <w:rPr/>
            </w:pPr>
            <w:r>
              <w:rPr/>
              <w:t> </w:t>
            </w:r>
          </w:p>
        </w:tc>
        <w:tc>
          <w:tcPr>
            <w:tcW w:w="830" w:type="dxa"/>
            <w:tcBorders/>
            <w:shd w:fill="E5E5E5" w:val="clear"/>
            <w:vAlign w:val="center"/>
          </w:tcPr>
          <w:p>
            <w:pPr>
              <w:pStyle w:val="TableContents"/>
              <w:spacing w:before="0" w:after="283"/>
              <w:rPr>
                <w:sz w:val="4"/>
                <w:szCs w:val="4"/>
              </w:rPr>
            </w:pPr>
            <w:r>
              <w:rPr>
                <w:sz w:val="4"/>
                <w:szCs w:val="4"/>
              </w:rPr>
            </w:r>
          </w:p>
        </w:tc>
        <w:tc>
          <w:tcPr>
            <w:tcW w:w="60" w:type="dxa"/>
            <w:tcBorders/>
            <w:shd w:fill="E5E5E5" w:val="clear"/>
            <w:vAlign w:val="center"/>
          </w:tcPr>
          <w:p>
            <w:pPr>
              <w:pStyle w:val="TableContents"/>
              <w:spacing w:before="0" w:after="283"/>
              <w:rPr/>
            </w:pPr>
            <w:r>
              <w:rPr/>
              <w:t> </w:t>
            </w:r>
          </w:p>
        </w:tc>
        <w:tc>
          <w:tcPr>
            <w:tcW w:w="1250" w:type="dxa"/>
            <w:tcBorders/>
            <w:shd w:fill="E5E5E5" w:val="clear"/>
            <w:vAlign w:val="center"/>
          </w:tcPr>
          <w:p>
            <w:pPr>
              <w:pStyle w:val="TableContents"/>
              <w:spacing w:before="0" w:after="283"/>
              <w:jc w:val="center"/>
              <w:rPr/>
            </w:pPr>
            <w:r>
              <w:rPr/>
              <w:t>Chair</w:t>
            </w:r>
          </w:p>
        </w:tc>
        <w:tc>
          <w:tcPr>
            <w:tcW w:w="60" w:type="dxa"/>
            <w:tcBorders/>
            <w:shd w:fill="E5E5E5" w:val="clear"/>
            <w:vAlign w:val="center"/>
          </w:tcPr>
          <w:p>
            <w:pPr>
              <w:pStyle w:val="TableContents"/>
              <w:spacing w:before="0" w:after="283"/>
              <w:rPr/>
            </w:pPr>
            <w:r>
              <w:rPr/>
              <w:t> </w:t>
            </w:r>
          </w:p>
        </w:tc>
        <w:tc>
          <w:tcPr>
            <w:tcW w:w="1025" w:type="dxa"/>
            <w:tcBorders/>
            <w:shd w:fill="E5E5E5" w:val="clear"/>
            <w:vAlign w:val="center"/>
          </w:tcPr>
          <w:p>
            <w:pPr>
              <w:pStyle w:val="TableContents"/>
              <w:spacing w:before="0" w:after="283"/>
              <w:rPr>
                <w:sz w:val="4"/>
                <w:szCs w:val="4"/>
              </w:rPr>
            </w:pPr>
            <w:r>
              <w:rPr>
                <w:sz w:val="4"/>
                <w:szCs w:val="4"/>
              </w:rPr>
            </w:r>
          </w:p>
        </w:tc>
      </w:tr>
      <w:tr>
        <w:trPr/>
        <w:tc>
          <w:tcPr>
            <w:tcW w:w="2000" w:type="dxa"/>
            <w:tcBorders/>
            <w:shd w:fill="auto" w:val="clear"/>
            <w:vAlign w:val="center"/>
          </w:tcPr>
          <w:p>
            <w:pPr>
              <w:pStyle w:val="TableContents"/>
              <w:spacing w:before="0" w:after="0"/>
              <w:jc w:val="both"/>
              <w:rPr>
                <w:rFonts w:ascii="arial" w:hAnsi="arial"/>
                <w:sz w:val="16"/>
              </w:rPr>
            </w:pPr>
            <w:r>
              <w:rPr>
                <w:rFonts w:ascii="arial" w:hAnsi="arial"/>
                <w:sz w:val="16"/>
              </w:rPr>
              <w:t>Elisha W. Finney(1)</w:t>
            </w:r>
          </w:p>
        </w:tc>
        <w:tc>
          <w:tcPr>
            <w:tcW w:w="60" w:type="dxa"/>
            <w:tcBorders/>
            <w:shd w:fill="auto" w:val="clear"/>
            <w:vAlign w:val="center"/>
          </w:tcPr>
          <w:p>
            <w:pPr>
              <w:pStyle w:val="TableContents"/>
              <w:spacing w:before="0" w:after="283"/>
              <w:rPr/>
            </w:pPr>
            <w:r>
              <w:rPr/>
              <w:t> </w:t>
            </w:r>
          </w:p>
        </w:tc>
        <w:tc>
          <w:tcPr>
            <w:tcW w:w="605" w:type="dxa"/>
            <w:tcBorders/>
            <w:shd w:fill="auto" w:val="cle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rPr/>
            </w:pPr>
            <w:r>
              <w:rPr/>
              <w:t> </w:t>
            </w:r>
          </w:p>
        </w:tc>
        <w:tc>
          <w:tcPr>
            <w:tcW w:w="14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2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0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830" w:type="dxa"/>
            <w:tcBorders/>
            <w:shd w:fill="auto" w:val="cle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rPr/>
            </w:pPr>
            <w:r>
              <w:rPr/>
              <w:t> </w:t>
            </w:r>
          </w:p>
        </w:tc>
        <w:tc>
          <w:tcPr>
            <w:tcW w:w="12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025" w:type="dxa"/>
            <w:tcBorders/>
            <w:shd w:fill="auto" w:val="clear"/>
            <w:vAlign w:val="center"/>
          </w:tcPr>
          <w:p>
            <w:pPr>
              <w:pStyle w:val="TableContents"/>
              <w:spacing w:before="0" w:after="283"/>
              <w:rPr>
                <w:sz w:val="4"/>
                <w:szCs w:val="4"/>
              </w:rPr>
            </w:pPr>
            <w:r>
              <w:rPr>
                <w:sz w:val="4"/>
                <w:szCs w:val="4"/>
              </w:rPr>
            </w:r>
          </w:p>
        </w:tc>
      </w:tr>
      <w:tr>
        <w:trPr/>
        <w:tc>
          <w:tcPr>
            <w:tcW w:w="2000" w:type="dxa"/>
            <w:tcBorders/>
            <w:shd w:fill="E5E5E5" w:val="clear"/>
            <w:vAlign w:val="center"/>
          </w:tcPr>
          <w:p>
            <w:pPr>
              <w:pStyle w:val="TableContents"/>
              <w:spacing w:before="0" w:after="0"/>
              <w:jc w:val="both"/>
              <w:rPr>
                <w:rFonts w:ascii="arial" w:hAnsi="arial"/>
                <w:sz w:val="16"/>
              </w:rPr>
            </w:pPr>
            <w:r>
              <w:rPr>
                <w:rFonts w:ascii="arial" w:hAnsi="arial"/>
                <w:sz w:val="16"/>
              </w:rPr>
              <w:t>Melina Higgins</w:t>
            </w:r>
          </w:p>
        </w:tc>
        <w:tc>
          <w:tcPr>
            <w:tcW w:w="60" w:type="dxa"/>
            <w:tcBorders/>
            <w:shd w:fill="E5E5E5" w:val="clear"/>
            <w:vAlign w:val="center"/>
          </w:tcPr>
          <w:p>
            <w:pPr>
              <w:pStyle w:val="TableContents"/>
              <w:spacing w:before="0" w:after="283"/>
              <w:rPr/>
            </w:pPr>
            <w:r>
              <w:rPr/>
              <w:t> </w:t>
            </w:r>
          </w:p>
        </w:tc>
        <w:tc>
          <w:tcPr>
            <w:tcW w:w="605" w:type="dxa"/>
            <w:tcBorders/>
            <w:shd w:fill="E5E5E5" w:val="clear"/>
            <w:vAlign w:val="center"/>
          </w:tcPr>
          <w:p>
            <w:pPr>
              <w:pStyle w:val="TableContents"/>
              <w:spacing w:before="0" w:after="283"/>
              <w:rPr>
                <w:sz w:val="4"/>
                <w:szCs w:val="4"/>
              </w:rPr>
            </w:pPr>
            <w:r>
              <w:rPr>
                <w:sz w:val="4"/>
                <w:szCs w:val="4"/>
              </w:rPr>
            </w:r>
          </w:p>
        </w:tc>
        <w:tc>
          <w:tcPr>
            <w:tcW w:w="60" w:type="dxa"/>
            <w:tcBorders/>
            <w:shd w:fill="E5E5E5" w:val="clear"/>
            <w:vAlign w:val="center"/>
          </w:tcPr>
          <w:p>
            <w:pPr>
              <w:pStyle w:val="TableContents"/>
              <w:spacing w:before="0" w:after="283"/>
              <w:rPr/>
            </w:pPr>
            <w:r>
              <w:rPr/>
              <w:t> </w:t>
            </w:r>
          </w:p>
        </w:tc>
        <w:tc>
          <w:tcPr>
            <w:tcW w:w="1490" w:type="dxa"/>
            <w:tcBorders/>
            <w:shd w:fill="E5E5E5" w:val="clear"/>
            <w:vAlign w:val="center"/>
          </w:tcPr>
          <w:p>
            <w:pPr>
              <w:pStyle w:val="TableContents"/>
              <w:spacing w:before="0" w:after="283"/>
              <w:jc w:val="center"/>
              <w:rPr/>
            </w:pPr>
            <w:r>
              <w:rPr/>
              <w:t>Chair</w:t>
            </w:r>
          </w:p>
        </w:tc>
        <w:tc>
          <w:tcPr>
            <w:tcW w:w="60" w:type="dxa"/>
            <w:tcBorders/>
            <w:shd w:fill="E5E5E5" w:val="clear"/>
            <w:vAlign w:val="center"/>
          </w:tcPr>
          <w:p>
            <w:pPr>
              <w:pStyle w:val="TableContents"/>
              <w:spacing w:before="0" w:after="283"/>
              <w:rPr/>
            </w:pPr>
            <w:r>
              <w:rPr/>
              <w:t> </w:t>
            </w:r>
          </w:p>
        </w:tc>
        <w:tc>
          <w:tcPr>
            <w:tcW w:w="1235" w:type="dxa"/>
            <w:tcBorders/>
            <w:shd w:fill="E5E5E5" w:val="clear"/>
            <w:vAlign w:val="center"/>
          </w:tcPr>
          <w:p>
            <w:pPr>
              <w:pStyle w:val="TableContents"/>
              <w:spacing w:before="0" w:after="283"/>
              <w:rPr>
                <w:sz w:val="4"/>
                <w:szCs w:val="4"/>
              </w:rPr>
            </w:pPr>
            <w:r>
              <w:rPr>
                <w:sz w:val="4"/>
                <w:szCs w:val="4"/>
              </w:rPr>
            </w:r>
          </w:p>
        </w:tc>
        <w:tc>
          <w:tcPr>
            <w:tcW w:w="60" w:type="dxa"/>
            <w:tcBorders/>
            <w:shd w:fill="E5E5E5" w:val="clear"/>
            <w:vAlign w:val="center"/>
          </w:tcPr>
          <w:p>
            <w:pPr>
              <w:pStyle w:val="TableContents"/>
              <w:spacing w:before="0" w:after="283"/>
              <w:rPr/>
            </w:pPr>
            <w:r>
              <w:rPr/>
              <w:t> </w:t>
            </w:r>
          </w:p>
        </w:tc>
        <w:tc>
          <w:tcPr>
            <w:tcW w:w="1010" w:type="dxa"/>
            <w:tcBorders/>
            <w:shd w:fill="E5E5E5" w:val="clear"/>
            <w:vAlign w:val="center"/>
          </w:tcPr>
          <w:p>
            <w:pPr>
              <w:pStyle w:val="TableContents"/>
              <w:spacing w:before="0" w:after="283"/>
              <w:jc w:val="center"/>
              <w:rPr/>
            </w:pPr>
            <w:r>
              <w:rPr/>
              <w:t>✓</w:t>
            </w:r>
          </w:p>
        </w:tc>
        <w:tc>
          <w:tcPr>
            <w:tcW w:w="60" w:type="dxa"/>
            <w:tcBorders/>
            <w:shd w:fill="E5E5E5" w:val="clear"/>
            <w:vAlign w:val="center"/>
          </w:tcPr>
          <w:p>
            <w:pPr>
              <w:pStyle w:val="TableContents"/>
              <w:spacing w:before="0" w:after="283"/>
              <w:rPr/>
            </w:pPr>
            <w:r>
              <w:rPr/>
              <w:t> </w:t>
            </w:r>
          </w:p>
        </w:tc>
        <w:tc>
          <w:tcPr>
            <w:tcW w:w="830" w:type="dxa"/>
            <w:tcBorders/>
            <w:shd w:fill="E5E5E5" w:val="clear"/>
            <w:vAlign w:val="center"/>
          </w:tcPr>
          <w:p>
            <w:pPr>
              <w:pStyle w:val="TableContents"/>
              <w:spacing w:before="0" w:after="283"/>
              <w:jc w:val="center"/>
              <w:rPr/>
            </w:pPr>
            <w:r>
              <w:rPr/>
              <w:t>Chair</w:t>
            </w:r>
          </w:p>
        </w:tc>
        <w:tc>
          <w:tcPr>
            <w:tcW w:w="60" w:type="dxa"/>
            <w:tcBorders/>
            <w:shd w:fill="E5E5E5" w:val="clear"/>
            <w:vAlign w:val="center"/>
          </w:tcPr>
          <w:p>
            <w:pPr>
              <w:pStyle w:val="TableContents"/>
              <w:spacing w:before="0" w:after="283"/>
              <w:rPr/>
            </w:pPr>
            <w:r>
              <w:rPr/>
              <w:t> </w:t>
            </w:r>
          </w:p>
        </w:tc>
        <w:tc>
          <w:tcPr>
            <w:tcW w:w="1250" w:type="dxa"/>
            <w:tcBorders/>
            <w:shd w:fill="E5E5E5" w:val="clear"/>
            <w:vAlign w:val="center"/>
          </w:tcPr>
          <w:p>
            <w:pPr>
              <w:pStyle w:val="TableContents"/>
              <w:spacing w:before="0" w:after="283"/>
              <w:jc w:val="center"/>
              <w:rPr/>
            </w:pPr>
            <w:r>
              <w:rPr/>
              <w:t>✓</w:t>
            </w:r>
          </w:p>
        </w:tc>
        <w:tc>
          <w:tcPr>
            <w:tcW w:w="60" w:type="dxa"/>
            <w:tcBorders/>
            <w:shd w:fill="E5E5E5" w:val="clear"/>
            <w:vAlign w:val="center"/>
          </w:tcPr>
          <w:p>
            <w:pPr>
              <w:pStyle w:val="TableContents"/>
              <w:spacing w:before="0" w:after="283"/>
              <w:rPr/>
            </w:pPr>
            <w:r>
              <w:rPr/>
              <w:t> </w:t>
            </w:r>
          </w:p>
        </w:tc>
        <w:tc>
          <w:tcPr>
            <w:tcW w:w="1025" w:type="dxa"/>
            <w:tcBorders/>
            <w:shd w:fill="E5E5E5" w:val="clear"/>
            <w:vAlign w:val="center"/>
          </w:tcPr>
          <w:p>
            <w:pPr>
              <w:pStyle w:val="TableContents"/>
              <w:spacing w:before="0" w:after="283"/>
              <w:rPr>
                <w:sz w:val="4"/>
                <w:szCs w:val="4"/>
              </w:rPr>
            </w:pPr>
            <w:r>
              <w:rPr>
                <w:sz w:val="4"/>
                <w:szCs w:val="4"/>
              </w:rPr>
            </w:r>
          </w:p>
        </w:tc>
      </w:tr>
      <w:tr>
        <w:trPr/>
        <w:tc>
          <w:tcPr>
            <w:tcW w:w="2000" w:type="dxa"/>
            <w:tcBorders/>
            <w:shd w:fill="auto" w:val="clear"/>
            <w:vAlign w:val="center"/>
          </w:tcPr>
          <w:p>
            <w:pPr>
              <w:pStyle w:val="TableContents"/>
              <w:spacing w:before="0" w:after="0"/>
              <w:jc w:val="both"/>
              <w:rPr>
                <w:rFonts w:ascii="arial" w:hAnsi="arial"/>
                <w:sz w:val="16"/>
              </w:rPr>
            </w:pPr>
            <w:r>
              <w:rPr>
                <w:rFonts w:ascii="arial" w:hAnsi="arial"/>
                <w:sz w:val="16"/>
              </w:rPr>
              <w:t>James M. Kilts</w:t>
            </w:r>
          </w:p>
        </w:tc>
        <w:tc>
          <w:tcPr>
            <w:tcW w:w="60" w:type="dxa"/>
            <w:tcBorders/>
            <w:shd w:fill="auto" w:val="clear"/>
            <w:vAlign w:val="center"/>
          </w:tcPr>
          <w:p>
            <w:pPr>
              <w:pStyle w:val="TableContents"/>
              <w:spacing w:before="0" w:after="283"/>
              <w:rPr/>
            </w:pPr>
            <w:r>
              <w:rPr/>
              <w:t> </w:t>
            </w:r>
          </w:p>
        </w:tc>
        <w:tc>
          <w:tcPr>
            <w:tcW w:w="60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490" w:type="dxa"/>
            <w:tcBorders/>
            <w:shd w:fill="auto" w:val="cle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rPr/>
            </w:pPr>
            <w:r>
              <w:rPr/>
              <w:t> </w:t>
            </w:r>
          </w:p>
        </w:tc>
        <w:tc>
          <w:tcPr>
            <w:tcW w:w="12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0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830" w:type="dxa"/>
            <w:tcBorders/>
            <w:shd w:fill="auto" w:val="cle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rPr/>
            </w:pPr>
            <w:r>
              <w:rPr/>
              <w:t> </w:t>
            </w:r>
          </w:p>
        </w:tc>
        <w:tc>
          <w:tcPr>
            <w:tcW w:w="12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025" w:type="dxa"/>
            <w:tcBorders/>
            <w:shd w:fill="auto" w:val="clear"/>
            <w:vAlign w:val="center"/>
          </w:tcPr>
          <w:p>
            <w:pPr>
              <w:pStyle w:val="TableContents"/>
              <w:spacing w:before="0" w:after="283"/>
              <w:rPr>
                <w:sz w:val="4"/>
                <w:szCs w:val="4"/>
              </w:rPr>
            </w:pPr>
            <w:r>
              <w:rPr>
                <w:sz w:val="4"/>
                <w:szCs w:val="4"/>
              </w:rPr>
            </w:r>
          </w:p>
        </w:tc>
      </w:tr>
      <w:tr>
        <w:trPr/>
        <w:tc>
          <w:tcPr>
            <w:tcW w:w="2000" w:type="dxa"/>
            <w:tcBorders/>
            <w:shd w:fill="E5E5E5" w:val="clear"/>
            <w:vAlign w:val="center"/>
          </w:tcPr>
          <w:p>
            <w:pPr>
              <w:pStyle w:val="TableContents"/>
              <w:spacing w:before="0" w:after="0"/>
              <w:jc w:val="both"/>
              <w:rPr>
                <w:rFonts w:ascii="arial" w:hAnsi="arial"/>
                <w:sz w:val="16"/>
              </w:rPr>
            </w:pPr>
            <w:r>
              <w:rPr>
                <w:rFonts w:ascii="arial" w:hAnsi="arial"/>
                <w:sz w:val="16"/>
              </w:rPr>
              <w:t>Harry A. Korman(1)</w:t>
            </w:r>
          </w:p>
        </w:tc>
        <w:tc>
          <w:tcPr>
            <w:tcW w:w="60" w:type="dxa"/>
            <w:tcBorders/>
            <w:shd w:fill="E5E5E5" w:val="clear"/>
            <w:vAlign w:val="center"/>
          </w:tcPr>
          <w:p>
            <w:pPr>
              <w:pStyle w:val="TableContents"/>
              <w:spacing w:before="0" w:after="283"/>
              <w:rPr/>
            </w:pPr>
            <w:r>
              <w:rPr/>
              <w:t> </w:t>
            </w:r>
          </w:p>
        </w:tc>
        <w:tc>
          <w:tcPr>
            <w:tcW w:w="605" w:type="dxa"/>
            <w:tcBorders/>
            <w:shd w:fill="E5E5E5" w:val="clear"/>
            <w:vAlign w:val="center"/>
          </w:tcPr>
          <w:p>
            <w:pPr>
              <w:pStyle w:val="TableContents"/>
              <w:spacing w:before="0" w:after="283"/>
              <w:rPr>
                <w:sz w:val="4"/>
                <w:szCs w:val="4"/>
              </w:rPr>
            </w:pPr>
            <w:r>
              <w:rPr>
                <w:sz w:val="4"/>
                <w:szCs w:val="4"/>
              </w:rPr>
            </w:r>
          </w:p>
        </w:tc>
        <w:tc>
          <w:tcPr>
            <w:tcW w:w="60" w:type="dxa"/>
            <w:tcBorders/>
            <w:shd w:fill="E5E5E5" w:val="clear"/>
            <w:vAlign w:val="center"/>
          </w:tcPr>
          <w:p>
            <w:pPr>
              <w:pStyle w:val="TableContents"/>
              <w:spacing w:before="0" w:after="283"/>
              <w:rPr/>
            </w:pPr>
            <w:r>
              <w:rPr/>
              <w:t> </w:t>
            </w:r>
          </w:p>
        </w:tc>
        <w:tc>
          <w:tcPr>
            <w:tcW w:w="1490" w:type="dxa"/>
            <w:tcBorders/>
            <w:shd w:fill="E5E5E5" w:val="clear"/>
            <w:vAlign w:val="center"/>
          </w:tcPr>
          <w:p>
            <w:pPr>
              <w:pStyle w:val="TableContents"/>
              <w:spacing w:before="0" w:after="283"/>
              <w:jc w:val="center"/>
              <w:rPr/>
            </w:pPr>
            <w:r>
              <w:rPr/>
              <w:t>✓</w:t>
            </w:r>
          </w:p>
        </w:tc>
        <w:tc>
          <w:tcPr>
            <w:tcW w:w="60" w:type="dxa"/>
            <w:tcBorders/>
            <w:shd w:fill="E5E5E5" w:val="clear"/>
            <w:vAlign w:val="center"/>
          </w:tcPr>
          <w:p>
            <w:pPr>
              <w:pStyle w:val="TableContents"/>
              <w:spacing w:before="0" w:after="283"/>
              <w:rPr/>
            </w:pPr>
            <w:r>
              <w:rPr/>
              <w:t> </w:t>
            </w:r>
          </w:p>
        </w:tc>
        <w:tc>
          <w:tcPr>
            <w:tcW w:w="1235" w:type="dxa"/>
            <w:tcBorders/>
            <w:shd w:fill="E5E5E5" w:val="clear"/>
            <w:vAlign w:val="center"/>
          </w:tcPr>
          <w:p>
            <w:pPr>
              <w:pStyle w:val="TableContents"/>
              <w:spacing w:before="0" w:after="283"/>
              <w:jc w:val="center"/>
              <w:rPr/>
            </w:pPr>
            <w:r>
              <w:rPr/>
              <w:t>✓</w:t>
            </w:r>
          </w:p>
        </w:tc>
        <w:tc>
          <w:tcPr>
            <w:tcW w:w="60" w:type="dxa"/>
            <w:tcBorders/>
            <w:shd w:fill="E5E5E5" w:val="clear"/>
            <w:vAlign w:val="center"/>
          </w:tcPr>
          <w:p>
            <w:pPr>
              <w:pStyle w:val="TableContents"/>
              <w:spacing w:before="0" w:after="283"/>
              <w:rPr/>
            </w:pPr>
            <w:r>
              <w:rPr/>
              <w:t> </w:t>
            </w:r>
          </w:p>
        </w:tc>
        <w:tc>
          <w:tcPr>
            <w:tcW w:w="1010" w:type="dxa"/>
            <w:tcBorders/>
            <w:shd w:fill="E5E5E5" w:val="clear"/>
            <w:vAlign w:val="center"/>
          </w:tcPr>
          <w:p>
            <w:pPr>
              <w:pStyle w:val="TableContents"/>
              <w:spacing w:before="0" w:after="283"/>
              <w:rPr>
                <w:sz w:val="4"/>
                <w:szCs w:val="4"/>
              </w:rPr>
            </w:pPr>
            <w:r>
              <w:rPr>
                <w:sz w:val="4"/>
                <w:szCs w:val="4"/>
              </w:rPr>
            </w:r>
          </w:p>
        </w:tc>
        <w:tc>
          <w:tcPr>
            <w:tcW w:w="60" w:type="dxa"/>
            <w:tcBorders/>
            <w:shd w:fill="E5E5E5" w:val="clear"/>
            <w:vAlign w:val="center"/>
          </w:tcPr>
          <w:p>
            <w:pPr>
              <w:pStyle w:val="TableContents"/>
              <w:spacing w:before="0" w:after="283"/>
              <w:rPr/>
            </w:pPr>
            <w:r>
              <w:rPr/>
              <w:t> </w:t>
            </w:r>
          </w:p>
        </w:tc>
        <w:tc>
          <w:tcPr>
            <w:tcW w:w="830" w:type="dxa"/>
            <w:tcBorders/>
            <w:shd w:fill="E5E5E5" w:val="clear"/>
            <w:vAlign w:val="center"/>
          </w:tcPr>
          <w:p>
            <w:pPr>
              <w:pStyle w:val="TableContents"/>
              <w:spacing w:before="0" w:after="283"/>
              <w:rPr>
                <w:sz w:val="4"/>
                <w:szCs w:val="4"/>
              </w:rPr>
            </w:pPr>
            <w:r>
              <w:rPr>
                <w:sz w:val="4"/>
                <w:szCs w:val="4"/>
              </w:rPr>
            </w:r>
          </w:p>
        </w:tc>
        <w:tc>
          <w:tcPr>
            <w:tcW w:w="60" w:type="dxa"/>
            <w:tcBorders/>
            <w:shd w:fill="E5E5E5" w:val="clear"/>
            <w:vAlign w:val="center"/>
          </w:tcPr>
          <w:p>
            <w:pPr>
              <w:pStyle w:val="TableContents"/>
              <w:spacing w:before="0" w:after="283"/>
              <w:rPr/>
            </w:pPr>
            <w:r>
              <w:rPr/>
              <w:t> </w:t>
            </w:r>
          </w:p>
        </w:tc>
        <w:tc>
          <w:tcPr>
            <w:tcW w:w="1250" w:type="dxa"/>
            <w:tcBorders/>
            <w:shd w:fill="E5E5E5" w:val="clear"/>
            <w:vAlign w:val="center"/>
          </w:tcPr>
          <w:p>
            <w:pPr>
              <w:pStyle w:val="TableContents"/>
              <w:spacing w:before="0" w:after="283"/>
              <w:jc w:val="center"/>
              <w:rPr/>
            </w:pPr>
            <w:r>
              <w:rPr/>
              <w:t>✓</w:t>
            </w:r>
          </w:p>
        </w:tc>
        <w:tc>
          <w:tcPr>
            <w:tcW w:w="60" w:type="dxa"/>
            <w:tcBorders/>
            <w:shd w:fill="E5E5E5" w:val="clear"/>
            <w:vAlign w:val="center"/>
          </w:tcPr>
          <w:p>
            <w:pPr>
              <w:pStyle w:val="TableContents"/>
              <w:spacing w:before="0" w:after="283"/>
              <w:rPr/>
            </w:pPr>
            <w:r>
              <w:rPr/>
              <w:t> </w:t>
            </w:r>
          </w:p>
        </w:tc>
        <w:tc>
          <w:tcPr>
            <w:tcW w:w="1025" w:type="dxa"/>
            <w:tcBorders/>
            <w:shd w:fill="E5E5E5" w:val="clear"/>
            <w:vAlign w:val="center"/>
          </w:tcPr>
          <w:p>
            <w:pPr>
              <w:pStyle w:val="TableContents"/>
              <w:spacing w:before="0" w:after="283"/>
              <w:jc w:val="center"/>
              <w:rPr/>
            </w:pPr>
            <w:r>
              <w:rPr/>
              <w:t>Chair</w:t>
            </w:r>
          </w:p>
        </w:tc>
      </w:tr>
      <w:tr>
        <w:trPr/>
        <w:tc>
          <w:tcPr>
            <w:tcW w:w="2000" w:type="dxa"/>
            <w:tcBorders/>
            <w:shd w:fill="auto" w:val="clear"/>
            <w:vAlign w:val="center"/>
          </w:tcPr>
          <w:p>
            <w:pPr>
              <w:pStyle w:val="TableContents"/>
              <w:spacing w:before="0" w:after="0"/>
              <w:jc w:val="both"/>
              <w:rPr>
                <w:rFonts w:ascii="arial" w:hAnsi="arial"/>
                <w:sz w:val="16"/>
              </w:rPr>
            </w:pPr>
            <w:r>
              <w:rPr>
                <w:rFonts w:ascii="arial" w:hAnsi="arial"/>
                <w:sz w:val="16"/>
              </w:rPr>
              <w:t>Rajiv Malik</w:t>
            </w:r>
          </w:p>
        </w:tc>
        <w:tc>
          <w:tcPr>
            <w:tcW w:w="60" w:type="dxa"/>
            <w:tcBorders/>
            <w:shd w:fill="auto" w:val="clear"/>
            <w:vAlign w:val="center"/>
          </w:tcPr>
          <w:p>
            <w:pPr>
              <w:pStyle w:val="TableContents"/>
              <w:spacing w:before="0" w:after="283"/>
              <w:rPr/>
            </w:pPr>
            <w:r>
              <w:rPr/>
              <w:t> </w:t>
            </w:r>
          </w:p>
        </w:tc>
        <w:tc>
          <w:tcPr>
            <w:tcW w:w="60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4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2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0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8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2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025" w:type="dxa"/>
            <w:tcBorders/>
            <w:shd w:fill="auto" w:val="clear"/>
            <w:vAlign w:val="center"/>
          </w:tcPr>
          <w:p>
            <w:pPr>
              <w:pStyle w:val="TableContents"/>
              <w:spacing w:before="0" w:after="283"/>
              <w:rPr>
                <w:sz w:val="4"/>
                <w:szCs w:val="4"/>
              </w:rPr>
            </w:pPr>
            <w:r>
              <w:rPr>
                <w:sz w:val="4"/>
                <w:szCs w:val="4"/>
              </w:rPr>
            </w:r>
          </w:p>
        </w:tc>
      </w:tr>
      <w:tr>
        <w:trPr/>
        <w:tc>
          <w:tcPr>
            <w:tcW w:w="2000" w:type="dxa"/>
            <w:tcBorders/>
            <w:shd w:fill="E5E5E5" w:val="clear"/>
            <w:vAlign w:val="center"/>
          </w:tcPr>
          <w:p>
            <w:pPr>
              <w:pStyle w:val="TableContents"/>
              <w:spacing w:before="0" w:after="0"/>
              <w:jc w:val="both"/>
              <w:rPr>
                <w:rFonts w:ascii="arial" w:hAnsi="arial"/>
                <w:sz w:val="16"/>
              </w:rPr>
            </w:pPr>
            <w:r>
              <w:rPr>
                <w:rFonts w:ascii="arial" w:hAnsi="arial"/>
                <w:sz w:val="16"/>
              </w:rPr>
              <w:t>Richard A. Mark(1)</w:t>
            </w:r>
          </w:p>
        </w:tc>
        <w:tc>
          <w:tcPr>
            <w:tcW w:w="60" w:type="dxa"/>
            <w:tcBorders/>
            <w:shd w:fill="E5E5E5" w:val="clear"/>
            <w:vAlign w:val="center"/>
          </w:tcPr>
          <w:p>
            <w:pPr>
              <w:pStyle w:val="TableContents"/>
              <w:spacing w:before="0" w:after="283"/>
              <w:rPr/>
            </w:pPr>
            <w:r>
              <w:rPr/>
              <w:t> </w:t>
            </w:r>
          </w:p>
        </w:tc>
        <w:tc>
          <w:tcPr>
            <w:tcW w:w="605" w:type="dxa"/>
            <w:tcBorders/>
            <w:shd w:fill="E5E5E5" w:val="clear"/>
            <w:vAlign w:val="center"/>
          </w:tcPr>
          <w:p>
            <w:pPr>
              <w:pStyle w:val="TableContents"/>
              <w:spacing w:before="0" w:after="283"/>
              <w:jc w:val="center"/>
              <w:rPr/>
            </w:pPr>
            <w:r>
              <w:rPr/>
              <w:t>Chair</w:t>
            </w:r>
          </w:p>
        </w:tc>
        <w:tc>
          <w:tcPr>
            <w:tcW w:w="60" w:type="dxa"/>
            <w:tcBorders/>
            <w:shd w:fill="E5E5E5" w:val="clear"/>
            <w:vAlign w:val="center"/>
          </w:tcPr>
          <w:p>
            <w:pPr>
              <w:pStyle w:val="TableContents"/>
              <w:spacing w:before="0" w:after="283"/>
              <w:rPr/>
            </w:pPr>
            <w:r>
              <w:rPr/>
              <w:t> </w:t>
            </w:r>
          </w:p>
        </w:tc>
        <w:tc>
          <w:tcPr>
            <w:tcW w:w="1490" w:type="dxa"/>
            <w:tcBorders/>
            <w:shd w:fill="E5E5E5" w:val="clear"/>
            <w:vAlign w:val="center"/>
          </w:tcPr>
          <w:p>
            <w:pPr>
              <w:pStyle w:val="TableContents"/>
              <w:spacing w:before="0" w:after="283"/>
              <w:rPr>
                <w:sz w:val="4"/>
                <w:szCs w:val="4"/>
              </w:rPr>
            </w:pPr>
            <w:r>
              <w:rPr>
                <w:sz w:val="4"/>
                <w:szCs w:val="4"/>
              </w:rPr>
            </w:r>
          </w:p>
        </w:tc>
        <w:tc>
          <w:tcPr>
            <w:tcW w:w="60" w:type="dxa"/>
            <w:tcBorders/>
            <w:shd w:fill="E5E5E5" w:val="clear"/>
            <w:vAlign w:val="center"/>
          </w:tcPr>
          <w:p>
            <w:pPr>
              <w:pStyle w:val="TableContents"/>
              <w:spacing w:before="0" w:after="283"/>
              <w:rPr/>
            </w:pPr>
            <w:r>
              <w:rPr/>
              <w:t> </w:t>
            </w:r>
          </w:p>
        </w:tc>
        <w:tc>
          <w:tcPr>
            <w:tcW w:w="1235" w:type="dxa"/>
            <w:tcBorders/>
            <w:shd w:fill="E5E5E5" w:val="clear"/>
            <w:vAlign w:val="center"/>
          </w:tcPr>
          <w:p>
            <w:pPr>
              <w:pStyle w:val="TableContents"/>
              <w:spacing w:before="0" w:after="283"/>
              <w:rPr>
                <w:sz w:val="4"/>
                <w:szCs w:val="4"/>
              </w:rPr>
            </w:pPr>
            <w:r>
              <w:rPr>
                <w:sz w:val="4"/>
                <w:szCs w:val="4"/>
              </w:rPr>
            </w:r>
          </w:p>
        </w:tc>
        <w:tc>
          <w:tcPr>
            <w:tcW w:w="60" w:type="dxa"/>
            <w:tcBorders/>
            <w:shd w:fill="E5E5E5" w:val="clear"/>
            <w:vAlign w:val="center"/>
          </w:tcPr>
          <w:p>
            <w:pPr>
              <w:pStyle w:val="TableContents"/>
              <w:spacing w:before="0" w:after="283"/>
              <w:rPr/>
            </w:pPr>
            <w:r>
              <w:rPr/>
              <w:t> </w:t>
            </w:r>
          </w:p>
        </w:tc>
        <w:tc>
          <w:tcPr>
            <w:tcW w:w="1010" w:type="dxa"/>
            <w:tcBorders/>
            <w:shd w:fill="E5E5E5" w:val="clear"/>
            <w:vAlign w:val="center"/>
          </w:tcPr>
          <w:p>
            <w:pPr>
              <w:pStyle w:val="TableContents"/>
              <w:spacing w:before="0" w:after="283"/>
              <w:jc w:val="center"/>
              <w:rPr/>
            </w:pPr>
            <w:r>
              <w:rPr/>
              <w:t>✓</w:t>
            </w:r>
          </w:p>
        </w:tc>
        <w:tc>
          <w:tcPr>
            <w:tcW w:w="60" w:type="dxa"/>
            <w:tcBorders/>
            <w:shd w:fill="E5E5E5" w:val="clear"/>
            <w:vAlign w:val="center"/>
          </w:tcPr>
          <w:p>
            <w:pPr>
              <w:pStyle w:val="TableContents"/>
              <w:spacing w:before="0" w:after="283"/>
              <w:rPr/>
            </w:pPr>
            <w:r>
              <w:rPr/>
              <w:t> </w:t>
            </w:r>
          </w:p>
        </w:tc>
        <w:tc>
          <w:tcPr>
            <w:tcW w:w="830" w:type="dxa"/>
            <w:tcBorders/>
            <w:shd w:fill="E5E5E5" w:val="clear"/>
            <w:vAlign w:val="center"/>
          </w:tcPr>
          <w:p>
            <w:pPr>
              <w:pStyle w:val="TableContents"/>
              <w:spacing w:before="0" w:after="283"/>
              <w:jc w:val="center"/>
              <w:rPr/>
            </w:pPr>
            <w:r>
              <w:rPr/>
              <w:t>✓</w:t>
            </w:r>
          </w:p>
        </w:tc>
        <w:tc>
          <w:tcPr>
            <w:tcW w:w="60" w:type="dxa"/>
            <w:tcBorders/>
            <w:shd w:fill="E5E5E5" w:val="clear"/>
            <w:vAlign w:val="center"/>
          </w:tcPr>
          <w:p>
            <w:pPr>
              <w:pStyle w:val="TableContents"/>
              <w:spacing w:before="0" w:after="283"/>
              <w:rPr/>
            </w:pPr>
            <w:r>
              <w:rPr/>
              <w:t> </w:t>
            </w:r>
          </w:p>
        </w:tc>
        <w:tc>
          <w:tcPr>
            <w:tcW w:w="1250" w:type="dxa"/>
            <w:tcBorders/>
            <w:shd w:fill="E5E5E5" w:val="clear"/>
            <w:vAlign w:val="center"/>
          </w:tcPr>
          <w:p>
            <w:pPr>
              <w:pStyle w:val="TableContents"/>
              <w:spacing w:before="0" w:after="283"/>
              <w:rPr>
                <w:sz w:val="4"/>
                <w:szCs w:val="4"/>
              </w:rPr>
            </w:pPr>
            <w:r>
              <w:rPr>
                <w:sz w:val="4"/>
                <w:szCs w:val="4"/>
              </w:rPr>
            </w:r>
          </w:p>
        </w:tc>
        <w:tc>
          <w:tcPr>
            <w:tcW w:w="60" w:type="dxa"/>
            <w:tcBorders/>
            <w:shd w:fill="E5E5E5" w:val="clear"/>
            <w:vAlign w:val="center"/>
          </w:tcPr>
          <w:p>
            <w:pPr>
              <w:pStyle w:val="TableContents"/>
              <w:spacing w:before="0" w:after="283"/>
              <w:rPr/>
            </w:pPr>
            <w:r>
              <w:rPr/>
              <w:t> </w:t>
            </w:r>
          </w:p>
        </w:tc>
        <w:tc>
          <w:tcPr>
            <w:tcW w:w="1025" w:type="dxa"/>
            <w:tcBorders/>
            <w:shd w:fill="E5E5E5" w:val="clear"/>
            <w:vAlign w:val="center"/>
          </w:tcPr>
          <w:p>
            <w:pPr>
              <w:pStyle w:val="TableContents"/>
              <w:spacing w:before="0" w:after="283"/>
              <w:jc w:val="center"/>
              <w:rPr/>
            </w:pPr>
            <w:r>
              <w:rPr/>
              <w:t>✓</w:t>
            </w:r>
          </w:p>
        </w:tc>
      </w:tr>
      <w:tr>
        <w:trPr/>
        <w:tc>
          <w:tcPr>
            <w:tcW w:w="2000" w:type="dxa"/>
            <w:tcBorders/>
            <w:shd w:fill="auto" w:val="clear"/>
            <w:vAlign w:val="center"/>
          </w:tcPr>
          <w:p>
            <w:pPr>
              <w:pStyle w:val="TableContents"/>
              <w:spacing w:before="0" w:after="0"/>
              <w:jc w:val="both"/>
              <w:rPr>
                <w:rFonts w:ascii="arial" w:hAnsi="arial"/>
                <w:sz w:val="16"/>
              </w:rPr>
            </w:pPr>
            <w:r>
              <w:rPr>
                <w:rFonts w:ascii="arial" w:hAnsi="arial"/>
                <w:sz w:val="16"/>
              </w:rPr>
              <w:t>Mark W. Parrish</w:t>
            </w:r>
          </w:p>
        </w:tc>
        <w:tc>
          <w:tcPr>
            <w:tcW w:w="60" w:type="dxa"/>
            <w:tcBorders/>
            <w:shd w:fill="auto" w:val="clear"/>
            <w:vAlign w:val="center"/>
          </w:tcPr>
          <w:p>
            <w:pPr>
              <w:pStyle w:val="TableContents"/>
              <w:spacing w:before="0" w:after="283"/>
              <w:rPr/>
            </w:pPr>
            <w:r>
              <w:rPr/>
              <w:t> </w:t>
            </w:r>
          </w:p>
        </w:tc>
        <w:tc>
          <w:tcPr>
            <w:tcW w:w="605" w:type="dxa"/>
            <w:tcBorders/>
            <w:shd w:fill="auto" w:val="cle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rPr/>
            </w:pPr>
            <w:r>
              <w:rPr/>
              <w:t> </w:t>
            </w:r>
          </w:p>
        </w:tc>
        <w:tc>
          <w:tcPr>
            <w:tcW w:w="14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235" w:type="dxa"/>
            <w:tcBorders/>
            <w:shd w:fill="auto" w:val="clear"/>
            <w:vAlign w:val="center"/>
          </w:tcPr>
          <w:p>
            <w:pPr>
              <w:pStyle w:val="TableContents"/>
              <w:spacing w:before="0" w:after="283"/>
              <w:jc w:val="center"/>
              <w:rPr/>
            </w:pPr>
            <w:r>
              <w:rPr/>
              <w:t>Chair</w:t>
            </w:r>
          </w:p>
        </w:tc>
        <w:tc>
          <w:tcPr>
            <w:tcW w:w="60" w:type="dxa"/>
            <w:tcBorders/>
            <w:shd w:fill="auto" w:val="clear"/>
            <w:vAlign w:val="center"/>
          </w:tcPr>
          <w:p>
            <w:pPr>
              <w:pStyle w:val="TableContents"/>
              <w:spacing w:before="0" w:after="283"/>
              <w:rPr/>
            </w:pPr>
            <w:r>
              <w:rPr/>
              <w:t> </w:t>
            </w:r>
          </w:p>
        </w:tc>
        <w:tc>
          <w:tcPr>
            <w:tcW w:w="1010" w:type="dxa"/>
            <w:tcBorders/>
            <w:shd w:fill="auto" w:val="cle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rPr/>
            </w:pPr>
            <w:r>
              <w:rPr/>
              <w:t> </w:t>
            </w:r>
          </w:p>
        </w:tc>
        <w:tc>
          <w:tcPr>
            <w:tcW w:w="8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250" w:type="dxa"/>
            <w:tcBorders/>
            <w:shd w:fill="auto" w:val="cle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rPr/>
            </w:pPr>
            <w:r>
              <w:rPr/>
              <w:t> </w:t>
            </w:r>
          </w:p>
        </w:tc>
        <w:tc>
          <w:tcPr>
            <w:tcW w:w="1025" w:type="dxa"/>
            <w:tcBorders/>
            <w:shd w:fill="auto" w:val="clear"/>
            <w:vAlign w:val="center"/>
          </w:tcPr>
          <w:p>
            <w:pPr>
              <w:pStyle w:val="TableContents"/>
              <w:spacing w:before="0" w:after="283"/>
              <w:rPr>
                <w:sz w:val="4"/>
                <w:szCs w:val="4"/>
              </w:rPr>
            </w:pPr>
            <w:r>
              <w:rPr>
                <w:sz w:val="4"/>
                <w:szCs w:val="4"/>
              </w:rPr>
            </w:r>
          </w:p>
        </w:tc>
      </w:tr>
      <w:tr>
        <w:trPr/>
        <w:tc>
          <w:tcPr>
            <w:tcW w:w="2000" w:type="dxa"/>
            <w:tcBorders/>
            <w:shd w:fill="E5E5E5" w:val="clear"/>
            <w:vAlign w:val="center"/>
          </w:tcPr>
          <w:p>
            <w:pPr>
              <w:pStyle w:val="TableContents"/>
              <w:spacing w:before="0" w:after="0"/>
              <w:jc w:val="both"/>
              <w:rPr>
                <w:rFonts w:ascii="arial" w:hAnsi="arial"/>
                <w:sz w:val="16"/>
              </w:rPr>
            </w:pPr>
            <w:r>
              <w:rPr>
                <w:rFonts w:ascii="arial" w:hAnsi="arial"/>
                <w:sz w:val="16"/>
              </w:rPr>
              <w:t>Scott A. Smith</w:t>
            </w:r>
          </w:p>
        </w:tc>
        <w:tc>
          <w:tcPr>
            <w:tcW w:w="60" w:type="dxa"/>
            <w:tcBorders/>
            <w:shd w:fill="E5E5E5" w:val="clear"/>
            <w:vAlign w:val="center"/>
          </w:tcPr>
          <w:p>
            <w:pPr>
              <w:pStyle w:val="TableContents"/>
              <w:spacing w:before="0" w:after="283"/>
              <w:rPr/>
            </w:pPr>
            <w:r>
              <w:rPr/>
              <w:t> </w:t>
            </w:r>
          </w:p>
        </w:tc>
        <w:tc>
          <w:tcPr>
            <w:tcW w:w="605" w:type="dxa"/>
            <w:tcBorders/>
            <w:shd w:fill="E5E5E5" w:val="clear"/>
            <w:vAlign w:val="center"/>
          </w:tcPr>
          <w:p>
            <w:pPr>
              <w:pStyle w:val="TableContents"/>
              <w:spacing w:before="0" w:after="283"/>
              <w:rPr>
                <w:sz w:val="4"/>
                <w:szCs w:val="4"/>
              </w:rPr>
            </w:pPr>
            <w:r>
              <w:rPr>
                <w:sz w:val="4"/>
                <w:szCs w:val="4"/>
              </w:rPr>
            </w:r>
          </w:p>
        </w:tc>
        <w:tc>
          <w:tcPr>
            <w:tcW w:w="60" w:type="dxa"/>
            <w:tcBorders/>
            <w:shd w:fill="E5E5E5" w:val="clear"/>
            <w:vAlign w:val="center"/>
          </w:tcPr>
          <w:p>
            <w:pPr>
              <w:pStyle w:val="TableContents"/>
              <w:spacing w:before="0" w:after="283"/>
              <w:rPr/>
            </w:pPr>
            <w:r>
              <w:rPr/>
              <w:t> </w:t>
            </w:r>
          </w:p>
        </w:tc>
        <w:tc>
          <w:tcPr>
            <w:tcW w:w="1490" w:type="dxa"/>
            <w:tcBorders/>
            <w:shd w:fill="E5E5E5" w:val="clear"/>
            <w:vAlign w:val="center"/>
          </w:tcPr>
          <w:p>
            <w:pPr>
              <w:pStyle w:val="TableContents"/>
              <w:spacing w:before="0" w:after="283"/>
              <w:rPr>
                <w:sz w:val="4"/>
                <w:szCs w:val="4"/>
              </w:rPr>
            </w:pPr>
            <w:r>
              <w:rPr>
                <w:sz w:val="4"/>
                <w:szCs w:val="4"/>
              </w:rPr>
            </w:r>
          </w:p>
        </w:tc>
        <w:tc>
          <w:tcPr>
            <w:tcW w:w="60" w:type="dxa"/>
            <w:tcBorders/>
            <w:shd w:fill="E5E5E5" w:val="clear"/>
            <w:vAlign w:val="center"/>
          </w:tcPr>
          <w:p>
            <w:pPr>
              <w:pStyle w:val="TableContents"/>
              <w:spacing w:before="0" w:after="283"/>
              <w:rPr/>
            </w:pPr>
            <w:r>
              <w:rPr/>
              <w:t> </w:t>
            </w:r>
          </w:p>
        </w:tc>
        <w:tc>
          <w:tcPr>
            <w:tcW w:w="1235" w:type="dxa"/>
            <w:tcBorders/>
            <w:shd w:fill="E5E5E5" w:val="clear"/>
            <w:vAlign w:val="center"/>
          </w:tcPr>
          <w:p>
            <w:pPr>
              <w:pStyle w:val="TableContents"/>
              <w:spacing w:before="0" w:after="283"/>
              <w:rPr>
                <w:sz w:val="4"/>
                <w:szCs w:val="4"/>
              </w:rPr>
            </w:pPr>
            <w:r>
              <w:rPr>
                <w:sz w:val="4"/>
                <w:szCs w:val="4"/>
              </w:rPr>
            </w:r>
          </w:p>
        </w:tc>
        <w:tc>
          <w:tcPr>
            <w:tcW w:w="60" w:type="dxa"/>
            <w:tcBorders/>
            <w:shd w:fill="E5E5E5" w:val="clear"/>
            <w:vAlign w:val="center"/>
          </w:tcPr>
          <w:p>
            <w:pPr>
              <w:pStyle w:val="TableContents"/>
              <w:spacing w:before="0" w:after="283"/>
              <w:rPr/>
            </w:pPr>
            <w:r>
              <w:rPr/>
              <w:t> </w:t>
            </w:r>
          </w:p>
        </w:tc>
        <w:tc>
          <w:tcPr>
            <w:tcW w:w="1010" w:type="dxa"/>
            <w:tcBorders/>
            <w:shd w:fill="E5E5E5" w:val="clear"/>
            <w:vAlign w:val="center"/>
          </w:tcPr>
          <w:p>
            <w:pPr>
              <w:pStyle w:val="TableContents"/>
              <w:spacing w:before="0" w:after="283"/>
              <w:rPr>
                <w:sz w:val="4"/>
                <w:szCs w:val="4"/>
              </w:rPr>
            </w:pPr>
            <w:r>
              <w:rPr>
                <w:sz w:val="4"/>
                <w:szCs w:val="4"/>
              </w:rPr>
            </w:r>
          </w:p>
        </w:tc>
        <w:tc>
          <w:tcPr>
            <w:tcW w:w="60" w:type="dxa"/>
            <w:tcBorders/>
            <w:shd w:fill="E5E5E5" w:val="clear"/>
            <w:vAlign w:val="center"/>
          </w:tcPr>
          <w:p>
            <w:pPr>
              <w:pStyle w:val="TableContents"/>
              <w:spacing w:before="0" w:after="283"/>
              <w:rPr/>
            </w:pPr>
            <w:r>
              <w:rPr/>
              <w:t> </w:t>
            </w:r>
          </w:p>
        </w:tc>
        <w:tc>
          <w:tcPr>
            <w:tcW w:w="830" w:type="dxa"/>
            <w:tcBorders/>
            <w:shd w:fill="E5E5E5" w:val="clear"/>
            <w:vAlign w:val="center"/>
          </w:tcPr>
          <w:p>
            <w:pPr>
              <w:pStyle w:val="TableContents"/>
              <w:spacing w:before="0" w:after="283"/>
              <w:rPr>
                <w:sz w:val="4"/>
                <w:szCs w:val="4"/>
              </w:rPr>
            </w:pPr>
            <w:r>
              <w:rPr>
                <w:sz w:val="4"/>
                <w:szCs w:val="4"/>
              </w:rPr>
            </w:r>
          </w:p>
        </w:tc>
        <w:tc>
          <w:tcPr>
            <w:tcW w:w="60" w:type="dxa"/>
            <w:tcBorders/>
            <w:shd w:fill="E5E5E5" w:val="clear"/>
            <w:vAlign w:val="center"/>
          </w:tcPr>
          <w:p>
            <w:pPr>
              <w:pStyle w:val="TableContents"/>
              <w:spacing w:before="0" w:after="283"/>
              <w:rPr/>
            </w:pPr>
            <w:r>
              <w:rPr/>
              <w:t> </w:t>
            </w:r>
          </w:p>
        </w:tc>
        <w:tc>
          <w:tcPr>
            <w:tcW w:w="1250" w:type="dxa"/>
            <w:tcBorders/>
            <w:shd w:fill="E5E5E5" w:val="clear"/>
            <w:vAlign w:val="center"/>
          </w:tcPr>
          <w:p>
            <w:pPr>
              <w:pStyle w:val="TableContents"/>
              <w:spacing w:before="0" w:after="283"/>
              <w:rPr>
                <w:sz w:val="4"/>
                <w:szCs w:val="4"/>
              </w:rPr>
            </w:pPr>
            <w:r>
              <w:rPr>
                <w:sz w:val="4"/>
                <w:szCs w:val="4"/>
              </w:rPr>
            </w:r>
          </w:p>
        </w:tc>
        <w:tc>
          <w:tcPr>
            <w:tcW w:w="60" w:type="dxa"/>
            <w:tcBorders/>
            <w:shd w:fill="E5E5E5" w:val="clear"/>
            <w:vAlign w:val="center"/>
          </w:tcPr>
          <w:p>
            <w:pPr>
              <w:pStyle w:val="TableContents"/>
              <w:spacing w:before="0" w:after="283"/>
              <w:rPr/>
            </w:pPr>
            <w:r>
              <w:rPr/>
              <w:t> </w:t>
            </w:r>
          </w:p>
        </w:tc>
        <w:tc>
          <w:tcPr>
            <w:tcW w:w="1025" w:type="dxa"/>
            <w:tcBorders/>
            <w:shd w:fill="E5E5E5" w:val="clear"/>
            <w:vAlign w:val="center"/>
          </w:tcPr>
          <w:p>
            <w:pPr>
              <w:pStyle w:val="TableContents"/>
              <w:spacing w:before="0" w:after="283"/>
              <w:rPr>
                <w:sz w:val="4"/>
                <w:szCs w:val="4"/>
              </w:rPr>
            </w:pPr>
            <w:r>
              <w:rPr>
                <w:sz w:val="4"/>
                <w:szCs w:val="4"/>
              </w:rPr>
            </w:r>
          </w:p>
        </w:tc>
      </w:tr>
      <w:tr>
        <w:trPr/>
        <w:tc>
          <w:tcPr>
            <w:tcW w:w="2000" w:type="dxa"/>
            <w:tcBorders/>
            <w:shd w:fill="auto" w:val="clear"/>
            <w:vAlign w:val="center"/>
          </w:tcPr>
          <w:p>
            <w:pPr>
              <w:pStyle w:val="TableContents"/>
              <w:spacing w:before="0" w:after="0"/>
              <w:jc w:val="both"/>
              <w:rPr>
                <w:rFonts w:ascii="arial" w:hAnsi="arial"/>
                <w:sz w:val="16"/>
              </w:rPr>
            </w:pPr>
            <w:r>
              <w:rPr>
                <w:rFonts w:ascii="arial" w:hAnsi="arial"/>
                <w:sz w:val="16"/>
              </w:rPr>
              <w:t>Pauline van der Meer Mohr</w:t>
            </w:r>
          </w:p>
        </w:tc>
        <w:tc>
          <w:tcPr>
            <w:tcW w:w="60" w:type="dxa"/>
            <w:tcBorders/>
            <w:shd w:fill="auto" w:val="clear"/>
            <w:vAlign w:val="center"/>
          </w:tcPr>
          <w:p>
            <w:pPr>
              <w:pStyle w:val="TableContents"/>
              <w:spacing w:before="0" w:after="283"/>
              <w:rPr/>
            </w:pPr>
            <w:r>
              <w:rPr/>
              <w:t> </w:t>
            </w:r>
          </w:p>
        </w:tc>
        <w:tc>
          <w:tcPr>
            <w:tcW w:w="60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490" w:type="dxa"/>
            <w:tcBorders/>
            <w:shd w:fill="auto" w:val="cle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rPr/>
            </w:pPr>
            <w:r>
              <w:rPr/>
              <w:t> </w:t>
            </w:r>
          </w:p>
        </w:tc>
        <w:tc>
          <w:tcPr>
            <w:tcW w:w="1235" w:type="dxa"/>
            <w:tcBorders/>
            <w:shd w:fill="auto" w:val="clear"/>
            <w:vAlign w:val="center"/>
          </w:tcPr>
          <w:p>
            <w:pPr>
              <w:pStyle w:val="TableContents"/>
              <w:spacing w:before="0" w:after="283"/>
              <w:jc w:val="center"/>
              <w:rPr/>
            </w:pPr>
            <w:r>
              <w:rPr/>
              <w:t>✓</w:t>
            </w:r>
          </w:p>
        </w:tc>
        <w:tc>
          <w:tcPr>
            <w:tcW w:w="60" w:type="dxa"/>
            <w:tcBorders/>
            <w:shd w:fill="auto" w:val="clear"/>
            <w:vAlign w:val="center"/>
          </w:tcPr>
          <w:p>
            <w:pPr>
              <w:pStyle w:val="TableContents"/>
              <w:spacing w:before="0" w:after="283"/>
              <w:rPr/>
            </w:pPr>
            <w:r>
              <w:rPr/>
              <w:t> </w:t>
            </w:r>
          </w:p>
        </w:tc>
        <w:tc>
          <w:tcPr>
            <w:tcW w:w="10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8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2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025" w:type="dxa"/>
            <w:tcBorders/>
            <w:shd w:fill="auto" w:val="clear"/>
            <w:vAlign w:val="center"/>
          </w:tcPr>
          <w:p>
            <w:pPr>
              <w:pStyle w:val="TableContents"/>
              <w:spacing w:before="0" w:after="283"/>
              <w:jc w:val="center"/>
              <w:rPr/>
            </w:pPr>
            <w:r>
              <w:rPr/>
              <w:t>✓</w:t>
            </w:r>
          </w:p>
        </w:tc>
      </w:tr>
      <w:tr>
        <w:trPr/>
        <w:tc>
          <w:tcPr>
            <w:tcW w:w="2000" w:type="dxa"/>
            <w:tcBorders>
              <w:bottom w:val="single" w:sz="6" w:space="0" w:color="732282"/>
            </w:tcBorders>
            <w:shd w:fill="E5E5E5" w:val="clear"/>
            <w:tcMar>
              <w:bottom w:w="28" w:type="dxa"/>
            </w:tcMar>
            <w:vAlign w:val="center"/>
          </w:tcPr>
          <w:p>
            <w:pPr>
              <w:pStyle w:val="TableContents"/>
              <w:spacing w:before="0" w:after="0"/>
              <w:jc w:val="both"/>
              <w:rPr>
                <w:rFonts w:ascii="arial" w:hAnsi="arial"/>
                <w:sz w:val="16"/>
              </w:rPr>
            </w:pPr>
            <w:r>
              <w:rPr>
                <w:rFonts w:ascii="arial" w:hAnsi="arial"/>
                <w:sz w:val="16"/>
              </w:rPr>
              <w:t>Meetings during 2022</w:t>
            </w:r>
          </w:p>
        </w:tc>
        <w:tc>
          <w:tcPr>
            <w:tcW w:w="60" w:type="dxa"/>
            <w:tcBorders>
              <w:bottom w:val="single" w:sz="6" w:space="0" w:color="732282"/>
            </w:tcBorders>
            <w:shd w:fill="E5E5E5" w:val="clear"/>
            <w:tcMar>
              <w:bottom w:w="28" w:type="dxa"/>
            </w:tcMar>
            <w:vAlign w:val="center"/>
          </w:tcPr>
          <w:p>
            <w:pPr>
              <w:pStyle w:val="TableContents"/>
              <w:spacing w:before="0" w:after="283"/>
              <w:rPr/>
            </w:pPr>
            <w:r>
              <w:rPr/>
              <w:t> </w:t>
            </w:r>
          </w:p>
        </w:tc>
        <w:tc>
          <w:tcPr>
            <w:tcW w:w="605" w:type="dxa"/>
            <w:tcBorders>
              <w:bottom w:val="single" w:sz="6" w:space="0" w:color="732282"/>
            </w:tcBorders>
            <w:shd w:fill="E5E5E5" w:val="clear"/>
            <w:tcMar>
              <w:bottom w:w="28" w:type="dxa"/>
            </w:tcMar>
            <w:vAlign w:val="center"/>
          </w:tcPr>
          <w:p>
            <w:pPr>
              <w:pStyle w:val="TableContents"/>
              <w:spacing w:before="0" w:after="283"/>
              <w:jc w:val="center"/>
              <w:rPr/>
            </w:pPr>
            <w:r>
              <w:rPr/>
              <w:t>9</w:t>
            </w:r>
          </w:p>
        </w:tc>
        <w:tc>
          <w:tcPr>
            <w:tcW w:w="60" w:type="dxa"/>
            <w:tcBorders>
              <w:bottom w:val="single" w:sz="6" w:space="0" w:color="732282"/>
            </w:tcBorders>
            <w:shd w:fill="E5E5E5" w:val="clear"/>
            <w:tcMar>
              <w:bottom w:w="28" w:type="dxa"/>
            </w:tcMar>
            <w:vAlign w:val="center"/>
          </w:tcPr>
          <w:p>
            <w:pPr>
              <w:pStyle w:val="TableContents"/>
              <w:spacing w:before="0" w:after="283"/>
              <w:rPr/>
            </w:pPr>
            <w:r>
              <w:rPr/>
              <w:t> </w:t>
            </w:r>
          </w:p>
        </w:tc>
        <w:tc>
          <w:tcPr>
            <w:tcW w:w="1490" w:type="dxa"/>
            <w:tcBorders>
              <w:bottom w:val="single" w:sz="6" w:space="0" w:color="732282"/>
            </w:tcBorders>
            <w:shd w:fill="E5E5E5" w:val="clear"/>
            <w:tcMar>
              <w:bottom w:w="28" w:type="dxa"/>
            </w:tcMar>
            <w:vAlign w:val="center"/>
          </w:tcPr>
          <w:p>
            <w:pPr>
              <w:pStyle w:val="TableContents"/>
              <w:spacing w:before="0" w:after="283"/>
              <w:jc w:val="center"/>
              <w:rPr/>
            </w:pPr>
            <w:r>
              <w:rPr/>
              <w:t>5</w:t>
            </w:r>
          </w:p>
        </w:tc>
        <w:tc>
          <w:tcPr>
            <w:tcW w:w="60" w:type="dxa"/>
            <w:tcBorders>
              <w:bottom w:val="single" w:sz="6" w:space="0" w:color="732282"/>
            </w:tcBorders>
            <w:shd w:fill="E5E5E5" w:val="clear"/>
            <w:tcMar>
              <w:bottom w:w="28" w:type="dxa"/>
            </w:tcMar>
            <w:vAlign w:val="center"/>
          </w:tcPr>
          <w:p>
            <w:pPr>
              <w:pStyle w:val="TableContents"/>
              <w:spacing w:before="0" w:after="283"/>
              <w:rPr/>
            </w:pPr>
            <w:r>
              <w:rPr/>
              <w:t> </w:t>
            </w:r>
          </w:p>
        </w:tc>
        <w:tc>
          <w:tcPr>
            <w:tcW w:w="1235" w:type="dxa"/>
            <w:tcBorders>
              <w:bottom w:val="single" w:sz="6" w:space="0" w:color="732282"/>
            </w:tcBorders>
            <w:shd w:fill="E5E5E5" w:val="clear"/>
            <w:tcMar>
              <w:bottom w:w="28" w:type="dxa"/>
            </w:tcMar>
            <w:vAlign w:val="center"/>
          </w:tcPr>
          <w:p>
            <w:pPr>
              <w:pStyle w:val="TableContents"/>
              <w:spacing w:before="0" w:after="283"/>
              <w:jc w:val="center"/>
              <w:rPr/>
            </w:pPr>
            <w:r>
              <w:rPr/>
              <w:t>4</w:t>
            </w:r>
          </w:p>
        </w:tc>
        <w:tc>
          <w:tcPr>
            <w:tcW w:w="60" w:type="dxa"/>
            <w:tcBorders>
              <w:bottom w:val="single" w:sz="6" w:space="0" w:color="732282"/>
            </w:tcBorders>
            <w:shd w:fill="E5E5E5" w:val="clear"/>
            <w:tcMar>
              <w:bottom w:w="28" w:type="dxa"/>
            </w:tcMar>
            <w:vAlign w:val="center"/>
          </w:tcPr>
          <w:p>
            <w:pPr>
              <w:pStyle w:val="TableContents"/>
              <w:spacing w:before="0" w:after="283"/>
              <w:rPr/>
            </w:pPr>
            <w:r>
              <w:rPr/>
              <w:t> </w:t>
            </w:r>
          </w:p>
        </w:tc>
        <w:tc>
          <w:tcPr>
            <w:tcW w:w="1010" w:type="dxa"/>
            <w:tcBorders>
              <w:bottom w:val="single" w:sz="6" w:space="0" w:color="732282"/>
            </w:tcBorders>
            <w:shd w:fill="E5E5E5" w:val="clear"/>
            <w:tcMar>
              <w:bottom w:w="28" w:type="dxa"/>
            </w:tcMar>
            <w:vAlign w:val="center"/>
          </w:tcPr>
          <w:p>
            <w:pPr>
              <w:pStyle w:val="TableContents"/>
              <w:spacing w:before="0" w:after="283"/>
              <w:jc w:val="center"/>
              <w:rPr/>
            </w:pPr>
            <w:r>
              <w:rPr/>
              <w:t>1</w:t>
            </w:r>
          </w:p>
        </w:tc>
        <w:tc>
          <w:tcPr>
            <w:tcW w:w="60" w:type="dxa"/>
            <w:tcBorders>
              <w:bottom w:val="single" w:sz="6" w:space="0" w:color="732282"/>
            </w:tcBorders>
            <w:shd w:fill="E5E5E5" w:val="clear"/>
            <w:tcMar>
              <w:bottom w:w="28" w:type="dxa"/>
            </w:tcMar>
            <w:vAlign w:val="center"/>
          </w:tcPr>
          <w:p>
            <w:pPr>
              <w:pStyle w:val="TableContents"/>
              <w:spacing w:before="0" w:after="283"/>
              <w:rPr/>
            </w:pPr>
            <w:r>
              <w:rPr/>
              <w:t> </w:t>
            </w:r>
          </w:p>
        </w:tc>
        <w:tc>
          <w:tcPr>
            <w:tcW w:w="830" w:type="dxa"/>
            <w:tcBorders>
              <w:bottom w:val="single" w:sz="6" w:space="0" w:color="732282"/>
            </w:tcBorders>
            <w:shd w:fill="E5E5E5" w:val="clear"/>
            <w:tcMar>
              <w:bottom w:w="28" w:type="dxa"/>
            </w:tcMar>
            <w:vAlign w:val="center"/>
          </w:tcPr>
          <w:p>
            <w:pPr>
              <w:pStyle w:val="TableContents"/>
              <w:spacing w:before="0" w:after="283"/>
              <w:jc w:val="center"/>
              <w:rPr/>
            </w:pPr>
            <w:r>
              <w:rPr/>
              <w:t>4</w:t>
            </w:r>
          </w:p>
        </w:tc>
        <w:tc>
          <w:tcPr>
            <w:tcW w:w="60" w:type="dxa"/>
            <w:tcBorders>
              <w:bottom w:val="single" w:sz="6" w:space="0" w:color="732282"/>
            </w:tcBorders>
            <w:shd w:fill="E5E5E5" w:val="clear"/>
            <w:tcMar>
              <w:bottom w:w="28" w:type="dxa"/>
            </w:tcMar>
            <w:vAlign w:val="center"/>
          </w:tcPr>
          <w:p>
            <w:pPr>
              <w:pStyle w:val="TableContents"/>
              <w:spacing w:before="0" w:after="283"/>
              <w:rPr/>
            </w:pPr>
            <w:r>
              <w:rPr/>
              <w:t> </w:t>
            </w:r>
          </w:p>
        </w:tc>
        <w:tc>
          <w:tcPr>
            <w:tcW w:w="1250" w:type="dxa"/>
            <w:tcBorders>
              <w:bottom w:val="single" w:sz="6" w:space="0" w:color="732282"/>
            </w:tcBorders>
            <w:shd w:fill="E5E5E5" w:val="clear"/>
            <w:tcMar>
              <w:bottom w:w="28" w:type="dxa"/>
            </w:tcMar>
            <w:vAlign w:val="center"/>
          </w:tcPr>
          <w:p>
            <w:pPr>
              <w:pStyle w:val="TableContents"/>
              <w:spacing w:before="0" w:after="283"/>
              <w:jc w:val="center"/>
              <w:rPr/>
            </w:pPr>
            <w:r>
              <w:rPr/>
              <w:t>5</w:t>
            </w:r>
          </w:p>
        </w:tc>
        <w:tc>
          <w:tcPr>
            <w:tcW w:w="60" w:type="dxa"/>
            <w:tcBorders>
              <w:bottom w:val="single" w:sz="6" w:space="0" w:color="732282"/>
            </w:tcBorders>
            <w:shd w:fill="E5E5E5" w:val="clear"/>
            <w:tcMar>
              <w:bottom w:w="28" w:type="dxa"/>
            </w:tcMar>
            <w:vAlign w:val="center"/>
          </w:tcPr>
          <w:p>
            <w:pPr>
              <w:pStyle w:val="TableContents"/>
              <w:spacing w:before="0" w:after="283"/>
              <w:rPr/>
            </w:pPr>
            <w:r>
              <w:rPr/>
              <w:t> </w:t>
            </w:r>
          </w:p>
        </w:tc>
        <w:tc>
          <w:tcPr>
            <w:tcW w:w="1025" w:type="dxa"/>
            <w:tcBorders>
              <w:bottom w:val="single" w:sz="6" w:space="0" w:color="732282"/>
            </w:tcBorders>
            <w:shd w:fill="E5E5E5" w:val="clear"/>
            <w:tcMar>
              <w:bottom w:w="28" w:type="dxa"/>
            </w:tcMar>
            <w:vAlign w:val="center"/>
          </w:tcPr>
          <w:p>
            <w:pPr>
              <w:pStyle w:val="TableContents"/>
              <w:spacing w:before="0" w:after="283"/>
              <w:jc w:val="center"/>
              <w:rPr/>
            </w:pPr>
            <w:r>
              <w:rPr/>
              <w:t>4</w:t>
            </w:r>
          </w:p>
        </w:tc>
      </w:tr>
    </w:tbl>
    <w:tbl>
      <w:tblPr>
        <w:tblW w:w="10205" w:type="dxa"/>
        <w:jc w:val="left"/>
        <w:tblInd w:w="0" w:type="dxa"/>
        <w:tblCellMar>
          <w:top w:w="0" w:type="dxa"/>
          <w:left w:w="0" w:type="dxa"/>
          <w:bottom w:w="0" w:type="dxa"/>
          <w:right w:w="0" w:type="dxa"/>
        </w:tblCellMar>
      </w:tblPr>
      <w:tblGrid>
        <w:gridCol w:w="274"/>
        <w:gridCol w:w="9931"/>
      </w:tblGrid>
      <w:tr>
        <w:trPr/>
        <w:tc>
          <w:tcPr>
            <w:tcW w:w="274" w:type="dxa"/>
            <w:tcBorders/>
            <w:shd w:fill="auto" w:val="clear"/>
            <w:vAlign w:val="center"/>
          </w:tcPr>
          <w:p>
            <w:pPr>
              <w:pStyle w:val="TableContents"/>
              <w:spacing w:before="0" w:after="283"/>
              <w:jc w:val="left"/>
              <w:rPr/>
            </w:pPr>
            <w:r>
              <w:rPr/>
              <w:t>(1)</w:t>
            </w:r>
          </w:p>
        </w:tc>
        <w:tc>
          <w:tcPr>
            <w:tcW w:w="9931" w:type="dxa"/>
            <w:tcBorders/>
            <w:shd w:fill="auto" w:val="clear"/>
            <w:vAlign w:val="center"/>
          </w:tcPr>
          <w:p>
            <w:pPr>
              <w:pStyle w:val="TableContents"/>
              <w:spacing w:before="0" w:after="0"/>
              <w:jc w:val="both"/>
              <w:rPr>
                <w:rFonts w:ascii="arial" w:hAnsi="arial"/>
                <w:sz w:val="16"/>
              </w:rPr>
            </w:pPr>
            <w:r>
              <w:rPr>
                <w:rFonts w:ascii="arial" w:hAnsi="arial"/>
                <w:sz w:val="16"/>
              </w:rPr>
              <w:t xml:space="preserve">In February 2023, Richard Mark became Chair of the Audit Committee and joined the Executive Committee, Elisha Finney joined the Audit and Finance Committees and Harry A. Korman joined the Compensation Committee. </w:t>
            </w:r>
          </w:p>
        </w:tc>
      </w:tr>
    </w:tbl>
    <w:p>
      <w:pPr>
        <w:pStyle w:val="TextBody"/>
        <w:spacing w:before="360" w:after="0"/>
        <w:jc w:val="left"/>
        <w:rPr>
          <w:rFonts w:ascii="arial" w:hAnsi="arial"/>
          <w:b/>
          <w:sz w:val="20"/>
        </w:rPr>
      </w:pPr>
      <w:r>
        <w:rPr>
          <w:rFonts w:ascii="arial" w:hAnsi="arial"/>
          <w:b/>
          <w:sz w:val="20"/>
        </w:rPr>
        <w:t xml:space="preserve">Audit Committee Responsibilities </w:t>
      </w:r>
    </w:p>
    <w:p>
      <w:pPr>
        <w:pStyle w:val="TextBody"/>
        <w:spacing w:before="120" w:after="0"/>
        <w:jc w:val="both"/>
        <w:rPr>
          <w:rFonts w:ascii="arial" w:hAnsi="arial"/>
          <w:sz w:val="18"/>
        </w:rPr>
      </w:pPr>
      <w:r>
        <w:rPr>
          <w:rFonts w:ascii="arial" w:hAnsi="arial"/>
          <w:sz w:val="18"/>
        </w:rPr>
        <w:t xml:space="preserve">The Audit Committee’s key oversight responsibilities include, but are not limited to: </w:t>
      </w:r>
    </w:p>
    <w:p>
      <w:pPr>
        <w:pStyle w:val="TextBody"/>
        <w:spacing w:before="0" w:after="0"/>
        <w:jc w:val="left"/>
        <w:rPr/>
      </w:pPr>
      <w:r>
        <w:rPr/>
        <w:t> </w:t>
      </w:r>
    </w:p>
    <w:tbl>
      <w:tblPr>
        <w:tblW w:w="8395" w:type="dxa"/>
        <w:jc w:val="left"/>
        <w:tblInd w:w="0" w:type="dxa"/>
        <w:tblCellMar>
          <w:top w:w="0" w:type="dxa"/>
          <w:left w:w="0" w:type="dxa"/>
          <w:bottom w:w="0" w:type="dxa"/>
          <w:right w:w="0" w:type="dxa"/>
        </w:tblCellMar>
      </w:tblPr>
      <w:tblGrid>
        <w:gridCol w:w="75"/>
        <w:gridCol w:w="110"/>
        <w:gridCol w:w="60"/>
        <w:gridCol w:w="815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150" w:type="dxa"/>
            <w:tcBorders/>
            <w:shd w:fill="auto" w:val="clear"/>
            <w:vAlign w:val="center"/>
          </w:tcPr>
          <w:p>
            <w:pPr>
              <w:pStyle w:val="TableContents"/>
              <w:spacing w:before="0" w:after="0"/>
              <w:jc w:val="both"/>
              <w:rPr>
                <w:rFonts w:ascii="arial" w:hAnsi="arial"/>
                <w:sz w:val="18"/>
              </w:rPr>
            </w:pPr>
            <w:r>
              <w:rPr>
                <w:rFonts w:ascii="arial" w:hAnsi="arial"/>
                <w:sz w:val="18"/>
              </w:rPr>
              <w:t xml:space="preserve">Integrity of the Company’s financial statements and its accounting and financial reporting processes </w:t>
            </w:r>
          </w:p>
        </w:tc>
      </w:tr>
    </w:tbl>
    <w:p>
      <w:pPr>
        <w:pStyle w:val="TextBody"/>
        <w:spacing w:before="0" w:after="0"/>
        <w:jc w:val="left"/>
        <w:rPr/>
      </w:pPr>
      <w:r>
        <w:rPr/>
        <w:t> </w:t>
      </w:r>
    </w:p>
    <w:tbl>
      <w:tblPr>
        <w:tblW w:w="6055" w:type="dxa"/>
        <w:jc w:val="left"/>
        <w:tblInd w:w="0" w:type="dxa"/>
        <w:tblCellMar>
          <w:top w:w="0" w:type="dxa"/>
          <w:left w:w="0" w:type="dxa"/>
          <w:bottom w:w="0" w:type="dxa"/>
          <w:right w:w="0" w:type="dxa"/>
        </w:tblCellMar>
      </w:tblPr>
      <w:tblGrid>
        <w:gridCol w:w="75"/>
        <w:gridCol w:w="110"/>
        <w:gridCol w:w="60"/>
        <w:gridCol w:w="581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810" w:type="dxa"/>
            <w:tcBorders/>
            <w:shd w:fill="auto" w:val="clear"/>
            <w:vAlign w:val="center"/>
          </w:tcPr>
          <w:p>
            <w:pPr>
              <w:pStyle w:val="TableContents"/>
              <w:spacing w:before="0" w:after="0"/>
              <w:jc w:val="both"/>
              <w:rPr>
                <w:rFonts w:ascii="arial" w:hAnsi="arial"/>
                <w:sz w:val="18"/>
              </w:rPr>
            </w:pPr>
            <w:r>
              <w:rPr>
                <w:rFonts w:ascii="arial" w:hAnsi="arial"/>
                <w:sz w:val="18"/>
              </w:rPr>
              <w:t xml:space="preserve">Effectiveness of the Company’s internal control over financial reporting </w:t>
            </w:r>
          </w:p>
        </w:tc>
      </w:tr>
    </w:tbl>
    <w:p>
      <w:pPr>
        <w:pStyle w:val="TextBody"/>
        <w:spacing w:before="0" w:after="0"/>
        <w:jc w:val="left"/>
        <w:rPr/>
      </w:pPr>
      <w:r>
        <w:rPr/>
        <w:t> </w:t>
      </w:r>
    </w:p>
    <w:tbl>
      <w:tblPr>
        <w:tblW w:w="8470" w:type="dxa"/>
        <w:jc w:val="left"/>
        <w:tblInd w:w="0" w:type="dxa"/>
        <w:tblCellMar>
          <w:top w:w="0" w:type="dxa"/>
          <w:left w:w="0" w:type="dxa"/>
          <w:bottom w:w="0" w:type="dxa"/>
          <w:right w:w="0" w:type="dxa"/>
        </w:tblCellMar>
      </w:tblPr>
      <w:tblGrid>
        <w:gridCol w:w="75"/>
        <w:gridCol w:w="110"/>
        <w:gridCol w:w="60"/>
        <w:gridCol w:w="822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225" w:type="dxa"/>
            <w:tcBorders/>
            <w:shd w:fill="auto" w:val="clear"/>
            <w:vAlign w:val="center"/>
          </w:tcPr>
          <w:p>
            <w:pPr>
              <w:pStyle w:val="TableContents"/>
              <w:spacing w:before="0" w:after="0"/>
              <w:jc w:val="both"/>
              <w:rPr>
                <w:rFonts w:ascii="arial" w:hAnsi="arial"/>
                <w:sz w:val="18"/>
              </w:rPr>
            </w:pPr>
            <w:r>
              <w:rPr>
                <w:rFonts w:ascii="arial" w:hAnsi="arial"/>
                <w:sz w:val="18"/>
              </w:rPr>
              <w:t xml:space="preserve">Qualifications, independence, and performance of the independent registered public accounting firm </w:t>
            </w:r>
          </w:p>
        </w:tc>
      </w:tr>
    </w:tbl>
    <w:p>
      <w:pPr>
        <w:pStyle w:val="TextBody"/>
        <w:spacing w:before="0" w:after="0"/>
        <w:jc w:val="left"/>
        <w:rPr/>
      </w:pPr>
      <w:r>
        <w:rPr/>
        <w:t> </w:t>
      </w:r>
    </w:p>
    <w:tbl>
      <w:tblPr>
        <w:tblW w:w="8425" w:type="dxa"/>
        <w:jc w:val="left"/>
        <w:tblInd w:w="0" w:type="dxa"/>
        <w:tblCellMar>
          <w:top w:w="0" w:type="dxa"/>
          <w:left w:w="0" w:type="dxa"/>
          <w:bottom w:w="0" w:type="dxa"/>
          <w:right w:w="0" w:type="dxa"/>
        </w:tblCellMar>
      </w:tblPr>
      <w:tblGrid>
        <w:gridCol w:w="75"/>
        <w:gridCol w:w="110"/>
        <w:gridCol w:w="60"/>
        <w:gridCol w:w="818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180" w:type="dxa"/>
            <w:tcBorders/>
            <w:shd w:fill="auto" w:val="clear"/>
            <w:vAlign w:val="center"/>
          </w:tcPr>
          <w:p>
            <w:pPr>
              <w:pStyle w:val="TableContents"/>
              <w:spacing w:before="0" w:after="0"/>
              <w:jc w:val="both"/>
              <w:rPr>
                <w:rFonts w:ascii="arial" w:hAnsi="arial"/>
                <w:sz w:val="18"/>
              </w:rPr>
            </w:pPr>
            <w:r>
              <w:rPr>
                <w:rFonts w:ascii="arial" w:hAnsi="arial"/>
                <w:sz w:val="18"/>
              </w:rPr>
              <w:t xml:space="preserve">Services to be performed by, and fees payable to, the independent registered public accounting firm </w:t>
            </w:r>
          </w:p>
        </w:tc>
      </w:tr>
    </w:tbl>
    <w:p>
      <w:pPr>
        <w:pStyle w:val="TextBody"/>
        <w:spacing w:before="0" w:after="0"/>
        <w:jc w:val="left"/>
        <w:rPr/>
      </w:pPr>
      <w:r>
        <w:rPr/>
        <w:t> </w:t>
      </w:r>
    </w:p>
    <w:tbl>
      <w:tblPr>
        <w:tblW w:w="1930" w:type="dxa"/>
        <w:jc w:val="left"/>
        <w:tblInd w:w="0" w:type="dxa"/>
        <w:tblCellMar>
          <w:top w:w="0" w:type="dxa"/>
          <w:left w:w="0" w:type="dxa"/>
          <w:bottom w:w="0" w:type="dxa"/>
          <w:right w:w="0" w:type="dxa"/>
        </w:tblCellMar>
      </w:tblPr>
      <w:tblGrid>
        <w:gridCol w:w="75"/>
        <w:gridCol w:w="110"/>
        <w:gridCol w:w="60"/>
        <w:gridCol w:w="168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685" w:type="dxa"/>
            <w:tcBorders/>
            <w:shd w:fill="auto" w:val="clear"/>
            <w:vAlign w:val="center"/>
          </w:tcPr>
          <w:p>
            <w:pPr>
              <w:pStyle w:val="TableContents"/>
              <w:spacing w:before="0" w:after="0"/>
              <w:jc w:val="both"/>
              <w:rPr>
                <w:rFonts w:ascii="arial" w:hAnsi="arial"/>
                <w:sz w:val="18"/>
              </w:rPr>
            </w:pPr>
            <w:r>
              <w:rPr>
                <w:rFonts w:ascii="arial" w:hAnsi="arial"/>
                <w:sz w:val="18"/>
              </w:rPr>
              <w:t xml:space="preserve">Internal Audit group </w:t>
            </w:r>
          </w:p>
        </w:tc>
      </w:tr>
    </w:tbl>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14 </w:t>
      </w:r>
      <w:r>
        <w:br w:type="page"/>
      </w:r>
    </w:p>
    <w:p>
      <w:pPr>
        <w:pStyle w:val="HorizontalLine"/>
        <w:rPr/>
      </w:pPr>
      <w:r>
        <w:rPr/>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arial" w:hAnsi="arial"/>
                <w:sz w:val="18"/>
              </w:rPr>
            </w:pPr>
            <w:r>
              <w:rPr>
                <w:rFonts w:ascii="arial" w:hAnsi="arial"/>
                <w:sz w:val="18"/>
              </w:rPr>
              <w:t xml:space="preserve">Company processes and procedures related to risk assessment and risk management of financial and disclosure control-related, as well as SEC reporting-related matters </w:t>
            </w:r>
          </w:p>
        </w:tc>
      </w:tr>
    </w:tbl>
    <w:p>
      <w:pPr>
        <w:pStyle w:val="TextBody"/>
        <w:spacing w:before="0" w:after="0"/>
        <w:jc w:val="left"/>
        <w:rPr/>
      </w:pPr>
      <w:r>
        <w:rPr/>
        <w:t> </w:t>
      </w:r>
    </w:p>
    <w:tbl>
      <w:tblPr>
        <w:tblW w:w="2455" w:type="dxa"/>
        <w:jc w:val="left"/>
        <w:tblInd w:w="0" w:type="dxa"/>
        <w:tblCellMar>
          <w:top w:w="0" w:type="dxa"/>
          <w:left w:w="0" w:type="dxa"/>
          <w:bottom w:w="0" w:type="dxa"/>
          <w:right w:w="0" w:type="dxa"/>
        </w:tblCellMar>
      </w:tblPr>
      <w:tblGrid>
        <w:gridCol w:w="75"/>
        <w:gridCol w:w="110"/>
        <w:gridCol w:w="60"/>
        <w:gridCol w:w="221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210" w:type="dxa"/>
            <w:tcBorders/>
            <w:shd w:fill="auto" w:val="clear"/>
            <w:vAlign w:val="center"/>
          </w:tcPr>
          <w:p>
            <w:pPr>
              <w:pStyle w:val="TableContents"/>
              <w:spacing w:before="0" w:after="0"/>
              <w:jc w:val="both"/>
              <w:rPr>
                <w:rFonts w:ascii="arial" w:hAnsi="arial"/>
                <w:sz w:val="18"/>
              </w:rPr>
            </w:pPr>
            <w:r>
              <w:rPr>
                <w:rFonts w:ascii="arial" w:hAnsi="arial"/>
                <w:sz w:val="18"/>
              </w:rPr>
              <w:t xml:space="preserve">Related party transactions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arial" w:hAnsi="arial"/>
                <w:sz w:val="18"/>
              </w:rPr>
            </w:pPr>
            <w:r>
              <w:rPr>
                <w:rFonts w:ascii="arial" w:hAnsi="arial"/>
                <w:sz w:val="18"/>
              </w:rPr>
              <w:t xml:space="preserve">Company compliance with applicable legal and regulatory requirements (including U.S. federal securities laws) regarding the preceding matters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arial" w:hAnsi="arial"/>
                <w:sz w:val="18"/>
              </w:rPr>
            </w:pPr>
            <w:r>
              <w:rPr>
                <w:rFonts w:ascii="arial" w:hAnsi="arial"/>
                <w:sz w:val="18"/>
              </w:rPr>
              <w:t xml:space="preserve">Review of any critical audit matters identified by the independent registered public accounting firm in connection with its audit of the Company’s annual financial statements </w:t>
            </w:r>
          </w:p>
        </w:tc>
      </w:tr>
    </w:tbl>
    <w:p>
      <w:pPr>
        <w:pStyle w:val="TextBody"/>
        <w:spacing w:before="360" w:after="0"/>
        <w:jc w:val="left"/>
        <w:rPr>
          <w:rFonts w:ascii="arial" w:hAnsi="arial"/>
          <w:b/>
          <w:sz w:val="20"/>
        </w:rPr>
      </w:pPr>
      <w:r>
        <w:rPr>
          <w:rFonts w:ascii="arial" w:hAnsi="arial"/>
          <w:b/>
          <w:sz w:val="20"/>
        </w:rPr>
        <w:t xml:space="preserve">Compensation Committee Responsibilities </w:t>
      </w:r>
    </w:p>
    <w:p>
      <w:pPr>
        <w:pStyle w:val="TextBody"/>
        <w:spacing w:before="120" w:after="0"/>
        <w:jc w:val="both"/>
        <w:rPr>
          <w:rFonts w:ascii="arial" w:hAnsi="arial"/>
          <w:sz w:val="18"/>
        </w:rPr>
      </w:pPr>
      <w:r>
        <w:rPr>
          <w:rFonts w:ascii="arial" w:hAnsi="arial"/>
          <w:sz w:val="18"/>
        </w:rPr>
        <w:t xml:space="preserve">The Compensation Committee’s key oversight responsibilities include, but are not limited to: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arial" w:hAnsi="arial"/>
                <w:sz w:val="18"/>
              </w:rPr>
            </w:pPr>
            <w:r>
              <w:rPr>
                <w:rFonts w:ascii="arial" w:hAnsi="arial"/>
                <w:sz w:val="18"/>
              </w:rPr>
              <w:t xml:space="preserve">Executive Chairman, CEO, and senior management compensation, including the corporate goals and objectives relevant to such compensation </w:t>
            </w:r>
          </w:p>
        </w:tc>
      </w:tr>
    </w:tbl>
    <w:p>
      <w:pPr>
        <w:pStyle w:val="TextBody"/>
        <w:spacing w:before="0" w:after="0"/>
        <w:jc w:val="left"/>
        <w:rPr/>
      </w:pPr>
      <w:r>
        <w:rPr/>
        <w:t> </w:t>
      </w:r>
    </w:p>
    <w:tbl>
      <w:tblPr>
        <w:tblW w:w="3265" w:type="dxa"/>
        <w:jc w:val="left"/>
        <w:tblInd w:w="0" w:type="dxa"/>
        <w:tblCellMar>
          <w:top w:w="0" w:type="dxa"/>
          <w:left w:w="0" w:type="dxa"/>
          <w:bottom w:w="0" w:type="dxa"/>
          <w:right w:w="0" w:type="dxa"/>
        </w:tblCellMar>
      </w:tblPr>
      <w:tblGrid>
        <w:gridCol w:w="75"/>
        <w:gridCol w:w="110"/>
        <w:gridCol w:w="60"/>
        <w:gridCol w:w="3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Board and committee compensation </w:t>
            </w:r>
          </w:p>
        </w:tc>
      </w:tr>
    </w:tbl>
    <w:p>
      <w:pPr>
        <w:pStyle w:val="TextBody"/>
        <w:spacing w:before="0" w:after="0"/>
        <w:jc w:val="left"/>
        <w:rPr/>
      </w:pPr>
      <w:r>
        <w:rPr/>
        <w:t> </w:t>
      </w:r>
    </w:p>
    <w:tbl>
      <w:tblPr>
        <w:tblW w:w="6415" w:type="dxa"/>
        <w:jc w:val="left"/>
        <w:tblInd w:w="0" w:type="dxa"/>
        <w:tblCellMar>
          <w:top w:w="0" w:type="dxa"/>
          <w:left w:w="0" w:type="dxa"/>
          <w:bottom w:w="0" w:type="dxa"/>
          <w:right w:w="0" w:type="dxa"/>
        </w:tblCellMar>
      </w:tblPr>
      <w:tblGrid>
        <w:gridCol w:w="75"/>
        <w:gridCol w:w="110"/>
        <w:gridCol w:w="60"/>
        <w:gridCol w:w="617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170" w:type="dxa"/>
            <w:tcBorders/>
            <w:shd w:fill="auto" w:val="clear"/>
            <w:vAlign w:val="center"/>
          </w:tcPr>
          <w:p>
            <w:pPr>
              <w:pStyle w:val="TableContents"/>
              <w:spacing w:before="0" w:after="0"/>
              <w:jc w:val="both"/>
              <w:rPr>
                <w:rFonts w:ascii="arial" w:hAnsi="arial"/>
                <w:sz w:val="18"/>
              </w:rPr>
            </w:pPr>
            <w:r>
              <w:rPr>
                <w:rFonts w:ascii="arial" w:hAnsi="arial"/>
                <w:sz w:val="18"/>
              </w:rPr>
              <w:t xml:space="preserve">Equity compensation plans in which Directors and/or executives participate </w:t>
            </w:r>
          </w:p>
        </w:tc>
      </w:tr>
    </w:tbl>
    <w:p>
      <w:pPr>
        <w:pStyle w:val="TextBody"/>
        <w:spacing w:before="0" w:after="0"/>
        <w:jc w:val="left"/>
        <w:rPr/>
      </w:pPr>
      <w:r>
        <w:rPr/>
        <w:t> </w:t>
      </w:r>
    </w:p>
    <w:tbl>
      <w:tblPr>
        <w:tblW w:w="7390" w:type="dxa"/>
        <w:jc w:val="left"/>
        <w:tblInd w:w="0" w:type="dxa"/>
        <w:tblCellMar>
          <w:top w:w="0" w:type="dxa"/>
          <w:left w:w="0" w:type="dxa"/>
          <w:bottom w:w="0" w:type="dxa"/>
          <w:right w:w="0" w:type="dxa"/>
        </w:tblCellMar>
      </w:tblPr>
      <w:tblGrid>
        <w:gridCol w:w="75"/>
        <w:gridCol w:w="110"/>
        <w:gridCol w:w="60"/>
        <w:gridCol w:w="714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145" w:type="dxa"/>
            <w:tcBorders/>
            <w:shd w:fill="auto" w:val="clear"/>
            <w:vAlign w:val="center"/>
          </w:tcPr>
          <w:p>
            <w:pPr>
              <w:pStyle w:val="TableContents"/>
              <w:spacing w:before="0" w:after="0"/>
              <w:jc w:val="both"/>
              <w:rPr>
                <w:rFonts w:ascii="arial" w:hAnsi="arial"/>
                <w:sz w:val="18"/>
              </w:rPr>
            </w:pPr>
            <w:r>
              <w:rPr>
                <w:rFonts w:ascii="arial" w:hAnsi="arial"/>
                <w:sz w:val="18"/>
              </w:rPr>
              <w:t xml:space="preserve">Compensation and benefits-related disclosures in annual reports and proxy statements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arial" w:hAnsi="arial"/>
                <w:sz w:val="18"/>
              </w:rPr>
            </w:pPr>
            <w:r>
              <w:rPr>
                <w:rFonts w:ascii="arial" w:hAnsi="arial"/>
                <w:sz w:val="18"/>
              </w:rPr>
              <w:t xml:space="preserve">Reviewing the relationship between compensation policies and practices and the Company’s risk management with respect to compensation-related matters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arial" w:hAnsi="arial"/>
                <w:sz w:val="18"/>
              </w:rPr>
            </w:pPr>
            <w:r>
              <w:rPr>
                <w:rFonts w:ascii="arial" w:hAnsi="arial"/>
                <w:sz w:val="18"/>
              </w:rPr>
              <w:t xml:space="preserve">From time to time reviewing reports from management regarding pay equity, human capital management and succession planning </w:t>
            </w:r>
          </w:p>
        </w:tc>
      </w:tr>
    </w:tbl>
    <w:p>
      <w:pPr>
        <w:pStyle w:val="TextBody"/>
        <w:spacing w:before="360" w:after="0"/>
        <w:jc w:val="left"/>
        <w:rPr>
          <w:rFonts w:ascii="arial" w:hAnsi="arial"/>
          <w:b/>
          <w:sz w:val="20"/>
        </w:rPr>
      </w:pPr>
      <w:r>
        <w:rPr>
          <w:rFonts w:ascii="arial" w:hAnsi="arial"/>
          <w:b/>
          <w:sz w:val="20"/>
        </w:rPr>
        <w:t xml:space="preserve">Compliance Committee Responsibilities </w:t>
      </w:r>
    </w:p>
    <w:p>
      <w:pPr>
        <w:pStyle w:val="TextBody"/>
        <w:spacing w:before="120" w:after="0"/>
        <w:jc w:val="both"/>
        <w:rPr>
          <w:rFonts w:ascii="arial" w:hAnsi="arial"/>
          <w:sz w:val="18"/>
        </w:rPr>
      </w:pPr>
      <w:r>
        <w:rPr>
          <w:rFonts w:ascii="arial" w:hAnsi="arial"/>
          <w:sz w:val="18"/>
        </w:rPr>
        <w:t xml:space="preserve">The Compliance Committee’s key oversight responsibilities include, but are not limited to: </w:t>
      </w:r>
    </w:p>
    <w:p>
      <w:pPr>
        <w:pStyle w:val="TextBody"/>
        <w:spacing w:before="0" w:after="0"/>
        <w:jc w:val="left"/>
        <w:rPr/>
      </w:pPr>
      <w:r>
        <w:rPr/>
        <w:t> </w:t>
      </w:r>
    </w:p>
    <w:tbl>
      <w:tblPr>
        <w:tblW w:w="7825" w:type="dxa"/>
        <w:jc w:val="left"/>
        <w:tblInd w:w="0" w:type="dxa"/>
        <w:tblCellMar>
          <w:top w:w="0" w:type="dxa"/>
          <w:left w:w="0" w:type="dxa"/>
          <w:bottom w:w="0" w:type="dxa"/>
          <w:right w:w="0" w:type="dxa"/>
        </w:tblCellMar>
      </w:tblPr>
      <w:tblGrid>
        <w:gridCol w:w="75"/>
        <w:gridCol w:w="110"/>
        <w:gridCol w:w="60"/>
        <w:gridCol w:w="758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580" w:type="dxa"/>
            <w:tcBorders/>
            <w:shd w:fill="auto" w:val="clear"/>
            <w:vAlign w:val="center"/>
          </w:tcPr>
          <w:p>
            <w:pPr>
              <w:pStyle w:val="TableContents"/>
              <w:spacing w:before="0" w:after="0"/>
              <w:jc w:val="both"/>
              <w:rPr>
                <w:rFonts w:ascii="arial" w:hAnsi="arial"/>
                <w:sz w:val="18"/>
              </w:rPr>
            </w:pPr>
            <w:r>
              <w:rPr>
                <w:rFonts w:ascii="arial" w:hAnsi="arial"/>
                <w:sz w:val="18"/>
              </w:rPr>
              <w:t xml:space="preserve">Chief Compliance Officer’s implementation of the Company’s corporate compliance program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arial" w:hAnsi="arial"/>
                <w:sz w:val="18"/>
              </w:rPr>
            </w:pPr>
            <w:r>
              <w:rPr>
                <w:rFonts w:ascii="arial" w:hAnsi="arial"/>
                <w:sz w:val="18"/>
              </w:rPr>
              <w:t xml:space="preserve">Making recommendations to the Board and/or management with respect to Viatris’ corporate compliance program, the Code of Business Conduct and Ethics, and significant related global policies, such as anti-corruption and fair competition policies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arial" w:hAnsi="arial"/>
                <w:sz w:val="18"/>
              </w:rPr>
            </w:pPr>
            <w:r>
              <w:rPr>
                <w:rFonts w:ascii="arial" w:hAnsi="arial"/>
                <w:sz w:val="18"/>
              </w:rPr>
              <w:t xml:space="preserve">Reviewing significant global compliance-related policies implementing the Company’s Code of Business Conduct and Ethics, or related to the operations of the Company’s business and its mode or methods of doing business, including, for example, policies relating to pricing and/or commercialization of Company products and services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arial" w:hAnsi="arial"/>
                <w:sz w:val="18"/>
              </w:rPr>
            </w:pPr>
            <w:r>
              <w:rPr>
                <w:rFonts w:ascii="arial" w:hAnsi="arial"/>
                <w:sz w:val="18"/>
              </w:rPr>
              <w:t xml:space="preserve">Reviewing metrics used by management or requested by the Committee to provide insight into the status and efficacy of the corporate compliance program, including the Company’s global compliance systems and organization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arial" w:hAnsi="arial"/>
                <w:sz w:val="18"/>
              </w:rPr>
            </w:pPr>
            <w:r>
              <w:rPr>
                <w:rFonts w:ascii="arial" w:hAnsi="arial"/>
                <w:sz w:val="18"/>
              </w:rPr>
              <w:t xml:space="preserve">Reviewing reports of significant actual and alleged violations of the Code of Business Conduct and Ethics, corporate policies and procedures, and applicable laws and regulations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arial" w:hAnsi="arial"/>
                <w:sz w:val="18"/>
              </w:rPr>
            </w:pPr>
            <w:r>
              <w:rPr>
                <w:rFonts w:ascii="arial" w:hAnsi="arial"/>
                <w:sz w:val="18"/>
              </w:rPr>
              <w:t xml:space="preserve">Reviewing checks and balances implemented by the Company designed to support and promote compliance with approved corporate policies, legal rules, and regulations </w:t>
            </w:r>
          </w:p>
        </w:tc>
      </w:tr>
    </w:tbl>
    <w:p>
      <w:pPr>
        <w:pStyle w:val="TextBody"/>
        <w:spacing w:before="0" w:after="0"/>
        <w:jc w:val="left"/>
        <w:rPr/>
      </w:pPr>
      <w:r>
        <w:rPr/>
        <w:t> </w:t>
      </w:r>
    </w:p>
    <w:tbl>
      <w:tblPr>
        <w:tblW w:w="8530" w:type="dxa"/>
        <w:jc w:val="left"/>
        <w:tblInd w:w="0" w:type="dxa"/>
        <w:tblCellMar>
          <w:top w:w="0" w:type="dxa"/>
          <w:left w:w="0" w:type="dxa"/>
          <w:bottom w:w="0" w:type="dxa"/>
          <w:right w:w="0" w:type="dxa"/>
        </w:tblCellMar>
      </w:tblPr>
      <w:tblGrid>
        <w:gridCol w:w="75"/>
        <w:gridCol w:w="110"/>
        <w:gridCol w:w="60"/>
        <w:gridCol w:w="828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285" w:type="dxa"/>
            <w:tcBorders/>
            <w:shd w:fill="auto" w:val="clear"/>
            <w:vAlign w:val="center"/>
          </w:tcPr>
          <w:p>
            <w:pPr>
              <w:pStyle w:val="TableContents"/>
              <w:spacing w:before="0" w:after="0"/>
              <w:jc w:val="both"/>
              <w:rPr>
                <w:rFonts w:ascii="arial" w:hAnsi="arial"/>
                <w:sz w:val="18"/>
              </w:rPr>
            </w:pPr>
            <w:r>
              <w:rPr>
                <w:rFonts w:ascii="arial" w:hAnsi="arial"/>
                <w:sz w:val="18"/>
              </w:rPr>
              <w:t xml:space="preserve">Overseeing the Company’s policies and procedures for corporate political and lobbying expenditures </w:t>
            </w:r>
          </w:p>
        </w:tc>
      </w:tr>
    </w:tbl>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15 </w:t>
      </w:r>
      <w:r>
        <w:br w:type="page"/>
      </w:r>
    </w:p>
    <w:p>
      <w:pPr>
        <w:pStyle w:val="HorizontalLine"/>
        <w:rPr/>
      </w:pPr>
      <w:r>
        <w:rPr/>
      </w:r>
    </w:p>
    <w:p>
      <w:pPr>
        <w:pStyle w:val="TextBody"/>
        <w:spacing w:before="0" w:after="0"/>
        <w:jc w:val="left"/>
        <w:rPr>
          <w:rFonts w:ascii="arial" w:hAnsi="arial"/>
          <w:b/>
          <w:sz w:val="20"/>
        </w:rPr>
      </w:pPr>
      <w:r>
        <w:rPr>
          <w:rFonts w:ascii="arial" w:hAnsi="arial"/>
          <w:b/>
          <w:sz w:val="20"/>
        </w:rPr>
        <w:t xml:space="preserve">Executive Committee Responsibilities </w:t>
      </w:r>
    </w:p>
    <w:p>
      <w:pPr>
        <w:pStyle w:val="TextBody"/>
        <w:spacing w:before="120" w:after="0"/>
        <w:jc w:val="both"/>
        <w:rPr>
          <w:rFonts w:ascii="arial" w:hAnsi="arial"/>
          <w:sz w:val="18"/>
        </w:rPr>
      </w:pPr>
      <w:r>
        <w:rPr>
          <w:rFonts w:ascii="arial" w:hAnsi="arial"/>
          <w:sz w:val="18"/>
        </w:rPr>
        <w:t xml:space="preserve">The Executive Committee’s key oversight responsibilities include, but are not limited to: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arial" w:hAnsi="arial"/>
                <w:sz w:val="18"/>
              </w:rPr>
            </w:pPr>
            <w:r>
              <w:rPr>
                <w:rFonts w:ascii="arial" w:hAnsi="arial"/>
                <w:sz w:val="18"/>
              </w:rPr>
              <w:t xml:space="preserve">Assisting the Board in fulfilling its fiduciary responsibilities by exercising those powers of the Board not otherwise limited by a resolution of the Board or by law </w:t>
            </w:r>
          </w:p>
        </w:tc>
      </w:tr>
    </w:tbl>
    <w:p>
      <w:pPr>
        <w:pStyle w:val="TextBody"/>
        <w:spacing w:before="0" w:after="0"/>
        <w:jc w:val="left"/>
        <w:rPr/>
      </w:pPr>
      <w:r>
        <w:rPr/>
        <w:t> </w:t>
      </w:r>
    </w:p>
    <w:tbl>
      <w:tblPr>
        <w:tblW w:w="6010" w:type="dxa"/>
        <w:jc w:val="left"/>
        <w:tblInd w:w="0" w:type="dxa"/>
        <w:tblCellMar>
          <w:top w:w="0" w:type="dxa"/>
          <w:left w:w="0" w:type="dxa"/>
          <w:bottom w:w="0" w:type="dxa"/>
          <w:right w:w="0" w:type="dxa"/>
        </w:tblCellMar>
      </w:tblPr>
      <w:tblGrid>
        <w:gridCol w:w="75"/>
        <w:gridCol w:w="110"/>
        <w:gridCol w:w="60"/>
        <w:gridCol w:w="576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765" w:type="dxa"/>
            <w:tcBorders/>
            <w:shd w:fill="auto" w:val="clear"/>
            <w:vAlign w:val="center"/>
          </w:tcPr>
          <w:p>
            <w:pPr>
              <w:pStyle w:val="TableContents"/>
              <w:spacing w:before="0" w:after="0"/>
              <w:jc w:val="both"/>
              <w:rPr>
                <w:rFonts w:ascii="arial" w:hAnsi="arial"/>
                <w:sz w:val="18"/>
              </w:rPr>
            </w:pPr>
            <w:r>
              <w:rPr>
                <w:rFonts w:ascii="arial" w:hAnsi="arial"/>
                <w:sz w:val="18"/>
              </w:rPr>
              <w:t xml:space="preserve">Strategic planning and additional oversight of strategy implementation </w:t>
            </w:r>
          </w:p>
        </w:tc>
      </w:tr>
    </w:tbl>
    <w:p>
      <w:pPr>
        <w:pStyle w:val="TextBody"/>
        <w:spacing w:before="360" w:after="0"/>
        <w:jc w:val="left"/>
        <w:rPr>
          <w:rFonts w:ascii="arial" w:hAnsi="arial"/>
          <w:b/>
          <w:sz w:val="20"/>
        </w:rPr>
      </w:pPr>
      <w:r>
        <w:rPr>
          <w:rFonts w:ascii="arial" w:hAnsi="arial"/>
          <w:b/>
          <w:sz w:val="20"/>
        </w:rPr>
        <w:t xml:space="preserve">Finance Committee Responsibilities </w:t>
      </w:r>
    </w:p>
    <w:p>
      <w:pPr>
        <w:pStyle w:val="TextBody"/>
        <w:spacing w:before="120" w:after="0"/>
        <w:jc w:val="both"/>
        <w:rPr>
          <w:rFonts w:ascii="arial" w:hAnsi="arial"/>
          <w:sz w:val="18"/>
        </w:rPr>
      </w:pPr>
      <w:r>
        <w:rPr>
          <w:rFonts w:ascii="arial" w:hAnsi="arial"/>
          <w:sz w:val="18"/>
        </w:rPr>
        <w:t xml:space="preserve">The Finance Committee’s key oversight responsibilities include, but are not limited to: </w:t>
      </w:r>
    </w:p>
    <w:p>
      <w:pPr>
        <w:pStyle w:val="TextBody"/>
        <w:spacing w:before="0" w:after="0"/>
        <w:jc w:val="left"/>
        <w:rPr/>
      </w:pPr>
      <w:r>
        <w:rPr/>
        <w:t> </w:t>
      </w:r>
    </w:p>
    <w:tbl>
      <w:tblPr>
        <w:tblW w:w="6100" w:type="dxa"/>
        <w:jc w:val="left"/>
        <w:tblInd w:w="0" w:type="dxa"/>
        <w:tblCellMar>
          <w:top w:w="0" w:type="dxa"/>
          <w:left w:w="0" w:type="dxa"/>
          <w:bottom w:w="0" w:type="dxa"/>
          <w:right w:w="0" w:type="dxa"/>
        </w:tblCellMar>
      </w:tblPr>
      <w:tblGrid>
        <w:gridCol w:w="75"/>
        <w:gridCol w:w="110"/>
        <w:gridCol w:w="60"/>
        <w:gridCol w:w="585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855" w:type="dxa"/>
            <w:tcBorders/>
            <w:shd w:fill="auto" w:val="clear"/>
            <w:vAlign w:val="center"/>
          </w:tcPr>
          <w:p>
            <w:pPr>
              <w:pStyle w:val="TableContents"/>
              <w:spacing w:before="0" w:after="0"/>
              <w:jc w:val="both"/>
              <w:rPr>
                <w:rFonts w:ascii="arial" w:hAnsi="arial"/>
                <w:sz w:val="18"/>
              </w:rPr>
            </w:pPr>
            <w:r>
              <w:rPr>
                <w:rFonts w:ascii="arial" w:hAnsi="arial"/>
                <w:sz w:val="18"/>
              </w:rPr>
              <w:t xml:space="preserve">Material mergers, acquisitions, and combinations with other companies </w:t>
            </w:r>
          </w:p>
        </w:tc>
      </w:tr>
    </w:tbl>
    <w:p>
      <w:pPr>
        <w:pStyle w:val="TextBody"/>
        <w:spacing w:before="0" w:after="0"/>
        <w:jc w:val="left"/>
        <w:rPr/>
      </w:pPr>
      <w:r>
        <w:rPr/>
        <w:t> </w:t>
      </w:r>
    </w:p>
    <w:tbl>
      <w:tblPr>
        <w:tblW w:w="3670" w:type="dxa"/>
        <w:jc w:val="left"/>
        <w:tblInd w:w="0" w:type="dxa"/>
        <w:tblCellMar>
          <w:top w:w="0" w:type="dxa"/>
          <w:left w:w="0" w:type="dxa"/>
          <w:bottom w:w="0" w:type="dxa"/>
          <w:right w:w="0" w:type="dxa"/>
        </w:tblCellMar>
      </w:tblPr>
      <w:tblGrid>
        <w:gridCol w:w="75"/>
        <w:gridCol w:w="110"/>
        <w:gridCol w:w="60"/>
        <w:gridCol w:w="342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425" w:type="dxa"/>
            <w:tcBorders/>
            <w:shd w:fill="auto" w:val="clear"/>
            <w:vAlign w:val="center"/>
          </w:tcPr>
          <w:p>
            <w:pPr>
              <w:pStyle w:val="TableContents"/>
              <w:spacing w:before="0" w:after="0"/>
              <w:jc w:val="both"/>
              <w:rPr>
                <w:rFonts w:ascii="arial" w:hAnsi="arial"/>
                <w:sz w:val="18"/>
              </w:rPr>
            </w:pPr>
            <w:r>
              <w:rPr>
                <w:rFonts w:ascii="arial" w:hAnsi="arial"/>
                <w:sz w:val="18"/>
              </w:rPr>
              <w:t xml:space="preserve">Swaps and other derivatives transactions </w:t>
            </w:r>
          </w:p>
        </w:tc>
      </w:tr>
    </w:tbl>
    <w:p>
      <w:pPr>
        <w:pStyle w:val="TextBody"/>
        <w:spacing w:before="0" w:after="0"/>
        <w:jc w:val="left"/>
        <w:rPr/>
      </w:pPr>
      <w:r>
        <w:rPr/>
        <w:t> </w:t>
      </w:r>
    </w:p>
    <w:tbl>
      <w:tblPr>
        <w:tblW w:w="2875" w:type="dxa"/>
        <w:jc w:val="left"/>
        <w:tblInd w:w="0" w:type="dxa"/>
        <w:tblCellMar>
          <w:top w:w="0" w:type="dxa"/>
          <w:left w:w="0" w:type="dxa"/>
          <w:bottom w:w="0" w:type="dxa"/>
          <w:right w:w="0" w:type="dxa"/>
        </w:tblCellMar>
      </w:tblPr>
      <w:tblGrid>
        <w:gridCol w:w="75"/>
        <w:gridCol w:w="110"/>
        <w:gridCol w:w="60"/>
        <w:gridCol w:w="263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630" w:type="dxa"/>
            <w:tcBorders/>
            <w:shd w:fill="auto" w:val="clear"/>
            <w:vAlign w:val="center"/>
          </w:tcPr>
          <w:p>
            <w:pPr>
              <w:pStyle w:val="TableContents"/>
              <w:spacing w:before="0" w:after="0"/>
              <w:jc w:val="both"/>
              <w:rPr>
                <w:rFonts w:ascii="arial" w:hAnsi="arial"/>
                <w:sz w:val="18"/>
              </w:rPr>
            </w:pPr>
            <w:r>
              <w:rPr>
                <w:rFonts w:ascii="arial" w:hAnsi="arial"/>
                <w:sz w:val="18"/>
              </w:rPr>
              <w:t xml:space="preserve">Establishment of credit facilities </w:t>
            </w:r>
          </w:p>
        </w:tc>
      </w:tr>
    </w:tbl>
    <w:p>
      <w:pPr>
        <w:pStyle w:val="TextBody"/>
        <w:spacing w:before="0" w:after="0"/>
        <w:jc w:val="left"/>
        <w:rPr/>
      </w:pPr>
      <w:r>
        <w:rPr/>
        <w:t> </w:t>
      </w:r>
    </w:p>
    <w:tbl>
      <w:tblPr>
        <w:tblW w:w="3955" w:type="dxa"/>
        <w:jc w:val="left"/>
        <w:tblInd w:w="0" w:type="dxa"/>
        <w:tblCellMar>
          <w:top w:w="0" w:type="dxa"/>
          <w:left w:w="0" w:type="dxa"/>
          <w:bottom w:w="0" w:type="dxa"/>
          <w:right w:w="0" w:type="dxa"/>
        </w:tblCellMar>
      </w:tblPr>
      <w:tblGrid>
        <w:gridCol w:w="75"/>
        <w:gridCol w:w="110"/>
        <w:gridCol w:w="60"/>
        <w:gridCol w:w="371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710" w:type="dxa"/>
            <w:tcBorders/>
            <w:shd w:fill="auto" w:val="clear"/>
            <w:vAlign w:val="center"/>
          </w:tcPr>
          <w:p>
            <w:pPr>
              <w:pStyle w:val="TableContents"/>
              <w:spacing w:before="0" w:after="0"/>
              <w:jc w:val="both"/>
              <w:rPr>
                <w:rFonts w:ascii="arial" w:hAnsi="arial"/>
                <w:sz w:val="18"/>
              </w:rPr>
            </w:pPr>
            <w:r>
              <w:rPr>
                <w:rFonts w:ascii="arial" w:hAnsi="arial"/>
                <w:sz w:val="18"/>
              </w:rPr>
              <w:t xml:space="preserve">Potential financings with commercial lenders </w:t>
            </w:r>
          </w:p>
        </w:tc>
      </w:tr>
    </w:tbl>
    <w:p>
      <w:pPr>
        <w:pStyle w:val="TextBody"/>
        <w:spacing w:before="0" w:after="0"/>
        <w:jc w:val="left"/>
        <w:rPr/>
      </w:pPr>
      <w:r>
        <w:rPr/>
        <w:t> </w:t>
      </w:r>
    </w:p>
    <w:tbl>
      <w:tblPr>
        <w:tblW w:w="6955" w:type="dxa"/>
        <w:jc w:val="left"/>
        <w:tblInd w:w="0" w:type="dxa"/>
        <w:tblCellMar>
          <w:top w:w="0" w:type="dxa"/>
          <w:left w:w="0" w:type="dxa"/>
          <w:bottom w:w="0" w:type="dxa"/>
          <w:right w:w="0" w:type="dxa"/>
        </w:tblCellMar>
      </w:tblPr>
      <w:tblGrid>
        <w:gridCol w:w="75"/>
        <w:gridCol w:w="110"/>
        <w:gridCol w:w="60"/>
        <w:gridCol w:w="671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710" w:type="dxa"/>
            <w:tcBorders/>
            <w:shd w:fill="auto" w:val="clear"/>
            <w:vAlign w:val="center"/>
          </w:tcPr>
          <w:p>
            <w:pPr>
              <w:pStyle w:val="TableContents"/>
              <w:spacing w:before="0" w:after="0"/>
              <w:jc w:val="both"/>
              <w:rPr>
                <w:rFonts w:ascii="arial" w:hAnsi="arial"/>
                <w:sz w:val="18"/>
              </w:rPr>
            </w:pPr>
            <w:r>
              <w:rPr>
                <w:rFonts w:ascii="arial" w:hAnsi="arial"/>
                <w:sz w:val="18"/>
              </w:rPr>
              <w:t xml:space="preserve">Issuance and repurchase of the Company’s debt, equity, hybrid or other securities </w:t>
            </w:r>
          </w:p>
        </w:tc>
      </w:tr>
    </w:tbl>
    <w:p>
      <w:pPr>
        <w:pStyle w:val="TextBody"/>
        <w:spacing w:before="0" w:after="0"/>
        <w:jc w:val="left"/>
        <w:rPr/>
      </w:pPr>
      <w:r>
        <w:rPr/>
        <w:t> </w:t>
      </w:r>
    </w:p>
    <w:tbl>
      <w:tblPr>
        <w:tblW w:w="4090" w:type="dxa"/>
        <w:jc w:val="left"/>
        <w:tblInd w:w="0" w:type="dxa"/>
        <w:tblCellMar>
          <w:top w:w="0" w:type="dxa"/>
          <w:left w:w="0" w:type="dxa"/>
          <w:bottom w:w="0" w:type="dxa"/>
          <w:right w:w="0" w:type="dxa"/>
        </w:tblCellMar>
      </w:tblPr>
      <w:tblGrid>
        <w:gridCol w:w="75"/>
        <w:gridCol w:w="110"/>
        <w:gridCol w:w="60"/>
        <w:gridCol w:w="384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845" w:type="dxa"/>
            <w:tcBorders/>
            <w:shd w:fill="auto" w:val="clear"/>
            <w:vAlign w:val="center"/>
          </w:tcPr>
          <w:p>
            <w:pPr>
              <w:pStyle w:val="TableContents"/>
              <w:spacing w:before="0" w:after="0"/>
              <w:jc w:val="both"/>
              <w:rPr>
                <w:rFonts w:ascii="arial" w:hAnsi="arial"/>
                <w:sz w:val="18"/>
              </w:rPr>
            </w:pPr>
            <w:r>
              <w:rPr>
                <w:rFonts w:ascii="arial" w:hAnsi="arial"/>
                <w:sz w:val="18"/>
              </w:rPr>
              <w:t xml:space="preserve">Capital structure, including dividend payments </w:t>
            </w:r>
          </w:p>
        </w:tc>
      </w:tr>
    </w:tbl>
    <w:p>
      <w:pPr>
        <w:pStyle w:val="TextBody"/>
        <w:spacing w:before="360" w:after="0"/>
        <w:jc w:val="left"/>
        <w:rPr>
          <w:rFonts w:ascii="arial" w:hAnsi="arial"/>
          <w:b/>
          <w:sz w:val="20"/>
        </w:rPr>
      </w:pPr>
      <w:r>
        <w:rPr>
          <w:rFonts w:ascii="arial" w:hAnsi="arial"/>
          <w:b/>
          <w:sz w:val="20"/>
        </w:rPr>
        <w:t xml:space="preserve">Governance and Nominating Committee Responsibilities </w:t>
      </w:r>
    </w:p>
    <w:p>
      <w:pPr>
        <w:pStyle w:val="TextBody"/>
        <w:spacing w:before="120" w:after="0"/>
        <w:jc w:val="both"/>
        <w:rPr>
          <w:rFonts w:ascii="arial" w:hAnsi="arial"/>
          <w:sz w:val="18"/>
        </w:rPr>
      </w:pPr>
      <w:r>
        <w:rPr>
          <w:rFonts w:ascii="arial" w:hAnsi="arial"/>
          <w:sz w:val="18"/>
        </w:rPr>
        <w:t xml:space="preserve">The Governance and Nominating Committee’s key oversight responsibilities include, but are not limited to: </w:t>
      </w:r>
    </w:p>
    <w:p>
      <w:pPr>
        <w:pStyle w:val="TextBody"/>
        <w:spacing w:before="0" w:after="0"/>
        <w:jc w:val="left"/>
        <w:rPr/>
      </w:pPr>
      <w:r>
        <w:rPr/>
        <w:t> </w:t>
      </w:r>
    </w:p>
    <w:tbl>
      <w:tblPr>
        <w:tblW w:w="2815" w:type="dxa"/>
        <w:jc w:val="left"/>
        <w:tblInd w:w="0" w:type="dxa"/>
        <w:tblCellMar>
          <w:top w:w="0" w:type="dxa"/>
          <w:left w:w="0" w:type="dxa"/>
          <w:bottom w:w="0" w:type="dxa"/>
          <w:right w:w="0" w:type="dxa"/>
        </w:tblCellMar>
      </w:tblPr>
      <w:tblGrid>
        <w:gridCol w:w="75"/>
        <w:gridCol w:w="110"/>
        <w:gridCol w:w="60"/>
        <w:gridCol w:w="257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570" w:type="dxa"/>
            <w:tcBorders/>
            <w:shd w:fill="auto" w:val="clear"/>
            <w:vAlign w:val="center"/>
          </w:tcPr>
          <w:p>
            <w:pPr>
              <w:pStyle w:val="TableContents"/>
              <w:spacing w:before="0" w:after="0"/>
              <w:jc w:val="both"/>
              <w:rPr>
                <w:rFonts w:ascii="arial" w:hAnsi="arial"/>
                <w:sz w:val="18"/>
              </w:rPr>
            </w:pPr>
            <w:r>
              <w:rPr>
                <w:rFonts w:ascii="arial" w:hAnsi="arial"/>
                <w:sz w:val="18"/>
              </w:rPr>
              <w:t xml:space="preserve">Corporate governance matters </w:t>
            </w:r>
          </w:p>
        </w:tc>
      </w:tr>
    </w:tbl>
    <w:p>
      <w:pPr>
        <w:pStyle w:val="TextBody"/>
        <w:spacing w:before="0" w:after="0"/>
        <w:jc w:val="left"/>
        <w:rPr/>
      </w:pPr>
      <w:r>
        <w:rPr/>
        <w:t> </w:t>
      </w:r>
    </w:p>
    <w:tbl>
      <w:tblPr>
        <w:tblW w:w="4825" w:type="dxa"/>
        <w:jc w:val="left"/>
        <w:tblInd w:w="0" w:type="dxa"/>
        <w:tblCellMar>
          <w:top w:w="0" w:type="dxa"/>
          <w:left w:w="0" w:type="dxa"/>
          <w:bottom w:w="0" w:type="dxa"/>
          <w:right w:w="0" w:type="dxa"/>
        </w:tblCellMar>
      </w:tblPr>
      <w:tblGrid>
        <w:gridCol w:w="75"/>
        <w:gridCol w:w="110"/>
        <w:gridCol w:w="60"/>
        <w:gridCol w:w="458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580" w:type="dxa"/>
            <w:tcBorders/>
            <w:shd w:fill="auto" w:val="clear"/>
            <w:vAlign w:val="center"/>
          </w:tcPr>
          <w:p>
            <w:pPr>
              <w:pStyle w:val="TableContents"/>
              <w:spacing w:before="0" w:after="0"/>
              <w:jc w:val="both"/>
              <w:rPr>
                <w:rFonts w:ascii="arial" w:hAnsi="arial"/>
                <w:sz w:val="18"/>
              </w:rPr>
            </w:pPr>
            <w:r>
              <w:rPr>
                <w:rFonts w:ascii="arial" w:hAnsi="arial"/>
                <w:sz w:val="18"/>
              </w:rPr>
              <w:t xml:space="preserve">The nomination or re-nomination of Director candidates </w:t>
            </w:r>
          </w:p>
        </w:tc>
      </w:tr>
    </w:tbl>
    <w:p>
      <w:pPr>
        <w:pStyle w:val="TextBody"/>
        <w:spacing w:before="0" w:after="0"/>
        <w:jc w:val="left"/>
        <w:rPr/>
      </w:pPr>
      <w:r>
        <w:rPr/>
        <w:t> </w:t>
      </w:r>
    </w:p>
    <w:tbl>
      <w:tblPr>
        <w:tblW w:w="9745" w:type="dxa"/>
        <w:jc w:val="left"/>
        <w:tblInd w:w="0" w:type="dxa"/>
        <w:tblCellMar>
          <w:top w:w="0" w:type="dxa"/>
          <w:left w:w="0" w:type="dxa"/>
          <w:bottom w:w="0" w:type="dxa"/>
          <w:right w:w="0" w:type="dxa"/>
        </w:tblCellMar>
      </w:tblPr>
      <w:tblGrid>
        <w:gridCol w:w="75"/>
        <w:gridCol w:w="110"/>
        <w:gridCol w:w="60"/>
        <w:gridCol w:w="950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500" w:type="dxa"/>
            <w:tcBorders/>
            <w:shd w:fill="auto" w:val="clear"/>
            <w:vAlign w:val="center"/>
          </w:tcPr>
          <w:p>
            <w:pPr>
              <w:pStyle w:val="TableContents"/>
              <w:spacing w:before="0" w:after="0"/>
              <w:jc w:val="both"/>
              <w:rPr>
                <w:rFonts w:ascii="arial" w:hAnsi="arial"/>
                <w:sz w:val="18"/>
              </w:rPr>
            </w:pPr>
            <w:r>
              <w:rPr>
                <w:rFonts w:ascii="arial" w:hAnsi="arial"/>
                <w:sz w:val="18"/>
              </w:rPr>
              <w:t xml:space="preserve">The Board’s review and consideration of shareholder recommendations for, and nominations of, Director candidates </w:t>
            </w:r>
          </w:p>
        </w:tc>
      </w:tr>
    </w:tbl>
    <w:p>
      <w:pPr>
        <w:pStyle w:val="TextBody"/>
        <w:spacing w:before="0" w:after="0"/>
        <w:jc w:val="left"/>
        <w:rPr/>
      </w:pPr>
      <w:r>
        <w:rPr/>
        <w:t> </w:t>
      </w:r>
    </w:p>
    <w:tbl>
      <w:tblPr>
        <w:tblW w:w="5095" w:type="dxa"/>
        <w:jc w:val="left"/>
        <w:tblInd w:w="0" w:type="dxa"/>
        <w:tblCellMar>
          <w:top w:w="0" w:type="dxa"/>
          <w:left w:w="0" w:type="dxa"/>
          <w:bottom w:w="0" w:type="dxa"/>
          <w:right w:w="0" w:type="dxa"/>
        </w:tblCellMar>
      </w:tblPr>
      <w:tblGrid>
        <w:gridCol w:w="75"/>
        <w:gridCol w:w="110"/>
        <w:gridCol w:w="60"/>
        <w:gridCol w:w="485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850" w:type="dxa"/>
            <w:tcBorders/>
            <w:shd w:fill="auto" w:val="clear"/>
            <w:vAlign w:val="center"/>
          </w:tcPr>
          <w:p>
            <w:pPr>
              <w:pStyle w:val="TableContents"/>
              <w:spacing w:before="0" w:after="0"/>
              <w:jc w:val="both"/>
              <w:rPr>
                <w:rFonts w:ascii="arial" w:hAnsi="arial"/>
                <w:sz w:val="18"/>
              </w:rPr>
            </w:pPr>
            <w:r>
              <w:rPr>
                <w:rFonts w:ascii="arial" w:hAnsi="arial"/>
                <w:sz w:val="18"/>
              </w:rPr>
              <w:t xml:space="preserve">The annual self-evaluation of the Board and its committees </w:t>
            </w:r>
          </w:p>
        </w:tc>
      </w:tr>
    </w:tbl>
    <w:p>
      <w:pPr>
        <w:pStyle w:val="TextBody"/>
        <w:spacing w:before="0" w:after="0"/>
        <w:jc w:val="left"/>
        <w:rPr/>
      </w:pPr>
      <w:r>
        <w:rPr/>
        <w:t> </w:t>
      </w:r>
    </w:p>
    <w:tbl>
      <w:tblPr>
        <w:tblW w:w="4825" w:type="dxa"/>
        <w:jc w:val="left"/>
        <w:tblInd w:w="0" w:type="dxa"/>
        <w:tblCellMar>
          <w:top w:w="0" w:type="dxa"/>
          <w:left w:w="0" w:type="dxa"/>
          <w:bottom w:w="0" w:type="dxa"/>
          <w:right w:w="0" w:type="dxa"/>
        </w:tblCellMar>
      </w:tblPr>
      <w:tblGrid>
        <w:gridCol w:w="75"/>
        <w:gridCol w:w="110"/>
        <w:gridCol w:w="60"/>
        <w:gridCol w:w="458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580" w:type="dxa"/>
            <w:tcBorders/>
            <w:shd w:fill="auto" w:val="clear"/>
            <w:vAlign w:val="center"/>
          </w:tcPr>
          <w:p>
            <w:pPr>
              <w:pStyle w:val="TableContents"/>
              <w:spacing w:before="0" w:after="0"/>
              <w:jc w:val="both"/>
              <w:rPr>
                <w:rFonts w:ascii="arial" w:hAnsi="arial"/>
                <w:sz w:val="18"/>
              </w:rPr>
            </w:pPr>
            <w:r>
              <w:rPr>
                <w:rFonts w:ascii="arial" w:hAnsi="arial"/>
                <w:sz w:val="18"/>
              </w:rPr>
              <w:t xml:space="preserve">Director orientation and continuing education programs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arial" w:hAnsi="arial"/>
                <w:sz w:val="18"/>
              </w:rPr>
            </w:pPr>
            <w:r>
              <w:rPr>
                <w:rFonts w:ascii="arial" w:hAnsi="arial"/>
                <w:sz w:val="18"/>
              </w:rPr>
              <w:t xml:space="preserve">Evaluating Board composition with respect to director independence, skills, experience, expertise, diversity, and other factors </w:t>
            </w:r>
          </w:p>
        </w:tc>
      </w:tr>
    </w:tbl>
    <w:p>
      <w:pPr>
        <w:pStyle w:val="TextBody"/>
        <w:spacing w:before="0" w:after="0"/>
        <w:jc w:val="left"/>
        <w:rPr/>
      </w:pPr>
      <w:r>
        <w:rPr/>
        <w:t> </w:t>
      </w:r>
    </w:p>
    <w:tbl>
      <w:tblPr>
        <w:tblW w:w="3565" w:type="dxa"/>
        <w:jc w:val="left"/>
        <w:tblInd w:w="0" w:type="dxa"/>
        <w:tblCellMar>
          <w:top w:w="0" w:type="dxa"/>
          <w:left w:w="0" w:type="dxa"/>
          <w:bottom w:w="0" w:type="dxa"/>
          <w:right w:w="0" w:type="dxa"/>
        </w:tblCellMar>
      </w:tblPr>
      <w:tblGrid>
        <w:gridCol w:w="75"/>
        <w:gridCol w:w="110"/>
        <w:gridCol w:w="60"/>
        <w:gridCol w:w="33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320" w:type="dxa"/>
            <w:tcBorders/>
            <w:shd w:fill="auto" w:val="clear"/>
            <w:vAlign w:val="center"/>
          </w:tcPr>
          <w:p>
            <w:pPr>
              <w:pStyle w:val="TableContents"/>
              <w:spacing w:before="0" w:after="0"/>
              <w:jc w:val="both"/>
              <w:rPr>
                <w:rFonts w:ascii="arial" w:hAnsi="arial"/>
                <w:sz w:val="18"/>
              </w:rPr>
            </w:pPr>
            <w:r>
              <w:rPr>
                <w:rFonts w:ascii="arial" w:hAnsi="arial"/>
                <w:sz w:val="18"/>
              </w:rPr>
              <w:t xml:space="preserve">Reviewing succession planning matters </w:t>
            </w:r>
          </w:p>
        </w:tc>
      </w:tr>
    </w:tbl>
    <w:p>
      <w:pPr>
        <w:pStyle w:val="TextBody"/>
        <w:spacing w:before="360" w:after="0"/>
        <w:jc w:val="left"/>
        <w:rPr>
          <w:rFonts w:ascii="arial" w:hAnsi="arial"/>
          <w:b/>
          <w:sz w:val="20"/>
        </w:rPr>
      </w:pPr>
      <w:r>
        <w:rPr>
          <w:rFonts w:ascii="arial" w:hAnsi="arial"/>
          <w:b/>
          <w:sz w:val="20"/>
        </w:rPr>
        <w:t xml:space="preserve">Risk Oversight Committee Responsibilities </w:t>
      </w:r>
    </w:p>
    <w:p>
      <w:pPr>
        <w:pStyle w:val="TextBody"/>
        <w:spacing w:before="120" w:after="0"/>
        <w:jc w:val="both"/>
        <w:rPr>
          <w:rFonts w:ascii="arial" w:hAnsi="arial"/>
          <w:sz w:val="18"/>
        </w:rPr>
      </w:pPr>
      <w:r>
        <w:rPr>
          <w:rFonts w:ascii="arial" w:hAnsi="arial"/>
          <w:sz w:val="18"/>
        </w:rPr>
        <w:t xml:space="preserve">The Risk Oversight Committee’s key oversight responsibilities include, but are not limited to: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arial" w:hAnsi="arial"/>
                <w:sz w:val="18"/>
              </w:rPr>
            </w:pPr>
            <w:r>
              <w:rPr>
                <w:rFonts w:ascii="arial" w:hAnsi="arial"/>
                <w:sz w:val="18"/>
              </w:rPr>
              <w:t xml:space="preserve">Reviewing the enterprise risk framework, infrastructure, and controls implemented by management to help identify, assess, manage and monitor material risks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arial" w:hAnsi="arial"/>
                <w:sz w:val="18"/>
              </w:rPr>
            </w:pPr>
            <w:r>
              <w:rPr>
                <w:rFonts w:ascii="arial" w:hAnsi="arial"/>
                <w:sz w:val="18"/>
              </w:rPr>
              <w:t xml:space="preserve">Reviewing management’s exercise of its responsibility to identify, assess and manage material risks not allocated to the Board or another committee, including, for example, data security programs and cybersecurity and information technology </w:t>
            </w:r>
          </w:p>
        </w:tc>
      </w:tr>
    </w:tbl>
    <w:p>
      <w:pPr>
        <w:pStyle w:val="TextBody"/>
        <w:spacing w:before="0" w:after="0"/>
        <w:jc w:val="left"/>
        <w:rPr/>
      </w:pPr>
      <w:r>
        <w:rPr/>
        <w:t> </w:t>
      </w:r>
    </w:p>
    <w:tbl>
      <w:tblPr>
        <w:tblW w:w="7990" w:type="dxa"/>
        <w:jc w:val="left"/>
        <w:tblInd w:w="0" w:type="dxa"/>
        <w:tblCellMar>
          <w:top w:w="0" w:type="dxa"/>
          <w:left w:w="0" w:type="dxa"/>
          <w:bottom w:w="0" w:type="dxa"/>
          <w:right w:w="0" w:type="dxa"/>
        </w:tblCellMar>
      </w:tblPr>
      <w:tblGrid>
        <w:gridCol w:w="75"/>
        <w:gridCol w:w="110"/>
        <w:gridCol w:w="60"/>
        <w:gridCol w:w="774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745" w:type="dxa"/>
            <w:tcBorders/>
            <w:shd w:fill="auto" w:val="clear"/>
            <w:vAlign w:val="center"/>
          </w:tcPr>
          <w:p>
            <w:pPr>
              <w:pStyle w:val="TableContents"/>
              <w:spacing w:before="0" w:after="0"/>
              <w:jc w:val="both"/>
              <w:rPr>
                <w:rFonts w:ascii="arial" w:hAnsi="arial"/>
                <w:sz w:val="18"/>
              </w:rPr>
            </w:pPr>
            <w:r>
              <w:rPr>
                <w:rFonts w:ascii="arial" w:hAnsi="arial"/>
                <w:sz w:val="18"/>
              </w:rPr>
              <w:t xml:space="preserve">Management’s efforts with respect to corporate environmental and social responsibility matters </w:t>
            </w:r>
          </w:p>
        </w:tc>
      </w:tr>
    </w:tbl>
    <w:p>
      <w:pPr>
        <w:pStyle w:val="TextBody"/>
        <w:spacing w:before="0" w:after="0"/>
        <w:jc w:val="left"/>
        <w:rPr/>
      </w:pPr>
      <w:r>
        <w:rPr/>
        <w:t> </w:t>
      </w:r>
    </w:p>
    <w:tbl>
      <w:tblPr>
        <w:tblW w:w="9850" w:type="dxa"/>
        <w:jc w:val="left"/>
        <w:tblInd w:w="0" w:type="dxa"/>
        <w:tblCellMar>
          <w:top w:w="0" w:type="dxa"/>
          <w:left w:w="0" w:type="dxa"/>
          <w:bottom w:w="0" w:type="dxa"/>
          <w:right w:w="0" w:type="dxa"/>
        </w:tblCellMar>
      </w:tblPr>
      <w:tblGrid>
        <w:gridCol w:w="75"/>
        <w:gridCol w:w="110"/>
        <w:gridCol w:w="60"/>
        <w:gridCol w:w="960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605" w:type="dxa"/>
            <w:tcBorders/>
            <w:shd w:fill="auto" w:val="clear"/>
            <w:vAlign w:val="center"/>
          </w:tcPr>
          <w:p>
            <w:pPr>
              <w:pStyle w:val="TableContents"/>
              <w:spacing w:before="0" w:after="0"/>
              <w:jc w:val="both"/>
              <w:rPr>
                <w:rFonts w:ascii="arial" w:hAnsi="arial"/>
                <w:sz w:val="18"/>
              </w:rPr>
            </w:pPr>
            <w:r>
              <w:rPr>
                <w:rFonts w:ascii="arial" w:hAnsi="arial"/>
                <w:sz w:val="18"/>
              </w:rPr>
              <w:t xml:space="preserve">Meeting with the Chairs of the other committees at least two times a year to discuss enterprise risk and related matters </w:t>
            </w:r>
          </w:p>
        </w:tc>
      </w:tr>
    </w:tbl>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16 </w:t>
      </w:r>
      <w:r>
        <w:br w:type="page"/>
      </w:r>
    </w:p>
    <w:p>
      <w:pPr>
        <w:pStyle w:val="HorizontalLine"/>
        <w:rPr/>
      </w:pPr>
      <w:r>
        <w:rPr/>
      </w:r>
    </w:p>
    <w:p>
      <w:pPr>
        <w:pStyle w:val="TextBody"/>
        <w:spacing w:before="0" w:after="0"/>
        <w:jc w:val="left"/>
        <w:rPr>
          <w:rFonts w:ascii="arial" w:hAnsi="arial"/>
          <w:b/>
          <w:color w:val="666666"/>
          <w:sz w:val="28"/>
        </w:rPr>
      </w:pPr>
      <w:r>
        <w:rPr>
          <w:rFonts w:ascii="arial" w:hAnsi="arial"/>
          <w:b/>
          <w:color w:val="666666"/>
          <w:sz w:val="28"/>
        </w:rPr>
        <w:t xml:space="preserve">Board Refreshment and Succession Planning </w:t>
      </w:r>
    </w:p>
    <w:p>
      <w:pPr>
        <w:pStyle w:val="TextBody"/>
        <w:pBdr>
          <w:bottom w:val="single" w:sz="2" w:space="1" w:color="732282"/>
        </w:pBdr>
        <w:spacing w:lineRule="atLeast" w:line="141" w:before="0" w:after="40"/>
        <w:jc w:val="left"/>
        <w:rPr/>
      </w:pPr>
      <w:r>
        <w:rPr/>
        <w:t> </w:t>
      </w:r>
    </w:p>
    <w:p>
      <w:pPr>
        <w:pStyle w:val="TextBody"/>
        <w:spacing w:before="120" w:after="0"/>
        <w:jc w:val="both"/>
        <w:rPr>
          <w:rFonts w:ascii="arial" w:hAnsi="arial"/>
          <w:sz w:val="18"/>
        </w:rPr>
      </w:pPr>
      <w:r>
        <w:rPr>
          <w:rFonts w:ascii="arial" w:hAnsi="arial"/>
          <w:sz w:val="18"/>
        </w:rPr>
        <w:t xml:space="preserve">Viatris’ Board, with the support of the Governance and Nominating Committee, seeks to identify a diverse talent pool of qualified candidates for consideration as part of the Board’s refreshment and succession planning. The Board also seeks to combine the skills and experience of its long-standing Board members with fresh perspectives, insights, skills, and experiences of new members in support of its belief that it is important for Directors to represent diverse viewpoints and, further, that the personal backgrounds and qualifications of the Directors, considered as a group, should provide a composite mix of experience, knowledge and abilities. The Board is committed to fostering a culture of integrity, inclusion, dignity and mutual respect. </w:t>
      </w:r>
    </w:p>
    <w:p>
      <w:pPr>
        <w:pStyle w:val="TextBody"/>
        <w:spacing w:before="240" w:after="0"/>
        <w:jc w:val="both"/>
        <w:rPr>
          <w:rFonts w:ascii="arial" w:hAnsi="arial"/>
          <w:sz w:val="18"/>
        </w:rPr>
      </w:pPr>
      <w:r>
        <w:rPr>
          <w:rFonts w:ascii="arial" w:hAnsi="arial"/>
          <w:sz w:val="18"/>
        </w:rPr>
        <w:t xml:space="preserve">Viatris’ Board and Governance and Nominating Committee evaluate Board composition with respect to, among other matters, director independence, skills, experience, expertise, diversity, and other factors to ensure that the Board remains well-qualified to provide effective oversight of the Company and management. The Board and the Governance and Nominating Committee consider Viatris’ strategy, performance, operations, relevant industry and market conditions, and current and anticipated needs in terms of particular areas of experience and expertise (e.g., risk oversight, industry, science), among many other factors, to inform these refreshment practices and decisions. As we continue to evaluate Board composition, we also work to establish a pool of qualified potential candidates to support our continued refreshment efforts. </w:t>
      </w:r>
    </w:p>
    <w:p>
      <w:pPr>
        <w:pStyle w:val="TextBody"/>
        <w:spacing w:before="240" w:after="0"/>
        <w:jc w:val="both"/>
        <w:rPr>
          <w:rFonts w:ascii="arial" w:hAnsi="arial"/>
          <w:sz w:val="18"/>
        </w:rPr>
      </w:pPr>
      <w:r>
        <w:rPr>
          <w:rFonts w:ascii="arial" w:hAnsi="arial"/>
          <w:sz w:val="18"/>
        </w:rPr>
        <w:t xml:space="preserve">In 2022, Viatris’ Board adopted a Diversity and Inclusion Policy, which formalizes the Board’s ongoing commitment to fostering a culture of inclusion and seeking, supporting, valuing and leveraging diversity in the Board’s composition, including a mix of nationalities, ethnicities, races, ages, and/or genders and seeking a diverse talent pool of Director candidates when considering the Board’s refreshment and succession planning. The Board, in seeking candidates, reviews the principles of the policy and also asks its supporting search firms to provide candidates consistent with those principles. The Board and Governance and Nominating Committee consider this policy and diversity matters generally during their self-evaluations and when nominating directors for election to the Board, and the Board considers the policy effective in making sure these matters are appropriately considered. </w:t>
      </w:r>
    </w:p>
    <w:p>
      <w:pPr>
        <w:pStyle w:val="TextBody"/>
        <w:spacing w:before="240" w:after="0"/>
        <w:jc w:val="both"/>
        <w:rPr>
          <w:rFonts w:ascii="arial" w:hAnsi="arial"/>
          <w:sz w:val="18"/>
        </w:rPr>
      </w:pPr>
      <w:r>
        <w:rPr>
          <w:rFonts w:ascii="arial" w:hAnsi="arial"/>
          <w:sz w:val="18"/>
        </w:rPr>
        <w:t xml:space="preserve">As part of the Board’s ongoing focus on board refreshment, since 2021 a third-party search firm has assisted with identifying potential new director candidates, including gender and racially/ethnically diverse candidates. After initial screenings and outreach, as well as additional guidance from the Governance and Nominating Committee, committee members and selected other Directors interviewed potential Director candidates identified by the third-party search firm as well as additional potential Director candidates recommended by Viatris Directors. Based on this process, the Board, on the recommendation of the Governance and Nominating Committee, appointed Ms. Finney and Mr. Smith to the Board in December 2022 to fill the two vacancies resulting from the retirements of Neil Dimick and Ian Read. We will continue to work to establish a pool of qualified potential candidates to support our Board refreshment efforts. </w:t>
      </w:r>
    </w:p>
    <w:p>
      <w:pPr>
        <w:pStyle w:val="TextBody"/>
        <w:spacing w:before="240" w:after="0"/>
        <w:jc w:val="both"/>
        <w:rPr>
          <w:rFonts w:ascii="arial" w:hAnsi="arial"/>
          <w:sz w:val="18"/>
        </w:rPr>
      </w:pPr>
      <w:r>
        <w:rPr>
          <w:rFonts w:ascii="arial" w:hAnsi="arial"/>
          <w:sz w:val="18"/>
        </w:rPr>
        <w:t xml:space="preserve">Reflecting the critical importance of senior leadership to the success of the Company and its overall business strategy, our Corporate Governance Principles also provide that the Board will work with senior management to ensure that effective plans are in place for management succession. The Board’s goal is to have a long-term and continuous program for effective senior leadership and succession as well as to have contingency plans in place for emergencies such as departure, death, or disability. The Board discusses succession planning regularly at scheduled meetings, including in executive session, as appropriate. These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17 </w:t>
      </w:r>
      <w:r>
        <w:br w:type="page"/>
      </w:r>
    </w:p>
    <w:p>
      <w:pPr>
        <w:pStyle w:val="HorizontalLine"/>
        <w:rPr/>
      </w:pPr>
      <w:r>
        <w:rPr/>
      </w:r>
    </w:p>
    <w:p>
      <w:pPr>
        <w:pStyle w:val="TextBody"/>
        <w:spacing w:before="0" w:after="0"/>
        <w:jc w:val="both"/>
        <w:rPr>
          <w:rFonts w:ascii="arial" w:hAnsi="arial"/>
          <w:sz w:val="18"/>
        </w:rPr>
      </w:pPr>
      <w:r>
        <w:rPr>
          <w:rFonts w:ascii="arial" w:hAnsi="arial"/>
          <w:sz w:val="18"/>
        </w:rPr>
        <w:t xml:space="preserve">succession planning activities have been and may continue to be supported by independent third-party consultants. </w:t>
      </w:r>
    </w:p>
    <w:p>
      <w:pPr>
        <w:pStyle w:val="TextBody"/>
        <w:spacing w:before="240" w:after="0"/>
        <w:jc w:val="both"/>
        <w:rPr>
          <w:rFonts w:ascii="arial" w:hAnsi="arial"/>
          <w:sz w:val="18"/>
        </w:rPr>
      </w:pPr>
      <w:r>
        <w:rPr>
          <w:rFonts w:ascii="arial" w:hAnsi="arial"/>
          <w:sz w:val="18"/>
        </w:rPr>
        <w:t xml:space="preserve">The Board prioritizes reviewing and discussing the succession plans for the CEO and each of his direct reports. Management succession planning continues to be among the Board’s top priorities and is included in the annual goals for executive management. As described above, in connection with our succession planning, in February 2023, we appointed a new CEO, Scott A. Smith, to lead our Phase 2 strategy and execution. </w:t>
      </w:r>
    </w:p>
    <w:p>
      <w:pPr>
        <w:pStyle w:val="TextBody"/>
        <w:spacing w:before="360" w:after="0"/>
        <w:jc w:val="left"/>
        <w:rPr>
          <w:rFonts w:ascii="arial" w:hAnsi="arial"/>
          <w:b/>
          <w:color w:val="666666"/>
          <w:sz w:val="28"/>
        </w:rPr>
      </w:pPr>
      <w:r>
        <w:rPr>
          <w:rFonts w:ascii="arial" w:hAnsi="arial"/>
          <w:b/>
          <w:color w:val="666666"/>
          <w:sz w:val="28"/>
        </w:rPr>
        <w:t xml:space="preserve">Setting and Overseeing Strategy </w:t>
      </w:r>
    </w:p>
    <w:p>
      <w:pPr>
        <w:pStyle w:val="TextBody"/>
        <w:pBdr>
          <w:bottom w:val="single" w:sz="2" w:space="1" w:color="732282"/>
        </w:pBdr>
        <w:spacing w:lineRule="atLeast" w:line="141" w:before="0" w:after="40"/>
        <w:jc w:val="left"/>
        <w:rPr/>
      </w:pPr>
      <w:r>
        <w:rPr/>
        <w:t> </w:t>
      </w:r>
    </w:p>
    <w:p>
      <w:pPr>
        <w:pStyle w:val="TextBody"/>
        <w:spacing w:before="120" w:after="0"/>
        <w:jc w:val="both"/>
        <w:rPr>
          <w:rFonts w:ascii="arial" w:hAnsi="arial"/>
          <w:sz w:val="18"/>
        </w:rPr>
      </w:pPr>
      <w:r>
        <w:rPr>
          <w:rFonts w:ascii="arial" w:hAnsi="arial"/>
          <w:sz w:val="18"/>
        </w:rPr>
        <w:t xml:space="preserve">The Board actively discusses, determines and oversees the Company’s strategies intended to unlock value for the Company and its shareholders and ensure the durability, sustainability, and stability of the business. We believe the Board has demonstrated over time the consistency and natural progression of its strategy, resulting in stable and durable cash flows despite evolving, challenging, and often unpredictable market conditions. </w:t>
      </w:r>
    </w:p>
    <w:p>
      <w:pPr>
        <w:pStyle w:val="TextBody"/>
        <w:spacing w:before="240" w:after="0"/>
        <w:jc w:val="both"/>
        <w:rPr>
          <w:rFonts w:ascii="arial" w:hAnsi="arial"/>
          <w:sz w:val="18"/>
        </w:rPr>
      </w:pPr>
      <w:r>
        <w:rPr>
          <w:rFonts w:ascii="arial" w:hAnsi="arial"/>
          <w:sz w:val="18"/>
        </w:rPr>
        <w:t xml:space="preserve">Under the leadership of the Board along with management, we laid out a clear and deliberate strategy to build a highly diversified company with multiple capabilities spanning numerous geographies and therapeutic areas. We established a two-phased roadmap that detailed and emphasized our strategic priorities to deliver value to our shareholders. In Phase 1 of our strategy (2020-2023), we continue to focus on integration, execution and optimizing synergies to build a foundation for Phase 2 (2024 and beyond). </w:t>
      </w:r>
    </w:p>
    <w:p>
      <w:pPr>
        <w:pStyle w:val="TextBody"/>
        <w:spacing w:before="240" w:after="0"/>
        <w:jc w:val="both"/>
        <w:rPr>
          <w:rFonts w:ascii="arial" w:hAnsi="arial"/>
          <w:sz w:val="18"/>
        </w:rPr>
      </w:pPr>
      <w:r>
        <w:rPr>
          <w:rFonts w:ascii="arial" w:hAnsi="arial"/>
          <w:sz w:val="18"/>
        </w:rPr>
        <w:t xml:space="preserve">The Board’s strategic review culminated in the announcement in November 2022 of our key strategic priorities by laying out a roadmap for our future and our capital allocation strategy, including with respect to returning cash to shareholders in the form of dividends and share repurchases and re-investing further into our business organically and inorganically with value-creating, financially accretive bolt-on and other transactions. </w:t>
      </w:r>
    </w:p>
    <w:p>
      <w:pPr>
        <w:pStyle w:val="TextBody"/>
        <w:spacing w:before="240" w:after="0"/>
        <w:jc w:val="both"/>
        <w:rPr>
          <w:rFonts w:ascii="arial" w:hAnsi="arial"/>
          <w:sz w:val="18"/>
        </w:rPr>
      </w:pPr>
      <w:r>
        <w:rPr>
          <w:rFonts w:ascii="arial" w:hAnsi="arial"/>
          <w:sz w:val="18"/>
        </w:rPr>
        <w:t xml:space="preserve">We also announced additional steps the Company was undertaking that were consistent with these priorities. First, we announced two ophthalmology transactions that we expect will add to both our top and bottom line in the future. Furthermore, we identified the following businesses for divestiture that the Company no longer considered core to its future strategy: over the counter; active pharmaceutical ingredients (“API”) (while retaining some selective development API capabilities); women’s healthcare, primarily related to our oral and injectable contraceptives (this does not include all of our women’s healthcare related products; as an example, our Xulane® product in the U.S. is excluded); and select geographic markets that were part of the Combination that are smaller in nature and in which we had no established infrastructure prior to or following the Combination. </w:t>
      </w:r>
    </w:p>
    <w:p>
      <w:pPr>
        <w:pStyle w:val="TextBody"/>
        <w:spacing w:before="240" w:after="0"/>
        <w:jc w:val="both"/>
        <w:rPr>
          <w:rFonts w:ascii="arial" w:hAnsi="arial"/>
          <w:sz w:val="18"/>
        </w:rPr>
      </w:pPr>
      <w:r>
        <w:rPr>
          <w:rFonts w:ascii="arial" w:hAnsi="arial"/>
          <w:sz w:val="18"/>
        </w:rPr>
        <w:t xml:space="preserve">As we move forward, the Board is committed to overseeing continuing efforts to further unlock the value of our unique global platform and return capital to shareholders and to maintaining an ongoing dialogue with shareholders regarding a broad range of topics, including, among others, our differentiated strategy and business model; the Global Healthcare Gateway®; delevering strategies; governance; compensation; promoting sustainability; and further enhancing our efforts to advance our corporate environmental and social responsibility (“CSR”) performance. </w:t>
      </w:r>
    </w:p>
    <w:p>
      <w:pPr>
        <w:pStyle w:val="TextBody"/>
        <w:spacing w:before="360" w:after="0"/>
        <w:jc w:val="left"/>
        <w:rPr>
          <w:rFonts w:ascii="arial" w:hAnsi="arial"/>
          <w:b/>
          <w:color w:val="666666"/>
          <w:sz w:val="28"/>
        </w:rPr>
      </w:pPr>
      <w:r>
        <w:rPr>
          <w:rFonts w:ascii="arial" w:hAnsi="arial"/>
          <w:b/>
          <w:color w:val="666666"/>
          <w:sz w:val="28"/>
        </w:rPr>
        <w:t xml:space="preserve">Risk Oversight </w:t>
      </w:r>
    </w:p>
    <w:p>
      <w:pPr>
        <w:pStyle w:val="TextBody"/>
        <w:pBdr>
          <w:bottom w:val="single" w:sz="2" w:space="1" w:color="732282"/>
        </w:pBdr>
        <w:spacing w:lineRule="atLeast" w:line="141" w:before="0" w:after="40"/>
        <w:jc w:val="left"/>
        <w:rPr/>
      </w:pPr>
      <w:r>
        <w:rPr/>
        <w:t> </w:t>
      </w:r>
    </w:p>
    <w:p>
      <w:pPr>
        <w:pStyle w:val="TextBody"/>
        <w:spacing w:before="120" w:after="0"/>
        <w:jc w:val="both"/>
        <w:rPr>
          <w:rFonts w:ascii="arial" w:hAnsi="arial"/>
          <w:sz w:val="18"/>
        </w:rPr>
      </w:pPr>
      <w:r>
        <w:rPr>
          <w:rFonts w:ascii="arial" w:hAnsi="arial"/>
          <w:sz w:val="18"/>
        </w:rPr>
        <w:t xml:space="preserve">Viatris operates in a complex and rapidly changing environment that involves many potential risks. In addition to general market, industry, R&amp;D, supply chain, political, financial, and economic risks, the Company faces potential risks related to, among others, executing on and implementing our strategic objectives,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18 </w:t>
      </w:r>
      <w:r>
        <w:br w:type="page"/>
      </w:r>
    </w:p>
    <w:p>
      <w:pPr>
        <w:pStyle w:val="HorizontalLine"/>
        <w:rPr/>
      </w:pPr>
      <w:r>
        <w:rPr/>
      </w:r>
    </w:p>
    <w:p>
      <w:pPr>
        <w:pStyle w:val="TextBody"/>
        <w:spacing w:before="0" w:after="0"/>
        <w:jc w:val="both"/>
        <w:rPr>
          <w:rFonts w:ascii="arial" w:hAnsi="arial"/>
          <w:sz w:val="18"/>
        </w:rPr>
      </w:pPr>
      <w:r>
        <w:rPr>
          <w:rFonts w:ascii="arial" w:hAnsi="arial"/>
          <w:sz w:val="18"/>
        </w:rPr>
        <w:t xml:space="preserve">including completed or potential acquisitions and divestitures; information technology and cybersecurity; data privacy; financial controls and reporting; manufacturing and quality; legal, regulatory and compliance requirements and developments; the global nature of our operations; human capital management; environmental and social responsibility; and product portfolio and commercialization, among others. As a company committed to operating ethically and with integrity, we proactively seek to manage and, where possible, mitigate risks to help ensure compliance with applicable rules and regulations, maintain integrity and continuity in our operations and business, including in support of achieving strategic priorities, long-term financial and operational performance, and protect our assets (financial, intellectual property, and information, among others). Risk management is an enterprise-wide objective subject to oversight by the Board and its committees. </w:t>
      </w:r>
    </w:p>
    <w:p>
      <w:pPr>
        <w:pStyle w:val="TextBody"/>
        <w:spacing w:before="240" w:after="0"/>
        <w:jc w:val="both"/>
        <w:rPr>
          <w:rFonts w:ascii="arial" w:hAnsi="arial"/>
          <w:sz w:val="18"/>
        </w:rPr>
      </w:pPr>
      <w:r>
        <w:rPr>
          <w:rFonts w:ascii="arial" w:hAnsi="arial"/>
          <w:sz w:val="18"/>
        </w:rPr>
        <w:t xml:space="preserve">It is the responsibility of Viatris’ management and employees to identify material risks to our business and to implement and administer robust risk management and mitigation processes and programs, while also maintaining reasonable flexibility in how we operate. Our internal audit function periodically completes a comprehensive enterprise risk assessment to identify key and emerging risks, and quarterly reviews and refreshes this analysis with management. For each key or emerging risk identified, we have a process in place to establish ownership of monitoring the risk and evaluate risk mitigation opportunities. Our internal risk management team consists of senior leaders across multiple disciplines, including internal audit, IT, information security, compliance, corporate environmental and social responsibility matters, environmental health and safety, security, finance, legal, quality and product safety, and the team meets quarterly to review and discuss risks and trends, which vary across the short-, medium- and long-term. To further embed risk management and compliance into our culture, Viatris has a robust global corporate compliance program, implements comprehensive policies and procedures, trains employees on how to implement and comply with them, and maintains an extensive program of oversight and audit to help ensure compliance and appropriate enterprise risk management. </w:t>
      </w:r>
    </w:p>
    <w:p>
      <w:pPr>
        <w:pStyle w:val="TextBody"/>
        <w:spacing w:before="240" w:after="0"/>
        <w:jc w:val="both"/>
        <w:rPr>
          <w:rFonts w:ascii="arial" w:hAnsi="arial"/>
          <w:sz w:val="18"/>
        </w:rPr>
      </w:pPr>
      <w:r>
        <w:rPr>
          <w:rFonts w:ascii="arial" w:hAnsi="arial"/>
          <w:sz w:val="18"/>
        </w:rPr>
        <w:t xml:space="preserve">Our risk oversight framework also aligns with our disclosure controls and procedures. For example, the Company’s Disclosure Committee reviews the Company’s quarterly and annual financial statements and related disclosures. The Disclosure Committee consists of senior management including our President, Chief Financial Officer, Global General Counsel, Corporate Controller, Head of Corporate Affairs, Head of Capital Markets, and Deputy Global General Counsel, all of whom participate in the risk assessment practices described above. The CEO and CFO then receive a report from the Disclosure Committee before the financial statements are reviewed with the Audit Committee, approved, and filed. </w:t>
      </w:r>
    </w:p>
    <w:p>
      <w:pPr>
        <w:pStyle w:val="TextBody"/>
        <w:spacing w:before="240" w:after="0"/>
        <w:jc w:val="both"/>
        <w:rPr>
          <w:rFonts w:ascii="arial" w:hAnsi="arial"/>
          <w:sz w:val="18"/>
        </w:rPr>
      </w:pPr>
      <w:r>
        <w:rPr>
          <w:rFonts w:ascii="arial" w:hAnsi="arial"/>
          <w:sz w:val="18"/>
        </w:rPr>
        <w:t xml:space="preserve">The Board directly, or through its committees, oversees the implementation of risk management and mitigation processes. The Board and its committees rigorously review with management the risk management program and discuss risk assessment matters at least quarterly, as well as during the Board’s annual budget review and approval process. Each of our committees has full access to officers and employees of the Company, and our Board and committees also meet without members of management present. The Board and committee Chairs periodically discuss the allocation of specific risk oversight matters between the various Board committees and the Board believes that its current risk oversight structure, as outlined below, assigns particular risk oversight matters to the Board committees that have the appropriate expertise to manage them. The Board also has the authority to form special strategic committees if it believes that it would be advisable to oversee significant strategic or other corporate actions, including the risks related thereto. All committees also have access to outside advisors in their sole discretion and periodically receive external updates concerning oversight of risks related to the Company and management’s efforts to manage risk. The Compliance Committee is responsible for appointing and replacing the Company’s Chief Compliance Officer, who is responsible for, among other things, the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19 </w:t>
      </w:r>
      <w:r>
        <w:br w:type="page"/>
      </w:r>
    </w:p>
    <w:p>
      <w:pPr>
        <w:pStyle w:val="HorizontalLine"/>
        <w:rPr/>
      </w:pPr>
      <w:r>
        <w:rPr/>
      </w:r>
    </w:p>
    <w:p>
      <w:pPr>
        <w:pStyle w:val="TextBody"/>
        <w:spacing w:before="0" w:after="0"/>
        <w:jc w:val="both"/>
        <w:rPr>
          <w:rFonts w:ascii="arial" w:hAnsi="arial"/>
          <w:sz w:val="18"/>
        </w:rPr>
      </w:pPr>
      <w:r>
        <w:rPr>
          <w:rFonts w:ascii="arial" w:hAnsi="arial"/>
          <w:sz w:val="18"/>
        </w:rPr>
        <w:t xml:space="preserve">day-to-day management and implementation of the Company’s Corporate Compliance Program and reports to the Compliance Committee and the CEO. In addition to meeting with the Company’s internal risk committee of senior management, which meets at least quarterly, the Chief Compliance Officer meets at least quarterly with the Audit Committee, Compliance Committee and Risk Oversight Committee. </w:t>
      </w:r>
    </w:p>
    <w:p>
      <w:pPr>
        <w:pStyle w:val="TextBody"/>
        <w:spacing w:before="240" w:after="0"/>
        <w:jc w:val="both"/>
        <w:rPr>
          <w:rFonts w:ascii="arial" w:hAnsi="arial"/>
          <w:sz w:val="18"/>
        </w:rPr>
      </w:pPr>
      <w:r>
        <w:rPr>
          <w:rFonts w:ascii="arial" w:hAnsi="arial"/>
          <w:sz w:val="18"/>
        </w:rPr>
        <w:t xml:space="preserve">The Board also has approved a Code of Business Conduct and Ethics, Code of Ethics for Chief Executive Officer, Chief Financial Officer and Corporate Controller, and other related policies to help manage and mitigate risk globally. </w:t>
      </w:r>
    </w:p>
    <w:p>
      <w:pPr>
        <w:pStyle w:val="TextBody"/>
        <w:spacing w:before="240" w:after="0"/>
        <w:jc w:val="both"/>
        <w:rPr>
          <w:rFonts w:ascii="arial" w:hAnsi="arial"/>
          <w:sz w:val="18"/>
        </w:rPr>
      </w:pPr>
      <w:r>
        <w:rPr>
          <w:rFonts w:ascii="arial" w:hAnsi="arial"/>
          <w:sz w:val="18"/>
        </w:rPr>
        <w:t xml:space="preserve">Our Lead Independent Director is chair of the Compliance Committee and also meets every other quarter with the Risk Oversight Committee and other committee chairs to discuss risk-related matters. While the full Board has retained responsibility for overseeing strategic risks to the business overall, it has delegated oversight of specific risks to its committees as outlined below. </w:t>
      </w:r>
    </w:p>
    <w:p>
      <w:pPr>
        <w:pStyle w:val="TextBody"/>
        <w:spacing w:before="360" w:after="0"/>
        <w:jc w:val="left"/>
        <w:rPr>
          <w:rFonts w:ascii="arial" w:hAnsi="arial"/>
          <w:b/>
          <w:sz w:val="20"/>
        </w:rPr>
      </w:pPr>
      <w:r>
        <w:rPr>
          <w:rFonts w:ascii="arial" w:hAnsi="arial"/>
          <w:b/>
          <w:sz w:val="20"/>
        </w:rPr>
        <w:t xml:space="preserve">Board Committees’ Role in Risk Oversight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arial" w:hAnsi="arial"/>
                <w:sz w:val="18"/>
              </w:rPr>
            </w:pPr>
            <w:r>
              <w:rPr>
                <w:rFonts w:ascii="arial" w:hAnsi="arial"/>
                <w:b/>
                <w:i/>
                <w:sz w:val="18"/>
              </w:rPr>
              <w:t>The Audit Committee</w:t>
            </w:r>
            <w:r>
              <w:rPr>
                <w:rFonts w:ascii="arial" w:hAnsi="arial"/>
                <w:sz w:val="18"/>
              </w:rPr>
              <w:t xml:space="preserve"> focuses on risks relating to financial and disclosure controls, SEC reporting matters, and oversight of Viatris’ internal audit function and independent registered public accounting firm. The Committee oversees, among other matters, the Company’s processes and procedures relating to risk assessment and risk management relating to financial, disclosure, and SEC reporting-related matters, and reviews with management the quality and adequacy of the Company’s internal control over financial reporting and the Company’s disclosure controls and procedures, including their effectiveness. Viatris’ internal audit function reports to and meets with the Committee at least quarterly to discuss potential risk or control issues, and the Committee regularly discusses the performance of the internal audit function, and the adequacy of resources available to this function. The Committee also meets quarterly with Viatris’ independent registered public accounting firm in executive session.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arial" w:hAnsi="arial"/>
                <w:sz w:val="18"/>
              </w:rPr>
            </w:pPr>
            <w:r>
              <w:rPr>
                <w:rFonts w:ascii="arial" w:hAnsi="arial"/>
                <w:b/>
                <w:i/>
                <w:sz w:val="18"/>
              </w:rPr>
              <w:t>The Compensation Committee</w:t>
            </w:r>
            <w:r>
              <w:rPr>
                <w:rFonts w:ascii="arial" w:hAnsi="arial"/>
                <w:sz w:val="18"/>
              </w:rPr>
              <w:t xml:space="preserve"> focuses on the design and administration of compensation-related plans and programs, and considers whether and how such plans and programs balance risk-taking and rewards, and align with shareholder interests. The Committee receives reports, on at least a quarterly basis, from management and outside advisors regarding compensation-related matters, and considers risk management in determining compensation structure. The Committee also reviews reports from management regarding pay equity, and human capital management.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arial" w:hAnsi="arial"/>
                <w:sz w:val="18"/>
              </w:rPr>
            </w:pPr>
            <w:r>
              <w:rPr>
                <w:rFonts w:ascii="arial" w:hAnsi="arial"/>
                <w:b/>
                <w:i/>
                <w:sz w:val="18"/>
              </w:rPr>
              <w:t>The Compliance Committee</w:t>
            </w:r>
            <w:r>
              <w:rPr>
                <w:rFonts w:ascii="arial" w:hAnsi="arial"/>
                <w:sz w:val="18"/>
              </w:rPr>
              <w:t xml:space="preserve"> is responsible for overseeing the Chief Compliance Officer’s implementation of Viatris’ Corporate Compliance Program. The Chief Compliance Officer reports to the Committee and the CEO, and the Committee is responsible for appointing and, as applicable, replacing, this individual, and discusses the Chief Compliance Officer’s performance, responsibilities, plans and resources with the CEO. The Committee also makes recommendations to the Board with respect to the Corporate Compliance Program, the Code of Business Conduct and Ethics, and significant related global policies, and is responsible for reviewing reports of significant actual or alleged violations of the Code of Business Conduct and Ethics, corporate policies and procedures, and applicable laws and regulations. The Committee also discusses reports regarding non-financial compliance risk and risks associated with privacy, antitrust and competition, anti-corruption, and third-party risks, and reviews significant global compliance-related policies, including policies related to pricing and/or commercialization of Company products and services. </w:t>
            </w:r>
          </w:p>
        </w:tc>
      </w:tr>
    </w:tbl>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20 </w:t>
      </w:r>
      <w:r>
        <w:br w:type="page"/>
      </w:r>
    </w:p>
    <w:p>
      <w:pPr>
        <w:pStyle w:val="HorizontalLine"/>
        <w:rPr/>
      </w:pPr>
      <w:r>
        <w:rPr/>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arial" w:hAnsi="arial"/>
                <w:sz w:val="18"/>
              </w:rPr>
            </w:pPr>
            <w:r>
              <w:rPr>
                <w:rFonts w:ascii="arial" w:hAnsi="arial"/>
                <w:b/>
                <w:i/>
                <w:sz w:val="18"/>
              </w:rPr>
              <w:t>The Finance Committee</w:t>
            </w:r>
            <w:r>
              <w:rPr>
                <w:rFonts w:ascii="arial" w:hAnsi="arial"/>
                <w:sz w:val="18"/>
              </w:rPr>
              <w:t xml:space="preserve"> is responsible for reviewing and, as appropriate, providing recommendations to the Board with respect to significant strategies and policies of the Company relating to its capital structure and deployment and/or allocation of capital, material financial matters and transactions, and the risks related to such activities.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arial" w:hAnsi="arial"/>
                <w:sz w:val="18"/>
              </w:rPr>
            </w:pPr>
            <w:r>
              <w:rPr>
                <w:rFonts w:ascii="arial" w:hAnsi="arial"/>
                <w:b/>
                <w:i/>
                <w:sz w:val="18"/>
              </w:rPr>
              <w:t>The Governance and Nominating Committee</w:t>
            </w:r>
            <w:r>
              <w:rPr>
                <w:rFonts w:ascii="arial" w:hAnsi="arial"/>
                <w:sz w:val="18"/>
              </w:rPr>
              <w:t xml:space="preserve"> is responsible for identifying, assisting in recruiting, and nominating qualified individuals to become members of the Board, recommending committee assignments, overseeing the Board’s annual evaluation of the independence of Directors, and evaluating and assisting the Board in considering potential risks related to corporate governance. The Committee is also responsible for overseeing the annual self-evaluation of the Board and its committees and Director orientation and continuing education programs.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arial" w:hAnsi="arial"/>
                <w:sz w:val="18"/>
              </w:rPr>
            </w:pPr>
            <w:r>
              <w:rPr>
                <w:rFonts w:ascii="arial" w:hAnsi="arial"/>
                <w:b/>
                <w:i/>
                <w:sz w:val="18"/>
              </w:rPr>
              <w:t>The Risk Oversight Committee</w:t>
            </w:r>
            <w:r>
              <w:rPr>
                <w:rFonts w:ascii="arial" w:hAnsi="arial"/>
                <w:sz w:val="18"/>
              </w:rPr>
              <w:t xml:space="preserve"> assists the Board in its oversight of Viatris’ enterprise risk management framework. The Committee reviews the enterprise risk framework, infrastructure, and controls implemented by management to help identify, assess, manage, and monitor the Company’s material risks; reviews management’s exercise of its responsibility to identify, assess, and manage material risks not allocated to the Board or another committee, including, for example, data security programs and cybersecurity and information technology; oversees management’s activities with respect to CSR; and reviews the Company’s efforts to foster a culture of risk-adjusted decision-making without constraining reasonable risk-taking and innovation. Management reviews the Company’s enterprise risk management program with the Committee each quarter and discusses the short-, medium- and long-term matters of focus from a risk management perspective and actions being taken to mitigate risk. The Committee also meets with the Chairs of the other committees at least two times a year to discuss enterprise risk and related matters. </w:t>
            </w:r>
          </w:p>
        </w:tc>
      </w:tr>
    </w:tbl>
    <w:p>
      <w:pPr>
        <w:pStyle w:val="TextBody"/>
        <w:spacing w:before="360" w:after="0"/>
        <w:jc w:val="left"/>
        <w:rPr>
          <w:rFonts w:ascii="arial" w:hAnsi="arial"/>
          <w:b/>
          <w:sz w:val="20"/>
        </w:rPr>
      </w:pPr>
      <w:r>
        <w:rPr>
          <w:rFonts w:ascii="arial" w:hAnsi="arial"/>
          <w:b/>
          <w:sz w:val="20"/>
        </w:rPr>
        <w:t xml:space="preserve">The Board’s Role in Oversight of Corporate Environmental and Social Responsibility Matters </w:t>
      </w:r>
    </w:p>
    <w:p>
      <w:pPr>
        <w:pStyle w:val="TextBody"/>
        <w:spacing w:before="120" w:after="0"/>
        <w:jc w:val="both"/>
        <w:rPr>
          <w:rFonts w:ascii="arial" w:hAnsi="arial"/>
          <w:sz w:val="18"/>
        </w:rPr>
      </w:pPr>
      <w:r>
        <w:rPr>
          <w:rFonts w:ascii="arial" w:hAnsi="arial"/>
          <w:sz w:val="18"/>
        </w:rPr>
        <w:t xml:space="preserve">Viatris’ Board oversees management’s efforts with respect to corporate environmental and social responsibility matters through its Risk Oversight Committee. The CSR function operates as a center of excellence within the Viatris Corporate Affairs leadership team. The Head of Corporate Social Responsibility drives the strategic and operational development of CSR across the Company together with key partners. The Head of Corporate Affairs and the Head of Corporate Social Responsibility communicate quarterly with the Board on corporate environmental and social responsibility matters through the Risk Oversight Committee, and on an annual basis, the Risk Oversight Committee reviews progress with the Head of Corporate Affairs on corporate environmental and social responsibility-related matters that have been discussed with the Board to confirm the Company is tracking its priorities in this area. </w:t>
      </w:r>
    </w:p>
    <w:p>
      <w:pPr>
        <w:pStyle w:val="TextBody"/>
        <w:spacing w:before="360" w:after="0"/>
        <w:jc w:val="left"/>
        <w:rPr>
          <w:rFonts w:ascii="arial" w:hAnsi="arial"/>
          <w:b/>
          <w:sz w:val="20"/>
        </w:rPr>
      </w:pPr>
      <w:r>
        <w:rPr>
          <w:rFonts w:ascii="arial" w:hAnsi="arial"/>
          <w:b/>
          <w:sz w:val="20"/>
        </w:rPr>
        <w:t xml:space="preserve">The Board’s and its Committees’ Role in Cybersecurity Oversight </w:t>
      </w:r>
    </w:p>
    <w:p>
      <w:pPr>
        <w:pStyle w:val="TextBody"/>
        <w:spacing w:before="120" w:after="0"/>
        <w:jc w:val="both"/>
        <w:rPr>
          <w:rFonts w:ascii="arial" w:hAnsi="arial"/>
          <w:sz w:val="18"/>
        </w:rPr>
      </w:pPr>
      <w:r>
        <w:rPr>
          <w:rFonts w:ascii="arial" w:hAnsi="arial"/>
          <w:sz w:val="18"/>
        </w:rPr>
        <w:t xml:space="preserve">The Company maintains an information security program to monitor and mitigate cybersecurity risks. This program is managed by the Company’s Chief Information Security Officer &amp; Head of Global Security under the direction of the Company’s Chief Compliance Officer and is designed to identify, protect, detect and respond to cybersecurity risks, and includes policies, procedures, cybersecurity awareness communications, testing, and training for employees (including mandatory training programs for system users), system monitoring, risk reduction, vulnerability and patch management, and a robust incident response and reporting program. </w:t>
      </w:r>
    </w:p>
    <w:p>
      <w:pPr>
        <w:pStyle w:val="TextBody"/>
        <w:spacing w:before="240" w:after="0"/>
        <w:jc w:val="both"/>
        <w:rPr>
          <w:rFonts w:ascii="arial" w:hAnsi="arial"/>
          <w:sz w:val="18"/>
        </w:rPr>
      </w:pPr>
      <w:r>
        <w:rPr>
          <w:rFonts w:ascii="arial" w:hAnsi="arial"/>
          <w:sz w:val="18"/>
        </w:rPr>
        <w:t xml:space="preserve">The Risk Oversight Committee receives reports from senior management on data security, cybersecurity and information security-related matters on at least a quarterly basis, including with respect to related risks, risk management, and relevant legislative, regulatory, and technical developments. On a biannual basis, the Risk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21 </w:t>
      </w:r>
      <w:r>
        <w:br w:type="page"/>
      </w:r>
    </w:p>
    <w:p>
      <w:pPr>
        <w:pStyle w:val="HorizontalLine"/>
        <w:rPr/>
      </w:pPr>
      <w:r>
        <w:rPr/>
      </w:r>
    </w:p>
    <w:p>
      <w:pPr>
        <w:pStyle w:val="TextBody"/>
        <w:spacing w:before="0" w:after="0"/>
        <w:jc w:val="both"/>
        <w:rPr>
          <w:rFonts w:ascii="arial" w:hAnsi="arial"/>
          <w:sz w:val="18"/>
        </w:rPr>
      </w:pPr>
      <w:r>
        <w:rPr>
          <w:rFonts w:ascii="arial" w:hAnsi="arial"/>
          <w:sz w:val="18"/>
        </w:rPr>
        <w:t xml:space="preserve">Oversight Committee and chairs of each other Committee of the Board receive an information security update from the Company’s Chief Information Security Officer &amp; Head of Global Security and the Chief Information Officer. The full Board receives a report on the respective quarterly discussions with senior management from the chair of the Risk Oversight Committee each quarter. </w:t>
      </w:r>
    </w:p>
    <w:p>
      <w:pPr>
        <w:pStyle w:val="TextBody"/>
        <w:spacing w:before="360" w:after="0"/>
        <w:jc w:val="left"/>
        <w:rPr>
          <w:rFonts w:ascii="arial" w:hAnsi="arial"/>
          <w:b/>
          <w:sz w:val="20"/>
        </w:rPr>
      </w:pPr>
      <w:r>
        <w:rPr>
          <w:rFonts w:ascii="arial" w:hAnsi="arial"/>
          <w:b/>
          <w:sz w:val="20"/>
        </w:rPr>
        <w:t xml:space="preserve">Board Education and Director Orientation </w:t>
      </w:r>
    </w:p>
    <w:p>
      <w:pPr>
        <w:pStyle w:val="TextBody"/>
        <w:spacing w:before="120" w:after="0"/>
        <w:jc w:val="both"/>
        <w:rPr>
          <w:rFonts w:ascii="arial" w:hAnsi="arial"/>
          <w:sz w:val="18"/>
        </w:rPr>
      </w:pPr>
      <w:r>
        <w:rPr>
          <w:rFonts w:ascii="arial" w:hAnsi="arial"/>
          <w:sz w:val="18"/>
        </w:rPr>
        <w:t xml:space="preserve">The Governance and Nominating Committee is responsible for overseeing and annually reviewing Director continuing education programs, including educational seminars, presentations, conferences and other programs or opportunities presented by external and internal resources, on matters that may relate to, among other topics: compensation, compliance, governance, board process, risk oversight, audit and accounting, regulatory and other current issues. Directors also may elect to attend additional third-party educational events. The Company reimburses Directors for costs associated with any related seminars and conferences, including travel expenses. </w:t>
      </w:r>
    </w:p>
    <w:p>
      <w:pPr>
        <w:pStyle w:val="TextBody"/>
        <w:spacing w:before="240" w:after="0"/>
        <w:jc w:val="both"/>
        <w:rPr>
          <w:rFonts w:ascii="arial" w:hAnsi="arial"/>
          <w:sz w:val="18"/>
        </w:rPr>
      </w:pPr>
      <w:r>
        <w:rPr>
          <w:rFonts w:ascii="arial" w:hAnsi="arial"/>
          <w:sz w:val="18"/>
        </w:rPr>
        <w:t xml:space="preserve">The Governance and Nominating Committee is also responsible for overseeing and annually reviewing the Company’s Director orientation program. The program is designed to familiarize new Directors with, among other matters, the Company’s business, operations, financial reporting, risk management and executive officers. In addition, new Directors receive extensive onboarding materials which address topics including the Company’s strategy, policies, director roles and responsibilities, corporate governance policies and procedures, and leadership structure.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22 </w:t>
      </w:r>
      <w:r>
        <w:br w:type="page"/>
      </w:r>
    </w:p>
    <w:p>
      <w:pPr>
        <w:pStyle w:val="HorizontalLine"/>
        <w:rPr/>
      </w:pPr>
      <w:r>
        <w:rPr/>
      </w:r>
    </w:p>
    <w:tbl>
      <w:tblPr>
        <w:tblW w:w="3445" w:type="dxa"/>
        <w:jc w:val="left"/>
        <w:tblInd w:w="0" w:type="dxa"/>
        <w:tblCellMar>
          <w:top w:w="0" w:type="dxa"/>
          <w:left w:w="0" w:type="dxa"/>
          <w:bottom w:w="0" w:type="dxa"/>
          <w:right w:w="0" w:type="dxa"/>
        </w:tblCellMar>
      </w:tblPr>
      <w:tblGrid>
        <w:gridCol w:w="1040"/>
        <w:gridCol w:w="2405"/>
      </w:tblGrid>
      <w:tr>
        <w:trPr/>
        <w:tc>
          <w:tcPr>
            <w:tcW w:w="1040" w:type="dxa"/>
            <w:tcBorders/>
            <w:shd w:fill="auto" w:val="clear"/>
            <w:vAlign w:val="center"/>
          </w:tcPr>
          <w:p>
            <w:pPr>
              <w:pStyle w:val="TableContents"/>
              <w:spacing w:before="0" w:after="283"/>
              <w:jc w:val="left"/>
              <w:rPr>
                <w:b/>
              </w:rPr>
            </w:pPr>
            <w:bookmarkStart w:id="4" w:name="toc487324_2"/>
            <w:bookmarkEnd w:id="4"/>
            <w:r>
              <w:rPr>
                <w:b/>
              </w:rPr>
              <w:t>ITEM 11.</w:t>
            </w:r>
          </w:p>
        </w:tc>
        <w:tc>
          <w:tcPr>
            <w:tcW w:w="2405" w:type="dxa"/>
            <w:tcBorders/>
            <w:shd w:fill="auto" w:val="clear"/>
            <w:vAlign w:val="center"/>
          </w:tcPr>
          <w:p>
            <w:pPr>
              <w:pStyle w:val="TableContents"/>
              <w:spacing w:before="0" w:after="0"/>
              <w:jc w:val="both"/>
              <w:rPr>
                <w:rFonts w:ascii="arial" w:hAnsi="arial"/>
                <w:b/>
                <w:sz w:val="20"/>
              </w:rPr>
            </w:pPr>
            <w:r>
              <w:rPr>
                <w:rFonts w:ascii="arial" w:hAnsi="arial"/>
                <w:b/>
                <w:sz w:val="20"/>
              </w:rPr>
              <w:t xml:space="preserve">Executive Compensation </w:t>
            </w:r>
          </w:p>
        </w:tc>
      </w:tr>
    </w:tbl>
    <w:p>
      <w:pPr>
        <w:pStyle w:val="TextBody"/>
        <w:spacing w:before="120" w:after="0"/>
        <w:jc w:val="left"/>
        <w:rPr>
          <w:rFonts w:ascii="arial" w:hAnsi="arial"/>
          <w:b/>
          <w:color w:val="732282"/>
          <w:sz w:val="44"/>
        </w:rPr>
      </w:pPr>
      <w:r>
        <w:rPr>
          <w:rFonts w:ascii="arial" w:hAnsi="arial"/>
          <w:b/>
          <w:color w:val="732282"/>
          <w:sz w:val="44"/>
        </w:rPr>
        <w:t xml:space="preserve">Compensation Discussion and Analysis </w:t>
      </w:r>
    </w:p>
    <w:p>
      <w:pPr>
        <w:pStyle w:val="TextBody"/>
        <w:spacing w:before="120" w:after="0"/>
        <w:jc w:val="both"/>
        <w:rPr>
          <w:rFonts w:ascii="arial" w:hAnsi="arial"/>
          <w:sz w:val="18"/>
        </w:rPr>
      </w:pPr>
      <w:r>
        <w:rPr>
          <w:rFonts w:ascii="arial" w:hAnsi="arial"/>
          <w:sz w:val="18"/>
        </w:rPr>
        <w:t xml:space="preserve">This Compensation Discussion and Analysis (“CD&amp;A”) describes the compensation, which continues to be closely linked to the Company’s performance objectives, of our Named Executive Officers (“NEOs”) for 2022. </w:t>
      </w:r>
    </w:p>
    <w:p>
      <w:pPr>
        <w:pStyle w:val="TextBody"/>
        <w:spacing w:before="360" w:after="0"/>
        <w:jc w:val="left"/>
        <w:rPr>
          <w:rFonts w:ascii="arial" w:hAnsi="arial"/>
          <w:b/>
          <w:sz w:val="20"/>
        </w:rPr>
      </w:pPr>
      <w:r>
        <w:rPr>
          <w:rFonts w:ascii="arial" w:hAnsi="arial"/>
          <w:b/>
          <w:sz w:val="20"/>
        </w:rPr>
        <w:t xml:space="preserve">Strong Say-on-Pay Support in 2022 </w:t>
      </w:r>
    </w:p>
    <w:p>
      <w:pPr>
        <w:pStyle w:val="TextBody"/>
        <w:spacing w:before="120" w:after="0"/>
        <w:jc w:val="both"/>
        <w:rPr>
          <w:rFonts w:ascii="arial" w:hAnsi="arial"/>
          <w:sz w:val="18"/>
        </w:rPr>
      </w:pPr>
      <w:r>
        <w:rPr>
          <w:rFonts w:ascii="arial" w:hAnsi="arial"/>
          <w:sz w:val="18"/>
        </w:rPr>
        <w:t xml:space="preserve">Our shareholders expressed strong support for our compensation programs at our 2022 Annual Meeting, and we received approximately 90.7% approval for our shareholder advisory vote regarding executive compensation. We believe this result is an endorsement of the Company’s compensation philosophy and our focus on a performance-based, shareholder-value-focused business model that is intended to help ensure that Viatris continues to attract and retain high-performing executives. We believe that the say-on-pay support in 2022 is evidence of our responsiveness to shareholder feedback, and we will continue to engage regularly with shareholders for their input. </w:t>
      </w:r>
    </w:p>
    <w:p>
      <w:pPr>
        <w:pStyle w:val="TextBody"/>
        <w:spacing w:before="360" w:after="0"/>
        <w:jc w:val="left"/>
        <w:rPr>
          <w:rFonts w:ascii="arial" w:hAnsi="arial"/>
          <w:b/>
          <w:sz w:val="20"/>
        </w:rPr>
      </w:pPr>
      <w:r>
        <w:rPr>
          <w:rFonts w:ascii="arial" w:hAnsi="arial"/>
          <w:b/>
          <w:sz w:val="20"/>
        </w:rPr>
        <w:t xml:space="preserve">Conclusion of Certain Legacy Compensation Payouts and Future Commitments </w:t>
      </w:r>
    </w:p>
    <w:p>
      <w:pPr>
        <w:pStyle w:val="TextBody"/>
        <w:spacing w:before="120" w:after="0"/>
        <w:jc w:val="both"/>
        <w:rPr>
          <w:rFonts w:ascii="arial" w:hAnsi="arial"/>
          <w:sz w:val="18"/>
        </w:rPr>
      </w:pPr>
      <w:r>
        <w:rPr>
          <w:rFonts w:ascii="arial" w:hAnsi="arial"/>
          <w:b/>
          <w:color w:val="732282"/>
          <w:sz w:val="18"/>
        </w:rPr>
        <w:t>Impact of Legacy Matters on 2022 Compensation</w:t>
      </w:r>
      <w:r>
        <w:rPr>
          <w:rFonts w:ascii="arial" w:hAnsi="arial"/>
          <w:color w:val="732282"/>
          <w:sz w:val="18"/>
        </w:rPr>
        <w:t>.</w:t>
      </w:r>
      <w:r>
        <w:rPr>
          <w:rFonts w:ascii="arial" w:hAnsi="arial"/>
          <w:sz w:val="18"/>
        </w:rPr>
        <w:t xml:space="preserve"> The Summary Compensation Table for 2022 reflects certain legacy retention payments for Messrs. Malik and Mauro relating to their legacy Transition and Succession Agreements with Mylan Inc. that were previously disclosed in the Company’s 2021 and 2022 proxy statements (among other filings). To incentivize Mr. Malik and Mr. Mauro to remain with Viatris in light of their importance to the launch, integration, leadership, and operation of Viatris, as well as development and execution of strategies going forward, and because of their existing Transition and Succession Agreement severance rights, Viatris entered into a retention agreement with each pursuant to which each earned the value of the separation benefit under his respective Transition and Succession Agreement. </w:t>
      </w:r>
    </w:p>
    <w:p>
      <w:pPr>
        <w:pStyle w:val="TextBody"/>
        <w:spacing w:before="240" w:after="0"/>
        <w:jc w:val="both"/>
        <w:rPr>
          <w:rFonts w:ascii="arial" w:hAnsi="arial"/>
          <w:sz w:val="18"/>
        </w:rPr>
      </w:pPr>
      <w:r>
        <w:rPr>
          <w:rFonts w:ascii="arial" w:hAnsi="arial"/>
          <w:b/>
          <w:color w:val="732282"/>
          <w:sz w:val="18"/>
        </w:rPr>
        <w:t>Demonstration of Our Commitment</w:t>
      </w:r>
      <w:r>
        <w:rPr>
          <w:rFonts w:ascii="arial" w:hAnsi="arial"/>
          <w:color w:val="732282"/>
          <w:sz w:val="18"/>
        </w:rPr>
        <w:t>.</w:t>
      </w:r>
      <w:r>
        <w:rPr>
          <w:rFonts w:ascii="arial" w:hAnsi="arial"/>
          <w:sz w:val="18"/>
        </w:rPr>
        <w:t xml:space="preserve"> Although it is common among peer companies, we did not provide a cash-based retention award to Mr. Smith, who joined Viatris as CEO in April 2023. In doing so, we believe our Compensation Committee demonstrated its willingness to accept feedback from shareholders in making executive compensation determinations. </w:t>
      </w:r>
    </w:p>
    <w:p>
      <w:pPr>
        <w:pStyle w:val="TextBody"/>
        <w:spacing w:before="360" w:after="0"/>
        <w:jc w:val="left"/>
        <w:rPr>
          <w:rFonts w:ascii="arial" w:hAnsi="arial"/>
          <w:b/>
          <w:sz w:val="20"/>
        </w:rPr>
      </w:pPr>
      <w:r>
        <w:rPr>
          <w:rFonts w:ascii="arial" w:hAnsi="arial"/>
          <w:b/>
          <w:sz w:val="20"/>
        </w:rPr>
        <w:t xml:space="preserve">Our Continued Performance-Based Approach to Compensation </w:t>
      </w:r>
    </w:p>
    <w:p>
      <w:pPr>
        <w:pStyle w:val="TextBody"/>
        <w:spacing w:before="120" w:after="0"/>
        <w:jc w:val="both"/>
        <w:rPr>
          <w:rFonts w:ascii="arial" w:hAnsi="arial"/>
          <w:sz w:val="18"/>
        </w:rPr>
      </w:pPr>
      <w:r>
        <w:rPr>
          <w:rFonts w:ascii="arial" w:hAnsi="arial"/>
          <w:sz w:val="18"/>
        </w:rPr>
        <w:t xml:space="preserve">Viatris has carefully selected its compensation-related performance metrics to align with the strategic priorities that the Company has previously outlined to its shareholders. When it was formed in November 2020, Viatris laid out a clear and deliberate strategy to build a highly diversified company with multiple capabilities spanning numerous geographies and therapeutic areas. Under the leadership of the Board along with management, we established a two-phased roadmap that detailed and emphasized our strategic priorities to deliver value to our shareholders. In Phase 1 of its strategy (2020-2023), the Company has focused on commercial performance and profitability to generate strong cash flows that could be used to return capital to shareholders. Phase 1 also includes a global reshaping initiative designed to stabilize the business, unlock trapped value and provide the financial flexibility to deliver on our vision. Phase 1 has focused on building a strong foundation and setting us up for Phase 2 (2024 and beyond), which is expected to be a period of renewed growth and leadership in our sector.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23 </w:t>
      </w:r>
      <w:r>
        <w:br w:type="page"/>
      </w:r>
    </w:p>
    <w:p>
      <w:pPr>
        <w:pStyle w:val="HorizontalLine"/>
        <w:rPr/>
      </w:pPr>
      <w:r>
        <w:rPr/>
      </w:r>
    </w:p>
    <w:p>
      <w:pPr>
        <w:pStyle w:val="TextBody"/>
        <w:spacing w:before="0" w:after="0"/>
        <w:jc w:val="left"/>
        <w:rPr>
          <w:rFonts w:ascii="arial" w:hAnsi="arial"/>
          <w:b/>
          <w:color w:val="732282"/>
          <w:sz w:val="20"/>
        </w:rPr>
      </w:pPr>
      <w:r>
        <w:rPr>
          <w:rFonts w:ascii="arial" w:hAnsi="arial"/>
          <w:b/>
          <w:color w:val="732282"/>
          <w:sz w:val="20"/>
        </w:rPr>
        <w:t xml:space="preserve">2022 Pay-for-Performance Pay Mix </w:t>
      </w:r>
    </w:p>
    <w:p>
      <w:pPr>
        <w:pStyle w:val="TextBody"/>
        <w:spacing w:before="120" w:after="0"/>
        <w:jc w:val="both"/>
        <w:rPr>
          <w:rFonts w:ascii="arial" w:hAnsi="arial"/>
          <w:sz w:val="18"/>
        </w:rPr>
      </w:pPr>
      <w:r>
        <w:rPr>
          <w:rFonts w:ascii="arial" w:hAnsi="arial"/>
          <w:sz w:val="18"/>
        </w:rPr>
        <w:t xml:space="preserve">Our 2022 compensation program consisted of base salary, performance-based annual incentive awards, and performance-based long-term incentive awards subject to financial metrics and a relative total shareholder return (“TSR”) modifier. There is strong alignment of pay and performance in our program, with approximately 71% of total target compensation delivered in the form of long-term equity and approximately 63% of total target compensation subject to performance conditions. </w:t>
      </w:r>
    </w:p>
    <w:p>
      <w:pPr>
        <w:pStyle w:val="TextBody"/>
        <w:spacing w:before="0" w:after="0"/>
        <w:jc w:val="left"/>
        <w:rPr/>
      </w:pPr>
      <w:r>
        <w:rPr/>
        <w:t> </w:t>
      </w:r>
    </w:p>
    <w:tbl>
      <w:tblPr>
        <w:tblW w:w="6480" w:type="dxa"/>
        <w:jc w:val="left"/>
        <w:tblInd w:w="0" w:type="dxa"/>
        <w:tblCellMar>
          <w:top w:w="0" w:type="dxa"/>
          <w:left w:w="0" w:type="dxa"/>
          <w:bottom w:w="0" w:type="dxa"/>
          <w:right w:w="0" w:type="dxa"/>
        </w:tblCellMar>
      </w:tblPr>
      <w:tblGrid>
        <w:gridCol w:w="3165"/>
        <w:gridCol w:w="120"/>
        <w:gridCol w:w="3195"/>
      </w:tblGrid>
      <w:tr>
        <w:trPr/>
        <w:tc>
          <w:tcPr>
            <w:tcW w:w="316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195" w:type="dxa"/>
            <w:tcBorders/>
            <w:shd w:fill="auto" w:val="clear"/>
            <w:vAlign w:val="center"/>
          </w:tcPr>
          <w:p>
            <w:pPr>
              <w:pStyle w:val="TableContents"/>
              <w:spacing w:before="0" w:after="283"/>
              <w:rPr>
                <w:sz w:val="4"/>
                <w:szCs w:val="4"/>
              </w:rPr>
            </w:pPr>
            <w:r>
              <w:rPr>
                <w:sz w:val="4"/>
                <w:szCs w:val="4"/>
              </w:rPr>
            </w:r>
          </w:p>
        </w:tc>
      </w:tr>
      <w:tr>
        <w:trPr/>
        <w:tc>
          <w:tcPr>
            <w:tcW w:w="3165" w:type="dxa"/>
            <w:tcBorders/>
            <w:shd w:fill="auto" w:val="clear"/>
            <w:vAlign w:val="center"/>
          </w:tcPr>
          <w:p>
            <w:pPr>
              <w:pStyle w:val="TableContents"/>
              <w:spacing w:before="0" w:after="20"/>
              <w:jc w:val="center"/>
              <w:rPr/>
            </w:pPr>
            <w:r>
              <w:rPr/>
              <w:drawing>
                <wp:inline distT="0" distB="0" distL="0" distR="0">
                  <wp:extent cx="1962150" cy="1619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62150" cy="1619250"/>
                          </a:xfrm>
                          <a:prstGeom prst="rect">
                            <a:avLst/>
                          </a:prstGeom>
                        </pic:spPr>
                      </pic:pic>
                    </a:graphicData>
                  </a:graphic>
                </wp:inline>
              </w:drawing>
            </w:r>
            <w:r>
              <w:rPr/>
              <w:t xml:space="preserve"> </w:t>
            </w:r>
          </w:p>
        </w:tc>
        <w:tc>
          <w:tcPr>
            <w:tcW w:w="120" w:type="dxa"/>
            <w:tcBorders/>
            <w:shd w:fill="auto" w:val="clear"/>
            <w:vAlign w:val="center"/>
          </w:tcPr>
          <w:p>
            <w:pPr>
              <w:pStyle w:val="TableContents"/>
              <w:spacing w:before="0" w:after="283"/>
              <w:rPr/>
            </w:pPr>
            <w:r>
              <w:rPr/>
              <w:t>  </w:t>
            </w:r>
          </w:p>
        </w:tc>
        <w:tc>
          <w:tcPr>
            <w:tcW w:w="3195" w:type="dxa"/>
            <w:tcBorders/>
            <w:shd w:fill="auto" w:val="clear"/>
            <w:vAlign w:val="center"/>
          </w:tcPr>
          <w:p>
            <w:pPr>
              <w:pStyle w:val="TableContents"/>
              <w:spacing w:before="0" w:after="283"/>
              <w:jc w:val="center"/>
              <w:rPr/>
            </w:pPr>
            <w:r>
              <w:rPr/>
              <w:drawing>
                <wp:inline distT="0" distB="0" distL="0" distR="0">
                  <wp:extent cx="1981200" cy="16192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981200" cy="1619250"/>
                          </a:xfrm>
                          <a:prstGeom prst="rect">
                            <a:avLst/>
                          </a:prstGeom>
                        </pic:spPr>
                      </pic:pic>
                    </a:graphicData>
                  </a:graphic>
                </wp:inline>
              </w:drawing>
            </w:r>
            <w:r>
              <w:rPr/>
              <w:t xml:space="preserve"> </w:t>
            </w:r>
          </w:p>
        </w:tc>
      </w:tr>
    </w:tbl>
    <w:p>
      <w:pPr>
        <w:pStyle w:val="TextBody"/>
        <w:spacing w:before="360" w:after="0"/>
        <w:jc w:val="left"/>
        <w:rPr>
          <w:rFonts w:ascii="arial" w:hAnsi="arial"/>
          <w:b/>
          <w:sz w:val="20"/>
        </w:rPr>
      </w:pPr>
      <w:r>
        <w:rPr>
          <w:rFonts w:ascii="arial" w:hAnsi="arial"/>
          <w:b/>
          <w:sz w:val="20"/>
        </w:rPr>
        <w:t xml:space="preserve">Summary of 2022 Incentive Compensation Pay Outcomes </w:t>
      </w:r>
    </w:p>
    <w:p>
      <w:pPr>
        <w:pStyle w:val="TextBody"/>
        <w:spacing w:before="120" w:after="0"/>
        <w:jc w:val="both"/>
        <w:rPr>
          <w:rFonts w:ascii="arial" w:hAnsi="arial"/>
          <w:sz w:val="18"/>
        </w:rPr>
      </w:pPr>
      <w:r>
        <w:rPr>
          <w:rFonts w:ascii="arial" w:hAnsi="arial"/>
          <w:b/>
          <w:color w:val="732282"/>
          <w:sz w:val="18"/>
        </w:rPr>
        <w:t>Short-term incentive compensation</w:t>
      </w:r>
      <w:r>
        <w:rPr>
          <w:rFonts w:ascii="arial" w:hAnsi="arial"/>
          <w:sz w:val="18"/>
        </w:rPr>
        <w:t xml:space="preserve"> comprised approximately 17% of 2022 NEO target total compensation. In 2022, our management team’s operational execution resulted in short-term incentive payouts above target. Drivers of our 2022 short-term incentive results included: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arial" w:hAnsi="arial"/>
                <w:sz w:val="18"/>
              </w:rPr>
            </w:pPr>
            <w:r>
              <w:rPr>
                <w:rFonts w:ascii="arial" w:hAnsi="arial"/>
                <w:sz w:val="18"/>
              </w:rPr>
              <w:t xml:space="preserve">Above-target adjusted EBITDA and free cash flow for short-term incentive compensation purposes, driven by the focus and efforts of the Company’s management and the success of the Company’s cash optimization efforts. For more information on and the differences between how adjusted EBITDA and free cash flow are calculated for purposes of the Company’s 2022 short-term incentive compensation and public reporting purposes, see “Elements of 2022 Compensation — 2022 Annual Incentive Compensation Program — Annual Incentive Compensation Payouts for 2022” on page 30.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arial" w:hAnsi="arial"/>
                <w:sz w:val="18"/>
              </w:rPr>
            </w:pPr>
            <w:r>
              <w:rPr>
                <w:rFonts w:ascii="arial" w:hAnsi="arial"/>
                <w:sz w:val="18"/>
              </w:rPr>
              <w:t xml:space="preserve">Above-target global product submissions, across broad and therapeutic-area agnostic product categories, driven by the strength of the Company’s development programs and successful acceleration of certain additional submissions. </w:t>
            </w:r>
          </w:p>
        </w:tc>
      </w:tr>
    </w:tbl>
    <w:p>
      <w:pPr>
        <w:pStyle w:val="TextBody"/>
        <w:spacing w:before="240" w:after="0"/>
        <w:jc w:val="both"/>
        <w:rPr>
          <w:rFonts w:ascii="arial" w:hAnsi="arial"/>
          <w:sz w:val="18"/>
        </w:rPr>
      </w:pPr>
      <w:r>
        <w:rPr>
          <w:rFonts w:ascii="arial" w:hAnsi="arial"/>
          <w:b/>
          <w:color w:val="732282"/>
          <w:sz w:val="18"/>
        </w:rPr>
        <w:t xml:space="preserve">Long-term incentive compensation. </w:t>
      </w:r>
      <w:r>
        <w:rPr>
          <w:rFonts w:ascii="arial" w:hAnsi="arial"/>
          <w:sz w:val="18"/>
        </w:rPr>
        <w:t xml:space="preserve">Performance-based restricted stock units (“PRSUs”) are subject to a free cash flow metric and relative market performance metric (i.e., relative TSR using the S&amp;P 500 Pharmaceutical Index, which is used as a modifier to determine the final payout percentage) over a three-year time period. Although we believe that Viatris stock is significantly undervalued and this modifier is measured on a three-year time frame, at the relevant stock price as of the close of business (5:00 p.m. Eastern Time) on April 21, 2023, any payouts of PRSUs vesting in 2024 would be automatically reduced by 30%. For more information on and the differences between how free cash flow is calculated for purposes of the Company’s 2022 long-term incentive compensation and public reporting purposes, see “Elements of 2022 Compensation — 2022 Long-Term Incentive Compensation Programs — 2022 Three-Year PRSU Performance Metrics” on pages 31 and 32.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24 </w:t>
      </w:r>
      <w:r>
        <w:br w:type="page"/>
      </w:r>
    </w:p>
    <w:p>
      <w:pPr>
        <w:pStyle w:val="HorizontalLine"/>
        <w:rPr/>
      </w:pPr>
      <w:r>
        <w:rPr/>
      </w:r>
    </w:p>
    <w:p>
      <w:pPr>
        <w:pStyle w:val="TextBody"/>
        <w:spacing w:before="0" w:after="0"/>
        <w:jc w:val="left"/>
        <w:rPr>
          <w:rFonts w:ascii="arial" w:hAnsi="arial"/>
          <w:b/>
          <w:color w:val="666666"/>
          <w:sz w:val="28"/>
        </w:rPr>
      </w:pPr>
      <w:r>
        <w:rPr>
          <w:rFonts w:ascii="arial" w:hAnsi="arial"/>
          <w:b/>
          <w:color w:val="666666"/>
          <w:sz w:val="28"/>
        </w:rPr>
        <w:t xml:space="preserve">Selected Highlights and Recent Developments </w:t>
      </w:r>
    </w:p>
    <w:p>
      <w:pPr>
        <w:pStyle w:val="TextBody"/>
        <w:pBdr>
          <w:bottom w:val="single" w:sz="2" w:space="1" w:color="732282"/>
        </w:pBdr>
        <w:spacing w:lineRule="atLeast" w:line="141" w:before="0" w:after="40"/>
        <w:jc w:val="left"/>
        <w:rPr/>
      </w:pPr>
      <w:r>
        <w:rPr/>
        <w:t> </w:t>
      </w:r>
    </w:p>
    <w:p>
      <w:pPr>
        <w:pStyle w:val="TextBody"/>
        <w:spacing w:before="120" w:after="0"/>
        <w:jc w:val="both"/>
        <w:rPr>
          <w:rFonts w:ascii="arial" w:hAnsi="arial"/>
          <w:sz w:val="18"/>
        </w:rPr>
      </w:pPr>
      <w:r>
        <w:rPr>
          <w:rFonts w:ascii="arial" w:hAnsi="arial"/>
          <w:sz w:val="18"/>
        </w:rPr>
        <w:t xml:space="preserve">Viatris’ management continues to execute on the strategic priorities outlined to shareholders and led the Company in achieving several notable accomplishments in 2022. </w:t>
      </w:r>
    </w:p>
    <w:p>
      <w:pPr>
        <w:pStyle w:val="TextBody"/>
        <w:spacing w:before="240" w:after="0"/>
        <w:jc w:val="left"/>
        <w:rPr>
          <w:rFonts w:ascii="arial" w:hAnsi="arial"/>
          <w:b/>
          <w:sz w:val="20"/>
        </w:rPr>
      </w:pPr>
      <w:r>
        <w:rPr>
          <w:rFonts w:ascii="arial" w:hAnsi="arial"/>
          <w:b/>
          <w:sz w:val="20"/>
        </w:rPr>
        <w:t xml:space="preserve">Financial and Operational Performance </w:t>
      </w:r>
    </w:p>
    <w:p>
      <w:pPr>
        <w:pStyle w:val="TextBody"/>
        <w:spacing w:before="120" w:after="0"/>
        <w:jc w:val="both"/>
        <w:rPr>
          <w:rFonts w:ascii="arial" w:hAnsi="arial"/>
          <w:sz w:val="18"/>
        </w:rPr>
      </w:pPr>
      <w:r>
        <w:rPr>
          <w:rFonts w:ascii="arial" w:hAnsi="arial"/>
          <w:sz w:val="18"/>
        </w:rPr>
        <w:t xml:space="preserve">In 2022, Viatris delivered another four quarters of consistent, solid operational performance across all segments. The Company: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arial" w:hAnsi="arial"/>
                <w:sz w:val="18"/>
              </w:rPr>
            </w:pPr>
            <w:r>
              <w:rPr>
                <w:rFonts w:ascii="arial" w:hAnsi="arial"/>
                <w:sz w:val="18"/>
              </w:rPr>
              <w:t xml:space="preserve">Reported total revenues of $16.26 billion; U.S. GAAP net earnings of $2.08 billion; adjusted EBITDA of $5.78 billion; U.S. GAAP net cash provided by operating activities of $2.95 billion; and free cash flow of $2.55 billion.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arial" w:hAnsi="arial"/>
                <w:sz w:val="18"/>
              </w:rPr>
            </w:pPr>
            <w:r>
              <w:rPr>
                <w:rFonts w:ascii="arial" w:hAnsi="arial"/>
                <w:sz w:val="18"/>
              </w:rPr>
              <w:t xml:space="preserve">Captured an additional approximately $250 million (approximately $750 million since the beginning of 2021) in synergies due to integration efforts. </w:t>
            </w:r>
          </w:p>
        </w:tc>
      </w:tr>
    </w:tbl>
    <w:p>
      <w:pPr>
        <w:pStyle w:val="TextBody"/>
        <w:spacing w:before="0" w:after="0"/>
        <w:jc w:val="left"/>
        <w:rPr/>
      </w:pPr>
      <w:r>
        <w:rPr/>
        <w:t> </w:t>
      </w:r>
    </w:p>
    <w:tbl>
      <w:tblPr>
        <w:tblW w:w="8395" w:type="dxa"/>
        <w:jc w:val="left"/>
        <w:tblInd w:w="0" w:type="dxa"/>
        <w:tblCellMar>
          <w:top w:w="0" w:type="dxa"/>
          <w:left w:w="0" w:type="dxa"/>
          <w:bottom w:w="0" w:type="dxa"/>
          <w:right w:w="0" w:type="dxa"/>
        </w:tblCellMar>
      </w:tblPr>
      <w:tblGrid>
        <w:gridCol w:w="75"/>
        <w:gridCol w:w="110"/>
        <w:gridCol w:w="60"/>
        <w:gridCol w:w="815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150" w:type="dxa"/>
            <w:tcBorders/>
            <w:shd w:fill="auto" w:val="clear"/>
            <w:vAlign w:val="center"/>
          </w:tcPr>
          <w:p>
            <w:pPr>
              <w:pStyle w:val="TableContents"/>
              <w:spacing w:before="0" w:after="0"/>
              <w:jc w:val="both"/>
              <w:rPr>
                <w:rFonts w:ascii="arial" w:hAnsi="arial"/>
                <w:sz w:val="18"/>
              </w:rPr>
            </w:pPr>
            <w:r>
              <w:rPr>
                <w:rFonts w:ascii="arial" w:hAnsi="arial"/>
                <w:sz w:val="18"/>
              </w:rPr>
              <w:t xml:space="preserve">Paid down approximately $3.3 billion of debt, exceeding the 2022 target of approximately $2 billion. </w:t>
            </w:r>
          </w:p>
        </w:tc>
      </w:tr>
    </w:tbl>
    <w:p>
      <w:pPr>
        <w:pStyle w:val="TextBody"/>
        <w:spacing w:before="0" w:after="0"/>
        <w:jc w:val="left"/>
        <w:rPr/>
      </w:pPr>
      <w:r>
        <w:rPr/>
        <w:t> </w:t>
      </w:r>
    </w:p>
    <w:tbl>
      <w:tblPr>
        <w:tblW w:w="5605" w:type="dxa"/>
        <w:jc w:val="left"/>
        <w:tblInd w:w="0" w:type="dxa"/>
        <w:tblCellMar>
          <w:top w:w="0" w:type="dxa"/>
          <w:left w:w="0" w:type="dxa"/>
          <w:bottom w:w="0" w:type="dxa"/>
          <w:right w:w="0" w:type="dxa"/>
        </w:tblCellMar>
      </w:tblPr>
      <w:tblGrid>
        <w:gridCol w:w="75"/>
        <w:gridCol w:w="110"/>
        <w:gridCol w:w="60"/>
        <w:gridCol w:w="53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360" w:type="dxa"/>
            <w:tcBorders/>
            <w:shd w:fill="auto" w:val="clear"/>
            <w:vAlign w:val="center"/>
          </w:tcPr>
          <w:p>
            <w:pPr>
              <w:pStyle w:val="TableContents"/>
              <w:spacing w:before="0" w:after="0"/>
              <w:jc w:val="both"/>
              <w:rPr>
                <w:rFonts w:ascii="arial" w:hAnsi="arial"/>
                <w:sz w:val="18"/>
              </w:rPr>
            </w:pPr>
            <w:r>
              <w:rPr>
                <w:rFonts w:ascii="arial" w:hAnsi="arial"/>
                <w:sz w:val="18"/>
              </w:rPr>
              <w:t xml:space="preserve">Exited substantially all transition services agreements with Pfizer. </w:t>
            </w:r>
          </w:p>
        </w:tc>
      </w:tr>
    </w:tbl>
    <w:p>
      <w:pPr>
        <w:pStyle w:val="TextBody"/>
        <w:spacing w:before="0" w:after="0"/>
        <w:jc w:val="left"/>
        <w:rPr/>
      </w:pPr>
      <w:r>
        <w:rPr/>
        <w:t> </w:t>
      </w:r>
    </w:p>
    <w:tbl>
      <w:tblPr>
        <w:tblW w:w="5275" w:type="dxa"/>
        <w:jc w:val="left"/>
        <w:tblInd w:w="0" w:type="dxa"/>
        <w:tblCellMar>
          <w:top w:w="0" w:type="dxa"/>
          <w:left w:w="0" w:type="dxa"/>
          <w:bottom w:w="0" w:type="dxa"/>
          <w:right w:w="0" w:type="dxa"/>
        </w:tblCellMar>
      </w:tblPr>
      <w:tblGrid>
        <w:gridCol w:w="75"/>
        <w:gridCol w:w="110"/>
        <w:gridCol w:w="60"/>
        <w:gridCol w:w="503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030" w:type="dxa"/>
            <w:tcBorders/>
            <w:shd w:fill="auto" w:val="clear"/>
            <w:vAlign w:val="center"/>
          </w:tcPr>
          <w:p>
            <w:pPr>
              <w:pStyle w:val="TableContents"/>
              <w:spacing w:before="0" w:after="0"/>
              <w:jc w:val="both"/>
              <w:rPr>
                <w:rFonts w:ascii="arial" w:hAnsi="arial"/>
                <w:sz w:val="18"/>
              </w:rPr>
            </w:pPr>
            <w:r>
              <w:rPr>
                <w:rFonts w:ascii="arial" w:hAnsi="arial"/>
                <w:sz w:val="18"/>
              </w:rPr>
              <w:t xml:space="preserve">Increased the quarterly dividend payment to $0.12 per share.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arial" w:hAnsi="arial"/>
                <w:sz w:val="18"/>
              </w:rPr>
            </w:pPr>
            <w:r>
              <w:rPr>
                <w:rFonts w:ascii="arial" w:hAnsi="arial"/>
                <w:sz w:val="18"/>
              </w:rPr>
              <w:t xml:space="preserve">Paid approximately $580 million in dividends. Since the beginning of 2021, the Company has returned nearly $1 billion to shareholders through dividend payments.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arial" w:hAnsi="arial"/>
                <w:sz w:val="18"/>
              </w:rPr>
            </w:pPr>
            <w:r>
              <w:rPr>
                <w:rFonts w:ascii="arial" w:hAnsi="arial"/>
                <w:sz w:val="18"/>
              </w:rPr>
              <w:t xml:space="preserve">Completed approximately $250 million in share repurchases in January and February 2023 as part of its previously announced $1 billion stock repurchase program that the Board authorized.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arial" w:hAnsi="arial"/>
                <w:sz w:val="18"/>
              </w:rPr>
            </w:pPr>
            <w:r>
              <w:rPr>
                <w:rFonts w:ascii="arial" w:hAnsi="arial"/>
                <w:sz w:val="18"/>
              </w:rPr>
              <w:t xml:space="preserve">Completed the Biocon Biologics Transaction; received a $2 billion cash payment, adjusted as set forth in the agreement, and approximately $1 billion of compulsory convertible preferred shares representing a stake of approximately 12.9% (on a fully diluted basis) in Biocon Biologics.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arial" w:hAnsi="arial"/>
                <w:sz w:val="18"/>
              </w:rPr>
            </w:pPr>
            <w:r>
              <w:rPr>
                <w:rFonts w:ascii="arial" w:hAnsi="arial"/>
                <w:sz w:val="18"/>
              </w:rPr>
              <w:t xml:space="preserve">Established an eye care division in early 2023 in conjunction with the acquisitions of Oyster Point Pharma and Famy Life Sciences. </w:t>
            </w:r>
          </w:p>
        </w:tc>
      </w:tr>
    </w:tbl>
    <w:p>
      <w:pPr>
        <w:pStyle w:val="TextBody"/>
        <w:spacing w:before="240" w:after="0"/>
        <w:jc w:val="left"/>
        <w:rPr>
          <w:rFonts w:ascii="arial" w:hAnsi="arial"/>
          <w:b/>
          <w:sz w:val="20"/>
        </w:rPr>
      </w:pPr>
      <w:r>
        <w:rPr>
          <w:rFonts w:ascii="arial" w:hAnsi="arial"/>
          <w:b/>
          <w:sz w:val="20"/>
        </w:rPr>
        <w:t xml:space="preserve">Science and Regulatory Achievements </w:t>
      </w:r>
    </w:p>
    <w:p>
      <w:pPr>
        <w:pStyle w:val="TextBody"/>
        <w:spacing w:before="120" w:after="0"/>
        <w:jc w:val="both"/>
        <w:rPr>
          <w:rFonts w:ascii="arial" w:hAnsi="arial"/>
          <w:sz w:val="18"/>
        </w:rPr>
      </w:pPr>
      <w:r>
        <w:rPr>
          <w:rFonts w:ascii="arial" w:hAnsi="arial"/>
          <w:sz w:val="18"/>
        </w:rPr>
        <w:t xml:space="preserve">The Company has industry-leading science, regulatory and manufacturing capabilities complemented by a strong commitment to quality and an unparalleled geographic footprint to deliver high-quality medicines. This includes more than 3,000 scientists and medical professionals working across 12 development centers globally in multiple technology platforms and therapeutic areas, coupled with in-country regulatory expertise in 55 markets. In 2022, Viatris advanced key development programs across complex injectables, novel products, complex generics, as well as progressing its efforts to establish a Phase III-ready eye care pipeline. The Company: </w:t>
      </w:r>
    </w:p>
    <w:p>
      <w:pPr>
        <w:pStyle w:val="TextBody"/>
        <w:spacing w:before="0" w:after="0"/>
        <w:jc w:val="left"/>
        <w:rPr/>
      </w:pPr>
      <w:r>
        <w:rPr/>
        <w:t> </w:t>
      </w:r>
    </w:p>
    <w:tbl>
      <w:tblPr>
        <w:tblW w:w="8485" w:type="dxa"/>
        <w:jc w:val="left"/>
        <w:tblInd w:w="0" w:type="dxa"/>
        <w:tblCellMar>
          <w:top w:w="0" w:type="dxa"/>
          <w:left w:w="0" w:type="dxa"/>
          <w:bottom w:w="0" w:type="dxa"/>
          <w:right w:w="0" w:type="dxa"/>
        </w:tblCellMar>
      </w:tblPr>
      <w:tblGrid>
        <w:gridCol w:w="75"/>
        <w:gridCol w:w="110"/>
        <w:gridCol w:w="60"/>
        <w:gridCol w:w="824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240" w:type="dxa"/>
            <w:tcBorders/>
            <w:shd w:fill="auto" w:val="clear"/>
            <w:vAlign w:val="center"/>
          </w:tcPr>
          <w:p>
            <w:pPr>
              <w:pStyle w:val="TableContents"/>
              <w:spacing w:before="0" w:after="0"/>
              <w:jc w:val="both"/>
              <w:rPr>
                <w:rFonts w:ascii="arial" w:hAnsi="arial"/>
                <w:sz w:val="18"/>
              </w:rPr>
            </w:pPr>
            <w:r>
              <w:rPr>
                <w:rFonts w:ascii="arial" w:hAnsi="arial"/>
                <w:sz w:val="18"/>
              </w:rPr>
              <w:t xml:space="preserve">Announced positive top-line results for the GA Depot Phase III clinical trial with partner Mapi Pharma. </w:t>
            </w:r>
          </w:p>
        </w:tc>
      </w:tr>
    </w:tbl>
    <w:p>
      <w:pPr>
        <w:pStyle w:val="TextBody"/>
        <w:spacing w:before="0" w:after="0"/>
        <w:jc w:val="left"/>
        <w:rPr/>
      </w:pPr>
      <w:r>
        <w:rPr/>
        <w:t> </w:t>
      </w:r>
    </w:p>
    <w:tbl>
      <w:tblPr>
        <w:tblW w:w="9355" w:type="dxa"/>
        <w:jc w:val="left"/>
        <w:tblInd w:w="0" w:type="dxa"/>
        <w:tblCellMar>
          <w:top w:w="0" w:type="dxa"/>
          <w:left w:w="0" w:type="dxa"/>
          <w:bottom w:w="0" w:type="dxa"/>
          <w:right w:w="0" w:type="dxa"/>
        </w:tblCellMar>
      </w:tblPr>
      <w:tblGrid>
        <w:gridCol w:w="75"/>
        <w:gridCol w:w="110"/>
        <w:gridCol w:w="60"/>
        <w:gridCol w:w="911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110" w:type="dxa"/>
            <w:tcBorders/>
            <w:shd w:fill="auto" w:val="clear"/>
            <w:vAlign w:val="center"/>
          </w:tcPr>
          <w:p>
            <w:pPr>
              <w:pStyle w:val="TableContents"/>
              <w:spacing w:before="0" w:after="0"/>
              <w:jc w:val="both"/>
              <w:rPr>
                <w:rFonts w:ascii="arial" w:hAnsi="arial"/>
                <w:sz w:val="18"/>
              </w:rPr>
            </w:pPr>
            <w:r>
              <w:rPr>
                <w:rFonts w:ascii="arial" w:hAnsi="arial"/>
                <w:sz w:val="18"/>
              </w:rPr>
              <w:t xml:space="preserve">Received U.S. Food and Drug Administration (“FDA”) approvals of Fingolimod and Levothyroxine Oral Solution.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arial" w:hAnsi="arial"/>
                <w:sz w:val="18"/>
              </w:rPr>
            </w:pPr>
            <w:r>
              <w:rPr>
                <w:rFonts w:ascii="arial" w:hAnsi="arial"/>
                <w:sz w:val="18"/>
              </w:rPr>
              <w:t xml:space="preserve">Expanded first-to-market opportunities of complex injectables with generics of Sandostatin® LAR Depot, Ozempic® and Abilify Maintena®. </w:t>
            </w:r>
          </w:p>
        </w:tc>
      </w:tr>
    </w:tbl>
    <w:p>
      <w:pPr>
        <w:pStyle w:val="TextBody"/>
        <w:spacing w:before="0" w:after="0"/>
        <w:jc w:val="left"/>
        <w:rPr/>
      </w:pPr>
      <w:r>
        <w:rPr/>
        <w:t> </w:t>
      </w:r>
    </w:p>
    <w:tbl>
      <w:tblPr>
        <w:tblW w:w="6400" w:type="dxa"/>
        <w:jc w:val="left"/>
        <w:tblInd w:w="0" w:type="dxa"/>
        <w:tblCellMar>
          <w:top w:w="0" w:type="dxa"/>
          <w:left w:w="0" w:type="dxa"/>
          <w:bottom w:w="0" w:type="dxa"/>
          <w:right w:w="0" w:type="dxa"/>
        </w:tblCellMar>
      </w:tblPr>
      <w:tblGrid>
        <w:gridCol w:w="75"/>
        <w:gridCol w:w="110"/>
        <w:gridCol w:w="60"/>
        <w:gridCol w:w="615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155" w:type="dxa"/>
            <w:tcBorders/>
            <w:shd w:fill="auto" w:val="clear"/>
            <w:vAlign w:val="center"/>
          </w:tcPr>
          <w:p>
            <w:pPr>
              <w:pStyle w:val="TableContents"/>
              <w:spacing w:before="0" w:after="0"/>
              <w:jc w:val="both"/>
              <w:rPr>
                <w:rFonts w:ascii="arial" w:hAnsi="arial"/>
                <w:sz w:val="18"/>
              </w:rPr>
            </w:pPr>
            <w:r>
              <w:rPr>
                <w:rFonts w:ascii="arial" w:hAnsi="arial"/>
                <w:sz w:val="18"/>
              </w:rPr>
              <w:t xml:space="preserve">Initiated Phase III trials for Effexor® Generalized Anxiety Disorder in Japan.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arial" w:hAnsi="arial"/>
                <w:sz w:val="18"/>
              </w:rPr>
            </w:pPr>
            <w:r>
              <w:rPr>
                <w:rFonts w:ascii="arial" w:hAnsi="arial"/>
                <w:sz w:val="18"/>
              </w:rPr>
              <w:t xml:space="preserve">Achieved FDA acceptance of the new drug application review for the reversal of mydriasis program and was granted a Prescription Drug User Fee Act date of September 28, 2023. </w:t>
            </w:r>
          </w:p>
        </w:tc>
      </w:tr>
    </w:tbl>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25 </w:t>
      </w:r>
      <w:r>
        <w:br w:type="page"/>
      </w:r>
    </w:p>
    <w:p>
      <w:pPr>
        <w:pStyle w:val="HorizontalLine"/>
        <w:rPr/>
      </w:pPr>
      <w:r>
        <w:rPr/>
      </w:r>
    </w:p>
    <w:tbl>
      <w:tblPr>
        <w:tblW w:w="5590" w:type="dxa"/>
        <w:jc w:val="left"/>
        <w:tblInd w:w="0" w:type="dxa"/>
        <w:tblCellMar>
          <w:top w:w="0" w:type="dxa"/>
          <w:left w:w="0" w:type="dxa"/>
          <w:bottom w:w="0" w:type="dxa"/>
          <w:right w:w="0" w:type="dxa"/>
        </w:tblCellMar>
      </w:tblPr>
      <w:tblGrid>
        <w:gridCol w:w="75"/>
        <w:gridCol w:w="110"/>
        <w:gridCol w:w="60"/>
        <w:gridCol w:w="534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345" w:type="dxa"/>
            <w:tcBorders/>
            <w:shd w:fill="auto" w:val="clear"/>
            <w:vAlign w:val="center"/>
          </w:tcPr>
          <w:p>
            <w:pPr>
              <w:pStyle w:val="TableContents"/>
              <w:spacing w:before="0" w:after="0"/>
              <w:jc w:val="both"/>
              <w:rPr>
                <w:rFonts w:ascii="arial" w:hAnsi="arial"/>
                <w:sz w:val="18"/>
              </w:rPr>
            </w:pPr>
            <w:r>
              <w:rPr>
                <w:rFonts w:ascii="arial" w:hAnsi="arial"/>
                <w:sz w:val="18"/>
              </w:rPr>
              <w:t xml:space="preserve">Started enrollment in the first pivotal Phase III trial for presbyopia. </w:t>
            </w:r>
          </w:p>
        </w:tc>
      </w:tr>
    </w:tbl>
    <w:p>
      <w:pPr>
        <w:pStyle w:val="TextBody"/>
        <w:spacing w:before="0" w:after="0"/>
        <w:jc w:val="left"/>
        <w:rPr/>
      </w:pPr>
      <w:r>
        <w:rPr/>
        <w:t> </w:t>
      </w:r>
    </w:p>
    <w:tbl>
      <w:tblPr>
        <w:tblW w:w="5335" w:type="dxa"/>
        <w:jc w:val="left"/>
        <w:tblInd w:w="0" w:type="dxa"/>
        <w:tblCellMar>
          <w:top w:w="0" w:type="dxa"/>
          <w:left w:w="0" w:type="dxa"/>
          <w:bottom w:w="0" w:type="dxa"/>
          <w:right w:w="0" w:type="dxa"/>
        </w:tblCellMar>
      </w:tblPr>
      <w:tblGrid>
        <w:gridCol w:w="75"/>
        <w:gridCol w:w="110"/>
        <w:gridCol w:w="60"/>
        <w:gridCol w:w="509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090" w:type="dxa"/>
            <w:tcBorders/>
            <w:shd w:fill="auto" w:val="clear"/>
            <w:vAlign w:val="center"/>
          </w:tcPr>
          <w:p>
            <w:pPr>
              <w:pStyle w:val="TableContents"/>
              <w:spacing w:before="0" w:after="0"/>
              <w:jc w:val="both"/>
              <w:rPr>
                <w:rFonts w:ascii="arial" w:hAnsi="arial"/>
                <w:sz w:val="18"/>
              </w:rPr>
            </w:pPr>
            <w:r>
              <w:rPr>
                <w:rFonts w:ascii="arial" w:hAnsi="arial"/>
                <w:sz w:val="18"/>
              </w:rPr>
              <w:t xml:space="preserve">Made more than 100 additional submissions globally in 2022.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arial" w:hAnsi="arial"/>
                <w:sz w:val="18"/>
              </w:rPr>
            </w:pPr>
            <w:r>
              <w:rPr>
                <w:rFonts w:ascii="arial" w:hAnsi="arial"/>
                <w:sz w:val="18"/>
              </w:rPr>
              <w:t xml:space="preserve">Has 10 products under review with the health authorities in China, including complex products, such as generic Symbicort®. </w:t>
            </w:r>
          </w:p>
        </w:tc>
      </w:tr>
    </w:tbl>
    <w:p>
      <w:pPr>
        <w:pStyle w:val="TextBody"/>
        <w:spacing w:before="240" w:after="0"/>
        <w:jc w:val="left"/>
        <w:rPr>
          <w:rFonts w:ascii="arial" w:hAnsi="arial"/>
          <w:b/>
          <w:sz w:val="20"/>
        </w:rPr>
      </w:pPr>
      <w:r>
        <w:rPr>
          <w:rFonts w:ascii="arial" w:hAnsi="arial"/>
          <w:b/>
          <w:sz w:val="20"/>
        </w:rPr>
        <w:t xml:space="preserve">External Recognition </w:t>
      </w:r>
    </w:p>
    <w:p>
      <w:pPr>
        <w:pStyle w:val="TextBody"/>
        <w:spacing w:before="120" w:after="0"/>
        <w:jc w:val="both"/>
        <w:rPr>
          <w:rFonts w:ascii="arial" w:hAnsi="arial"/>
          <w:sz w:val="18"/>
        </w:rPr>
      </w:pPr>
      <w:r>
        <w:rPr>
          <w:rFonts w:ascii="arial" w:hAnsi="arial"/>
          <w:sz w:val="18"/>
        </w:rPr>
        <w:t xml:space="preserve">Viatris received a number of external recognitions in 2022, including: </w:t>
      </w:r>
    </w:p>
    <w:p>
      <w:pPr>
        <w:pStyle w:val="TextBody"/>
        <w:spacing w:before="0" w:after="0"/>
        <w:jc w:val="left"/>
        <w:rPr/>
      </w:pPr>
      <w:r>
        <w:rPr/>
        <w:t> </w:t>
      </w:r>
    </w:p>
    <w:tbl>
      <w:tblPr>
        <w:tblW w:w="6850" w:type="dxa"/>
        <w:jc w:val="left"/>
        <w:tblInd w:w="0" w:type="dxa"/>
        <w:tblCellMar>
          <w:top w:w="0" w:type="dxa"/>
          <w:left w:w="0" w:type="dxa"/>
          <w:bottom w:w="0" w:type="dxa"/>
          <w:right w:w="0" w:type="dxa"/>
        </w:tblCellMar>
      </w:tblPr>
      <w:tblGrid>
        <w:gridCol w:w="75"/>
        <w:gridCol w:w="110"/>
        <w:gridCol w:w="60"/>
        <w:gridCol w:w="660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605" w:type="dxa"/>
            <w:tcBorders/>
            <w:shd w:fill="auto" w:val="clear"/>
            <w:vAlign w:val="center"/>
          </w:tcPr>
          <w:p>
            <w:pPr>
              <w:pStyle w:val="TableContents"/>
              <w:spacing w:before="0" w:after="0"/>
              <w:jc w:val="both"/>
              <w:rPr>
                <w:rFonts w:ascii="arial" w:hAnsi="arial"/>
                <w:sz w:val="18"/>
              </w:rPr>
            </w:pPr>
            <w:r>
              <w:rPr>
                <w:rFonts w:ascii="arial" w:hAnsi="arial"/>
                <w:sz w:val="18"/>
              </w:rPr>
              <w:t xml:space="preserve">Forbes® annual list of the “World’s Best Employers” for the second year in a row.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arial" w:hAnsi="arial"/>
                <w:sz w:val="18"/>
              </w:rPr>
            </w:pPr>
            <w:r>
              <w:rPr>
                <w:rFonts w:ascii="arial" w:hAnsi="arial"/>
                <w:sz w:val="18"/>
              </w:rPr>
              <w:t xml:space="preserve">Top Employers Institute certification as a Top Employer in the United Kingdom and United Arab Emirates and as one of the top 101 employers in China. </w:t>
            </w:r>
          </w:p>
        </w:tc>
      </w:tr>
    </w:tbl>
    <w:p>
      <w:pPr>
        <w:pStyle w:val="TextBody"/>
        <w:spacing w:before="0" w:after="0"/>
        <w:jc w:val="left"/>
        <w:rPr/>
      </w:pPr>
      <w:r>
        <w:rPr/>
        <w:t> </w:t>
      </w:r>
    </w:p>
    <w:tbl>
      <w:tblPr>
        <w:tblW w:w="7795" w:type="dxa"/>
        <w:jc w:val="left"/>
        <w:tblInd w:w="0" w:type="dxa"/>
        <w:tblCellMar>
          <w:top w:w="0" w:type="dxa"/>
          <w:left w:w="0" w:type="dxa"/>
          <w:bottom w:w="0" w:type="dxa"/>
          <w:right w:w="0" w:type="dxa"/>
        </w:tblCellMar>
      </w:tblPr>
      <w:tblGrid>
        <w:gridCol w:w="75"/>
        <w:gridCol w:w="110"/>
        <w:gridCol w:w="60"/>
        <w:gridCol w:w="755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550" w:type="dxa"/>
            <w:tcBorders/>
            <w:shd w:fill="auto" w:val="clear"/>
            <w:vAlign w:val="center"/>
          </w:tcPr>
          <w:p>
            <w:pPr>
              <w:pStyle w:val="TableContents"/>
              <w:spacing w:before="0" w:after="0"/>
              <w:jc w:val="both"/>
              <w:rPr>
                <w:rFonts w:ascii="arial" w:hAnsi="arial"/>
                <w:sz w:val="18"/>
              </w:rPr>
            </w:pPr>
            <w:r>
              <w:rPr>
                <w:rFonts w:ascii="arial" w:hAnsi="arial"/>
                <w:sz w:val="18"/>
              </w:rPr>
              <w:t xml:space="preserve">LMG Life Sciences’ U.S. In-House Legal Team of the Year for Intellectual Property Litigation. </w:t>
            </w:r>
          </w:p>
        </w:tc>
      </w:tr>
    </w:tbl>
    <w:p>
      <w:pPr>
        <w:pStyle w:val="TextBody"/>
        <w:spacing w:before="0" w:after="0"/>
        <w:jc w:val="left"/>
        <w:rPr/>
      </w:pPr>
      <w:r>
        <w:rPr/>
        <w:t> </w:t>
      </w:r>
    </w:p>
    <w:tbl>
      <w:tblPr>
        <w:tblW w:w="3745" w:type="dxa"/>
        <w:jc w:val="left"/>
        <w:tblInd w:w="0" w:type="dxa"/>
        <w:tblCellMar>
          <w:top w:w="0" w:type="dxa"/>
          <w:left w:w="0" w:type="dxa"/>
          <w:bottom w:w="0" w:type="dxa"/>
          <w:right w:w="0" w:type="dxa"/>
        </w:tblCellMar>
      </w:tblPr>
      <w:tblGrid>
        <w:gridCol w:w="75"/>
        <w:gridCol w:w="110"/>
        <w:gridCol w:w="60"/>
        <w:gridCol w:w="350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500" w:type="dxa"/>
            <w:tcBorders/>
            <w:shd w:fill="auto" w:val="clear"/>
            <w:vAlign w:val="center"/>
          </w:tcPr>
          <w:p>
            <w:pPr>
              <w:pStyle w:val="TableContents"/>
              <w:spacing w:before="0" w:after="0"/>
              <w:jc w:val="both"/>
              <w:rPr>
                <w:rFonts w:ascii="arial" w:hAnsi="arial"/>
                <w:sz w:val="18"/>
              </w:rPr>
            </w:pPr>
            <w:r>
              <w:rPr>
                <w:rFonts w:ascii="arial" w:hAnsi="arial"/>
                <w:sz w:val="18"/>
              </w:rPr>
              <w:t xml:space="preserve">Great Place to Work® certification in India. </w:t>
            </w:r>
          </w:p>
        </w:tc>
      </w:tr>
    </w:tbl>
    <w:p>
      <w:pPr>
        <w:pStyle w:val="TextBody"/>
        <w:spacing w:before="0" w:after="0"/>
        <w:jc w:val="left"/>
        <w:rPr/>
      </w:pPr>
      <w:r>
        <w:rPr/>
        <w:t> </w:t>
      </w:r>
    </w:p>
    <w:tbl>
      <w:tblPr>
        <w:tblW w:w="4075" w:type="dxa"/>
        <w:jc w:val="left"/>
        <w:tblInd w:w="0" w:type="dxa"/>
        <w:tblCellMar>
          <w:top w:w="0" w:type="dxa"/>
          <w:left w:w="0" w:type="dxa"/>
          <w:bottom w:w="0" w:type="dxa"/>
          <w:right w:w="0" w:type="dxa"/>
        </w:tblCellMar>
      </w:tblPr>
      <w:tblGrid>
        <w:gridCol w:w="75"/>
        <w:gridCol w:w="110"/>
        <w:gridCol w:w="60"/>
        <w:gridCol w:w="383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830" w:type="dxa"/>
            <w:tcBorders/>
            <w:shd w:fill="auto" w:val="clear"/>
            <w:vAlign w:val="center"/>
          </w:tcPr>
          <w:p>
            <w:pPr>
              <w:pStyle w:val="TableContents"/>
              <w:spacing w:before="0" w:after="0"/>
              <w:jc w:val="both"/>
              <w:rPr>
                <w:rFonts w:ascii="arial" w:hAnsi="arial"/>
                <w:sz w:val="18"/>
              </w:rPr>
            </w:pPr>
            <w:r>
              <w:rPr>
                <w:rFonts w:ascii="arial" w:hAnsi="arial"/>
                <w:sz w:val="18"/>
              </w:rPr>
              <w:t xml:space="preserve">Capital Magazine’s Best Employers in France. </w:t>
            </w:r>
          </w:p>
        </w:tc>
      </w:tr>
    </w:tbl>
    <w:p>
      <w:pPr>
        <w:pStyle w:val="TextBody"/>
        <w:spacing w:before="0" w:after="0"/>
        <w:jc w:val="left"/>
        <w:rPr/>
      </w:pPr>
      <w:r>
        <w:rPr/>
        <w:t> </w:t>
      </w:r>
    </w:p>
    <w:tbl>
      <w:tblPr>
        <w:tblW w:w="5515" w:type="dxa"/>
        <w:jc w:val="left"/>
        <w:tblInd w:w="0" w:type="dxa"/>
        <w:tblCellMar>
          <w:top w:w="0" w:type="dxa"/>
          <w:left w:w="0" w:type="dxa"/>
          <w:bottom w:w="0" w:type="dxa"/>
          <w:right w:w="0" w:type="dxa"/>
        </w:tblCellMar>
      </w:tblPr>
      <w:tblGrid>
        <w:gridCol w:w="75"/>
        <w:gridCol w:w="110"/>
        <w:gridCol w:w="60"/>
        <w:gridCol w:w="527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270" w:type="dxa"/>
            <w:tcBorders/>
            <w:shd w:fill="auto" w:val="clear"/>
            <w:vAlign w:val="center"/>
          </w:tcPr>
          <w:p>
            <w:pPr>
              <w:pStyle w:val="TableContents"/>
              <w:spacing w:before="0" w:after="0"/>
              <w:jc w:val="both"/>
              <w:rPr>
                <w:rFonts w:ascii="arial" w:hAnsi="arial"/>
                <w:sz w:val="18"/>
              </w:rPr>
            </w:pPr>
            <w:r>
              <w:rPr>
                <w:rFonts w:ascii="arial" w:hAnsi="arial"/>
                <w:sz w:val="18"/>
              </w:rPr>
              <w:t xml:space="preserve">HR Asia’s Best Companies to Work for in Asia (Taiwan) ranking. </w:t>
            </w:r>
          </w:p>
        </w:tc>
      </w:tr>
    </w:tbl>
    <w:p>
      <w:pPr>
        <w:pStyle w:val="TextBody"/>
        <w:spacing w:before="0" w:after="0"/>
        <w:jc w:val="left"/>
        <w:rPr/>
      </w:pPr>
      <w:r>
        <w:rPr/>
        <w:t> </w:t>
      </w:r>
    </w:p>
    <w:tbl>
      <w:tblPr>
        <w:tblW w:w="6265" w:type="dxa"/>
        <w:jc w:val="left"/>
        <w:tblInd w:w="0" w:type="dxa"/>
        <w:tblCellMar>
          <w:top w:w="0" w:type="dxa"/>
          <w:left w:w="0" w:type="dxa"/>
          <w:bottom w:w="0" w:type="dxa"/>
          <w:right w:w="0" w:type="dxa"/>
        </w:tblCellMar>
      </w:tblPr>
      <w:tblGrid>
        <w:gridCol w:w="75"/>
        <w:gridCol w:w="110"/>
        <w:gridCol w:w="60"/>
        <w:gridCol w:w="60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020" w:type="dxa"/>
            <w:tcBorders/>
            <w:shd w:fill="auto" w:val="clear"/>
            <w:vAlign w:val="center"/>
          </w:tcPr>
          <w:p>
            <w:pPr>
              <w:pStyle w:val="TableContents"/>
              <w:spacing w:before="0" w:after="0"/>
              <w:jc w:val="both"/>
              <w:rPr>
                <w:rFonts w:ascii="arial" w:hAnsi="arial"/>
                <w:sz w:val="18"/>
              </w:rPr>
            </w:pPr>
            <w:r>
              <w:rPr>
                <w:rFonts w:ascii="arial" w:hAnsi="arial"/>
                <w:sz w:val="18"/>
              </w:rPr>
              <w:t xml:space="preserve">GoodCompany’s Top 40 Best Workplaces to Give Back 2022 in Australia. </w:t>
            </w:r>
          </w:p>
        </w:tc>
      </w:tr>
    </w:tbl>
    <w:p>
      <w:pPr>
        <w:pStyle w:val="TextBody"/>
        <w:spacing w:before="240" w:after="0"/>
        <w:jc w:val="left"/>
        <w:rPr>
          <w:rFonts w:ascii="arial" w:hAnsi="arial"/>
          <w:b/>
          <w:sz w:val="20"/>
        </w:rPr>
      </w:pPr>
      <w:r>
        <w:rPr>
          <w:rFonts w:ascii="arial" w:hAnsi="arial"/>
          <w:b/>
          <w:sz w:val="20"/>
        </w:rPr>
        <w:t xml:space="preserve">CSR Accomplishments </w:t>
      </w:r>
    </w:p>
    <w:p>
      <w:pPr>
        <w:pStyle w:val="TextBody"/>
        <w:spacing w:before="120" w:after="0"/>
        <w:jc w:val="both"/>
        <w:rPr>
          <w:rFonts w:ascii="arial" w:hAnsi="arial"/>
          <w:sz w:val="18"/>
        </w:rPr>
      </w:pPr>
      <w:r>
        <w:rPr>
          <w:rFonts w:ascii="arial" w:hAnsi="arial"/>
          <w:sz w:val="18"/>
        </w:rPr>
        <w:t xml:space="preserve">Our focus on corporate responsibility is reflected in our values, policies, decisions, and strategies and extends to our expectations of our partners as well. Ultimately, we know we are stronger together, working collaboratively and relentlessly across our Company and with the broader global community, in pursuit of access. In 2022, we sold more than 80 billion doses of medicine across more than 165 countries and territories, reaching about 90% of low- and lower-middle-income countries. We offer more than 250 medicines on the World Health Organization’s (“WHO”) Essential Medicines List to help address priority healthcare needs as defined by the WHO. Further, we have 62 products on the WHO Prequalification List. The Company also: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arial" w:hAnsi="arial"/>
                <w:sz w:val="18"/>
              </w:rPr>
            </w:pPr>
            <w:r>
              <w:rPr>
                <w:rFonts w:ascii="arial" w:hAnsi="arial"/>
                <w:sz w:val="18"/>
              </w:rPr>
              <w:t xml:space="preserve">Had our near-term science-based emissions reduction targets for scope 1, 2 and 3 validated and approved by the Science Based Target initiative (SBTi). The SBTi classified Viatris’ scope 1 and 2 target ambition and has determined that it is in line with a 1.5°C trajectory, a worldwide goal of limiting global warming. </w:t>
            </w:r>
          </w:p>
        </w:tc>
      </w:tr>
    </w:tbl>
    <w:p>
      <w:pPr>
        <w:pStyle w:val="TextBody"/>
        <w:spacing w:before="0" w:after="0"/>
        <w:jc w:val="left"/>
        <w:rPr/>
      </w:pPr>
      <w:r>
        <w:rPr/>
        <w:t> </w:t>
      </w:r>
    </w:p>
    <w:tbl>
      <w:tblPr>
        <w:tblW w:w="9580" w:type="dxa"/>
        <w:jc w:val="left"/>
        <w:tblInd w:w="0" w:type="dxa"/>
        <w:tblCellMar>
          <w:top w:w="0" w:type="dxa"/>
          <w:left w:w="0" w:type="dxa"/>
          <w:bottom w:w="0" w:type="dxa"/>
          <w:right w:w="0" w:type="dxa"/>
        </w:tblCellMar>
      </w:tblPr>
      <w:tblGrid>
        <w:gridCol w:w="75"/>
        <w:gridCol w:w="110"/>
        <w:gridCol w:w="60"/>
        <w:gridCol w:w="933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335" w:type="dxa"/>
            <w:tcBorders/>
            <w:shd w:fill="auto" w:val="clear"/>
            <w:vAlign w:val="center"/>
          </w:tcPr>
          <w:p>
            <w:pPr>
              <w:pStyle w:val="TableContents"/>
              <w:spacing w:before="0" w:after="0"/>
              <w:jc w:val="both"/>
              <w:rPr>
                <w:rFonts w:ascii="arial" w:hAnsi="arial"/>
                <w:sz w:val="18"/>
              </w:rPr>
            </w:pPr>
            <w:r>
              <w:rPr>
                <w:rFonts w:ascii="arial" w:hAnsi="arial"/>
                <w:sz w:val="18"/>
              </w:rPr>
              <w:t xml:space="preserve">Donated for humanitarian needs more than 450 million doses of medicines through our partners around the world.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arial" w:hAnsi="arial"/>
                <w:sz w:val="18"/>
              </w:rPr>
            </w:pPr>
            <w:r>
              <w:rPr>
                <w:rFonts w:ascii="arial" w:hAnsi="arial"/>
                <w:sz w:val="18"/>
              </w:rPr>
              <w:t xml:space="preserve">Partnered with Sesame Workshop to launch new emotional health and wellbeing resources for families grappling with effects of COVID-19.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arial" w:hAnsi="arial"/>
                <w:sz w:val="18"/>
              </w:rPr>
            </w:pPr>
            <w:r>
              <w:rPr>
                <w:rFonts w:ascii="arial" w:hAnsi="arial"/>
                <w:sz w:val="18"/>
              </w:rPr>
              <w:t xml:space="preserve">Donated $1 million to aid in supporting access to healthcare, food security and water stewardship in communities around the world, through four organizations: Direct Relief, World Central Kitchen, WaterAid and World Food Program USA, the U.S. partner of the United Nations World Food Programme. </w:t>
            </w:r>
          </w:p>
        </w:tc>
      </w:tr>
    </w:tbl>
    <w:p>
      <w:pPr>
        <w:pStyle w:val="TextBody"/>
        <w:spacing w:before="240" w:after="0"/>
        <w:jc w:val="left"/>
        <w:rPr>
          <w:rFonts w:ascii="arial" w:hAnsi="arial"/>
          <w:b/>
          <w:sz w:val="20"/>
        </w:rPr>
      </w:pPr>
      <w:r>
        <w:rPr>
          <w:rFonts w:ascii="arial" w:hAnsi="arial"/>
          <w:b/>
          <w:sz w:val="20"/>
        </w:rPr>
        <w:t xml:space="preserve">Hiring of Scott A. Smith as New Chief Executive Officer </w:t>
      </w:r>
    </w:p>
    <w:p>
      <w:pPr>
        <w:pStyle w:val="TextBody"/>
        <w:spacing w:before="120" w:after="0"/>
        <w:jc w:val="both"/>
        <w:rPr>
          <w:rFonts w:ascii="arial" w:hAnsi="arial"/>
          <w:sz w:val="18"/>
        </w:rPr>
      </w:pPr>
      <w:r>
        <w:rPr>
          <w:rFonts w:ascii="arial" w:hAnsi="arial"/>
          <w:sz w:val="18"/>
        </w:rPr>
        <w:t xml:space="preserve">On February 24, 2023, the Company appointed Scott A. Smith to serve as the Chief Executive Officer of the Company, effective as of April 1, 2023. Additional details regarding Mr. Smith’s background can be found under the heading “Viatris’ Board of Directors” on page 9. </w:t>
      </w:r>
    </w:p>
    <w:p>
      <w:pPr>
        <w:pStyle w:val="TextBody"/>
        <w:spacing w:before="240" w:after="0"/>
        <w:jc w:val="both"/>
        <w:rPr>
          <w:rFonts w:ascii="arial" w:hAnsi="arial"/>
          <w:sz w:val="18"/>
        </w:rPr>
      </w:pPr>
      <w:r>
        <w:rPr>
          <w:rFonts w:ascii="arial" w:hAnsi="arial"/>
          <w:sz w:val="18"/>
        </w:rPr>
        <w:t xml:space="preserve">In connection with his appointment, Mr. Smith entered into an offer letter with the Company providing for an annual base salary of $1.4 million, an annual target bonus opportunity equal to 150% of base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26 </w:t>
      </w:r>
      <w:r>
        <w:br w:type="page"/>
      </w:r>
    </w:p>
    <w:p>
      <w:pPr>
        <w:pStyle w:val="HorizontalLine"/>
        <w:rPr/>
      </w:pPr>
      <w:r>
        <w:rPr/>
      </w:r>
    </w:p>
    <w:p>
      <w:pPr>
        <w:pStyle w:val="TextBody"/>
        <w:spacing w:before="0" w:after="0"/>
        <w:jc w:val="both"/>
        <w:rPr>
          <w:rFonts w:ascii="arial" w:hAnsi="arial"/>
          <w:sz w:val="18"/>
        </w:rPr>
      </w:pPr>
      <w:r>
        <w:rPr>
          <w:rFonts w:ascii="arial" w:hAnsi="arial"/>
          <w:sz w:val="18"/>
        </w:rPr>
        <w:t xml:space="preserve">salary (pro-rated for 2023), and eligibility for an annual long-term incentive award with a target of 700% of base salary (800% for 2023). The Board believes that Mr. Smith is best suited to lead the Company’s previously announced Phase 2 (2024 and beyond) strategy and execution and brings experience that positions him to manage the global nature and complexity of a business that we expect to return to growth. </w:t>
      </w:r>
    </w:p>
    <w:p>
      <w:pPr>
        <w:pStyle w:val="TextBody"/>
        <w:spacing w:before="240" w:after="0"/>
        <w:jc w:val="left"/>
        <w:rPr>
          <w:rFonts w:ascii="arial" w:hAnsi="arial"/>
          <w:b/>
          <w:color w:val="666666"/>
          <w:sz w:val="28"/>
        </w:rPr>
      </w:pPr>
      <w:r>
        <w:rPr>
          <w:rFonts w:ascii="arial" w:hAnsi="arial"/>
          <w:b/>
          <w:color w:val="666666"/>
          <w:sz w:val="28"/>
        </w:rPr>
        <w:t xml:space="preserve">Executive Compensation Philosophy </w:t>
      </w:r>
    </w:p>
    <w:p>
      <w:pPr>
        <w:pStyle w:val="TextBody"/>
        <w:pBdr>
          <w:bottom w:val="single" w:sz="2" w:space="1" w:color="732282"/>
        </w:pBdr>
        <w:spacing w:lineRule="atLeast" w:line="141" w:before="0" w:after="40"/>
        <w:jc w:val="left"/>
        <w:rPr/>
      </w:pPr>
      <w:r>
        <w:rPr/>
        <w:t> </w:t>
      </w:r>
    </w:p>
    <w:p>
      <w:pPr>
        <w:pStyle w:val="TextBody"/>
        <w:spacing w:before="120" w:after="0"/>
        <w:jc w:val="both"/>
        <w:rPr>
          <w:rFonts w:ascii="arial" w:hAnsi="arial"/>
          <w:sz w:val="18"/>
        </w:rPr>
      </w:pPr>
      <w:r>
        <w:rPr>
          <w:rFonts w:ascii="arial" w:hAnsi="arial"/>
          <w:sz w:val="18"/>
        </w:rPr>
        <w:t xml:space="preserve">The Compensation Committee’s and Board’s compensation philosophy for 2022 reflects the Company’s continued focus on a performance-based, shareholder-value-focused business model and is intended to help ensure that Viatris continues to attract and retain high-performing executives given the highly competitive market for executive talent. The compensation program has the following key objectives, among others: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arial" w:hAnsi="arial"/>
                <w:sz w:val="18"/>
              </w:rPr>
            </w:pPr>
            <w:r>
              <w:rPr>
                <w:rFonts w:ascii="arial" w:hAnsi="arial"/>
                <w:b/>
                <w:color w:val="732282"/>
                <w:sz w:val="18"/>
              </w:rPr>
              <w:t xml:space="preserve">Attract, Motivate, and Retain Highly-Skilled Executives. </w:t>
            </w:r>
            <w:r>
              <w:rPr>
                <w:rFonts w:ascii="arial" w:hAnsi="arial"/>
                <w:sz w:val="18"/>
              </w:rPr>
              <w:t xml:space="preserve">In order to attract and retain the leaders needed to drive execution of our ambitious goals, we provided market competitive compensation with an emphasis on performance-based, long-term incentives. We designed our compensation program to help ensure that the Company, shareholders, and other stakeholders continue to benefit from the talents of our leadership team and global workforce, while also recruiting new talent on an on-going basis in a highly competitive market for talent.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arial" w:hAnsi="arial"/>
                <w:sz w:val="18"/>
              </w:rPr>
            </w:pPr>
            <w:r>
              <w:rPr>
                <w:rFonts w:ascii="arial" w:hAnsi="arial"/>
                <w:b/>
                <w:color w:val="732282"/>
                <w:sz w:val="18"/>
              </w:rPr>
              <w:t>Align with Shareholder Interests.</w:t>
            </w:r>
            <w:r>
              <w:rPr>
                <w:rFonts w:ascii="arial" w:hAnsi="arial"/>
                <w:sz w:val="18"/>
              </w:rPr>
              <w:t xml:space="preserve"> We aligned executive compensation with shareholder interests by linking pay to the Company’s stated strategic priorities, long-term performance, and share price appreciation, including through the use of a relative TSR modifier for PRSUs in our long-term incentive plan and robust share ownership requirements (see “2022 Share Ownership Requirements” on page 34). We believe this linkage helps drive long-term performance and encourages decision making to foster share price appreciation.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arial" w:hAnsi="arial"/>
                <w:sz w:val="18"/>
              </w:rPr>
            </w:pPr>
            <w:r>
              <w:rPr>
                <w:rFonts w:ascii="arial" w:hAnsi="arial"/>
                <w:b/>
                <w:color w:val="732282"/>
                <w:sz w:val="18"/>
              </w:rPr>
              <w:t xml:space="preserve">Drive Company Performance. </w:t>
            </w:r>
            <w:r>
              <w:rPr>
                <w:rFonts w:ascii="arial" w:hAnsi="arial"/>
                <w:sz w:val="18"/>
              </w:rPr>
              <w:t xml:space="preserve">As described in more detail on pages 23 to 24, our 2022 compensation program was designed with metrics carefully linked to our business strategies and financial goals. If the Company does not meet its short and long-term objectives, executive pay is meaningfully impacted. </w:t>
            </w:r>
          </w:p>
        </w:tc>
      </w:tr>
    </w:tbl>
    <w:p>
      <w:pPr>
        <w:pStyle w:val="TextBody"/>
        <w:spacing w:before="240" w:after="0"/>
        <w:jc w:val="left"/>
        <w:rPr>
          <w:rFonts w:ascii="arial" w:hAnsi="arial"/>
          <w:b/>
          <w:color w:val="666666"/>
          <w:sz w:val="28"/>
        </w:rPr>
      </w:pPr>
      <w:r>
        <w:rPr>
          <w:rFonts w:ascii="arial" w:hAnsi="arial"/>
          <w:b/>
          <w:color w:val="666666"/>
          <w:sz w:val="28"/>
        </w:rPr>
        <w:t xml:space="preserve">2022 Performance-Based Compensation Program </w:t>
      </w:r>
    </w:p>
    <w:p>
      <w:pPr>
        <w:pStyle w:val="TextBody"/>
        <w:pBdr>
          <w:bottom w:val="single" w:sz="2" w:space="1" w:color="732282"/>
        </w:pBdr>
        <w:spacing w:lineRule="atLeast" w:line="141" w:before="0" w:after="40"/>
        <w:jc w:val="left"/>
        <w:rPr/>
      </w:pPr>
      <w:r>
        <w:rPr/>
        <w:t> </w:t>
      </w:r>
    </w:p>
    <w:p>
      <w:pPr>
        <w:pStyle w:val="TextBody"/>
        <w:spacing w:before="120" w:after="0"/>
        <w:jc w:val="left"/>
        <w:rPr>
          <w:rFonts w:ascii="arial" w:hAnsi="arial"/>
          <w:b/>
          <w:sz w:val="20"/>
        </w:rPr>
      </w:pPr>
      <w:r>
        <w:rPr>
          <w:rFonts w:ascii="arial" w:hAnsi="arial"/>
          <w:b/>
          <w:sz w:val="20"/>
        </w:rPr>
        <w:t xml:space="preserve">2022 Total Target Compensation </w:t>
      </w:r>
    </w:p>
    <w:p>
      <w:pPr>
        <w:pStyle w:val="TextBody"/>
        <w:spacing w:before="120" w:after="0"/>
        <w:jc w:val="both"/>
        <w:rPr>
          <w:rFonts w:ascii="arial" w:hAnsi="arial"/>
          <w:sz w:val="18"/>
        </w:rPr>
      </w:pPr>
      <w:r>
        <w:rPr>
          <w:rFonts w:ascii="arial" w:hAnsi="arial"/>
          <w:sz w:val="18"/>
        </w:rPr>
        <w:t xml:space="preserve">The chart below shows the target total direct compensation opportunity for each of our NEOs in 2022. </w:t>
      </w:r>
    </w:p>
    <w:p>
      <w:pPr>
        <w:pStyle w:val="TextBody"/>
        <w:spacing w:before="0" w:after="0"/>
        <w:jc w:val="left"/>
        <w:rPr/>
      </w:pPr>
      <w:r>
        <w:rPr/>
        <w:t> </w:t>
      </w:r>
    </w:p>
    <w:tbl>
      <w:tblPr>
        <w:tblW w:w="7629" w:type="dxa"/>
        <w:jc w:val="left"/>
        <w:tblInd w:w="0" w:type="dxa"/>
        <w:tblCellMar>
          <w:top w:w="0" w:type="dxa"/>
          <w:left w:w="0" w:type="dxa"/>
          <w:bottom w:w="0" w:type="dxa"/>
          <w:right w:w="0" w:type="dxa"/>
        </w:tblCellMar>
      </w:tblPr>
      <w:tblGrid>
        <w:gridCol w:w="1655"/>
        <w:gridCol w:w="120"/>
        <w:gridCol w:w="63"/>
        <w:gridCol w:w="1157"/>
        <w:gridCol w:w="60"/>
        <w:gridCol w:w="120"/>
        <w:gridCol w:w="60"/>
        <w:gridCol w:w="1100"/>
        <w:gridCol w:w="60"/>
        <w:gridCol w:w="120"/>
        <w:gridCol w:w="68"/>
        <w:gridCol w:w="1392"/>
        <w:gridCol w:w="60"/>
        <w:gridCol w:w="120"/>
        <w:gridCol w:w="64"/>
        <w:gridCol w:w="1335"/>
        <w:gridCol w:w="75"/>
      </w:tblGrid>
      <w:tr>
        <w:trPr/>
        <w:tc>
          <w:tcPr>
            <w:tcW w:w="16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c>
          <w:tcPr>
            <w:tcW w:w="115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8" w:type="dxa"/>
            <w:tcBorders/>
            <w:shd w:fill="auto" w:val="clear"/>
            <w:vAlign w:val="center"/>
          </w:tcPr>
          <w:p>
            <w:pPr>
              <w:pStyle w:val="TableContents"/>
              <w:spacing w:before="0" w:after="283"/>
              <w:rPr>
                <w:sz w:val="4"/>
                <w:szCs w:val="4"/>
              </w:rPr>
            </w:pPr>
            <w:r>
              <w:rPr>
                <w:sz w:val="4"/>
                <w:szCs w:val="4"/>
              </w:rPr>
            </w:r>
          </w:p>
        </w:tc>
        <w:tc>
          <w:tcPr>
            <w:tcW w:w="139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c>
          <w:tcPr>
            <w:tcW w:w="133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655" w:type="dxa"/>
            <w:tcBorders>
              <w:bottom w:val="single" w:sz="8" w:space="0" w:color="732282"/>
            </w:tcBorders>
            <w:shd w:fill="auto" w:val="clear"/>
            <w:tcMar>
              <w:bottom w:w="28" w:type="dxa"/>
            </w:tcMar>
            <w:vAlign w:val="center"/>
          </w:tcPr>
          <w:p>
            <w:pPr>
              <w:pStyle w:val="TableContents"/>
              <w:spacing w:before="0" w:after="0"/>
              <w:rPr>
                <w:rFonts w:ascii="arial" w:hAnsi="arial"/>
                <w:b/>
                <w:color w:val="732282"/>
                <w:sz w:val="16"/>
              </w:rPr>
            </w:pPr>
            <w:r>
              <w:rPr>
                <w:rFonts w:ascii="arial" w:hAnsi="arial"/>
                <w:b/>
                <w:color w:val="732282"/>
                <w:sz w:val="16"/>
              </w:rPr>
              <w:t>NEO</w:t>
            </w:r>
          </w:p>
        </w:tc>
        <w:tc>
          <w:tcPr>
            <w:tcW w:w="120" w:type="dxa"/>
            <w:tcBorders>
              <w:bottom w:val="single" w:sz="8" w:space="0" w:color="732282"/>
            </w:tcBorders>
            <w:shd w:fill="auto" w:val="clear"/>
            <w:tcMar>
              <w:bottom w:w="28" w:type="dxa"/>
            </w:tcMar>
            <w:vAlign w:val="center"/>
          </w:tcPr>
          <w:p>
            <w:pPr>
              <w:pStyle w:val="TableContents"/>
              <w:spacing w:before="0" w:after="283"/>
              <w:rPr/>
            </w:pPr>
            <w:r>
              <w:rPr/>
              <w:t>  </w:t>
            </w:r>
          </w:p>
        </w:tc>
        <w:tc>
          <w:tcPr>
            <w:tcW w:w="1220" w:type="dxa"/>
            <w:gridSpan w:val="2"/>
            <w:tcBorders>
              <w:bottom w:val="single" w:sz="8" w:space="0" w:color="732282"/>
            </w:tcBorders>
            <w:shd w:fill="auto" w:val="clear"/>
            <w:tcMar>
              <w:bottom w:w="28" w:type="dxa"/>
            </w:tcMar>
            <w:vAlign w:val="center"/>
          </w:tcPr>
          <w:p>
            <w:pPr>
              <w:pStyle w:val="TableContents"/>
              <w:spacing w:before="0" w:after="283"/>
              <w:jc w:val="right"/>
              <w:rPr>
                <w:b/>
                <w:color w:val="732282"/>
              </w:rPr>
            </w:pPr>
            <w:r>
              <w:rPr>
                <w:b/>
                <w:color w:val="732282"/>
              </w:rPr>
              <w:t>Base Salary</w:t>
            </w:r>
          </w:p>
        </w:tc>
        <w:tc>
          <w:tcPr>
            <w:tcW w:w="60" w:type="dxa"/>
            <w:tcBorders>
              <w:bottom w:val="single" w:sz="8" w:space="0" w:color="732282"/>
            </w:tcBorders>
            <w:shd w:fill="auto" w:val="clear"/>
            <w:tcMar>
              <w:bottom w:w="28" w:type="dxa"/>
            </w:tcMar>
            <w:vAlign w:val="center"/>
          </w:tcPr>
          <w:p>
            <w:pPr>
              <w:pStyle w:val="TableContents"/>
              <w:spacing w:before="0" w:after="283"/>
              <w:rPr/>
            </w:pPr>
            <w:r>
              <w:rPr/>
              <w:t> </w:t>
            </w:r>
          </w:p>
        </w:tc>
        <w:tc>
          <w:tcPr>
            <w:tcW w:w="120" w:type="dxa"/>
            <w:tcBorders>
              <w:bottom w:val="single" w:sz="8" w:space="0" w:color="732282"/>
            </w:tcBorders>
            <w:shd w:fill="auto" w:val="clear"/>
            <w:tcMar>
              <w:bottom w:w="28" w:type="dxa"/>
            </w:tcMar>
            <w:vAlign w:val="center"/>
          </w:tcPr>
          <w:p>
            <w:pPr>
              <w:pStyle w:val="TableContents"/>
              <w:spacing w:before="0" w:after="283"/>
              <w:rPr/>
            </w:pPr>
            <w:r>
              <w:rPr/>
              <w:t>  </w:t>
            </w:r>
          </w:p>
        </w:tc>
        <w:tc>
          <w:tcPr>
            <w:tcW w:w="1160" w:type="dxa"/>
            <w:gridSpan w:val="2"/>
            <w:tcBorders>
              <w:bottom w:val="single" w:sz="8" w:space="0" w:color="732282"/>
            </w:tcBorders>
            <w:shd w:fill="auto" w:val="clear"/>
            <w:tcMar>
              <w:bottom w:w="28" w:type="dxa"/>
            </w:tcMar>
            <w:vAlign w:val="center"/>
          </w:tcPr>
          <w:p>
            <w:pPr>
              <w:pStyle w:val="TableContents"/>
              <w:spacing w:before="0" w:after="0"/>
              <w:jc w:val="right"/>
              <w:rPr>
                <w:rFonts w:ascii="arial" w:hAnsi="arial"/>
                <w:b/>
                <w:color w:val="732282"/>
                <w:sz w:val="16"/>
              </w:rPr>
            </w:pPr>
            <w:r>
              <w:rPr>
                <w:rFonts w:ascii="arial" w:hAnsi="arial"/>
                <w:b/>
                <w:color w:val="732282"/>
                <w:sz w:val="16"/>
              </w:rPr>
              <w:t>Target Annual</w:t>
            </w:r>
          </w:p>
          <w:p>
            <w:pPr>
              <w:pStyle w:val="TableContents"/>
              <w:spacing w:before="0" w:after="20"/>
              <w:jc w:val="right"/>
              <w:rPr>
                <w:rFonts w:ascii="arial" w:hAnsi="arial"/>
                <w:b/>
                <w:color w:val="732282"/>
                <w:sz w:val="16"/>
              </w:rPr>
            </w:pPr>
            <w:r>
              <w:rPr>
                <w:rFonts w:ascii="arial" w:hAnsi="arial"/>
                <w:b/>
                <w:color w:val="732282"/>
                <w:sz w:val="16"/>
              </w:rPr>
              <w:t>Incentive</w:t>
            </w:r>
          </w:p>
        </w:tc>
        <w:tc>
          <w:tcPr>
            <w:tcW w:w="60" w:type="dxa"/>
            <w:tcBorders>
              <w:bottom w:val="single" w:sz="8" w:space="0" w:color="732282"/>
            </w:tcBorders>
            <w:shd w:fill="auto" w:val="clear"/>
            <w:tcMar>
              <w:bottom w:w="28" w:type="dxa"/>
            </w:tcMar>
            <w:vAlign w:val="center"/>
          </w:tcPr>
          <w:p>
            <w:pPr>
              <w:pStyle w:val="TableContents"/>
              <w:spacing w:before="0" w:after="283"/>
              <w:rPr/>
            </w:pPr>
            <w:r>
              <w:rPr/>
              <w:t> </w:t>
            </w:r>
          </w:p>
        </w:tc>
        <w:tc>
          <w:tcPr>
            <w:tcW w:w="120" w:type="dxa"/>
            <w:tcBorders>
              <w:bottom w:val="single" w:sz="8" w:space="0" w:color="732282"/>
            </w:tcBorders>
            <w:shd w:fill="auto" w:val="clear"/>
            <w:tcMar>
              <w:bottom w:w="28" w:type="dxa"/>
            </w:tcMar>
            <w:vAlign w:val="center"/>
          </w:tcPr>
          <w:p>
            <w:pPr>
              <w:pStyle w:val="TableContents"/>
              <w:spacing w:before="0" w:after="283"/>
              <w:rPr/>
            </w:pPr>
            <w:r>
              <w:rPr/>
              <w:t>  </w:t>
            </w:r>
          </w:p>
        </w:tc>
        <w:tc>
          <w:tcPr>
            <w:tcW w:w="1460" w:type="dxa"/>
            <w:gridSpan w:val="2"/>
            <w:tcBorders>
              <w:bottom w:val="single" w:sz="8" w:space="0" w:color="732282"/>
            </w:tcBorders>
            <w:shd w:fill="auto" w:val="clear"/>
            <w:tcMar>
              <w:bottom w:w="28" w:type="dxa"/>
            </w:tcMar>
            <w:vAlign w:val="center"/>
          </w:tcPr>
          <w:p>
            <w:pPr>
              <w:pStyle w:val="TableContents"/>
              <w:spacing w:before="0" w:after="0"/>
              <w:jc w:val="right"/>
              <w:rPr>
                <w:rFonts w:ascii="arial" w:hAnsi="arial"/>
                <w:b/>
                <w:color w:val="732282"/>
                <w:sz w:val="16"/>
              </w:rPr>
            </w:pPr>
            <w:r>
              <w:rPr>
                <w:rFonts w:ascii="arial" w:hAnsi="arial"/>
                <w:b/>
                <w:color w:val="732282"/>
                <w:sz w:val="16"/>
              </w:rPr>
              <w:t>Target Long-Term</w:t>
            </w:r>
          </w:p>
          <w:p>
            <w:pPr>
              <w:pStyle w:val="TableContents"/>
              <w:spacing w:before="0" w:after="20"/>
              <w:jc w:val="right"/>
              <w:rPr>
                <w:rFonts w:ascii="arial" w:hAnsi="arial"/>
                <w:b/>
                <w:color w:val="732282"/>
                <w:sz w:val="16"/>
              </w:rPr>
            </w:pPr>
            <w:r>
              <w:rPr>
                <w:rFonts w:ascii="arial" w:hAnsi="arial"/>
                <w:b/>
                <w:color w:val="732282"/>
                <w:sz w:val="16"/>
              </w:rPr>
              <w:t>Incentive</w:t>
            </w:r>
          </w:p>
        </w:tc>
        <w:tc>
          <w:tcPr>
            <w:tcW w:w="60" w:type="dxa"/>
            <w:tcBorders>
              <w:bottom w:val="single" w:sz="8" w:space="0" w:color="732282"/>
            </w:tcBorders>
            <w:shd w:fill="auto" w:val="clear"/>
            <w:tcMar>
              <w:bottom w:w="28" w:type="dxa"/>
            </w:tcMar>
            <w:vAlign w:val="center"/>
          </w:tcPr>
          <w:p>
            <w:pPr>
              <w:pStyle w:val="TableContents"/>
              <w:spacing w:before="0" w:after="283"/>
              <w:rPr/>
            </w:pPr>
            <w:r>
              <w:rPr/>
              <w:t> </w:t>
            </w:r>
          </w:p>
        </w:tc>
        <w:tc>
          <w:tcPr>
            <w:tcW w:w="120" w:type="dxa"/>
            <w:tcBorders>
              <w:bottom w:val="single" w:sz="8" w:space="0" w:color="732282"/>
            </w:tcBorders>
            <w:shd w:fill="auto" w:val="clear"/>
            <w:tcMar>
              <w:bottom w:w="28" w:type="dxa"/>
            </w:tcMar>
            <w:vAlign w:val="center"/>
          </w:tcPr>
          <w:p>
            <w:pPr>
              <w:pStyle w:val="TableContents"/>
              <w:spacing w:before="0" w:after="283"/>
              <w:rPr/>
            </w:pPr>
            <w:r>
              <w:rPr/>
              <w:t>  </w:t>
            </w:r>
          </w:p>
        </w:tc>
        <w:tc>
          <w:tcPr>
            <w:tcW w:w="1399" w:type="dxa"/>
            <w:gridSpan w:val="2"/>
            <w:tcBorders>
              <w:bottom w:val="single" w:sz="8" w:space="0" w:color="732282"/>
            </w:tcBorders>
            <w:shd w:fill="auto" w:val="clear"/>
            <w:tcMar>
              <w:bottom w:w="28" w:type="dxa"/>
            </w:tcMar>
            <w:vAlign w:val="center"/>
          </w:tcPr>
          <w:p>
            <w:pPr>
              <w:pStyle w:val="TableContents"/>
              <w:spacing w:before="0" w:after="0"/>
              <w:jc w:val="right"/>
              <w:rPr>
                <w:rFonts w:ascii="arial" w:hAnsi="arial"/>
                <w:b/>
                <w:color w:val="732282"/>
                <w:sz w:val="16"/>
              </w:rPr>
            </w:pPr>
            <w:r>
              <w:rPr>
                <w:rFonts w:ascii="arial" w:hAnsi="arial"/>
                <w:b/>
                <w:color w:val="732282"/>
                <w:sz w:val="16"/>
              </w:rPr>
              <w:t>2022 Total Target</w:t>
            </w:r>
          </w:p>
          <w:p>
            <w:pPr>
              <w:pStyle w:val="TableContents"/>
              <w:spacing w:before="0" w:after="20"/>
              <w:jc w:val="right"/>
              <w:rPr>
                <w:rFonts w:ascii="arial" w:hAnsi="arial"/>
                <w:b/>
                <w:color w:val="732282"/>
                <w:sz w:val="16"/>
              </w:rPr>
            </w:pPr>
            <w:r>
              <w:rPr>
                <w:rFonts w:ascii="arial" w:hAnsi="arial"/>
                <w:b/>
                <w:color w:val="732282"/>
                <w:sz w:val="16"/>
              </w:rPr>
              <w:t>Compensation(1)</w:t>
            </w:r>
          </w:p>
        </w:tc>
        <w:tc>
          <w:tcPr>
            <w:tcW w:w="75" w:type="dxa"/>
            <w:tcBorders>
              <w:bottom w:val="single" w:sz="8" w:space="0" w:color="732282"/>
            </w:tcBorders>
            <w:shd w:fill="auto" w:val="clear"/>
            <w:tcMar>
              <w:bottom w:w="28" w:type="dxa"/>
            </w:tcMar>
            <w:vAlign w:val="center"/>
          </w:tcPr>
          <w:p>
            <w:pPr>
              <w:pStyle w:val="TableContents"/>
              <w:spacing w:before="0" w:after="283"/>
              <w:rPr/>
            </w:pPr>
            <w:r>
              <w:rPr/>
              <w:t> </w:t>
            </w:r>
          </w:p>
        </w:tc>
      </w:tr>
      <w:tr>
        <w:trPr/>
        <w:tc>
          <w:tcPr>
            <w:tcW w:w="1655" w:type="dxa"/>
            <w:tcBorders/>
            <w:shd w:fill="E5E5E5" w:val="clear"/>
            <w:vAlign w:val="center"/>
          </w:tcPr>
          <w:p>
            <w:pPr>
              <w:pStyle w:val="TableContents"/>
              <w:spacing w:before="0" w:after="0"/>
              <w:rPr>
                <w:rFonts w:ascii="arial" w:hAnsi="arial"/>
                <w:b/>
                <w:sz w:val="18"/>
              </w:rPr>
            </w:pPr>
            <w:r>
              <w:rPr>
                <w:rFonts w:ascii="arial" w:hAnsi="arial"/>
                <w:b/>
                <w:sz w:val="18"/>
              </w:rPr>
              <w:t>Michael Goettler(2)</w:t>
            </w:r>
          </w:p>
        </w:tc>
        <w:tc>
          <w:tcPr>
            <w:tcW w:w="120" w:type="dxa"/>
            <w:tcBorders/>
            <w:shd w:fill="E5E5E5" w:val="clear"/>
            <w:vAlign w:val="center"/>
          </w:tcPr>
          <w:p>
            <w:pPr>
              <w:pStyle w:val="TableContents"/>
              <w:spacing w:before="0" w:after="283"/>
              <w:rPr/>
            </w:pPr>
            <w:r>
              <w:rPr/>
              <w:t>  </w:t>
            </w:r>
          </w:p>
        </w:tc>
        <w:tc>
          <w:tcPr>
            <w:tcW w:w="63" w:type="dxa"/>
            <w:tcBorders/>
            <w:shd w:fill="E5E5E5" w:val="clear"/>
            <w:vAlign w:val="center"/>
          </w:tcPr>
          <w:p>
            <w:pPr>
              <w:pStyle w:val="TableContents"/>
              <w:spacing w:before="0" w:after="283"/>
              <w:rPr/>
            </w:pPr>
            <w:r>
              <w:rPr/>
              <w:t> </w:t>
            </w:r>
          </w:p>
        </w:tc>
        <w:tc>
          <w:tcPr>
            <w:tcW w:w="1157" w:type="dxa"/>
            <w:tcBorders/>
            <w:shd w:fill="E5E5E5" w:val="clear"/>
            <w:vAlign w:val="center"/>
          </w:tcPr>
          <w:p>
            <w:pPr>
              <w:pStyle w:val="TableContents"/>
              <w:spacing w:before="0" w:after="283"/>
              <w:jc w:val="right"/>
              <w:rPr/>
            </w:pPr>
            <w:r>
              <w:rPr/>
              <w:t>$1,300,000</w:t>
            </w:r>
          </w:p>
        </w:tc>
        <w:tc>
          <w:tcPr>
            <w:tcW w:w="60" w:type="dxa"/>
            <w:tcBorders/>
            <w:shd w:fill="E5E5E5" w:val="clear"/>
            <w:vAlign w:val="center"/>
          </w:tcPr>
          <w:p>
            <w:pPr>
              <w:pStyle w:val="TableContents"/>
              <w:spacing w:before="0" w:after="283"/>
              <w:rPr/>
            </w:pPr>
            <w:r>
              <w:rPr/>
              <w:t> </w:t>
            </w:r>
          </w:p>
        </w:tc>
        <w:tc>
          <w:tcPr>
            <w:tcW w:w="12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1100" w:type="dxa"/>
            <w:tcBorders/>
            <w:shd w:fill="E5E5E5" w:val="clear"/>
            <w:vAlign w:val="center"/>
          </w:tcPr>
          <w:p>
            <w:pPr>
              <w:pStyle w:val="TableContents"/>
              <w:spacing w:before="0" w:after="283"/>
              <w:jc w:val="right"/>
              <w:rPr/>
            </w:pPr>
            <w:r>
              <w:rPr/>
              <w:t>$1,950,000</w:t>
            </w:r>
          </w:p>
        </w:tc>
        <w:tc>
          <w:tcPr>
            <w:tcW w:w="60" w:type="dxa"/>
            <w:tcBorders/>
            <w:shd w:fill="E5E5E5" w:val="clear"/>
            <w:vAlign w:val="center"/>
          </w:tcPr>
          <w:p>
            <w:pPr>
              <w:pStyle w:val="TableContents"/>
              <w:spacing w:before="0" w:after="283"/>
              <w:rPr/>
            </w:pPr>
            <w:r>
              <w:rPr/>
              <w:t> </w:t>
            </w:r>
          </w:p>
        </w:tc>
        <w:tc>
          <w:tcPr>
            <w:tcW w:w="120" w:type="dxa"/>
            <w:tcBorders/>
            <w:shd w:fill="E5E5E5" w:val="clear"/>
            <w:vAlign w:val="center"/>
          </w:tcPr>
          <w:p>
            <w:pPr>
              <w:pStyle w:val="TableContents"/>
              <w:spacing w:before="0" w:after="283"/>
              <w:rPr/>
            </w:pPr>
            <w:r>
              <w:rPr/>
              <w:t>  </w:t>
            </w:r>
          </w:p>
        </w:tc>
        <w:tc>
          <w:tcPr>
            <w:tcW w:w="68" w:type="dxa"/>
            <w:tcBorders/>
            <w:shd w:fill="E5E5E5" w:val="clear"/>
            <w:vAlign w:val="center"/>
          </w:tcPr>
          <w:p>
            <w:pPr>
              <w:pStyle w:val="TableContents"/>
              <w:spacing w:before="0" w:after="283"/>
              <w:rPr/>
            </w:pPr>
            <w:r>
              <w:rPr/>
              <w:t> </w:t>
            </w:r>
          </w:p>
        </w:tc>
        <w:tc>
          <w:tcPr>
            <w:tcW w:w="1392" w:type="dxa"/>
            <w:tcBorders/>
            <w:shd w:fill="E5E5E5" w:val="clear"/>
            <w:vAlign w:val="center"/>
          </w:tcPr>
          <w:p>
            <w:pPr>
              <w:pStyle w:val="TableContents"/>
              <w:spacing w:before="0" w:after="283"/>
              <w:jc w:val="right"/>
              <w:rPr/>
            </w:pPr>
            <w:r>
              <w:rPr/>
              <w:t>$9,100,000</w:t>
            </w:r>
          </w:p>
        </w:tc>
        <w:tc>
          <w:tcPr>
            <w:tcW w:w="60" w:type="dxa"/>
            <w:tcBorders/>
            <w:shd w:fill="E5E5E5" w:val="clear"/>
            <w:vAlign w:val="center"/>
          </w:tcPr>
          <w:p>
            <w:pPr>
              <w:pStyle w:val="TableContents"/>
              <w:spacing w:before="0" w:after="283"/>
              <w:rPr/>
            </w:pPr>
            <w:r>
              <w:rPr/>
              <w:t> </w:t>
            </w:r>
          </w:p>
        </w:tc>
        <w:tc>
          <w:tcPr>
            <w:tcW w:w="120" w:type="dxa"/>
            <w:tcBorders/>
            <w:shd w:fill="E5E5E5" w:val="clear"/>
            <w:vAlign w:val="center"/>
          </w:tcPr>
          <w:p>
            <w:pPr>
              <w:pStyle w:val="TableContents"/>
              <w:spacing w:before="0" w:after="283"/>
              <w:rPr/>
            </w:pPr>
            <w:r>
              <w:rPr/>
              <w:t>  </w:t>
            </w:r>
          </w:p>
        </w:tc>
        <w:tc>
          <w:tcPr>
            <w:tcW w:w="64" w:type="dxa"/>
            <w:tcBorders/>
            <w:shd w:fill="E5E5E5" w:val="clear"/>
            <w:vAlign w:val="center"/>
          </w:tcPr>
          <w:p>
            <w:pPr>
              <w:pStyle w:val="TableContents"/>
              <w:spacing w:before="0" w:after="283"/>
              <w:rPr/>
            </w:pPr>
            <w:r>
              <w:rPr/>
              <w:t> </w:t>
            </w:r>
          </w:p>
        </w:tc>
        <w:tc>
          <w:tcPr>
            <w:tcW w:w="1335" w:type="dxa"/>
            <w:tcBorders/>
            <w:shd w:fill="E5E5E5" w:val="clear"/>
            <w:vAlign w:val="center"/>
          </w:tcPr>
          <w:p>
            <w:pPr>
              <w:pStyle w:val="TableContents"/>
              <w:spacing w:before="0" w:after="283"/>
              <w:jc w:val="right"/>
              <w:rPr/>
            </w:pPr>
            <w:r>
              <w:rPr/>
              <w:t>$12,350,000</w:t>
            </w:r>
          </w:p>
        </w:tc>
        <w:tc>
          <w:tcPr>
            <w:tcW w:w="75" w:type="dxa"/>
            <w:tcBorders/>
            <w:shd w:fill="E5E5E5" w:val="clear"/>
            <w:vAlign w:val="center"/>
          </w:tcPr>
          <w:p>
            <w:pPr>
              <w:pStyle w:val="TableContents"/>
              <w:spacing w:before="0" w:after="283"/>
              <w:rPr/>
            </w:pPr>
            <w:r>
              <w:rPr/>
              <w:t> </w:t>
            </w:r>
          </w:p>
        </w:tc>
      </w:tr>
      <w:tr>
        <w:trPr/>
        <w:tc>
          <w:tcPr>
            <w:tcW w:w="1655" w:type="dxa"/>
            <w:tcBorders/>
            <w:shd w:fill="auto" w:val="clear"/>
            <w:vAlign w:val="center"/>
          </w:tcPr>
          <w:p>
            <w:pPr>
              <w:pStyle w:val="TableContents"/>
              <w:spacing w:before="0" w:after="0"/>
              <w:rPr>
                <w:rFonts w:ascii="arial" w:hAnsi="arial"/>
                <w:b/>
                <w:sz w:val="18"/>
              </w:rPr>
            </w:pPr>
            <w:r>
              <w:rPr>
                <w:rFonts w:ascii="arial" w:hAnsi="arial"/>
                <w:b/>
                <w:sz w:val="18"/>
              </w:rPr>
              <w:t>Rajiv Malik</w:t>
            </w:r>
          </w:p>
        </w:tc>
        <w:tc>
          <w:tcPr>
            <w:tcW w:w="120"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pPr>
            <w:r>
              <w:rPr/>
              <w:t> </w:t>
            </w:r>
          </w:p>
        </w:tc>
        <w:tc>
          <w:tcPr>
            <w:tcW w:w="1157" w:type="dxa"/>
            <w:tcBorders/>
            <w:shd w:fill="auto" w:val="clear"/>
            <w:vAlign w:val="center"/>
          </w:tcPr>
          <w:p>
            <w:pPr>
              <w:pStyle w:val="TableContents"/>
              <w:spacing w:before="0" w:after="283"/>
              <w:jc w:val="right"/>
              <w:rPr/>
            </w:pPr>
            <w:r>
              <w:rPr/>
              <w:t>$1,200,000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$1,500,000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pPr>
            <w:r>
              <w:rPr/>
              <w:t> </w:t>
            </w:r>
          </w:p>
        </w:tc>
        <w:tc>
          <w:tcPr>
            <w:tcW w:w="1392" w:type="dxa"/>
            <w:tcBorders/>
            <w:shd w:fill="auto" w:val="clear"/>
            <w:vAlign w:val="center"/>
          </w:tcPr>
          <w:p>
            <w:pPr>
              <w:pStyle w:val="TableContents"/>
              <w:spacing w:before="0" w:after="283"/>
              <w:jc w:val="right"/>
              <w:rPr/>
            </w:pPr>
            <w:r>
              <w:rPr/>
              <w:t>$7,200,000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1335" w:type="dxa"/>
            <w:tcBorders/>
            <w:shd w:fill="auto" w:val="clear"/>
            <w:vAlign w:val="center"/>
          </w:tcPr>
          <w:p>
            <w:pPr>
              <w:pStyle w:val="TableContents"/>
              <w:spacing w:before="0" w:after="283"/>
              <w:jc w:val="right"/>
              <w:rPr/>
            </w:pPr>
            <w:r>
              <w:rPr/>
              <w:t>$9,900,000</w:t>
            </w:r>
          </w:p>
        </w:tc>
        <w:tc>
          <w:tcPr>
            <w:tcW w:w="75" w:type="dxa"/>
            <w:tcBorders/>
            <w:shd w:fill="auto" w:val="clear"/>
            <w:vAlign w:val="center"/>
          </w:tcPr>
          <w:p>
            <w:pPr>
              <w:pStyle w:val="TableContents"/>
              <w:spacing w:before="0" w:after="283"/>
              <w:rPr/>
            </w:pPr>
            <w:r>
              <w:rPr/>
              <w:t> </w:t>
            </w:r>
          </w:p>
        </w:tc>
      </w:tr>
      <w:tr>
        <w:trPr/>
        <w:tc>
          <w:tcPr>
            <w:tcW w:w="1655" w:type="dxa"/>
            <w:tcBorders/>
            <w:shd w:fill="E5E5E5" w:val="clear"/>
            <w:vAlign w:val="center"/>
          </w:tcPr>
          <w:p>
            <w:pPr>
              <w:pStyle w:val="TableContents"/>
              <w:spacing w:before="0" w:after="0"/>
              <w:rPr>
                <w:rFonts w:ascii="arial" w:hAnsi="arial"/>
                <w:b/>
                <w:sz w:val="18"/>
              </w:rPr>
            </w:pPr>
            <w:r>
              <w:rPr>
                <w:rFonts w:ascii="arial" w:hAnsi="arial"/>
                <w:b/>
                <w:sz w:val="18"/>
              </w:rPr>
              <w:t>Sanjeev Narula</w:t>
            </w:r>
          </w:p>
        </w:tc>
        <w:tc>
          <w:tcPr>
            <w:tcW w:w="120" w:type="dxa"/>
            <w:tcBorders/>
            <w:shd w:fill="E5E5E5" w:val="clear"/>
            <w:vAlign w:val="center"/>
          </w:tcPr>
          <w:p>
            <w:pPr>
              <w:pStyle w:val="TableContents"/>
              <w:spacing w:before="0" w:after="283"/>
              <w:rPr/>
            </w:pPr>
            <w:r>
              <w:rPr/>
              <w:t>  </w:t>
            </w:r>
          </w:p>
        </w:tc>
        <w:tc>
          <w:tcPr>
            <w:tcW w:w="63" w:type="dxa"/>
            <w:tcBorders/>
            <w:shd w:fill="E5E5E5" w:val="clear"/>
            <w:vAlign w:val="center"/>
          </w:tcPr>
          <w:p>
            <w:pPr>
              <w:pStyle w:val="TableContents"/>
              <w:spacing w:before="0" w:after="283"/>
              <w:rPr/>
            </w:pPr>
            <w:r>
              <w:rPr/>
              <w:t> </w:t>
            </w:r>
          </w:p>
        </w:tc>
        <w:tc>
          <w:tcPr>
            <w:tcW w:w="1157" w:type="dxa"/>
            <w:tcBorders/>
            <w:shd w:fill="E5E5E5" w:val="clear"/>
            <w:vAlign w:val="center"/>
          </w:tcPr>
          <w:p>
            <w:pPr>
              <w:pStyle w:val="TableContents"/>
              <w:spacing w:before="0" w:after="283"/>
              <w:jc w:val="right"/>
              <w:rPr/>
            </w:pPr>
            <w:r>
              <w:rPr/>
              <w:t>$850,000</w:t>
            </w:r>
          </w:p>
        </w:tc>
        <w:tc>
          <w:tcPr>
            <w:tcW w:w="60" w:type="dxa"/>
            <w:tcBorders/>
            <w:shd w:fill="E5E5E5" w:val="clear"/>
            <w:vAlign w:val="center"/>
          </w:tcPr>
          <w:p>
            <w:pPr>
              <w:pStyle w:val="TableContents"/>
              <w:spacing w:before="0" w:after="283"/>
              <w:rPr/>
            </w:pPr>
            <w:r>
              <w:rPr/>
              <w:t> </w:t>
            </w:r>
          </w:p>
        </w:tc>
        <w:tc>
          <w:tcPr>
            <w:tcW w:w="12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1100" w:type="dxa"/>
            <w:tcBorders/>
            <w:shd w:fill="E5E5E5" w:val="clear"/>
            <w:vAlign w:val="center"/>
          </w:tcPr>
          <w:p>
            <w:pPr>
              <w:pStyle w:val="TableContents"/>
              <w:spacing w:before="0" w:after="283"/>
              <w:jc w:val="right"/>
              <w:rPr/>
            </w:pPr>
            <w:r>
              <w:rPr/>
              <w:t>$850,000</w:t>
            </w:r>
          </w:p>
        </w:tc>
        <w:tc>
          <w:tcPr>
            <w:tcW w:w="60" w:type="dxa"/>
            <w:tcBorders/>
            <w:shd w:fill="E5E5E5" w:val="clear"/>
            <w:vAlign w:val="center"/>
          </w:tcPr>
          <w:p>
            <w:pPr>
              <w:pStyle w:val="TableContents"/>
              <w:spacing w:before="0" w:after="283"/>
              <w:rPr/>
            </w:pPr>
            <w:r>
              <w:rPr/>
              <w:t> </w:t>
            </w:r>
          </w:p>
        </w:tc>
        <w:tc>
          <w:tcPr>
            <w:tcW w:w="120" w:type="dxa"/>
            <w:tcBorders/>
            <w:shd w:fill="E5E5E5" w:val="clear"/>
            <w:vAlign w:val="center"/>
          </w:tcPr>
          <w:p>
            <w:pPr>
              <w:pStyle w:val="TableContents"/>
              <w:spacing w:before="0" w:after="283"/>
              <w:rPr/>
            </w:pPr>
            <w:r>
              <w:rPr/>
              <w:t>  </w:t>
            </w:r>
          </w:p>
        </w:tc>
        <w:tc>
          <w:tcPr>
            <w:tcW w:w="68" w:type="dxa"/>
            <w:tcBorders/>
            <w:shd w:fill="E5E5E5" w:val="clear"/>
            <w:vAlign w:val="center"/>
          </w:tcPr>
          <w:p>
            <w:pPr>
              <w:pStyle w:val="TableContents"/>
              <w:spacing w:before="0" w:after="283"/>
              <w:rPr/>
            </w:pPr>
            <w:r>
              <w:rPr/>
              <w:t> </w:t>
            </w:r>
          </w:p>
        </w:tc>
        <w:tc>
          <w:tcPr>
            <w:tcW w:w="1392" w:type="dxa"/>
            <w:tcBorders/>
            <w:shd w:fill="E5E5E5" w:val="clear"/>
            <w:vAlign w:val="center"/>
          </w:tcPr>
          <w:p>
            <w:pPr>
              <w:pStyle w:val="TableContents"/>
              <w:spacing w:before="0" w:after="283"/>
              <w:jc w:val="right"/>
              <w:rPr/>
            </w:pPr>
            <w:r>
              <w:rPr/>
              <w:t>$3,400,000</w:t>
            </w:r>
          </w:p>
        </w:tc>
        <w:tc>
          <w:tcPr>
            <w:tcW w:w="60" w:type="dxa"/>
            <w:tcBorders/>
            <w:shd w:fill="E5E5E5" w:val="clear"/>
            <w:vAlign w:val="center"/>
          </w:tcPr>
          <w:p>
            <w:pPr>
              <w:pStyle w:val="TableContents"/>
              <w:spacing w:before="0" w:after="283"/>
              <w:rPr/>
            </w:pPr>
            <w:r>
              <w:rPr/>
              <w:t> </w:t>
            </w:r>
          </w:p>
        </w:tc>
        <w:tc>
          <w:tcPr>
            <w:tcW w:w="120" w:type="dxa"/>
            <w:tcBorders/>
            <w:shd w:fill="E5E5E5" w:val="clear"/>
            <w:vAlign w:val="center"/>
          </w:tcPr>
          <w:p>
            <w:pPr>
              <w:pStyle w:val="TableContents"/>
              <w:spacing w:before="0" w:after="283"/>
              <w:rPr/>
            </w:pPr>
            <w:r>
              <w:rPr/>
              <w:t>  </w:t>
            </w:r>
          </w:p>
        </w:tc>
        <w:tc>
          <w:tcPr>
            <w:tcW w:w="64" w:type="dxa"/>
            <w:tcBorders/>
            <w:shd w:fill="E5E5E5" w:val="clear"/>
            <w:vAlign w:val="center"/>
          </w:tcPr>
          <w:p>
            <w:pPr>
              <w:pStyle w:val="TableContents"/>
              <w:spacing w:before="0" w:after="283"/>
              <w:rPr/>
            </w:pPr>
            <w:r>
              <w:rPr/>
              <w:t> </w:t>
            </w:r>
          </w:p>
        </w:tc>
        <w:tc>
          <w:tcPr>
            <w:tcW w:w="1335" w:type="dxa"/>
            <w:tcBorders/>
            <w:shd w:fill="E5E5E5" w:val="clear"/>
            <w:vAlign w:val="center"/>
          </w:tcPr>
          <w:p>
            <w:pPr>
              <w:pStyle w:val="TableContents"/>
              <w:spacing w:before="0" w:after="283"/>
              <w:jc w:val="right"/>
              <w:rPr/>
            </w:pPr>
            <w:r>
              <w:rPr/>
              <w:t>$5,100,000</w:t>
            </w:r>
          </w:p>
        </w:tc>
        <w:tc>
          <w:tcPr>
            <w:tcW w:w="75" w:type="dxa"/>
            <w:tcBorders/>
            <w:shd w:fill="E5E5E5" w:val="clear"/>
            <w:vAlign w:val="center"/>
          </w:tcPr>
          <w:p>
            <w:pPr>
              <w:pStyle w:val="TableContents"/>
              <w:spacing w:before="0" w:after="283"/>
              <w:rPr/>
            </w:pPr>
            <w:r>
              <w:rPr/>
              <w:t> </w:t>
            </w:r>
          </w:p>
        </w:tc>
      </w:tr>
      <w:tr>
        <w:trPr/>
        <w:tc>
          <w:tcPr>
            <w:tcW w:w="1655" w:type="dxa"/>
            <w:tcBorders/>
            <w:shd w:fill="auto" w:val="clear"/>
            <w:vAlign w:val="center"/>
          </w:tcPr>
          <w:p>
            <w:pPr>
              <w:pStyle w:val="TableContents"/>
              <w:spacing w:before="0" w:after="0"/>
              <w:rPr>
                <w:rFonts w:ascii="arial" w:hAnsi="arial"/>
                <w:b/>
                <w:sz w:val="18"/>
              </w:rPr>
            </w:pPr>
            <w:r>
              <w:rPr>
                <w:rFonts w:ascii="arial" w:hAnsi="arial"/>
                <w:b/>
                <w:sz w:val="18"/>
              </w:rPr>
              <w:t>Anthony Mauro</w:t>
            </w:r>
          </w:p>
        </w:tc>
        <w:tc>
          <w:tcPr>
            <w:tcW w:w="120"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pPr>
            <w:r>
              <w:rPr/>
              <w:t> </w:t>
            </w:r>
          </w:p>
        </w:tc>
        <w:tc>
          <w:tcPr>
            <w:tcW w:w="1157" w:type="dxa"/>
            <w:tcBorders/>
            <w:shd w:fill="auto" w:val="clear"/>
            <w:vAlign w:val="center"/>
          </w:tcPr>
          <w:p>
            <w:pPr>
              <w:pStyle w:val="TableContents"/>
              <w:spacing w:before="0" w:after="283"/>
              <w:jc w:val="right"/>
              <w:rPr/>
            </w:pPr>
            <w:r>
              <w:rPr/>
              <w:t>$800,000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$920,000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8" w:type="dxa"/>
            <w:tcBorders/>
            <w:shd w:fill="auto" w:val="clear"/>
            <w:vAlign w:val="center"/>
          </w:tcPr>
          <w:p>
            <w:pPr>
              <w:pStyle w:val="TableContents"/>
              <w:spacing w:before="0" w:after="283"/>
              <w:rPr/>
            </w:pPr>
            <w:r>
              <w:rPr/>
              <w:t> </w:t>
            </w:r>
          </w:p>
        </w:tc>
        <w:tc>
          <w:tcPr>
            <w:tcW w:w="1392" w:type="dxa"/>
            <w:tcBorders/>
            <w:shd w:fill="auto" w:val="clear"/>
            <w:vAlign w:val="center"/>
          </w:tcPr>
          <w:p>
            <w:pPr>
              <w:pStyle w:val="TableContents"/>
              <w:spacing w:before="0" w:after="283"/>
              <w:jc w:val="right"/>
              <w:rPr/>
            </w:pPr>
            <w:r>
              <w:rPr/>
              <w:t>$3,200,000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1335" w:type="dxa"/>
            <w:tcBorders/>
            <w:shd w:fill="auto" w:val="clear"/>
            <w:vAlign w:val="center"/>
          </w:tcPr>
          <w:p>
            <w:pPr>
              <w:pStyle w:val="TableContents"/>
              <w:spacing w:before="0" w:after="283"/>
              <w:jc w:val="right"/>
              <w:rPr/>
            </w:pPr>
            <w:r>
              <w:rPr/>
              <w:t>$4,920,000</w:t>
            </w:r>
          </w:p>
        </w:tc>
        <w:tc>
          <w:tcPr>
            <w:tcW w:w="75" w:type="dxa"/>
            <w:tcBorders/>
            <w:shd w:fill="auto" w:val="clear"/>
            <w:vAlign w:val="center"/>
          </w:tcPr>
          <w:p>
            <w:pPr>
              <w:pStyle w:val="TableContents"/>
              <w:spacing w:before="0" w:after="283"/>
              <w:rPr/>
            </w:pPr>
            <w:r>
              <w:rPr/>
              <w:t> </w:t>
            </w:r>
          </w:p>
        </w:tc>
      </w:tr>
      <w:tr>
        <w:trPr/>
        <w:tc>
          <w:tcPr>
            <w:tcW w:w="1655" w:type="dxa"/>
            <w:tcBorders>
              <w:bottom w:val="single" w:sz="6" w:space="0" w:color="732282"/>
            </w:tcBorders>
            <w:shd w:fill="E5E5E5" w:val="clear"/>
            <w:tcMar>
              <w:bottom w:w="28" w:type="dxa"/>
            </w:tcMar>
            <w:vAlign w:val="center"/>
          </w:tcPr>
          <w:p>
            <w:pPr>
              <w:pStyle w:val="TableContents"/>
              <w:spacing w:before="0" w:after="0"/>
              <w:rPr>
                <w:rFonts w:ascii="arial" w:hAnsi="arial"/>
                <w:b/>
                <w:sz w:val="18"/>
              </w:rPr>
            </w:pPr>
            <w:r>
              <w:rPr>
                <w:rFonts w:ascii="arial" w:hAnsi="arial"/>
                <w:b/>
                <w:sz w:val="18"/>
              </w:rPr>
              <w:t>Robert J. Coury</w:t>
            </w:r>
          </w:p>
        </w:tc>
        <w:tc>
          <w:tcPr>
            <w:tcW w:w="120" w:type="dxa"/>
            <w:tcBorders>
              <w:bottom w:val="single" w:sz="6" w:space="0" w:color="732282"/>
            </w:tcBorders>
            <w:shd w:fill="E5E5E5" w:val="clear"/>
            <w:tcMar>
              <w:bottom w:w="28" w:type="dxa"/>
            </w:tcMar>
            <w:vAlign w:val="center"/>
          </w:tcPr>
          <w:p>
            <w:pPr>
              <w:pStyle w:val="TableContents"/>
              <w:spacing w:before="0" w:after="283"/>
              <w:rPr/>
            </w:pPr>
            <w:r>
              <w:rPr/>
              <w:t>  </w:t>
            </w:r>
          </w:p>
        </w:tc>
        <w:tc>
          <w:tcPr>
            <w:tcW w:w="63" w:type="dxa"/>
            <w:tcBorders>
              <w:bottom w:val="single" w:sz="6" w:space="0" w:color="732282"/>
            </w:tcBorders>
            <w:shd w:fill="E5E5E5" w:val="clear"/>
            <w:tcMar>
              <w:bottom w:w="28" w:type="dxa"/>
            </w:tcMar>
            <w:vAlign w:val="center"/>
          </w:tcPr>
          <w:p>
            <w:pPr>
              <w:pStyle w:val="TableContents"/>
              <w:spacing w:before="0" w:after="283"/>
              <w:rPr/>
            </w:pPr>
            <w:r>
              <w:rPr/>
              <w:t> </w:t>
            </w:r>
          </w:p>
        </w:tc>
        <w:tc>
          <w:tcPr>
            <w:tcW w:w="1157" w:type="dxa"/>
            <w:tcBorders>
              <w:bottom w:val="single" w:sz="6" w:space="0" w:color="732282"/>
            </w:tcBorders>
            <w:shd w:fill="E5E5E5" w:val="clear"/>
            <w:tcMar>
              <w:bottom w:w="28" w:type="dxa"/>
            </w:tcMar>
            <w:vAlign w:val="center"/>
          </w:tcPr>
          <w:p>
            <w:pPr>
              <w:pStyle w:val="TableContents"/>
              <w:spacing w:before="0" w:after="283"/>
              <w:jc w:val="right"/>
              <w:rPr/>
            </w:pPr>
            <w:r>
              <w:rPr/>
              <w:t>$1,800,000</w:t>
            </w:r>
          </w:p>
        </w:tc>
        <w:tc>
          <w:tcPr>
            <w:tcW w:w="60" w:type="dxa"/>
            <w:tcBorders>
              <w:bottom w:val="single" w:sz="6" w:space="0" w:color="732282"/>
            </w:tcBorders>
            <w:shd w:fill="E5E5E5" w:val="clear"/>
            <w:tcMar>
              <w:bottom w:w="28" w:type="dxa"/>
            </w:tcMar>
            <w:vAlign w:val="center"/>
          </w:tcPr>
          <w:p>
            <w:pPr>
              <w:pStyle w:val="TableContents"/>
              <w:spacing w:before="0" w:after="283"/>
              <w:rPr/>
            </w:pPr>
            <w:r>
              <w:rPr/>
              <w:t> </w:t>
            </w:r>
          </w:p>
        </w:tc>
        <w:tc>
          <w:tcPr>
            <w:tcW w:w="120" w:type="dxa"/>
            <w:tcBorders>
              <w:bottom w:val="single" w:sz="6" w:space="0" w:color="732282"/>
            </w:tcBorders>
            <w:shd w:fill="E5E5E5" w:val="clear"/>
            <w:tcMar>
              <w:bottom w:w="28" w:type="dxa"/>
            </w:tcMar>
            <w:vAlign w:val="center"/>
          </w:tcPr>
          <w:p>
            <w:pPr>
              <w:pStyle w:val="TableContents"/>
              <w:spacing w:before="0" w:after="283"/>
              <w:rPr/>
            </w:pPr>
            <w:r>
              <w:rPr/>
              <w:t>  </w:t>
            </w:r>
          </w:p>
        </w:tc>
        <w:tc>
          <w:tcPr>
            <w:tcW w:w="60" w:type="dxa"/>
            <w:tcBorders>
              <w:bottom w:val="single" w:sz="6" w:space="0" w:color="732282"/>
            </w:tcBorders>
            <w:shd w:fill="E5E5E5" w:val="clear"/>
            <w:tcMar>
              <w:bottom w:w="28" w:type="dxa"/>
            </w:tcMar>
            <w:vAlign w:val="center"/>
          </w:tcPr>
          <w:p>
            <w:pPr>
              <w:pStyle w:val="TableContents"/>
              <w:spacing w:before="0" w:after="283"/>
              <w:rPr/>
            </w:pPr>
            <w:r>
              <w:rPr/>
              <w:t> </w:t>
            </w:r>
          </w:p>
        </w:tc>
        <w:tc>
          <w:tcPr>
            <w:tcW w:w="1100" w:type="dxa"/>
            <w:tcBorders>
              <w:bottom w:val="single" w:sz="6" w:space="0" w:color="732282"/>
            </w:tcBorders>
            <w:shd w:fill="E5E5E5" w:val="clear"/>
            <w:tcMar>
              <w:bottom w:w="28" w:type="dxa"/>
            </w:tcMar>
            <w:vAlign w:val="center"/>
          </w:tcPr>
          <w:p>
            <w:pPr>
              <w:pStyle w:val="TableContents"/>
              <w:spacing w:before="0" w:after="283"/>
              <w:jc w:val="right"/>
              <w:rPr/>
            </w:pPr>
            <w:r>
              <w:rPr/>
              <w:t>$2,700,000</w:t>
            </w:r>
          </w:p>
        </w:tc>
        <w:tc>
          <w:tcPr>
            <w:tcW w:w="60" w:type="dxa"/>
            <w:tcBorders>
              <w:bottom w:val="single" w:sz="6" w:space="0" w:color="732282"/>
            </w:tcBorders>
            <w:shd w:fill="E5E5E5" w:val="clear"/>
            <w:tcMar>
              <w:bottom w:w="28" w:type="dxa"/>
            </w:tcMar>
            <w:vAlign w:val="center"/>
          </w:tcPr>
          <w:p>
            <w:pPr>
              <w:pStyle w:val="TableContents"/>
              <w:spacing w:before="0" w:after="283"/>
              <w:rPr/>
            </w:pPr>
            <w:r>
              <w:rPr/>
              <w:t> </w:t>
            </w:r>
          </w:p>
        </w:tc>
        <w:tc>
          <w:tcPr>
            <w:tcW w:w="120" w:type="dxa"/>
            <w:tcBorders>
              <w:bottom w:val="single" w:sz="6" w:space="0" w:color="732282"/>
            </w:tcBorders>
            <w:shd w:fill="E5E5E5" w:val="clear"/>
            <w:tcMar>
              <w:bottom w:w="28" w:type="dxa"/>
            </w:tcMar>
            <w:vAlign w:val="center"/>
          </w:tcPr>
          <w:p>
            <w:pPr>
              <w:pStyle w:val="TableContents"/>
              <w:spacing w:before="0" w:after="283"/>
              <w:rPr/>
            </w:pPr>
            <w:r>
              <w:rPr/>
              <w:t>  </w:t>
            </w:r>
          </w:p>
        </w:tc>
        <w:tc>
          <w:tcPr>
            <w:tcW w:w="68" w:type="dxa"/>
            <w:tcBorders>
              <w:bottom w:val="single" w:sz="6" w:space="0" w:color="732282"/>
            </w:tcBorders>
            <w:shd w:fill="E5E5E5" w:val="clear"/>
            <w:tcMar>
              <w:bottom w:w="28" w:type="dxa"/>
            </w:tcMar>
            <w:vAlign w:val="center"/>
          </w:tcPr>
          <w:p>
            <w:pPr>
              <w:pStyle w:val="TableContents"/>
              <w:spacing w:before="0" w:after="283"/>
              <w:rPr/>
            </w:pPr>
            <w:r>
              <w:rPr/>
              <w:t> </w:t>
            </w:r>
          </w:p>
        </w:tc>
        <w:tc>
          <w:tcPr>
            <w:tcW w:w="1392" w:type="dxa"/>
            <w:tcBorders>
              <w:bottom w:val="single" w:sz="6" w:space="0" w:color="732282"/>
            </w:tcBorders>
            <w:shd w:fill="E5E5E5" w:val="clear"/>
            <w:tcMar>
              <w:bottom w:w="28" w:type="dxa"/>
            </w:tcMar>
            <w:vAlign w:val="center"/>
          </w:tcPr>
          <w:p>
            <w:pPr>
              <w:pStyle w:val="TableContents"/>
              <w:spacing w:before="0" w:after="283"/>
              <w:jc w:val="right"/>
              <w:rPr/>
            </w:pPr>
            <w:r>
              <w:rPr/>
              <w:t>$10,800,000</w:t>
            </w:r>
          </w:p>
        </w:tc>
        <w:tc>
          <w:tcPr>
            <w:tcW w:w="60" w:type="dxa"/>
            <w:tcBorders>
              <w:bottom w:val="single" w:sz="6" w:space="0" w:color="732282"/>
            </w:tcBorders>
            <w:shd w:fill="E5E5E5" w:val="clear"/>
            <w:tcMar>
              <w:bottom w:w="28" w:type="dxa"/>
            </w:tcMar>
            <w:vAlign w:val="center"/>
          </w:tcPr>
          <w:p>
            <w:pPr>
              <w:pStyle w:val="TableContents"/>
              <w:spacing w:before="0" w:after="283"/>
              <w:rPr/>
            </w:pPr>
            <w:r>
              <w:rPr/>
              <w:t> </w:t>
            </w:r>
          </w:p>
        </w:tc>
        <w:tc>
          <w:tcPr>
            <w:tcW w:w="120" w:type="dxa"/>
            <w:tcBorders>
              <w:bottom w:val="single" w:sz="6" w:space="0" w:color="732282"/>
            </w:tcBorders>
            <w:shd w:fill="E5E5E5" w:val="clear"/>
            <w:tcMar>
              <w:bottom w:w="28" w:type="dxa"/>
            </w:tcMar>
            <w:vAlign w:val="center"/>
          </w:tcPr>
          <w:p>
            <w:pPr>
              <w:pStyle w:val="TableContents"/>
              <w:spacing w:before="0" w:after="283"/>
              <w:rPr/>
            </w:pPr>
            <w:r>
              <w:rPr/>
              <w:t>  </w:t>
            </w:r>
          </w:p>
        </w:tc>
        <w:tc>
          <w:tcPr>
            <w:tcW w:w="64" w:type="dxa"/>
            <w:tcBorders>
              <w:bottom w:val="single" w:sz="6" w:space="0" w:color="732282"/>
            </w:tcBorders>
            <w:shd w:fill="E5E5E5" w:val="clear"/>
            <w:tcMar>
              <w:bottom w:w="28" w:type="dxa"/>
            </w:tcMar>
            <w:vAlign w:val="center"/>
          </w:tcPr>
          <w:p>
            <w:pPr>
              <w:pStyle w:val="TableContents"/>
              <w:spacing w:before="0" w:after="283"/>
              <w:rPr/>
            </w:pPr>
            <w:r>
              <w:rPr/>
              <w:t> </w:t>
            </w:r>
          </w:p>
        </w:tc>
        <w:tc>
          <w:tcPr>
            <w:tcW w:w="1335" w:type="dxa"/>
            <w:tcBorders>
              <w:bottom w:val="single" w:sz="6" w:space="0" w:color="732282"/>
            </w:tcBorders>
            <w:shd w:fill="E5E5E5" w:val="clear"/>
            <w:tcMar>
              <w:bottom w:w="28" w:type="dxa"/>
            </w:tcMar>
            <w:vAlign w:val="center"/>
          </w:tcPr>
          <w:p>
            <w:pPr>
              <w:pStyle w:val="TableContents"/>
              <w:spacing w:before="0" w:after="283"/>
              <w:jc w:val="right"/>
              <w:rPr/>
            </w:pPr>
            <w:r>
              <w:rPr/>
              <w:t>$15,300,000</w:t>
            </w:r>
          </w:p>
        </w:tc>
        <w:tc>
          <w:tcPr>
            <w:tcW w:w="75" w:type="dxa"/>
            <w:tcBorders>
              <w:bottom w:val="single" w:sz="6" w:space="0" w:color="732282"/>
            </w:tcBorders>
            <w:shd w:fill="E5E5E5" w:val="clear"/>
            <w:tcMar>
              <w:bottom w:w="28" w:type="dxa"/>
            </w:tcMar>
            <w:vAlign w:val="center"/>
          </w:tcPr>
          <w:p>
            <w:pPr>
              <w:pStyle w:val="TableContents"/>
              <w:spacing w:before="0" w:after="283"/>
              <w:rPr/>
            </w:pPr>
            <w:r>
              <w:rPr/>
              <w:t> </w:t>
            </w:r>
          </w:p>
        </w:tc>
      </w:tr>
    </w:tbl>
    <w:tbl>
      <w:tblPr>
        <w:tblW w:w="7825" w:type="dxa"/>
        <w:jc w:val="left"/>
        <w:tblInd w:w="0" w:type="dxa"/>
        <w:tblCellMar>
          <w:top w:w="0" w:type="dxa"/>
          <w:left w:w="0" w:type="dxa"/>
          <w:bottom w:w="0" w:type="dxa"/>
          <w:right w:w="0" w:type="dxa"/>
        </w:tblCellMar>
      </w:tblPr>
      <w:tblGrid>
        <w:gridCol w:w="305"/>
        <w:gridCol w:w="7520"/>
      </w:tblGrid>
      <w:tr>
        <w:trPr/>
        <w:tc>
          <w:tcPr>
            <w:tcW w:w="305" w:type="dxa"/>
            <w:tcBorders/>
            <w:shd w:fill="auto" w:val="clear"/>
            <w:vAlign w:val="center"/>
          </w:tcPr>
          <w:p>
            <w:pPr>
              <w:pStyle w:val="TableContents"/>
              <w:spacing w:before="0" w:after="283"/>
              <w:jc w:val="left"/>
              <w:rPr/>
            </w:pPr>
            <w:r>
              <w:rPr/>
              <w:t>(1)</w:t>
            </w:r>
          </w:p>
        </w:tc>
        <w:tc>
          <w:tcPr>
            <w:tcW w:w="7520" w:type="dxa"/>
            <w:tcBorders/>
            <w:shd w:fill="auto" w:val="clear"/>
            <w:vAlign w:val="center"/>
          </w:tcPr>
          <w:p>
            <w:pPr>
              <w:pStyle w:val="TableContents"/>
              <w:spacing w:before="0" w:after="0"/>
              <w:jc w:val="both"/>
              <w:rPr>
                <w:rFonts w:ascii="arial" w:hAnsi="arial"/>
                <w:sz w:val="14"/>
              </w:rPr>
            </w:pPr>
            <w:r>
              <w:rPr>
                <w:rFonts w:ascii="arial" w:hAnsi="arial"/>
                <w:sz w:val="14"/>
              </w:rPr>
              <w:t xml:space="preserve">Total Target Compensation is defined as the sum of base salary, target annual incentive, and target long-term incentive. </w:t>
            </w:r>
          </w:p>
        </w:tc>
      </w:tr>
    </w:tbl>
    <w:tbl>
      <w:tblPr>
        <w:tblW w:w="10205" w:type="dxa"/>
        <w:jc w:val="left"/>
        <w:tblInd w:w="0" w:type="dxa"/>
        <w:tblCellMar>
          <w:top w:w="0" w:type="dxa"/>
          <w:left w:w="0" w:type="dxa"/>
          <w:bottom w:w="0" w:type="dxa"/>
          <w:right w:w="0" w:type="dxa"/>
        </w:tblCellMar>
      </w:tblPr>
      <w:tblGrid>
        <w:gridCol w:w="282"/>
        <w:gridCol w:w="9923"/>
      </w:tblGrid>
      <w:tr>
        <w:trPr/>
        <w:tc>
          <w:tcPr>
            <w:tcW w:w="282" w:type="dxa"/>
            <w:tcBorders/>
            <w:shd w:fill="auto" w:val="clear"/>
            <w:vAlign w:val="center"/>
          </w:tcPr>
          <w:p>
            <w:pPr>
              <w:pStyle w:val="TableContents"/>
              <w:spacing w:before="0" w:after="283"/>
              <w:jc w:val="left"/>
              <w:rPr/>
            </w:pPr>
            <w:r>
              <w:rPr/>
              <w:t>(2)</w:t>
            </w:r>
          </w:p>
        </w:tc>
        <w:tc>
          <w:tcPr>
            <w:tcW w:w="9923" w:type="dxa"/>
            <w:tcBorders/>
            <w:shd w:fill="auto" w:val="clear"/>
            <w:vAlign w:val="center"/>
          </w:tcPr>
          <w:p>
            <w:pPr>
              <w:pStyle w:val="TableContents"/>
              <w:spacing w:before="0" w:after="0"/>
              <w:jc w:val="both"/>
              <w:rPr>
                <w:rFonts w:ascii="arial" w:hAnsi="arial"/>
                <w:sz w:val="14"/>
              </w:rPr>
            </w:pPr>
            <w:r>
              <w:rPr>
                <w:rFonts w:ascii="arial" w:hAnsi="arial"/>
                <w:sz w:val="14"/>
              </w:rPr>
              <w:t xml:space="preserve">Mr. Goettler ceased to serve as the Company’s Chief Executive Officer and ceased to serve on the Board effective as of April 1, 2023. As noted above, Scott A. Smith became CEO of the Company effective April 1, 2023. </w:t>
            </w:r>
          </w:p>
        </w:tc>
      </w:tr>
    </w:tbl>
    <w:p>
      <w:pPr>
        <w:pStyle w:val="TextBody"/>
        <w:spacing w:before="240" w:after="0"/>
        <w:jc w:val="left"/>
        <w:rPr>
          <w:rFonts w:ascii="arial" w:hAnsi="arial"/>
          <w:b/>
          <w:sz w:val="20"/>
        </w:rPr>
      </w:pPr>
      <w:r>
        <w:rPr>
          <w:rFonts w:ascii="arial" w:hAnsi="arial"/>
          <w:b/>
          <w:sz w:val="20"/>
        </w:rPr>
        <w:t xml:space="preserve">Considerations for Setting 2022 Incentive Performance Goals </w:t>
      </w:r>
    </w:p>
    <w:p>
      <w:pPr>
        <w:pStyle w:val="TextBody"/>
        <w:spacing w:before="120" w:after="0"/>
        <w:jc w:val="both"/>
        <w:rPr>
          <w:rFonts w:ascii="arial" w:hAnsi="arial"/>
          <w:sz w:val="18"/>
        </w:rPr>
      </w:pPr>
      <w:r>
        <w:rPr>
          <w:rFonts w:ascii="arial" w:hAnsi="arial"/>
          <w:sz w:val="18"/>
        </w:rPr>
        <w:t xml:space="preserve">In setting annual and long-term incentive performance goals, the Compensation Committee considered a broad variety of data, including potential divestitures, industry forecasts, internal projections, demographic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27 </w:t>
      </w:r>
      <w:r>
        <w:br w:type="page"/>
      </w:r>
    </w:p>
    <w:p>
      <w:pPr>
        <w:pStyle w:val="HorizontalLine"/>
        <w:rPr/>
      </w:pPr>
      <w:r>
        <w:rPr/>
      </w:r>
    </w:p>
    <w:p>
      <w:pPr>
        <w:pStyle w:val="TextBody"/>
        <w:spacing w:before="0" w:after="0"/>
        <w:jc w:val="both"/>
        <w:rPr>
          <w:rFonts w:ascii="arial" w:hAnsi="arial"/>
          <w:sz w:val="18"/>
        </w:rPr>
      </w:pPr>
      <w:r>
        <w:rPr>
          <w:rFonts w:ascii="arial" w:hAnsi="arial"/>
          <w:sz w:val="18"/>
        </w:rPr>
        <w:t xml:space="preserve">data, advice from outside advisors, benchmarking data against the peer company medians, and the Company’s annual operating plan and strategies. The Compensation Committee also considered the variability and cyclicality of the business, noting that targets may increase or decrease from year-to-year due to factors impacting the business, such as market conditions, the regulatory environment, timing of product approvals, and both immediate and long-term strategic priorities of the business. Although the targets may vary from year-to-year, the Compensation Committee is committed to maintaining high levels of rigor and motivational impact on the executive team and aligning with the Company’s long-term strategy for sustainable business development and its goal of creating value for shareholders. Consistent with our philosophy of driving long-term company performance, the Compensation Committee, with the advice of its independent compensation consultant, will annually consider potential alternative performance metrics that link to our strategy and align with shareholder interests in long-term value creation. </w:t>
      </w:r>
    </w:p>
    <w:p>
      <w:pPr>
        <w:pStyle w:val="TextBody"/>
        <w:spacing w:before="240" w:after="0"/>
        <w:jc w:val="left"/>
        <w:rPr>
          <w:rFonts w:ascii="arial" w:hAnsi="arial"/>
          <w:b/>
          <w:sz w:val="20"/>
        </w:rPr>
      </w:pPr>
      <w:r>
        <w:rPr>
          <w:rFonts w:ascii="arial" w:hAnsi="arial"/>
          <w:b/>
          <w:sz w:val="20"/>
        </w:rPr>
        <w:t xml:space="preserve">2022 Peer Group </w:t>
      </w:r>
    </w:p>
    <w:p>
      <w:pPr>
        <w:pStyle w:val="TextBody"/>
        <w:spacing w:before="120" w:after="0"/>
        <w:jc w:val="both"/>
        <w:rPr>
          <w:rFonts w:ascii="arial" w:hAnsi="arial"/>
          <w:sz w:val="18"/>
        </w:rPr>
      </w:pPr>
      <w:r>
        <w:rPr>
          <w:rFonts w:ascii="arial" w:hAnsi="arial"/>
          <w:sz w:val="18"/>
        </w:rPr>
        <w:t xml:space="preserve">The peer group is used as one of several reference points for determining executive compensation and includes Viatris’ business competitors and companies that Viatris competes with for executive talent. Although the competitive market for our executives is one factor the Compensation Committee considers when making compensation decisions, the Committee does not target the compensation of NEOs within a specific percentile of any set of peer companies and considers peer group and industry data along with many other factors when determining compensation. </w:t>
      </w:r>
    </w:p>
    <w:p>
      <w:pPr>
        <w:pStyle w:val="TextBody"/>
        <w:spacing w:before="240" w:after="0"/>
        <w:jc w:val="both"/>
        <w:rPr>
          <w:rFonts w:ascii="arial" w:hAnsi="arial"/>
          <w:sz w:val="18"/>
        </w:rPr>
      </w:pPr>
      <w:r>
        <w:rPr>
          <w:rFonts w:ascii="arial" w:hAnsi="arial"/>
          <w:sz w:val="18"/>
        </w:rPr>
        <w:t xml:space="preserve">Below is the peer group selected by the Compensation Committee for 2022, with the advice of the Committee’s independent compensation consultant. The Committee takes a number of considerations into account when choosing the peer group, including those companies that most compete with the Company for executive talent. </w:t>
      </w:r>
    </w:p>
    <w:p>
      <w:pPr>
        <w:pStyle w:val="TextBody"/>
        <w:spacing w:before="0" w:after="0"/>
        <w:jc w:val="left"/>
        <w:rPr/>
      </w:pPr>
      <w:r>
        <w:rPr/>
        <w:t> </w:t>
      </w:r>
    </w:p>
    <w:tbl>
      <w:tblPr>
        <w:tblW w:w="8340" w:type="dxa"/>
        <w:jc w:val="left"/>
        <w:tblInd w:w="0" w:type="dxa"/>
        <w:tblCellMar>
          <w:top w:w="0" w:type="dxa"/>
          <w:left w:w="0" w:type="dxa"/>
          <w:bottom w:w="0" w:type="dxa"/>
          <w:right w:w="0" w:type="dxa"/>
        </w:tblCellMar>
      </w:tblPr>
      <w:tblGrid>
        <w:gridCol w:w="2660"/>
        <w:gridCol w:w="60"/>
        <w:gridCol w:w="2690"/>
        <w:gridCol w:w="60"/>
        <w:gridCol w:w="2870"/>
      </w:tblGrid>
      <w:tr>
        <w:trPr/>
        <w:tc>
          <w:tcPr>
            <w:tcW w:w="26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870" w:type="dxa"/>
            <w:tcBorders/>
            <w:shd w:fill="auto" w:val="clear"/>
            <w:vAlign w:val="center"/>
          </w:tcPr>
          <w:p>
            <w:pPr>
              <w:pStyle w:val="TableContents"/>
              <w:spacing w:before="0" w:after="283"/>
              <w:rPr>
                <w:sz w:val="4"/>
                <w:szCs w:val="4"/>
              </w:rPr>
            </w:pPr>
            <w:r>
              <w:rPr>
                <w:sz w:val="4"/>
                <w:szCs w:val="4"/>
              </w:rPr>
            </w:r>
          </w:p>
        </w:tc>
      </w:tr>
      <w:tr>
        <w:trPr/>
        <w:tc>
          <w:tcPr>
            <w:tcW w:w="2660" w:type="dxa"/>
            <w:tcBorders/>
            <w:shd w:fill="EAEAEA" w:val="clear"/>
            <w:vAlign w:val="center"/>
          </w:tcPr>
          <w:p>
            <w:pPr>
              <w:pStyle w:val="TableContents"/>
              <w:spacing w:before="0" w:after="283"/>
              <w:rPr>
                <w:sz w:val="4"/>
                <w:szCs w:val="4"/>
              </w:rPr>
            </w:pPr>
            <w:r>
              <w:rPr>
                <w:sz w:val="4"/>
                <w:szCs w:val="4"/>
              </w:rPr>
            </w:r>
          </w:p>
        </w:tc>
        <w:tc>
          <w:tcPr>
            <w:tcW w:w="2750" w:type="dxa"/>
            <w:gridSpan w:val="2"/>
            <w:tcBorders/>
            <w:shd w:fill="EAEAEA" w:val="clear"/>
            <w:vAlign w:val="center"/>
          </w:tcPr>
          <w:p>
            <w:pPr>
              <w:pStyle w:val="TableContents"/>
              <w:spacing w:before="0" w:after="283"/>
              <w:rPr>
                <w:sz w:val="4"/>
                <w:szCs w:val="4"/>
              </w:rPr>
            </w:pPr>
            <w:r>
              <w:rPr>
                <w:sz w:val="4"/>
                <w:szCs w:val="4"/>
              </w:rPr>
            </w:r>
          </w:p>
        </w:tc>
        <w:tc>
          <w:tcPr>
            <w:tcW w:w="2930" w:type="dxa"/>
            <w:gridSpan w:val="2"/>
            <w:tcBorders/>
            <w:shd w:fill="EAEAEA" w:val="clear"/>
            <w:vAlign w:val="center"/>
          </w:tcPr>
          <w:p>
            <w:pPr>
              <w:pStyle w:val="TableContents"/>
              <w:spacing w:before="0" w:after="283"/>
              <w:rPr>
                <w:sz w:val="4"/>
                <w:szCs w:val="4"/>
              </w:rPr>
            </w:pPr>
            <w:r>
              <w:rPr>
                <w:sz w:val="4"/>
                <w:szCs w:val="4"/>
              </w:rPr>
            </w:r>
          </w:p>
        </w:tc>
      </w:tr>
      <w:tr>
        <w:trPr/>
        <w:tc>
          <w:tcPr>
            <w:tcW w:w="2660" w:type="dxa"/>
            <w:tcBorders/>
            <w:shd w:fill="EAEAEA" w:val="clear"/>
            <w:vAlign w:val="center"/>
          </w:tcPr>
          <w:p>
            <w:pPr>
              <w:pStyle w:val="TableContents"/>
              <w:spacing w:before="0" w:after="0"/>
              <w:jc w:val="both"/>
              <w:rPr>
                <w:rFonts w:ascii="arial" w:hAnsi="arial"/>
                <w:b/>
                <w:sz w:val="18"/>
              </w:rPr>
            </w:pPr>
            <w:r>
              <w:rPr>
                <w:rFonts w:ascii="arial" w:hAnsi="arial"/>
                <w:b/>
                <w:sz w:val="18"/>
              </w:rPr>
              <w:t>Abbott Laboratories</w:t>
            </w:r>
          </w:p>
        </w:tc>
        <w:tc>
          <w:tcPr>
            <w:tcW w:w="60" w:type="dxa"/>
            <w:tcBorders/>
            <w:shd w:fill="EAEAEA" w:val="clear"/>
            <w:vAlign w:val="center"/>
          </w:tcPr>
          <w:p>
            <w:pPr>
              <w:pStyle w:val="TableContents"/>
              <w:spacing w:before="0" w:after="283"/>
              <w:rPr/>
            </w:pPr>
            <w:r>
              <w:rPr/>
              <w:t> </w:t>
            </w:r>
          </w:p>
        </w:tc>
        <w:tc>
          <w:tcPr>
            <w:tcW w:w="2690" w:type="dxa"/>
            <w:tcBorders/>
            <w:shd w:fill="EAEAEA" w:val="clear"/>
            <w:vAlign w:val="center"/>
          </w:tcPr>
          <w:p>
            <w:pPr>
              <w:pStyle w:val="TableContents"/>
              <w:spacing w:before="0" w:after="0"/>
              <w:jc w:val="both"/>
              <w:rPr>
                <w:rFonts w:ascii="arial" w:hAnsi="arial"/>
                <w:b/>
                <w:sz w:val="18"/>
              </w:rPr>
            </w:pPr>
            <w:r>
              <w:rPr>
                <w:rFonts w:ascii="arial" w:hAnsi="arial"/>
                <w:b/>
                <w:sz w:val="18"/>
              </w:rPr>
              <w:t>Biogen Inc.</w:t>
            </w:r>
          </w:p>
        </w:tc>
        <w:tc>
          <w:tcPr>
            <w:tcW w:w="60" w:type="dxa"/>
            <w:tcBorders/>
            <w:shd w:fill="EAEAEA" w:val="clear"/>
            <w:vAlign w:val="center"/>
          </w:tcPr>
          <w:p>
            <w:pPr>
              <w:pStyle w:val="TableContents"/>
              <w:spacing w:before="0" w:after="283"/>
              <w:rPr/>
            </w:pPr>
            <w:r>
              <w:rPr/>
              <w:t> </w:t>
            </w:r>
          </w:p>
        </w:tc>
        <w:tc>
          <w:tcPr>
            <w:tcW w:w="2870" w:type="dxa"/>
            <w:tcBorders/>
            <w:shd w:fill="EAEAEA" w:val="clear"/>
            <w:vAlign w:val="center"/>
          </w:tcPr>
          <w:p>
            <w:pPr>
              <w:pStyle w:val="TableContents"/>
              <w:spacing w:before="0" w:after="0"/>
              <w:jc w:val="both"/>
              <w:rPr>
                <w:rFonts w:ascii="arial" w:hAnsi="arial"/>
                <w:b/>
                <w:sz w:val="18"/>
              </w:rPr>
            </w:pPr>
            <w:r>
              <w:rPr>
                <w:rFonts w:ascii="arial" w:hAnsi="arial"/>
                <w:b/>
                <w:sz w:val="18"/>
              </w:rPr>
              <w:t>Novartis AG</w:t>
            </w:r>
          </w:p>
        </w:tc>
      </w:tr>
      <w:tr>
        <w:trPr/>
        <w:tc>
          <w:tcPr>
            <w:tcW w:w="2660" w:type="dxa"/>
            <w:tcBorders/>
            <w:shd w:fill="auto" w:val="clear"/>
            <w:vAlign w:val="center"/>
          </w:tcPr>
          <w:p>
            <w:pPr>
              <w:pStyle w:val="TableContents"/>
              <w:spacing w:before="0" w:after="283"/>
              <w:rPr>
                <w:sz w:val="4"/>
                <w:szCs w:val="4"/>
              </w:rPr>
            </w:pPr>
            <w:r>
              <w:rPr>
                <w:sz w:val="4"/>
                <w:szCs w:val="4"/>
              </w:rPr>
            </w:r>
          </w:p>
        </w:tc>
        <w:tc>
          <w:tcPr>
            <w:tcW w:w="2750" w:type="dxa"/>
            <w:gridSpan w:val="2"/>
            <w:tcBorders/>
            <w:shd w:fill="auto" w:val="clear"/>
            <w:vAlign w:val="center"/>
          </w:tcPr>
          <w:p>
            <w:pPr>
              <w:pStyle w:val="TableContents"/>
              <w:spacing w:before="0" w:after="283"/>
              <w:rPr>
                <w:sz w:val="4"/>
                <w:szCs w:val="4"/>
              </w:rPr>
            </w:pPr>
            <w:r>
              <w:rPr>
                <w:sz w:val="4"/>
                <w:szCs w:val="4"/>
              </w:rPr>
            </w:r>
          </w:p>
        </w:tc>
        <w:tc>
          <w:tcPr>
            <w:tcW w:w="2930" w:type="dxa"/>
            <w:gridSpan w:val="2"/>
            <w:tcBorders/>
            <w:shd w:fill="auto" w:val="clear"/>
            <w:vAlign w:val="center"/>
          </w:tcPr>
          <w:p>
            <w:pPr>
              <w:pStyle w:val="TableContents"/>
              <w:spacing w:before="0" w:after="283"/>
              <w:rPr>
                <w:sz w:val="4"/>
                <w:szCs w:val="4"/>
              </w:rPr>
            </w:pPr>
            <w:r>
              <w:rPr>
                <w:sz w:val="4"/>
                <w:szCs w:val="4"/>
              </w:rPr>
            </w:r>
          </w:p>
        </w:tc>
      </w:tr>
      <w:tr>
        <w:trPr/>
        <w:tc>
          <w:tcPr>
            <w:tcW w:w="2660" w:type="dxa"/>
            <w:tcBorders/>
            <w:shd w:fill="auto" w:val="clear"/>
            <w:vAlign w:val="center"/>
          </w:tcPr>
          <w:p>
            <w:pPr>
              <w:pStyle w:val="TableContents"/>
              <w:spacing w:before="0" w:after="0"/>
              <w:jc w:val="both"/>
              <w:rPr>
                <w:rFonts w:ascii="arial" w:hAnsi="arial"/>
                <w:b/>
                <w:sz w:val="18"/>
              </w:rPr>
            </w:pPr>
            <w:r>
              <w:rPr>
                <w:rFonts w:ascii="arial" w:hAnsi="arial"/>
                <w:b/>
                <w:sz w:val="18"/>
              </w:rPr>
              <w:t>Abbvie Inc.</w:t>
            </w:r>
          </w:p>
        </w:tc>
        <w:tc>
          <w:tcPr>
            <w:tcW w:w="60" w:type="dxa"/>
            <w:tcBorders/>
            <w:shd w:fill="auto" w:val="clear"/>
            <w:vAlign w:val="center"/>
          </w:tcPr>
          <w:p>
            <w:pPr>
              <w:pStyle w:val="TableContents"/>
              <w:spacing w:before="0" w:after="283"/>
              <w:rPr/>
            </w:pPr>
            <w:r>
              <w:rPr/>
              <w:t> </w:t>
            </w:r>
          </w:p>
        </w:tc>
        <w:tc>
          <w:tcPr>
            <w:tcW w:w="2690" w:type="dxa"/>
            <w:tcBorders/>
            <w:shd w:fill="auto" w:val="clear"/>
            <w:vAlign w:val="center"/>
          </w:tcPr>
          <w:p>
            <w:pPr>
              <w:pStyle w:val="TableContents"/>
              <w:spacing w:before="0" w:after="0"/>
              <w:jc w:val="both"/>
              <w:rPr>
                <w:rFonts w:ascii="arial" w:hAnsi="arial"/>
                <w:b/>
                <w:sz w:val="18"/>
              </w:rPr>
            </w:pPr>
            <w:r>
              <w:rPr>
                <w:rFonts w:ascii="arial" w:hAnsi="arial"/>
                <w:b/>
                <w:sz w:val="18"/>
              </w:rPr>
              <w:t>Bristol-Myers Squibb Company</w:t>
            </w:r>
          </w:p>
        </w:tc>
        <w:tc>
          <w:tcPr>
            <w:tcW w:w="60" w:type="dxa"/>
            <w:tcBorders/>
            <w:shd w:fill="auto" w:val="clear"/>
            <w:vAlign w:val="center"/>
          </w:tcPr>
          <w:p>
            <w:pPr>
              <w:pStyle w:val="TableContents"/>
              <w:spacing w:before="0" w:after="283"/>
              <w:rPr/>
            </w:pPr>
            <w:r>
              <w:rPr/>
              <w:t> </w:t>
            </w:r>
          </w:p>
        </w:tc>
        <w:tc>
          <w:tcPr>
            <w:tcW w:w="2870" w:type="dxa"/>
            <w:tcBorders/>
            <w:shd w:fill="auto" w:val="clear"/>
            <w:vAlign w:val="center"/>
          </w:tcPr>
          <w:p>
            <w:pPr>
              <w:pStyle w:val="TableContents"/>
              <w:spacing w:before="0" w:after="0"/>
              <w:jc w:val="both"/>
              <w:rPr>
                <w:rFonts w:ascii="arial" w:hAnsi="arial"/>
                <w:b/>
                <w:sz w:val="18"/>
              </w:rPr>
            </w:pPr>
            <w:r>
              <w:rPr>
                <w:rFonts w:ascii="arial" w:hAnsi="arial"/>
                <w:b/>
                <w:sz w:val="18"/>
              </w:rPr>
              <w:t>Pfizer Inc.</w:t>
            </w:r>
          </w:p>
        </w:tc>
      </w:tr>
      <w:tr>
        <w:trPr/>
        <w:tc>
          <w:tcPr>
            <w:tcW w:w="2660" w:type="dxa"/>
            <w:tcBorders/>
            <w:shd w:fill="EAEAEA" w:val="clear"/>
            <w:vAlign w:val="center"/>
          </w:tcPr>
          <w:p>
            <w:pPr>
              <w:pStyle w:val="TableContents"/>
              <w:spacing w:before="0" w:after="283"/>
              <w:rPr>
                <w:sz w:val="4"/>
                <w:szCs w:val="4"/>
              </w:rPr>
            </w:pPr>
            <w:r>
              <w:rPr>
                <w:sz w:val="4"/>
                <w:szCs w:val="4"/>
              </w:rPr>
            </w:r>
          </w:p>
        </w:tc>
        <w:tc>
          <w:tcPr>
            <w:tcW w:w="2750" w:type="dxa"/>
            <w:gridSpan w:val="2"/>
            <w:tcBorders/>
            <w:shd w:fill="EAEAEA" w:val="clear"/>
            <w:vAlign w:val="center"/>
          </w:tcPr>
          <w:p>
            <w:pPr>
              <w:pStyle w:val="TableContents"/>
              <w:spacing w:before="0" w:after="283"/>
              <w:rPr>
                <w:sz w:val="4"/>
                <w:szCs w:val="4"/>
              </w:rPr>
            </w:pPr>
            <w:r>
              <w:rPr>
                <w:sz w:val="4"/>
                <w:szCs w:val="4"/>
              </w:rPr>
            </w:r>
          </w:p>
        </w:tc>
        <w:tc>
          <w:tcPr>
            <w:tcW w:w="2930" w:type="dxa"/>
            <w:gridSpan w:val="2"/>
            <w:tcBorders/>
            <w:shd w:fill="EAEAEA" w:val="clear"/>
            <w:vAlign w:val="center"/>
          </w:tcPr>
          <w:p>
            <w:pPr>
              <w:pStyle w:val="TableContents"/>
              <w:spacing w:before="0" w:after="283"/>
              <w:rPr>
                <w:sz w:val="4"/>
                <w:szCs w:val="4"/>
              </w:rPr>
            </w:pPr>
            <w:r>
              <w:rPr>
                <w:sz w:val="4"/>
                <w:szCs w:val="4"/>
              </w:rPr>
            </w:r>
          </w:p>
        </w:tc>
      </w:tr>
      <w:tr>
        <w:trPr/>
        <w:tc>
          <w:tcPr>
            <w:tcW w:w="2660" w:type="dxa"/>
            <w:tcBorders/>
            <w:shd w:fill="EAEAEA" w:val="clear"/>
            <w:vAlign w:val="center"/>
          </w:tcPr>
          <w:p>
            <w:pPr>
              <w:pStyle w:val="TableContents"/>
              <w:spacing w:before="0" w:after="0"/>
              <w:jc w:val="both"/>
              <w:rPr>
                <w:rFonts w:ascii="arial" w:hAnsi="arial"/>
                <w:b/>
                <w:sz w:val="18"/>
              </w:rPr>
            </w:pPr>
            <w:r>
              <w:rPr>
                <w:rFonts w:ascii="arial" w:hAnsi="arial"/>
                <w:b/>
                <w:sz w:val="18"/>
              </w:rPr>
              <w:t>Amgen Inc.</w:t>
            </w:r>
          </w:p>
        </w:tc>
        <w:tc>
          <w:tcPr>
            <w:tcW w:w="60" w:type="dxa"/>
            <w:tcBorders/>
            <w:shd w:fill="EAEAEA" w:val="clear"/>
            <w:vAlign w:val="center"/>
          </w:tcPr>
          <w:p>
            <w:pPr>
              <w:pStyle w:val="TableContents"/>
              <w:spacing w:before="0" w:after="283"/>
              <w:rPr/>
            </w:pPr>
            <w:r>
              <w:rPr/>
              <w:t> </w:t>
            </w:r>
          </w:p>
        </w:tc>
        <w:tc>
          <w:tcPr>
            <w:tcW w:w="2690" w:type="dxa"/>
            <w:tcBorders/>
            <w:shd w:fill="EAEAEA" w:val="clear"/>
            <w:vAlign w:val="center"/>
          </w:tcPr>
          <w:p>
            <w:pPr>
              <w:pStyle w:val="TableContents"/>
              <w:spacing w:before="0" w:after="0"/>
              <w:jc w:val="both"/>
              <w:rPr>
                <w:rFonts w:ascii="arial" w:hAnsi="arial"/>
                <w:b/>
                <w:sz w:val="18"/>
              </w:rPr>
            </w:pPr>
            <w:r>
              <w:rPr>
                <w:rFonts w:ascii="arial" w:hAnsi="arial"/>
                <w:b/>
                <w:sz w:val="18"/>
              </w:rPr>
              <w:t>Eli Lilly and Company</w:t>
            </w:r>
          </w:p>
        </w:tc>
        <w:tc>
          <w:tcPr>
            <w:tcW w:w="60" w:type="dxa"/>
            <w:tcBorders/>
            <w:shd w:fill="EAEAEA" w:val="clear"/>
            <w:vAlign w:val="center"/>
          </w:tcPr>
          <w:p>
            <w:pPr>
              <w:pStyle w:val="TableContents"/>
              <w:spacing w:before="0" w:after="283"/>
              <w:rPr/>
            </w:pPr>
            <w:r>
              <w:rPr/>
              <w:t> </w:t>
            </w:r>
          </w:p>
        </w:tc>
        <w:tc>
          <w:tcPr>
            <w:tcW w:w="2870" w:type="dxa"/>
            <w:tcBorders/>
            <w:shd w:fill="EAEAEA" w:val="clear"/>
            <w:vAlign w:val="center"/>
          </w:tcPr>
          <w:p>
            <w:pPr>
              <w:pStyle w:val="TableContents"/>
              <w:spacing w:before="0" w:after="0"/>
              <w:jc w:val="both"/>
              <w:rPr>
                <w:rFonts w:ascii="arial" w:hAnsi="arial"/>
                <w:b/>
                <w:sz w:val="18"/>
              </w:rPr>
            </w:pPr>
            <w:r>
              <w:rPr>
                <w:rFonts w:ascii="arial" w:hAnsi="arial"/>
                <w:b/>
                <w:sz w:val="18"/>
              </w:rPr>
              <w:t>Regeneron Pharmaceuticals, Inc.</w:t>
            </w:r>
          </w:p>
        </w:tc>
      </w:tr>
      <w:tr>
        <w:trPr/>
        <w:tc>
          <w:tcPr>
            <w:tcW w:w="2660" w:type="dxa"/>
            <w:tcBorders/>
            <w:shd w:fill="auto" w:val="clear"/>
            <w:vAlign w:val="center"/>
          </w:tcPr>
          <w:p>
            <w:pPr>
              <w:pStyle w:val="TableContents"/>
              <w:spacing w:before="0" w:after="283"/>
              <w:rPr>
                <w:sz w:val="4"/>
                <w:szCs w:val="4"/>
              </w:rPr>
            </w:pPr>
            <w:r>
              <w:rPr>
                <w:sz w:val="4"/>
                <w:szCs w:val="4"/>
              </w:rPr>
            </w:r>
          </w:p>
        </w:tc>
        <w:tc>
          <w:tcPr>
            <w:tcW w:w="2750" w:type="dxa"/>
            <w:gridSpan w:val="2"/>
            <w:tcBorders/>
            <w:shd w:fill="auto" w:val="clear"/>
            <w:vAlign w:val="center"/>
          </w:tcPr>
          <w:p>
            <w:pPr>
              <w:pStyle w:val="TableContents"/>
              <w:spacing w:before="0" w:after="283"/>
              <w:rPr>
                <w:sz w:val="4"/>
                <w:szCs w:val="4"/>
              </w:rPr>
            </w:pPr>
            <w:r>
              <w:rPr>
                <w:sz w:val="4"/>
                <w:szCs w:val="4"/>
              </w:rPr>
            </w:r>
          </w:p>
        </w:tc>
        <w:tc>
          <w:tcPr>
            <w:tcW w:w="2930" w:type="dxa"/>
            <w:gridSpan w:val="2"/>
            <w:tcBorders/>
            <w:shd w:fill="auto" w:val="clear"/>
            <w:vAlign w:val="center"/>
          </w:tcPr>
          <w:p>
            <w:pPr>
              <w:pStyle w:val="TableContents"/>
              <w:spacing w:before="0" w:after="283"/>
              <w:rPr>
                <w:sz w:val="4"/>
                <w:szCs w:val="4"/>
              </w:rPr>
            </w:pPr>
            <w:r>
              <w:rPr>
                <w:sz w:val="4"/>
                <w:szCs w:val="4"/>
              </w:rPr>
            </w:r>
          </w:p>
        </w:tc>
      </w:tr>
      <w:tr>
        <w:trPr/>
        <w:tc>
          <w:tcPr>
            <w:tcW w:w="2660" w:type="dxa"/>
            <w:tcBorders/>
            <w:shd w:fill="auto" w:val="clear"/>
            <w:vAlign w:val="center"/>
          </w:tcPr>
          <w:p>
            <w:pPr>
              <w:pStyle w:val="TableContents"/>
              <w:spacing w:before="0" w:after="0"/>
              <w:jc w:val="both"/>
              <w:rPr>
                <w:rFonts w:ascii="arial" w:hAnsi="arial"/>
                <w:b/>
                <w:sz w:val="18"/>
              </w:rPr>
            </w:pPr>
            <w:r>
              <w:rPr>
                <w:rFonts w:ascii="arial" w:hAnsi="arial"/>
                <w:b/>
                <w:sz w:val="18"/>
              </w:rPr>
              <w:t>Bausch Health Companies Inc.</w:t>
            </w:r>
          </w:p>
        </w:tc>
        <w:tc>
          <w:tcPr>
            <w:tcW w:w="60" w:type="dxa"/>
            <w:tcBorders/>
            <w:shd w:fill="auto" w:val="clear"/>
            <w:vAlign w:val="center"/>
          </w:tcPr>
          <w:p>
            <w:pPr>
              <w:pStyle w:val="TableContents"/>
              <w:spacing w:before="0" w:after="283"/>
              <w:rPr/>
            </w:pPr>
            <w:r>
              <w:rPr/>
              <w:t> </w:t>
            </w:r>
          </w:p>
        </w:tc>
        <w:tc>
          <w:tcPr>
            <w:tcW w:w="2690" w:type="dxa"/>
            <w:tcBorders/>
            <w:shd w:fill="auto" w:val="clear"/>
            <w:vAlign w:val="center"/>
          </w:tcPr>
          <w:p>
            <w:pPr>
              <w:pStyle w:val="TableContents"/>
              <w:spacing w:before="0" w:after="0"/>
              <w:jc w:val="both"/>
              <w:rPr>
                <w:rFonts w:ascii="arial" w:hAnsi="arial"/>
                <w:b/>
                <w:sz w:val="18"/>
              </w:rPr>
            </w:pPr>
            <w:r>
              <w:rPr>
                <w:rFonts w:ascii="arial" w:hAnsi="arial"/>
                <w:b/>
                <w:sz w:val="18"/>
              </w:rPr>
              <w:t>Gilead Sciences, Inc.</w:t>
            </w:r>
          </w:p>
        </w:tc>
        <w:tc>
          <w:tcPr>
            <w:tcW w:w="60" w:type="dxa"/>
            <w:tcBorders/>
            <w:shd w:fill="auto" w:val="clear"/>
            <w:vAlign w:val="center"/>
          </w:tcPr>
          <w:p>
            <w:pPr>
              <w:pStyle w:val="TableContents"/>
              <w:spacing w:before="0" w:after="283"/>
              <w:rPr/>
            </w:pPr>
            <w:r>
              <w:rPr/>
              <w:t> </w:t>
            </w:r>
          </w:p>
        </w:tc>
        <w:tc>
          <w:tcPr>
            <w:tcW w:w="2870" w:type="dxa"/>
            <w:tcBorders/>
            <w:shd w:fill="auto" w:val="clear"/>
            <w:vAlign w:val="center"/>
          </w:tcPr>
          <w:p>
            <w:pPr>
              <w:pStyle w:val="TableContents"/>
              <w:spacing w:before="0" w:after="0"/>
              <w:jc w:val="both"/>
              <w:rPr>
                <w:rFonts w:ascii="arial" w:hAnsi="arial"/>
                <w:b/>
                <w:sz w:val="18"/>
              </w:rPr>
            </w:pPr>
            <w:r>
              <w:rPr>
                <w:rFonts w:ascii="arial" w:hAnsi="arial"/>
                <w:b/>
                <w:sz w:val="18"/>
              </w:rPr>
              <w:t>Sanofi</w:t>
            </w:r>
          </w:p>
        </w:tc>
      </w:tr>
      <w:tr>
        <w:trPr/>
        <w:tc>
          <w:tcPr>
            <w:tcW w:w="2660" w:type="dxa"/>
            <w:tcBorders/>
            <w:shd w:fill="EAEAEA" w:val="clear"/>
            <w:vAlign w:val="center"/>
          </w:tcPr>
          <w:p>
            <w:pPr>
              <w:pStyle w:val="TableContents"/>
              <w:spacing w:before="0" w:after="283"/>
              <w:rPr>
                <w:sz w:val="4"/>
                <w:szCs w:val="4"/>
              </w:rPr>
            </w:pPr>
            <w:r>
              <w:rPr>
                <w:sz w:val="4"/>
                <w:szCs w:val="4"/>
              </w:rPr>
            </w:r>
          </w:p>
        </w:tc>
        <w:tc>
          <w:tcPr>
            <w:tcW w:w="2750" w:type="dxa"/>
            <w:gridSpan w:val="2"/>
            <w:tcBorders/>
            <w:shd w:fill="EAEAEA" w:val="clear"/>
            <w:vAlign w:val="center"/>
          </w:tcPr>
          <w:p>
            <w:pPr>
              <w:pStyle w:val="TableContents"/>
              <w:spacing w:before="0" w:after="283"/>
              <w:rPr>
                <w:sz w:val="4"/>
                <w:szCs w:val="4"/>
              </w:rPr>
            </w:pPr>
            <w:r>
              <w:rPr>
                <w:sz w:val="4"/>
                <w:szCs w:val="4"/>
              </w:rPr>
            </w:r>
          </w:p>
        </w:tc>
        <w:tc>
          <w:tcPr>
            <w:tcW w:w="2930" w:type="dxa"/>
            <w:gridSpan w:val="2"/>
            <w:tcBorders/>
            <w:shd w:fill="EAEAEA" w:val="clear"/>
            <w:vAlign w:val="center"/>
          </w:tcPr>
          <w:p>
            <w:pPr>
              <w:pStyle w:val="TableContents"/>
              <w:spacing w:before="0" w:after="283"/>
              <w:rPr>
                <w:sz w:val="4"/>
                <w:szCs w:val="4"/>
              </w:rPr>
            </w:pPr>
            <w:r>
              <w:rPr>
                <w:sz w:val="4"/>
                <w:szCs w:val="4"/>
              </w:rPr>
            </w:r>
          </w:p>
        </w:tc>
      </w:tr>
      <w:tr>
        <w:trPr/>
        <w:tc>
          <w:tcPr>
            <w:tcW w:w="2660" w:type="dxa"/>
            <w:tcBorders/>
            <w:shd w:fill="EAEAEA" w:val="clear"/>
            <w:vAlign w:val="center"/>
          </w:tcPr>
          <w:p>
            <w:pPr>
              <w:pStyle w:val="TableContents"/>
              <w:spacing w:before="0" w:after="0"/>
              <w:jc w:val="both"/>
              <w:rPr>
                <w:rFonts w:ascii="arial" w:hAnsi="arial"/>
                <w:b/>
                <w:sz w:val="18"/>
              </w:rPr>
            </w:pPr>
            <w:r>
              <w:rPr>
                <w:rFonts w:ascii="arial" w:hAnsi="arial"/>
                <w:b/>
                <w:sz w:val="18"/>
              </w:rPr>
              <w:t>Baxter International Inc.</w:t>
            </w:r>
          </w:p>
        </w:tc>
        <w:tc>
          <w:tcPr>
            <w:tcW w:w="60" w:type="dxa"/>
            <w:tcBorders/>
            <w:shd w:fill="EAEAEA" w:val="clear"/>
            <w:vAlign w:val="center"/>
          </w:tcPr>
          <w:p>
            <w:pPr>
              <w:pStyle w:val="TableContents"/>
              <w:spacing w:before="0" w:after="283"/>
              <w:rPr/>
            </w:pPr>
            <w:r>
              <w:rPr/>
              <w:t> </w:t>
            </w:r>
          </w:p>
        </w:tc>
        <w:tc>
          <w:tcPr>
            <w:tcW w:w="2690" w:type="dxa"/>
            <w:tcBorders/>
            <w:shd w:fill="EAEAEA" w:val="clear"/>
            <w:vAlign w:val="center"/>
          </w:tcPr>
          <w:p>
            <w:pPr>
              <w:pStyle w:val="TableContents"/>
              <w:spacing w:before="0" w:after="0"/>
              <w:jc w:val="both"/>
              <w:rPr>
                <w:rFonts w:ascii="arial" w:hAnsi="arial"/>
                <w:b/>
                <w:sz w:val="18"/>
              </w:rPr>
            </w:pPr>
            <w:r>
              <w:rPr>
                <w:rFonts w:ascii="arial" w:hAnsi="arial"/>
                <w:b/>
                <w:sz w:val="18"/>
              </w:rPr>
              <w:t>Merck &amp; Co., Inc.</w:t>
            </w:r>
          </w:p>
        </w:tc>
        <w:tc>
          <w:tcPr>
            <w:tcW w:w="60" w:type="dxa"/>
            <w:tcBorders/>
            <w:shd w:fill="EAEAEA" w:val="clear"/>
            <w:vAlign w:val="center"/>
          </w:tcPr>
          <w:p>
            <w:pPr>
              <w:pStyle w:val="TableContents"/>
              <w:spacing w:before="0" w:after="283"/>
              <w:rPr/>
            </w:pPr>
            <w:r>
              <w:rPr/>
              <w:t> </w:t>
            </w:r>
          </w:p>
        </w:tc>
        <w:tc>
          <w:tcPr>
            <w:tcW w:w="2870" w:type="dxa"/>
            <w:tcBorders/>
            <w:shd w:fill="EAEAEA" w:val="clear"/>
            <w:vAlign w:val="center"/>
          </w:tcPr>
          <w:p>
            <w:pPr>
              <w:pStyle w:val="TableContents"/>
              <w:spacing w:before="0" w:after="0"/>
              <w:jc w:val="both"/>
              <w:rPr>
                <w:rFonts w:ascii="arial" w:hAnsi="arial"/>
                <w:b/>
                <w:sz w:val="18"/>
              </w:rPr>
            </w:pPr>
            <w:r>
              <w:rPr>
                <w:rFonts w:ascii="arial" w:hAnsi="arial"/>
                <w:b/>
                <w:sz w:val="18"/>
              </w:rPr>
              <w:t>Teva Pharmaceutical Limited</w:t>
            </w:r>
          </w:p>
        </w:tc>
      </w:tr>
    </w:tbl>
    <w:p>
      <w:pPr>
        <w:pStyle w:val="TextBody"/>
        <w:spacing w:before="240" w:after="0"/>
        <w:jc w:val="left"/>
        <w:rPr>
          <w:rFonts w:ascii="arial" w:hAnsi="arial"/>
          <w:b/>
          <w:color w:val="666666"/>
          <w:sz w:val="28"/>
        </w:rPr>
      </w:pPr>
      <w:r>
        <w:rPr>
          <w:rFonts w:ascii="arial" w:hAnsi="arial"/>
          <w:b/>
          <w:color w:val="666666"/>
          <w:sz w:val="28"/>
        </w:rPr>
        <w:t xml:space="preserve">Elements of 2022 Compensation </w:t>
      </w:r>
    </w:p>
    <w:p>
      <w:pPr>
        <w:pStyle w:val="TextBody"/>
        <w:pBdr>
          <w:bottom w:val="single" w:sz="2" w:space="1" w:color="732282"/>
        </w:pBdr>
        <w:spacing w:lineRule="atLeast" w:line="141" w:before="0" w:after="40"/>
        <w:jc w:val="left"/>
        <w:rPr/>
      </w:pPr>
      <w:r>
        <w:rPr/>
        <w:t> </w:t>
      </w:r>
    </w:p>
    <w:p>
      <w:pPr>
        <w:pStyle w:val="TextBody"/>
        <w:spacing w:before="120" w:after="0"/>
        <w:jc w:val="left"/>
        <w:rPr>
          <w:rFonts w:ascii="arial" w:hAnsi="arial"/>
          <w:b/>
          <w:sz w:val="20"/>
        </w:rPr>
      </w:pPr>
      <w:r>
        <w:rPr>
          <w:rFonts w:ascii="arial" w:hAnsi="arial"/>
          <w:b/>
          <w:sz w:val="20"/>
        </w:rPr>
        <w:t xml:space="preserve">Base Salaries </w:t>
      </w:r>
    </w:p>
    <w:p>
      <w:pPr>
        <w:pStyle w:val="TextBody"/>
        <w:spacing w:before="120" w:after="0"/>
        <w:jc w:val="both"/>
        <w:rPr>
          <w:rFonts w:ascii="arial" w:hAnsi="arial"/>
          <w:sz w:val="18"/>
        </w:rPr>
      </w:pPr>
      <w:r>
        <w:rPr>
          <w:rFonts w:ascii="arial" w:hAnsi="arial"/>
          <w:sz w:val="18"/>
        </w:rPr>
        <w:t xml:space="preserve">The Compensation Committee considers a variety of factors in deciding base salary, including, among others: individual performance, responsibilities, and expected future performance; Company performance; management structure; marketplace practices (including external benchmarks prepared by an independent compensation consultant); internal pay equity considerations; competitive recruitment for outstanding talent; and the executive’s experience, tenure, and leadership. The Compensation Committee also considers, among other factors, what the marketplace would require in terms of the costs to hire a similarly qualified and experienced individual externally.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28 </w:t>
      </w:r>
      <w:r>
        <w:br w:type="page"/>
      </w:r>
    </w:p>
    <w:p>
      <w:pPr>
        <w:pStyle w:val="HorizontalLine"/>
        <w:rPr/>
      </w:pPr>
      <w:r>
        <w:rPr/>
      </w:r>
    </w:p>
    <w:p>
      <w:pPr>
        <w:pStyle w:val="TextBody"/>
        <w:spacing w:before="0" w:after="0"/>
        <w:jc w:val="both"/>
        <w:rPr>
          <w:rFonts w:ascii="arial" w:hAnsi="arial"/>
          <w:sz w:val="18"/>
        </w:rPr>
      </w:pPr>
      <w:r>
        <w:rPr>
          <w:rFonts w:ascii="arial" w:hAnsi="arial"/>
          <w:sz w:val="18"/>
        </w:rPr>
        <w:t xml:space="preserve">As reflected in the table below, in 2022, there were no changes to NEO base salaries with the exception of a 6.25% increase for the CFO to align with changes in market data. </w:t>
      </w:r>
    </w:p>
    <w:p>
      <w:pPr>
        <w:pStyle w:val="TextBody"/>
        <w:spacing w:before="0" w:after="0"/>
        <w:jc w:val="left"/>
        <w:rPr/>
      </w:pPr>
      <w:r>
        <w:rPr/>
        <w:t> </w:t>
      </w:r>
    </w:p>
    <w:tbl>
      <w:tblPr>
        <w:tblW w:w="4125" w:type="dxa"/>
        <w:jc w:val="left"/>
        <w:tblInd w:w="0" w:type="dxa"/>
        <w:tblCellMar>
          <w:top w:w="0" w:type="dxa"/>
          <w:left w:w="0" w:type="dxa"/>
          <w:bottom w:w="0" w:type="dxa"/>
          <w:right w:w="0" w:type="dxa"/>
        </w:tblCellMar>
      </w:tblPr>
      <w:tblGrid>
        <w:gridCol w:w="1430"/>
        <w:gridCol w:w="120"/>
        <w:gridCol w:w="60"/>
        <w:gridCol w:w="1100"/>
        <w:gridCol w:w="60"/>
        <w:gridCol w:w="120"/>
        <w:gridCol w:w="60"/>
        <w:gridCol w:w="1100"/>
        <w:gridCol w:w="75"/>
      </w:tblGrid>
      <w:tr>
        <w:trPr/>
        <w:tc>
          <w:tcPr>
            <w:tcW w:w="14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430" w:type="dxa"/>
            <w:tcBorders>
              <w:bottom w:val="single" w:sz="8" w:space="0" w:color="732282"/>
            </w:tcBorders>
            <w:shd w:fill="auto" w:val="clear"/>
            <w:tcMar>
              <w:bottom w:w="28" w:type="dxa"/>
            </w:tcMar>
            <w:vAlign w:val="center"/>
          </w:tcPr>
          <w:p>
            <w:pPr>
              <w:pStyle w:val="TableContents"/>
              <w:spacing w:before="0" w:after="0"/>
              <w:rPr>
                <w:rFonts w:ascii="arial" w:hAnsi="arial"/>
                <w:b/>
                <w:color w:val="732282"/>
                <w:sz w:val="16"/>
              </w:rPr>
            </w:pPr>
            <w:r>
              <w:rPr>
                <w:rFonts w:ascii="arial" w:hAnsi="arial"/>
                <w:b/>
                <w:color w:val="732282"/>
                <w:sz w:val="16"/>
              </w:rPr>
              <w:t>NEO</w:t>
            </w:r>
          </w:p>
        </w:tc>
        <w:tc>
          <w:tcPr>
            <w:tcW w:w="120" w:type="dxa"/>
            <w:tcBorders>
              <w:bottom w:val="single" w:sz="8" w:space="0" w:color="732282"/>
            </w:tcBorders>
            <w:shd w:fill="auto" w:val="clear"/>
            <w:tcMar>
              <w:bottom w:w="28" w:type="dxa"/>
            </w:tcMar>
            <w:vAlign w:val="center"/>
          </w:tcPr>
          <w:p>
            <w:pPr>
              <w:pStyle w:val="TableContents"/>
              <w:spacing w:before="0" w:after="283"/>
              <w:rPr/>
            </w:pPr>
            <w:r>
              <w:rPr/>
              <w:t>  </w:t>
            </w:r>
          </w:p>
        </w:tc>
        <w:tc>
          <w:tcPr>
            <w:tcW w:w="1160" w:type="dxa"/>
            <w:gridSpan w:val="2"/>
            <w:tcBorders>
              <w:bottom w:val="single" w:sz="8" w:space="0" w:color="732282"/>
            </w:tcBorders>
            <w:shd w:fill="auto" w:val="clear"/>
            <w:tcMar>
              <w:bottom w:w="28" w:type="dxa"/>
            </w:tcMar>
            <w:vAlign w:val="center"/>
          </w:tcPr>
          <w:p>
            <w:pPr>
              <w:pStyle w:val="TableContents"/>
              <w:spacing w:before="0" w:after="283"/>
              <w:jc w:val="right"/>
              <w:rPr>
                <w:b/>
                <w:color w:val="732282"/>
              </w:rPr>
            </w:pPr>
            <w:r>
              <w:rPr>
                <w:b/>
                <w:color w:val="732282"/>
              </w:rPr>
              <w:t>2021 Base</w:t>
              <w:br/>
              <w:t>Salary</w:t>
            </w:r>
          </w:p>
        </w:tc>
        <w:tc>
          <w:tcPr>
            <w:tcW w:w="60" w:type="dxa"/>
            <w:tcBorders>
              <w:bottom w:val="single" w:sz="8" w:space="0" w:color="732282"/>
            </w:tcBorders>
            <w:shd w:fill="auto" w:val="clear"/>
            <w:tcMar>
              <w:bottom w:w="28" w:type="dxa"/>
            </w:tcMar>
            <w:vAlign w:val="center"/>
          </w:tcPr>
          <w:p>
            <w:pPr>
              <w:pStyle w:val="TableContents"/>
              <w:spacing w:before="0" w:after="283"/>
              <w:rPr/>
            </w:pPr>
            <w:r>
              <w:rPr/>
              <w:t> </w:t>
            </w:r>
          </w:p>
        </w:tc>
        <w:tc>
          <w:tcPr>
            <w:tcW w:w="120" w:type="dxa"/>
            <w:tcBorders>
              <w:bottom w:val="single" w:sz="8" w:space="0" w:color="732282"/>
            </w:tcBorders>
            <w:shd w:fill="auto" w:val="clear"/>
            <w:tcMar>
              <w:bottom w:w="28" w:type="dxa"/>
            </w:tcMar>
            <w:vAlign w:val="center"/>
          </w:tcPr>
          <w:p>
            <w:pPr>
              <w:pStyle w:val="TableContents"/>
              <w:spacing w:before="0" w:after="283"/>
              <w:rPr/>
            </w:pPr>
            <w:r>
              <w:rPr/>
              <w:t>  </w:t>
            </w:r>
          </w:p>
        </w:tc>
        <w:tc>
          <w:tcPr>
            <w:tcW w:w="1160" w:type="dxa"/>
            <w:gridSpan w:val="2"/>
            <w:tcBorders>
              <w:bottom w:val="single" w:sz="8" w:space="0" w:color="732282"/>
            </w:tcBorders>
            <w:shd w:fill="auto" w:val="clear"/>
            <w:tcMar>
              <w:bottom w:w="28" w:type="dxa"/>
            </w:tcMar>
            <w:vAlign w:val="center"/>
          </w:tcPr>
          <w:p>
            <w:pPr>
              <w:pStyle w:val="TableContents"/>
              <w:spacing w:before="0" w:after="283"/>
              <w:jc w:val="right"/>
              <w:rPr>
                <w:b/>
                <w:color w:val="732282"/>
              </w:rPr>
            </w:pPr>
            <w:r>
              <w:rPr>
                <w:b/>
                <w:color w:val="732282"/>
              </w:rPr>
              <w:t>2022 Base</w:t>
              <w:br/>
              <w:t>Salary</w:t>
            </w:r>
          </w:p>
        </w:tc>
        <w:tc>
          <w:tcPr>
            <w:tcW w:w="75" w:type="dxa"/>
            <w:tcBorders>
              <w:bottom w:val="single" w:sz="8" w:space="0" w:color="732282"/>
            </w:tcBorders>
            <w:shd w:fill="auto" w:val="clear"/>
            <w:tcMar>
              <w:bottom w:w="28" w:type="dxa"/>
            </w:tcMar>
            <w:vAlign w:val="center"/>
          </w:tcPr>
          <w:p>
            <w:pPr>
              <w:pStyle w:val="TableContents"/>
              <w:spacing w:before="0" w:after="283"/>
              <w:rPr/>
            </w:pPr>
            <w:r>
              <w:rPr/>
              <w:t> </w:t>
            </w:r>
          </w:p>
        </w:tc>
      </w:tr>
      <w:tr>
        <w:trPr/>
        <w:tc>
          <w:tcPr>
            <w:tcW w:w="1430" w:type="dxa"/>
            <w:tcBorders/>
            <w:shd w:fill="E5E5E5" w:val="clear"/>
            <w:vAlign w:val="center"/>
          </w:tcPr>
          <w:p>
            <w:pPr>
              <w:pStyle w:val="TableContents"/>
              <w:spacing w:before="0" w:after="0"/>
              <w:rPr>
                <w:rFonts w:ascii="arial" w:hAnsi="arial"/>
                <w:b/>
                <w:sz w:val="18"/>
              </w:rPr>
            </w:pPr>
            <w:r>
              <w:rPr>
                <w:rFonts w:ascii="arial" w:hAnsi="arial"/>
                <w:b/>
                <w:sz w:val="18"/>
              </w:rPr>
              <w:t>Michael Goettler</w:t>
            </w:r>
          </w:p>
        </w:tc>
        <w:tc>
          <w:tcPr>
            <w:tcW w:w="12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1100" w:type="dxa"/>
            <w:tcBorders/>
            <w:shd w:fill="E5E5E5" w:val="clear"/>
            <w:vAlign w:val="center"/>
          </w:tcPr>
          <w:p>
            <w:pPr>
              <w:pStyle w:val="TableContents"/>
              <w:spacing w:before="0" w:after="283"/>
              <w:jc w:val="right"/>
              <w:rPr/>
            </w:pPr>
            <w:r>
              <w:rPr/>
              <w:t>$1,300,000</w:t>
            </w:r>
          </w:p>
        </w:tc>
        <w:tc>
          <w:tcPr>
            <w:tcW w:w="60" w:type="dxa"/>
            <w:tcBorders/>
            <w:shd w:fill="E5E5E5" w:val="clear"/>
            <w:vAlign w:val="center"/>
          </w:tcPr>
          <w:p>
            <w:pPr>
              <w:pStyle w:val="TableContents"/>
              <w:spacing w:before="0" w:after="283"/>
              <w:rPr/>
            </w:pPr>
            <w:r>
              <w:rPr/>
              <w:t> </w:t>
            </w:r>
          </w:p>
        </w:tc>
        <w:tc>
          <w:tcPr>
            <w:tcW w:w="12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1100" w:type="dxa"/>
            <w:tcBorders/>
            <w:shd w:fill="E5E5E5" w:val="clear"/>
            <w:vAlign w:val="center"/>
          </w:tcPr>
          <w:p>
            <w:pPr>
              <w:pStyle w:val="TableContents"/>
              <w:spacing w:before="0" w:after="283"/>
              <w:jc w:val="right"/>
              <w:rPr/>
            </w:pPr>
            <w:r>
              <w:rPr/>
              <w:t>$1,300,000</w:t>
            </w:r>
          </w:p>
        </w:tc>
        <w:tc>
          <w:tcPr>
            <w:tcW w:w="75" w:type="dxa"/>
            <w:tcBorders/>
            <w:shd w:fill="E5E5E5" w:val="clear"/>
            <w:vAlign w:val="center"/>
          </w:tcPr>
          <w:p>
            <w:pPr>
              <w:pStyle w:val="TableContents"/>
              <w:spacing w:before="0" w:after="283"/>
              <w:rPr/>
            </w:pPr>
            <w:r>
              <w:rPr/>
              <w:t> </w:t>
            </w:r>
          </w:p>
        </w:tc>
      </w:tr>
      <w:tr>
        <w:trPr/>
        <w:tc>
          <w:tcPr>
            <w:tcW w:w="1430" w:type="dxa"/>
            <w:tcBorders/>
            <w:shd w:fill="auto" w:val="clear"/>
            <w:vAlign w:val="center"/>
          </w:tcPr>
          <w:p>
            <w:pPr>
              <w:pStyle w:val="TableContents"/>
              <w:spacing w:before="0" w:after="0"/>
              <w:rPr>
                <w:rFonts w:ascii="arial" w:hAnsi="arial"/>
                <w:b/>
                <w:sz w:val="18"/>
              </w:rPr>
            </w:pPr>
            <w:r>
              <w:rPr>
                <w:rFonts w:ascii="arial" w:hAnsi="arial"/>
                <w:b/>
                <w:sz w:val="18"/>
              </w:rPr>
              <w:t>Rajiv Malik</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$1,200,000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$1,200,000</w:t>
            </w:r>
          </w:p>
        </w:tc>
        <w:tc>
          <w:tcPr>
            <w:tcW w:w="75" w:type="dxa"/>
            <w:tcBorders/>
            <w:shd w:fill="auto" w:val="clear"/>
            <w:vAlign w:val="center"/>
          </w:tcPr>
          <w:p>
            <w:pPr>
              <w:pStyle w:val="TableContents"/>
              <w:spacing w:before="0" w:after="283"/>
              <w:rPr/>
            </w:pPr>
            <w:r>
              <w:rPr/>
              <w:t> </w:t>
            </w:r>
          </w:p>
        </w:tc>
      </w:tr>
      <w:tr>
        <w:trPr/>
        <w:tc>
          <w:tcPr>
            <w:tcW w:w="1430" w:type="dxa"/>
            <w:tcBorders/>
            <w:shd w:fill="E5E5E5" w:val="clear"/>
            <w:vAlign w:val="center"/>
          </w:tcPr>
          <w:p>
            <w:pPr>
              <w:pStyle w:val="TableContents"/>
              <w:spacing w:before="0" w:after="0"/>
              <w:rPr>
                <w:rFonts w:ascii="arial" w:hAnsi="arial"/>
                <w:b/>
                <w:sz w:val="18"/>
              </w:rPr>
            </w:pPr>
            <w:r>
              <w:rPr>
                <w:rFonts w:ascii="arial" w:hAnsi="arial"/>
                <w:b/>
                <w:sz w:val="18"/>
              </w:rPr>
              <w:t>Sanjeev Narula</w:t>
            </w:r>
          </w:p>
        </w:tc>
        <w:tc>
          <w:tcPr>
            <w:tcW w:w="12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1100" w:type="dxa"/>
            <w:tcBorders/>
            <w:shd w:fill="E5E5E5" w:val="clear"/>
            <w:vAlign w:val="center"/>
          </w:tcPr>
          <w:p>
            <w:pPr>
              <w:pStyle w:val="TableContents"/>
              <w:spacing w:before="0" w:after="283"/>
              <w:jc w:val="right"/>
              <w:rPr/>
            </w:pPr>
            <w:r>
              <w:rPr/>
              <w:t>$800,000</w:t>
            </w:r>
          </w:p>
        </w:tc>
        <w:tc>
          <w:tcPr>
            <w:tcW w:w="60" w:type="dxa"/>
            <w:tcBorders/>
            <w:shd w:fill="E5E5E5" w:val="clear"/>
            <w:vAlign w:val="center"/>
          </w:tcPr>
          <w:p>
            <w:pPr>
              <w:pStyle w:val="TableContents"/>
              <w:spacing w:before="0" w:after="283"/>
              <w:rPr/>
            </w:pPr>
            <w:r>
              <w:rPr/>
              <w:t> </w:t>
            </w:r>
          </w:p>
        </w:tc>
        <w:tc>
          <w:tcPr>
            <w:tcW w:w="12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1100" w:type="dxa"/>
            <w:tcBorders/>
            <w:shd w:fill="E5E5E5" w:val="clear"/>
            <w:vAlign w:val="center"/>
          </w:tcPr>
          <w:p>
            <w:pPr>
              <w:pStyle w:val="TableContents"/>
              <w:spacing w:before="0" w:after="283"/>
              <w:jc w:val="right"/>
              <w:rPr/>
            </w:pPr>
            <w:r>
              <w:rPr/>
              <w:t>$850,000</w:t>
            </w:r>
          </w:p>
        </w:tc>
        <w:tc>
          <w:tcPr>
            <w:tcW w:w="75" w:type="dxa"/>
            <w:tcBorders/>
            <w:shd w:fill="E5E5E5" w:val="clear"/>
            <w:vAlign w:val="center"/>
          </w:tcPr>
          <w:p>
            <w:pPr>
              <w:pStyle w:val="TableContents"/>
              <w:spacing w:before="0" w:after="283"/>
              <w:rPr/>
            </w:pPr>
            <w:r>
              <w:rPr/>
              <w:t> </w:t>
            </w:r>
          </w:p>
        </w:tc>
      </w:tr>
      <w:tr>
        <w:trPr/>
        <w:tc>
          <w:tcPr>
            <w:tcW w:w="1430" w:type="dxa"/>
            <w:tcBorders/>
            <w:shd w:fill="auto" w:val="clear"/>
            <w:vAlign w:val="center"/>
          </w:tcPr>
          <w:p>
            <w:pPr>
              <w:pStyle w:val="TableContents"/>
              <w:spacing w:before="0" w:after="0"/>
              <w:rPr>
                <w:rFonts w:ascii="arial" w:hAnsi="arial"/>
                <w:b/>
                <w:sz w:val="18"/>
              </w:rPr>
            </w:pPr>
            <w:r>
              <w:rPr>
                <w:rFonts w:ascii="arial" w:hAnsi="arial"/>
                <w:b/>
                <w:sz w:val="18"/>
              </w:rPr>
              <w:t>Anthony Mauro</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$800,000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$800,000</w:t>
            </w:r>
          </w:p>
        </w:tc>
        <w:tc>
          <w:tcPr>
            <w:tcW w:w="75" w:type="dxa"/>
            <w:tcBorders/>
            <w:shd w:fill="auto" w:val="clear"/>
            <w:vAlign w:val="center"/>
          </w:tcPr>
          <w:p>
            <w:pPr>
              <w:pStyle w:val="TableContents"/>
              <w:spacing w:before="0" w:after="283"/>
              <w:rPr/>
            </w:pPr>
            <w:r>
              <w:rPr/>
              <w:t> </w:t>
            </w:r>
          </w:p>
        </w:tc>
      </w:tr>
      <w:tr>
        <w:trPr/>
        <w:tc>
          <w:tcPr>
            <w:tcW w:w="1430" w:type="dxa"/>
            <w:tcBorders>
              <w:bottom w:val="single" w:sz="6" w:space="0" w:color="732282"/>
            </w:tcBorders>
            <w:shd w:fill="E5E5E5" w:val="clear"/>
            <w:tcMar>
              <w:bottom w:w="28" w:type="dxa"/>
            </w:tcMar>
            <w:vAlign w:val="center"/>
          </w:tcPr>
          <w:p>
            <w:pPr>
              <w:pStyle w:val="TableContents"/>
              <w:spacing w:before="0" w:after="0"/>
              <w:rPr>
                <w:rFonts w:ascii="arial" w:hAnsi="arial"/>
                <w:b/>
                <w:sz w:val="18"/>
              </w:rPr>
            </w:pPr>
            <w:r>
              <w:rPr>
                <w:rFonts w:ascii="arial" w:hAnsi="arial"/>
                <w:b/>
                <w:sz w:val="18"/>
              </w:rPr>
              <w:t>Robert J. Coury</w:t>
            </w:r>
          </w:p>
        </w:tc>
        <w:tc>
          <w:tcPr>
            <w:tcW w:w="120" w:type="dxa"/>
            <w:tcBorders>
              <w:bottom w:val="single" w:sz="6" w:space="0" w:color="732282"/>
            </w:tcBorders>
            <w:shd w:fill="E5E5E5" w:val="clear"/>
            <w:tcMar>
              <w:bottom w:w="28" w:type="dxa"/>
            </w:tcMar>
            <w:vAlign w:val="center"/>
          </w:tcPr>
          <w:p>
            <w:pPr>
              <w:pStyle w:val="TableContents"/>
              <w:spacing w:before="0" w:after="283"/>
              <w:rPr/>
            </w:pPr>
            <w:r>
              <w:rPr/>
              <w:t>  </w:t>
            </w:r>
          </w:p>
        </w:tc>
        <w:tc>
          <w:tcPr>
            <w:tcW w:w="60" w:type="dxa"/>
            <w:tcBorders>
              <w:bottom w:val="single" w:sz="6" w:space="0" w:color="732282"/>
            </w:tcBorders>
            <w:shd w:fill="E5E5E5" w:val="clear"/>
            <w:tcMar>
              <w:bottom w:w="28" w:type="dxa"/>
            </w:tcMar>
            <w:vAlign w:val="center"/>
          </w:tcPr>
          <w:p>
            <w:pPr>
              <w:pStyle w:val="TableContents"/>
              <w:spacing w:before="0" w:after="283"/>
              <w:rPr/>
            </w:pPr>
            <w:r>
              <w:rPr/>
              <w:t> </w:t>
            </w:r>
          </w:p>
        </w:tc>
        <w:tc>
          <w:tcPr>
            <w:tcW w:w="1100" w:type="dxa"/>
            <w:tcBorders>
              <w:bottom w:val="single" w:sz="6" w:space="0" w:color="732282"/>
            </w:tcBorders>
            <w:shd w:fill="E5E5E5" w:val="clear"/>
            <w:tcMar>
              <w:bottom w:w="28" w:type="dxa"/>
            </w:tcMar>
            <w:vAlign w:val="center"/>
          </w:tcPr>
          <w:p>
            <w:pPr>
              <w:pStyle w:val="TableContents"/>
              <w:spacing w:before="0" w:after="283"/>
              <w:jc w:val="right"/>
              <w:rPr/>
            </w:pPr>
            <w:r>
              <w:rPr/>
              <w:t>$1,800,000</w:t>
            </w:r>
          </w:p>
        </w:tc>
        <w:tc>
          <w:tcPr>
            <w:tcW w:w="60" w:type="dxa"/>
            <w:tcBorders>
              <w:bottom w:val="single" w:sz="6" w:space="0" w:color="732282"/>
            </w:tcBorders>
            <w:shd w:fill="E5E5E5" w:val="clear"/>
            <w:tcMar>
              <w:bottom w:w="28" w:type="dxa"/>
            </w:tcMar>
            <w:vAlign w:val="center"/>
          </w:tcPr>
          <w:p>
            <w:pPr>
              <w:pStyle w:val="TableContents"/>
              <w:spacing w:before="0" w:after="283"/>
              <w:rPr/>
            </w:pPr>
            <w:r>
              <w:rPr/>
              <w:t> </w:t>
            </w:r>
          </w:p>
        </w:tc>
        <w:tc>
          <w:tcPr>
            <w:tcW w:w="120" w:type="dxa"/>
            <w:tcBorders>
              <w:bottom w:val="single" w:sz="6" w:space="0" w:color="732282"/>
            </w:tcBorders>
            <w:shd w:fill="E5E5E5" w:val="clear"/>
            <w:tcMar>
              <w:bottom w:w="28" w:type="dxa"/>
            </w:tcMar>
            <w:vAlign w:val="center"/>
          </w:tcPr>
          <w:p>
            <w:pPr>
              <w:pStyle w:val="TableContents"/>
              <w:spacing w:before="0" w:after="283"/>
              <w:rPr/>
            </w:pPr>
            <w:r>
              <w:rPr/>
              <w:t>  </w:t>
            </w:r>
          </w:p>
        </w:tc>
        <w:tc>
          <w:tcPr>
            <w:tcW w:w="60" w:type="dxa"/>
            <w:tcBorders>
              <w:bottom w:val="single" w:sz="6" w:space="0" w:color="732282"/>
            </w:tcBorders>
            <w:shd w:fill="E5E5E5" w:val="clear"/>
            <w:tcMar>
              <w:bottom w:w="28" w:type="dxa"/>
            </w:tcMar>
            <w:vAlign w:val="center"/>
          </w:tcPr>
          <w:p>
            <w:pPr>
              <w:pStyle w:val="TableContents"/>
              <w:spacing w:before="0" w:after="283"/>
              <w:rPr/>
            </w:pPr>
            <w:r>
              <w:rPr/>
              <w:t> </w:t>
            </w:r>
          </w:p>
        </w:tc>
        <w:tc>
          <w:tcPr>
            <w:tcW w:w="1100" w:type="dxa"/>
            <w:tcBorders>
              <w:bottom w:val="single" w:sz="6" w:space="0" w:color="732282"/>
            </w:tcBorders>
            <w:shd w:fill="E5E5E5" w:val="clear"/>
            <w:tcMar>
              <w:bottom w:w="28" w:type="dxa"/>
            </w:tcMar>
            <w:vAlign w:val="center"/>
          </w:tcPr>
          <w:p>
            <w:pPr>
              <w:pStyle w:val="TableContents"/>
              <w:spacing w:before="0" w:after="283"/>
              <w:jc w:val="right"/>
              <w:rPr/>
            </w:pPr>
            <w:r>
              <w:rPr/>
              <w:t>$1,800,000</w:t>
            </w:r>
          </w:p>
        </w:tc>
        <w:tc>
          <w:tcPr>
            <w:tcW w:w="75" w:type="dxa"/>
            <w:tcBorders>
              <w:bottom w:val="single" w:sz="6" w:space="0" w:color="732282"/>
            </w:tcBorders>
            <w:shd w:fill="E5E5E5" w:val="clear"/>
            <w:tcMar>
              <w:bottom w:w="28" w:type="dxa"/>
            </w:tcMar>
            <w:vAlign w:val="center"/>
          </w:tcPr>
          <w:p>
            <w:pPr>
              <w:pStyle w:val="TableContents"/>
              <w:spacing w:before="0" w:after="283"/>
              <w:rPr/>
            </w:pPr>
            <w:r>
              <w:rPr/>
              <w:t> </w:t>
            </w:r>
          </w:p>
        </w:tc>
      </w:tr>
    </w:tbl>
    <w:p>
      <w:pPr>
        <w:pStyle w:val="TextBody"/>
        <w:spacing w:before="240" w:after="0"/>
        <w:jc w:val="left"/>
        <w:rPr>
          <w:rFonts w:ascii="arial" w:hAnsi="arial"/>
          <w:b/>
          <w:sz w:val="20"/>
        </w:rPr>
      </w:pPr>
      <w:r>
        <w:rPr>
          <w:rFonts w:ascii="arial" w:hAnsi="arial"/>
          <w:b/>
          <w:sz w:val="20"/>
        </w:rPr>
        <w:t xml:space="preserve">2022 Annual Incentive Compensation Program </w:t>
      </w:r>
    </w:p>
    <w:p>
      <w:pPr>
        <w:pStyle w:val="TextBody"/>
        <w:spacing w:before="120" w:after="0"/>
        <w:jc w:val="both"/>
        <w:rPr>
          <w:rFonts w:ascii="arial" w:hAnsi="arial"/>
          <w:b/>
          <w:i/>
          <w:sz w:val="20"/>
        </w:rPr>
      </w:pPr>
      <w:r>
        <w:rPr>
          <w:rFonts w:ascii="arial" w:hAnsi="arial"/>
          <w:b/>
          <w:i/>
          <w:sz w:val="20"/>
        </w:rPr>
        <w:t xml:space="preserve">Annual Incentive Compensation Awards for 2022 </w:t>
      </w:r>
    </w:p>
    <w:p>
      <w:pPr>
        <w:pStyle w:val="TextBody"/>
        <w:spacing w:before="120" w:after="0"/>
        <w:jc w:val="both"/>
        <w:rPr>
          <w:rFonts w:ascii="arial" w:hAnsi="arial"/>
          <w:sz w:val="18"/>
        </w:rPr>
      </w:pPr>
      <w:r>
        <w:rPr>
          <w:rFonts w:ascii="arial" w:hAnsi="arial"/>
          <w:sz w:val="18"/>
        </w:rPr>
        <w:t xml:space="preserve">Viatris’ annual incentive compensation consists of performance-based annual cash awards that are subject to achievement of metrics that were identified by the Board and Compensation Committee as critical to the successful execution of Viatris’ business strategy and aligned with the continued creation of shareholder value. The metrics are specifically related to the actions and leadership of our executive team and measure their ability to generate shareholder returns, both in the short- and long-term. The Compensation Committee approved annual incentive award grants and corresponding performance targets in the first quarter of 2022. </w:t>
      </w:r>
    </w:p>
    <w:p>
      <w:pPr>
        <w:pStyle w:val="TextBody"/>
        <w:spacing w:before="240" w:after="0"/>
        <w:jc w:val="both"/>
        <w:rPr>
          <w:rFonts w:ascii="arial" w:hAnsi="arial"/>
          <w:sz w:val="18"/>
        </w:rPr>
      </w:pPr>
      <w:r>
        <w:rPr>
          <w:rFonts w:ascii="arial" w:hAnsi="arial"/>
          <w:sz w:val="18"/>
        </w:rPr>
        <w:t xml:space="preserve">The Compensation Committee identified the following metrics as important measures of Company performance relating to its stated strategy: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arial" w:hAnsi="arial"/>
                <w:sz w:val="18"/>
              </w:rPr>
            </w:pPr>
            <w:r>
              <w:rPr>
                <w:rFonts w:ascii="arial" w:hAnsi="arial"/>
                <w:b/>
                <w:color w:val="732282"/>
                <w:sz w:val="18"/>
              </w:rPr>
              <w:t xml:space="preserve">Adjusted EBITDA (40% Weighting): </w:t>
            </w:r>
            <w:r>
              <w:rPr>
                <w:rFonts w:ascii="arial" w:hAnsi="arial"/>
                <w:sz w:val="18"/>
              </w:rPr>
              <w:t xml:space="preserve">Measures the Company’s profitability and motivates the organization to focus on commercial execution and driving new product revenue, maintaining efficiency of our operations, capturing synergies, and disciplined expense management.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arial" w:hAnsi="arial"/>
                <w:sz w:val="18"/>
              </w:rPr>
            </w:pPr>
            <w:r>
              <w:rPr>
                <w:rFonts w:ascii="arial" w:hAnsi="arial"/>
                <w:b/>
                <w:color w:val="732282"/>
                <w:sz w:val="18"/>
              </w:rPr>
              <w:t xml:space="preserve">Free Cash Flow (40% Weighting): </w:t>
            </w:r>
            <w:r>
              <w:rPr>
                <w:rFonts w:ascii="arial" w:hAnsi="arial"/>
                <w:sz w:val="18"/>
              </w:rPr>
              <w:t xml:space="preserve">Creates organizational emphasis and focus on cash through improved cash flow conversion, optimized working capital, and overall cash generation which can increase the return to shareholders.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arial" w:hAnsi="arial"/>
                <w:sz w:val="18"/>
              </w:rPr>
            </w:pPr>
            <w:r>
              <w:rPr>
                <w:rFonts w:ascii="arial" w:hAnsi="arial"/>
                <w:b/>
                <w:color w:val="732282"/>
                <w:sz w:val="18"/>
              </w:rPr>
              <w:t xml:space="preserve">Global Regulatory Submissions (20% Weighting): </w:t>
            </w:r>
            <w:r>
              <w:rPr>
                <w:rFonts w:ascii="arial" w:hAnsi="arial"/>
                <w:sz w:val="18"/>
              </w:rPr>
              <w:t xml:space="preserve">Emphasizes the importance of developing a robust pipeline of molecules that Viatris could manufacture and sell over subsequent years. A robust product pipeline can help Viatris move its products up the value chain and also support sustainability while serving Viatris’ mission of providing access to high quality, affordable medications. In addition, we view this metric as a stepping stone to implementing ESG/sustainability metrics in the future. </w:t>
            </w:r>
          </w:p>
        </w:tc>
      </w:tr>
    </w:tbl>
    <w:p>
      <w:pPr>
        <w:pStyle w:val="TextBody"/>
        <w:spacing w:before="240" w:after="0"/>
        <w:jc w:val="both"/>
        <w:rPr>
          <w:rFonts w:ascii="arial" w:hAnsi="arial"/>
          <w:sz w:val="18"/>
        </w:rPr>
      </w:pPr>
      <w:r>
        <w:rPr>
          <w:rFonts w:ascii="arial" w:hAnsi="arial"/>
          <w:sz w:val="18"/>
        </w:rPr>
        <w:t xml:space="preserve">The setting of annual incentive targets reflected the Company’s expectations regarding incremental research and development expense, incremental cost inflation and expectations regarding exchange rates. Incremental investments were intended to support long-term value creation for shareholders and other stakeholders by, among other things, furthering Viatris’ efforts to move its portfolio and pipeline up the value chain. The Compensation Committee recognized these expectations together would be expected to reduce the adjusted EBITDA compensation metric in 2022. </w:t>
      </w:r>
    </w:p>
    <w:p>
      <w:pPr>
        <w:pStyle w:val="TextBody"/>
        <w:spacing w:before="240" w:after="0"/>
        <w:jc w:val="both"/>
        <w:rPr>
          <w:rFonts w:ascii="arial" w:hAnsi="arial"/>
          <w:sz w:val="18"/>
        </w:rPr>
      </w:pPr>
      <w:r>
        <w:rPr>
          <w:rFonts w:ascii="arial" w:hAnsi="arial"/>
          <w:sz w:val="18"/>
        </w:rPr>
        <w:t xml:space="preserve">In addition, an increase in the number of global regulatory submissions was not expected due in part to a continued emphasis on more challenging specialty and complex generic products and Viatris’ focus on submission of products expected to generate greater economic profit.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29 </w:t>
      </w:r>
      <w:r>
        <w:br w:type="page"/>
      </w:r>
    </w:p>
    <w:p>
      <w:pPr>
        <w:pStyle w:val="HorizontalLine"/>
        <w:rPr/>
      </w:pPr>
      <w:r>
        <w:rPr/>
      </w:r>
    </w:p>
    <w:p>
      <w:pPr>
        <w:pStyle w:val="TextBody"/>
        <w:spacing w:before="0" w:after="0"/>
        <w:jc w:val="both"/>
        <w:rPr>
          <w:rFonts w:ascii="arial" w:hAnsi="arial"/>
          <w:sz w:val="18"/>
        </w:rPr>
      </w:pPr>
      <w:r>
        <w:rPr>
          <w:rFonts w:ascii="arial" w:hAnsi="arial"/>
          <w:sz w:val="18"/>
        </w:rPr>
        <w:t xml:space="preserve">Individual annual incentive payout targets were established for each NEO, expressed as a percentage of base salary, as noted in the table below. Actual payouts could range from 0% to 200% of each NEO’s annual incentive target based on achievement of performance goals. </w:t>
      </w:r>
    </w:p>
    <w:p>
      <w:pPr>
        <w:pStyle w:val="TextBody"/>
        <w:spacing w:before="0" w:after="0"/>
        <w:jc w:val="left"/>
        <w:rPr/>
      </w:pPr>
      <w:r>
        <w:rPr/>
        <w:t> </w:t>
      </w:r>
    </w:p>
    <w:tbl>
      <w:tblPr>
        <w:tblW w:w="4474" w:type="dxa"/>
        <w:jc w:val="left"/>
        <w:tblInd w:w="0" w:type="dxa"/>
        <w:tblCellMar>
          <w:top w:w="0" w:type="dxa"/>
          <w:left w:w="0" w:type="dxa"/>
          <w:bottom w:w="0" w:type="dxa"/>
          <w:right w:w="0" w:type="dxa"/>
        </w:tblCellMar>
      </w:tblPr>
      <w:tblGrid>
        <w:gridCol w:w="1430"/>
        <w:gridCol w:w="120"/>
        <w:gridCol w:w="176"/>
        <w:gridCol w:w="1118"/>
        <w:gridCol w:w="275"/>
        <w:gridCol w:w="120"/>
        <w:gridCol w:w="60"/>
        <w:gridCol w:w="1100"/>
        <w:gridCol w:w="75"/>
      </w:tblGrid>
      <w:tr>
        <w:trPr/>
        <w:tc>
          <w:tcPr>
            <w:tcW w:w="14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430" w:type="dxa"/>
            <w:tcBorders>
              <w:bottom w:val="single" w:sz="8" w:space="0" w:color="732282"/>
            </w:tcBorders>
            <w:shd w:fill="auto" w:val="clear"/>
            <w:tcMar>
              <w:bottom w:w="28" w:type="dxa"/>
            </w:tcMar>
            <w:vAlign w:val="center"/>
          </w:tcPr>
          <w:p>
            <w:pPr>
              <w:pStyle w:val="TableContents"/>
              <w:spacing w:before="0" w:after="0"/>
              <w:rPr>
                <w:rFonts w:ascii="arial" w:hAnsi="arial"/>
                <w:b/>
                <w:color w:val="732282"/>
                <w:sz w:val="16"/>
              </w:rPr>
            </w:pPr>
            <w:r>
              <w:rPr>
                <w:rFonts w:ascii="arial" w:hAnsi="arial"/>
                <w:b/>
                <w:color w:val="732282"/>
                <w:sz w:val="16"/>
              </w:rPr>
              <w:t>NEO</w:t>
            </w:r>
          </w:p>
        </w:tc>
        <w:tc>
          <w:tcPr>
            <w:tcW w:w="120" w:type="dxa"/>
            <w:tcBorders>
              <w:bottom w:val="single" w:sz="8" w:space="0" w:color="732282"/>
            </w:tcBorders>
            <w:shd w:fill="auto" w:val="clear"/>
            <w:tcMar>
              <w:bottom w:w="28" w:type="dxa"/>
            </w:tcMar>
            <w:vAlign w:val="center"/>
          </w:tcPr>
          <w:p>
            <w:pPr>
              <w:pStyle w:val="TableContents"/>
              <w:spacing w:before="0" w:after="283"/>
              <w:rPr/>
            </w:pPr>
            <w:r>
              <w:rPr/>
              <w:t>  </w:t>
            </w:r>
          </w:p>
        </w:tc>
        <w:tc>
          <w:tcPr>
            <w:tcW w:w="1294" w:type="dxa"/>
            <w:gridSpan w:val="2"/>
            <w:tcBorders>
              <w:bottom w:val="single" w:sz="8" w:space="0" w:color="732282"/>
            </w:tcBorders>
            <w:shd w:fill="auto" w:val="clear"/>
            <w:tcMar>
              <w:bottom w:w="28" w:type="dxa"/>
            </w:tcMar>
            <w:vAlign w:val="center"/>
          </w:tcPr>
          <w:p>
            <w:pPr>
              <w:pStyle w:val="TableContents"/>
              <w:spacing w:before="0" w:after="283"/>
              <w:jc w:val="right"/>
              <w:rPr>
                <w:b/>
                <w:color w:val="732282"/>
              </w:rPr>
            </w:pPr>
            <w:r>
              <w:rPr>
                <w:b/>
                <w:color w:val="732282"/>
              </w:rPr>
              <w:t>Target</w:t>
              <w:br/>
              <w:t>(as % of</w:t>
              <w:br/>
              <w:t>Base Salary)</w:t>
            </w:r>
          </w:p>
        </w:tc>
        <w:tc>
          <w:tcPr>
            <w:tcW w:w="275" w:type="dxa"/>
            <w:tcBorders>
              <w:bottom w:val="single" w:sz="8" w:space="0" w:color="732282"/>
            </w:tcBorders>
            <w:shd w:fill="auto" w:val="clear"/>
            <w:tcMar>
              <w:bottom w:w="28" w:type="dxa"/>
            </w:tcMar>
            <w:vAlign w:val="center"/>
          </w:tcPr>
          <w:p>
            <w:pPr>
              <w:pStyle w:val="TableContents"/>
              <w:spacing w:before="0" w:after="283"/>
              <w:rPr/>
            </w:pPr>
            <w:r>
              <w:rPr/>
              <w:t> </w:t>
            </w:r>
          </w:p>
        </w:tc>
        <w:tc>
          <w:tcPr>
            <w:tcW w:w="120" w:type="dxa"/>
            <w:tcBorders>
              <w:bottom w:val="single" w:sz="8" w:space="0" w:color="732282"/>
            </w:tcBorders>
            <w:shd w:fill="auto" w:val="clear"/>
            <w:tcMar>
              <w:bottom w:w="28" w:type="dxa"/>
            </w:tcMar>
            <w:vAlign w:val="center"/>
          </w:tcPr>
          <w:p>
            <w:pPr>
              <w:pStyle w:val="TableContents"/>
              <w:spacing w:before="0" w:after="283"/>
              <w:rPr/>
            </w:pPr>
            <w:r>
              <w:rPr/>
              <w:t>  </w:t>
            </w:r>
          </w:p>
        </w:tc>
        <w:tc>
          <w:tcPr>
            <w:tcW w:w="1160" w:type="dxa"/>
            <w:gridSpan w:val="2"/>
            <w:tcBorders>
              <w:bottom w:val="single" w:sz="8" w:space="0" w:color="732282"/>
            </w:tcBorders>
            <w:shd w:fill="auto" w:val="clear"/>
            <w:tcMar>
              <w:bottom w:w="28" w:type="dxa"/>
            </w:tcMar>
            <w:vAlign w:val="center"/>
          </w:tcPr>
          <w:p>
            <w:pPr>
              <w:pStyle w:val="TableContents"/>
              <w:spacing w:before="0" w:after="283"/>
              <w:jc w:val="right"/>
              <w:rPr>
                <w:b/>
                <w:color w:val="732282"/>
              </w:rPr>
            </w:pPr>
            <w:r>
              <w:rPr>
                <w:b/>
                <w:color w:val="732282"/>
              </w:rPr>
              <w:t>Annual</w:t>
              <w:br/>
              <w:t>Incentive</w:t>
              <w:br/>
              <w:t>Target</w:t>
            </w:r>
          </w:p>
        </w:tc>
        <w:tc>
          <w:tcPr>
            <w:tcW w:w="75" w:type="dxa"/>
            <w:tcBorders>
              <w:bottom w:val="single" w:sz="8" w:space="0" w:color="732282"/>
            </w:tcBorders>
            <w:shd w:fill="auto" w:val="clear"/>
            <w:tcMar>
              <w:bottom w:w="28" w:type="dxa"/>
            </w:tcMar>
            <w:vAlign w:val="center"/>
          </w:tcPr>
          <w:p>
            <w:pPr>
              <w:pStyle w:val="TableContents"/>
              <w:spacing w:before="0" w:after="283"/>
              <w:rPr/>
            </w:pPr>
            <w:r>
              <w:rPr/>
              <w:t> </w:t>
            </w:r>
          </w:p>
        </w:tc>
      </w:tr>
      <w:tr>
        <w:trPr/>
        <w:tc>
          <w:tcPr>
            <w:tcW w:w="1430" w:type="dxa"/>
            <w:tcBorders/>
            <w:shd w:fill="E5E5E5" w:val="clear"/>
            <w:vAlign w:val="center"/>
          </w:tcPr>
          <w:p>
            <w:pPr>
              <w:pStyle w:val="TableContents"/>
              <w:spacing w:before="0" w:after="0"/>
              <w:rPr>
                <w:rFonts w:ascii="arial" w:hAnsi="arial"/>
                <w:b/>
                <w:sz w:val="18"/>
              </w:rPr>
            </w:pPr>
            <w:r>
              <w:rPr>
                <w:rFonts w:ascii="arial" w:hAnsi="arial"/>
                <w:b/>
                <w:sz w:val="18"/>
              </w:rPr>
              <w:t>Michael Goettler</w:t>
            </w:r>
          </w:p>
        </w:tc>
        <w:tc>
          <w:tcPr>
            <w:tcW w:w="120" w:type="dxa"/>
            <w:tcBorders/>
            <w:shd w:fill="E5E5E5" w:val="clear"/>
            <w:vAlign w:val="center"/>
          </w:tcPr>
          <w:p>
            <w:pPr>
              <w:pStyle w:val="TableContents"/>
              <w:spacing w:before="0" w:after="283"/>
              <w:rPr/>
            </w:pPr>
            <w:r>
              <w:rPr/>
              <w:t>  </w:t>
            </w:r>
          </w:p>
        </w:tc>
        <w:tc>
          <w:tcPr>
            <w:tcW w:w="176" w:type="dxa"/>
            <w:tcBorders/>
            <w:shd w:fill="E5E5E5" w:val="clear"/>
            <w:vAlign w:val="center"/>
          </w:tcPr>
          <w:p>
            <w:pPr>
              <w:pStyle w:val="TableContents"/>
              <w:spacing w:before="0" w:after="283"/>
              <w:rPr/>
            </w:pPr>
            <w:r>
              <w:rPr/>
              <w:t> </w:t>
            </w:r>
          </w:p>
        </w:tc>
        <w:tc>
          <w:tcPr>
            <w:tcW w:w="1118" w:type="dxa"/>
            <w:tcBorders/>
            <w:shd w:fill="E5E5E5" w:val="clear"/>
            <w:vAlign w:val="center"/>
          </w:tcPr>
          <w:p>
            <w:pPr>
              <w:pStyle w:val="TableContents"/>
              <w:spacing w:before="0" w:after="283"/>
              <w:jc w:val="right"/>
              <w:rPr/>
            </w:pPr>
            <w:r>
              <w:rPr/>
              <w:t>150</w:t>
            </w:r>
          </w:p>
        </w:tc>
        <w:tc>
          <w:tcPr>
            <w:tcW w:w="275" w:type="dxa"/>
            <w:tcBorders/>
            <w:shd w:fill="E5E5E5" w:val="clear"/>
            <w:vAlign w:val="center"/>
          </w:tcPr>
          <w:p>
            <w:pPr>
              <w:pStyle w:val="TableContents"/>
              <w:spacing w:before="0" w:after="283"/>
              <w:rPr/>
            </w:pPr>
            <w:r>
              <w:rPr/>
              <w:t>% </w:t>
            </w:r>
          </w:p>
        </w:tc>
        <w:tc>
          <w:tcPr>
            <w:tcW w:w="12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1100" w:type="dxa"/>
            <w:tcBorders/>
            <w:shd w:fill="E5E5E5" w:val="clear"/>
            <w:vAlign w:val="center"/>
          </w:tcPr>
          <w:p>
            <w:pPr>
              <w:pStyle w:val="TableContents"/>
              <w:spacing w:before="0" w:after="283"/>
              <w:jc w:val="right"/>
              <w:rPr/>
            </w:pPr>
            <w:r>
              <w:rPr/>
              <w:t>$1,950,000</w:t>
            </w:r>
          </w:p>
        </w:tc>
        <w:tc>
          <w:tcPr>
            <w:tcW w:w="75" w:type="dxa"/>
            <w:tcBorders/>
            <w:shd w:fill="E5E5E5" w:val="clear"/>
            <w:vAlign w:val="center"/>
          </w:tcPr>
          <w:p>
            <w:pPr>
              <w:pStyle w:val="TableContents"/>
              <w:spacing w:before="0" w:after="283"/>
              <w:rPr/>
            </w:pPr>
            <w:r>
              <w:rPr/>
              <w:t> </w:t>
            </w:r>
          </w:p>
        </w:tc>
      </w:tr>
      <w:tr>
        <w:trPr/>
        <w:tc>
          <w:tcPr>
            <w:tcW w:w="1430" w:type="dxa"/>
            <w:tcBorders/>
            <w:shd w:fill="auto" w:val="clear"/>
            <w:vAlign w:val="center"/>
          </w:tcPr>
          <w:p>
            <w:pPr>
              <w:pStyle w:val="TableContents"/>
              <w:spacing w:before="0" w:after="0"/>
              <w:rPr>
                <w:rFonts w:ascii="arial" w:hAnsi="arial"/>
                <w:b/>
                <w:sz w:val="18"/>
              </w:rPr>
            </w:pPr>
            <w:r>
              <w:rPr>
                <w:rFonts w:ascii="arial" w:hAnsi="arial"/>
                <w:b/>
                <w:sz w:val="18"/>
              </w:rPr>
              <w:t>Rajiv Malik</w:t>
            </w:r>
          </w:p>
        </w:tc>
        <w:tc>
          <w:tcPr>
            <w:tcW w:w="120" w:type="dxa"/>
            <w:tcBorders/>
            <w:shd w:fill="auto" w:val="clear"/>
            <w:vAlign w:val="center"/>
          </w:tcPr>
          <w:p>
            <w:pPr>
              <w:pStyle w:val="TableContents"/>
              <w:spacing w:before="0" w:after="283"/>
              <w:rPr/>
            </w:pPr>
            <w:r>
              <w:rPr/>
              <w:t>  </w:t>
            </w:r>
          </w:p>
        </w:tc>
        <w:tc>
          <w:tcPr>
            <w:tcW w:w="176" w:type="dxa"/>
            <w:tcBorders/>
            <w:shd w:fill="auto" w:val="clear"/>
            <w:vAlign w:val="center"/>
          </w:tcPr>
          <w:p>
            <w:pPr>
              <w:pStyle w:val="TableContents"/>
              <w:spacing w:before="0" w:after="283"/>
              <w:rPr/>
            </w:pPr>
            <w:r>
              <w:rPr/>
              <w:t> </w:t>
            </w:r>
          </w:p>
        </w:tc>
        <w:tc>
          <w:tcPr>
            <w:tcW w:w="1118" w:type="dxa"/>
            <w:tcBorders/>
            <w:shd w:fill="auto" w:val="clear"/>
            <w:vAlign w:val="center"/>
          </w:tcPr>
          <w:p>
            <w:pPr>
              <w:pStyle w:val="TableContents"/>
              <w:spacing w:before="0" w:after="283"/>
              <w:jc w:val="right"/>
              <w:rPr/>
            </w:pPr>
            <w:r>
              <w:rPr/>
              <w:t>125</w:t>
            </w:r>
          </w:p>
        </w:tc>
        <w:tc>
          <w:tcPr>
            <w:tcW w:w="2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$1,500,000</w:t>
            </w:r>
          </w:p>
        </w:tc>
        <w:tc>
          <w:tcPr>
            <w:tcW w:w="75" w:type="dxa"/>
            <w:tcBorders/>
            <w:shd w:fill="auto" w:val="clear"/>
            <w:vAlign w:val="center"/>
          </w:tcPr>
          <w:p>
            <w:pPr>
              <w:pStyle w:val="TableContents"/>
              <w:spacing w:before="0" w:after="283"/>
              <w:rPr/>
            </w:pPr>
            <w:r>
              <w:rPr/>
              <w:t> </w:t>
            </w:r>
          </w:p>
        </w:tc>
      </w:tr>
      <w:tr>
        <w:trPr/>
        <w:tc>
          <w:tcPr>
            <w:tcW w:w="1430" w:type="dxa"/>
            <w:tcBorders/>
            <w:shd w:fill="E5E5E5" w:val="clear"/>
            <w:vAlign w:val="center"/>
          </w:tcPr>
          <w:p>
            <w:pPr>
              <w:pStyle w:val="TableContents"/>
              <w:spacing w:before="0" w:after="0"/>
              <w:rPr>
                <w:rFonts w:ascii="arial" w:hAnsi="arial"/>
                <w:b/>
                <w:sz w:val="18"/>
              </w:rPr>
            </w:pPr>
            <w:r>
              <w:rPr>
                <w:rFonts w:ascii="arial" w:hAnsi="arial"/>
                <w:b/>
                <w:sz w:val="18"/>
              </w:rPr>
              <w:t>Sanjeev Narula</w:t>
            </w:r>
          </w:p>
        </w:tc>
        <w:tc>
          <w:tcPr>
            <w:tcW w:w="120" w:type="dxa"/>
            <w:tcBorders/>
            <w:shd w:fill="E5E5E5" w:val="clear"/>
            <w:vAlign w:val="center"/>
          </w:tcPr>
          <w:p>
            <w:pPr>
              <w:pStyle w:val="TableContents"/>
              <w:spacing w:before="0" w:after="283"/>
              <w:rPr/>
            </w:pPr>
            <w:r>
              <w:rPr/>
              <w:t>  </w:t>
            </w:r>
          </w:p>
        </w:tc>
        <w:tc>
          <w:tcPr>
            <w:tcW w:w="176" w:type="dxa"/>
            <w:tcBorders/>
            <w:shd w:fill="E5E5E5" w:val="clear"/>
            <w:vAlign w:val="center"/>
          </w:tcPr>
          <w:p>
            <w:pPr>
              <w:pStyle w:val="TableContents"/>
              <w:spacing w:before="0" w:after="283"/>
              <w:rPr/>
            </w:pPr>
            <w:r>
              <w:rPr/>
              <w:t> </w:t>
            </w:r>
          </w:p>
        </w:tc>
        <w:tc>
          <w:tcPr>
            <w:tcW w:w="1118" w:type="dxa"/>
            <w:tcBorders/>
            <w:shd w:fill="E5E5E5" w:val="clear"/>
            <w:vAlign w:val="center"/>
          </w:tcPr>
          <w:p>
            <w:pPr>
              <w:pStyle w:val="TableContents"/>
              <w:spacing w:before="0" w:after="283"/>
              <w:jc w:val="right"/>
              <w:rPr/>
            </w:pPr>
            <w:r>
              <w:rPr/>
              <w:t>100</w:t>
            </w:r>
          </w:p>
        </w:tc>
        <w:tc>
          <w:tcPr>
            <w:tcW w:w="275" w:type="dxa"/>
            <w:tcBorders/>
            <w:shd w:fill="E5E5E5" w:val="clear"/>
            <w:vAlign w:val="center"/>
          </w:tcPr>
          <w:p>
            <w:pPr>
              <w:pStyle w:val="TableContents"/>
              <w:spacing w:before="0" w:after="283"/>
              <w:rPr/>
            </w:pPr>
            <w:r>
              <w:rPr/>
              <w:t>% </w:t>
            </w:r>
          </w:p>
        </w:tc>
        <w:tc>
          <w:tcPr>
            <w:tcW w:w="12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1100" w:type="dxa"/>
            <w:tcBorders/>
            <w:shd w:fill="E5E5E5" w:val="clear"/>
            <w:vAlign w:val="center"/>
          </w:tcPr>
          <w:p>
            <w:pPr>
              <w:pStyle w:val="TableContents"/>
              <w:spacing w:before="0" w:after="283"/>
              <w:jc w:val="right"/>
              <w:rPr/>
            </w:pPr>
            <w:r>
              <w:rPr/>
              <w:t>$850,000</w:t>
            </w:r>
          </w:p>
        </w:tc>
        <w:tc>
          <w:tcPr>
            <w:tcW w:w="75" w:type="dxa"/>
            <w:tcBorders/>
            <w:shd w:fill="E5E5E5" w:val="clear"/>
            <w:vAlign w:val="center"/>
          </w:tcPr>
          <w:p>
            <w:pPr>
              <w:pStyle w:val="TableContents"/>
              <w:spacing w:before="0" w:after="283"/>
              <w:rPr/>
            </w:pPr>
            <w:r>
              <w:rPr/>
              <w:t> </w:t>
            </w:r>
          </w:p>
        </w:tc>
      </w:tr>
      <w:tr>
        <w:trPr/>
        <w:tc>
          <w:tcPr>
            <w:tcW w:w="1430" w:type="dxa"/>
            <w:tcBorders/>
            <w:shd w:fill="auto" w:val="clear"/>
            <w:vAlign w:val="center"/>
          </w:tcPr>
          <w:p>
            <w:pPr>
              <w:pStyle w:val="TableContents"/>
              <w:spacing w:before="0" w:after="0"/>
              <w:rPr>
                <w:rFonts w:ascii="arial" w:hAnsi="arial"/>
                <w:b/>
                <w:sz w:val="18"/>
              </w:rPr>
            </w:pPr>
            <w:r>
              <w:rPr>
                <w:rFonts w:ascii="arial" w:hAnsi="arial"/>
                <w:b/>
                <w:sz w:val="18"/>
              </w:rPr>
              <w:t>Anthony Mauro</w:t>
            </w:r>
          </w:p>
        </w:tc>
        <w:tc>
          <w:tcPr>
            <w:tcW w:w="120" w:type="dxa"/>
            <w:tcBorders/>
            <w:shd w:fill="auto" w:val="clear"/>
            <w:vAlign w:val="center"/>
          </w:tcPr>
          <w:p>
            <w:pPr>
              <w:pStyle w:val="TableContents"/>
              <w:spacing w:before="0" w:after="283"/>
              <w:rPr/>
            </w:pPr>
            <w:r>
              <w:rPr/>
              <w:t>  </w:t>
            </w:r>
          </w:p>
        </w:tc>
        <w:tc>
          <w:tcPr>
            <w:tcW w:w="176" w:type="dxa"/>
            <w:tcBorders/>
            <w:shd w:fill="auto" w:val="clear"/>
            <w:vAlign w:val="center"/>
          </w:tcPr>
          <w:p>
            <w:pPr>
              <w:pStyle w:val="TableContents"/>
              <w:spacing w:before="0" w:after="283"/>
              <w:rPr/>
            </w:pPr>
            <w:r>
              <w:rPr/>
              <w:t> </w:t>
            </w:r>
          </w:p>
        </w:tc>
        <w:tc>
          <w:tcPr>
            <w:tcW w:w="1118" w:type="dxa"/>
            <w:tcBorders/>
            <w:shd w:fill="auto" w:val="clear"/>
            <w:vAlign w:val="center"/>
          </w:tcPr>
          <w:p>
            <w:pPr>
              <w:pStyle w:val="TableContents"/>
              <w:spacing w:before="0" w:after="283"/>
              <w:jc w:val="right"/>
              <w:rPr/>
            </w:pPr>
            <w:r>
              <w:rPr/>
              <w:t>115</w:t>
            </w:r>
          </w:p>
        </w:tc>
        <w:tc>
          <w:tcPr>
            <w:tcW w:w="2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$920,000</w:t>
            </w:r>
          </w:p>
        </w:tc>
        <w:tc>
          <w:tcPr>
            <w:tcW w:w="75" w:type="dxa"/>
            <w:tcBorders/>
            <w:shd w:fill="auto" w:val="clear"/>
            <w:vAlign w:val="center"/>
          </w:tcPr>
          <w:p>
            <w:pPr>
              <w:pStyle w:val="TableContents"/>
              <w:spacing w:before="0" w:after="283"/>
              <w:rPr/>
            </w:pPr>
            <w:r>
              <w:rPr/>
              <w:t> </w:t>
            </w:r>
          </w:p>
        </w:tc>
      </w:tr>
      <w:tr>
        <w:trPr/>
        <w:tc>
          <w:tcPr>
            <w:tcW w:w="1430" w:type="dxa"/>
            <w:tcBorders>
              <w:bottom w:val="single" w:sz="6" w:space="0" w:color="732282"/>
            </w:tcBorders>
            <w:shd w:fill="E5E5E5" w:val="clear"/>
            <w:tcMar>
              <w:bottom w:w="28" w:type="dxa"/>
            </w:tcMar>
            <w:vAlign w:val="center"/>
          </w:tcPr>
          <w:p>
            <w:pPr>
              <w:pStyle w:val="TableContents"/>
              <w:spacing w:before="0" w:after="0"/>
              <w:rPr>
                <w:rFonts w:ascii="arial" w:hAnsi="arial"/>
                <w:b/>
                <w:sz w:val="18"/>
              </w:rPr>
            </w:pPr>
            <w:r>
              <w:rPr>
                <w:rFonts w:ascii="arial" w:hAnsi="arial"/>
                <w:b/>
                <w:sz w:val="18"/>
              </w:rPr>
              <w:t>Robert J. Coury</w:t>
            </w:r>
          </w:p>
        </w:tc>
        <w:tc>
          <w:tcPr>
            <w:tcW w:w="120" w:type="dxa"/>
            <w:tcBorders>
              <w:bottom w:val="single" w:sz="6" w:space="0" w:color="732282"/>
            </w:tcBorders>
            <w:shd w:fill="E5E5E5" w:val="clear"/>
            <w:tcMar>
              <w:bottom w:w="28" w:type="dxa"/>
            </w:tcMar>
            <w:vAlign w:val="center"/>
          </w:tcPr>
          <w:p>
            <w:pPr>
              <w:pStyle w:val="TableContents"/>
              <w:spacing w:before="0" w:after="283"/>
              <w:rPr/>
            </w:pPr>
            <w:r>
              <w:rPr/>
              <w:t>  </w:t>
            </w:r>
          </w:p>
        </w:tc>
        <w:tc>
          <w:tcPr>
            <w:tcW w:w="176" w:type="dxa"/>
            <w:tcBorders>
              <w:bottom w:val="single" w:sz="6" w:space="0" w:color="732282"/>
            </w:tcBorders>
            <w:shd w:fill="E5E5E5" w:val="clear"/>
            <w:tcMar>
              <w:bottom w:w="28" w:type="dxa"/>
            </w:tcMar>
            <w:vAlign w:val="center"/>
          </w:tcPr>
          <w:p>
            <w:pPr>
              <w:pStyle w:val="TableContents"/>
              <w:spacing w:before="0" w:after="283"/>
              <w:rPr/>
            </w:pPr>
            <w:r>
              <w:rPr/>
              <w:t> </w:t>
            </w:r>
          </w:p>
        </w:tc>
        <w:tc>
          <w:tcPr>
            <w:tcW w:w="1118" w:type="dxa"/>
            <w:tcBorders>
              <w:bottom w:val="single" w:sz="6" w:space="0" w:color="732282"/>
            </w:tcBorders>
            <w:shd w:fill="E5E5E5" w:val="clear"/>
            <w:tcMar>
              <w:bottom w:w="28" w:type="dxa"/>
            </w:tcMar>
            <w:vAlign w:val="center"/>
          </w:tcPr>
          <w:p>
            <w:pPr>
              <w:pStyle w:val="TableContents"/>
              <w:spacing w:before="0" w:after="283"/>
              <w:jc w:val="right"/>
              <w:rPr/>
            </w:pPr>
            <w:r>
              <w:rPr/>
              <w:t>150</w:t>
            </w:r>
          </w:p>
        </w:tc>
        <w:tc>
          <w:tcPr>
            <w:tcW w:w="275" w:type="dxa"/>
            <w:tcBorders>
              <w:bottom w:val="single" w:sz="6" w:space="0" w:color="732282"/>
            </w:tcBorders>
            <w:shd w:fill="E5E5E5" w:val="clear"/>
            <w:tcMar>
              <w:bottom w:w="28" w:type="dxa"/>
            </w:tcMar>
            <w:vAlign w:val="center"/>
          </w:tcPr>
          <w:p>
            <w:pPr>
              <w:pStyle w:val="TableContents"/>
              <w:spacing w:before="0" w:after="283"/>
              <w:rPr/>
            </w:pPr>
            <w:r>
              <w:rPr/>
              <w:t>% </w:t>
            </w:r>
          </w:p>
        </w:tc>
        <w:tc>
          <w:tcPr>
            <w:tcW w:w="120" w:type="dxa"/>
            <w:tcBorders>
              <w:bottom w:val="single" w:sz="6" w:space="0" w:color="732282"/>
            </w:tcBorders>
            <w:shd w:fill="E5E5E5" w:val="clear"/>
            <w:tcMar>
              <w:bottom w:w="28" w:type="dxa"/>
            </w:tcMar>
            <w:vAlign w:val="center"/>
          </w:tcPr>
          <w:p>
            <w:pPr>
              <w:pStyle w:val="TableContents"/>
              <w:spacing w:before="0" w:after="283"/>
              <w:rPr/>
            </w:pPr>
            <w:r>
              <w:rPr/>
              <w:t>  </w:t>
            </w:r>
          </w:p>
        </w:tc>
        <w:tc>
          <w:tcPr>
            <w:tcW w:w="60" w:type="dxa"/>
            <w:tcBorders>
              <w:bottom w:val="single" w:sz="6" w:space="0" w:color="732282"/>
            </w:tcBorders>
            <w:shd w:fill="E5E5E5" w:val="clear"/>
            <w:tcMar>
              <w:bottom w:w="28" w:type="dxa"/>
            </w:tcMar>
            <w:vAlign w:val="center"/>
          </w:tcPr>
          <w:p>
            <w:pPr>
              <w:pStyle w:val="TableContents"/>
              <w:spacing w:before="0" w:after="283"/>
              <w:rPr/>
            </w:pPr>
            <w:r>
              <w:rPr/>
              <w:t> </w:t>
            </w:r>
          </w:p>
        </w:tc>
        <w:tc>
          <w:tcPr>
            <w:tcW w:w="1100" w:type="dxa"/>
            <w:tcBorders>
              <w:bottom w:val="single" w:sz="6" w:space="0" w:color="732282"/>
            </w:tcBorders>
            <w:shd w:fill="E5E5E5" w:val="clear"/>
            <w:tcMar>
              <w:bottom w:w="28" w:type="dxa"/>
            </w:tcMar>
            <w:vAlign w:val="center"/>
          </w:tcPr>
          <w:p>
            <w:pPr>
              <w:pStyle w:val="TableContents"/>
              <w:spacing w:before="0" w:after="283"/>
              <w:jc w:val="right"/>
              <w:rPr/>
            </w:pPr>
            <w:r>
              <w:rPr/>
              <w:t>$2,700,000</w:t>
            </w:r>
          </w:p>
        </w:tc>
        <w:tc>
          <w:tcPr>
            <w:tcW w:w="75" w:type="dxa"/>
            <w:tcBorders>
              <w:bottom w:val="single" w:sz="6" w:space="0" w:color="732282"/>
            </w:tcBorders>
            <w:shd w:fill="E5E5E5" w:val="clear"/>
            <w:tcMar>
              <w:bottom w:w="28" w:type="dxa"/>
            </w:tcMar>
            <w:vAlign w:val="center"/>
          </w:tcPr>
          <w:p>
            <w:pPr>
              <w:pStyle w:val="TableContents"/>
              <w:spacing w:before="0" w:after="283"/>
              <w:rPr/>
            </w:pPr>
            <w:r>
              <w:rPr/>
              <w:t> </w:t>
            </w:r>
          </w:p>
        </w:tc>
      </w:tr>
    </w:tbl>
    <w:p>
      <w:pPr>
        <w:pStyle w:val="TextBody"/>
        <w:spacing w:before="240" w:after="0"/>
        <w:jc w:val="both"/>
        <w:rPr>
          <w:rFonts w:ascii="arial" w:hAnsi="arial"/>
          <w:b/>
          <w:i/>
          <w:sz w:val="20"/>
        </w:rPr>
      </w:pPr>
      <w:r>
        <w:rPr>
          <w:rFonts w:ascii="arial" w:hAnsi="arial"/>
          <w:b/>
          <w:i/>
          <w:sz w:val="20"/>
        </w:rPr>
        <w:t xml:space="preserve">Annual Incentive Compensation Payouts for 2022 </w:t>
      </w:r>
    </w:p>
    <w:p>
      <w:pPr>
        <w:pStyle w:val="TextBody"/>
        <w:spacing w:before="120" w:after="0"/>
        <w:jc w:val="both"/>
        <w:rPr>
          <w:rFonts w:ascii="arial" w:hAnsi="arial"/>
          <w:sz w:val="18"/>
        </w:rPr>
      </w:pPr>
      <w:r>
        <w:rPr>
          <w:rFonts w:ascii="arial" w:hAnsi="arial"/>
          <w:sz w:val="18"/>
        </w:rPr>
        <w:t xml:space="preserve">In 2022, Viatris achieved the following performance against the Compensation Committee-approved performance goals: </w:t>
      </w:r>
    </w:p>
    <w:p>
      <w:pPr>
        <w:pStyle w:val="TextBody"/>
        <w:spacing w:before="0" w:after="0"/>
        <w:jc w:val="left"/>
        <w:rPr/>
      </w:pPr>
      <w:r>
        <w:rPr/>
        <w:t> </w:t>
      </w:r>
    </w:p>
    <w:tbl>
      <w:tblPr>
        <w:tblW w:w="9840" w:type="dxa"/>
        <w:jc w:val="left"/>
        <w:tblInd w:w="0" w:type="dxa"/>
        <w:tblCellMar>
          <w:top w:w="0" w:type="dxa"/>
          <w:left w:w="0" w:type="dxa"/>
          <w:bottom w:w="0" w:type="dxa"/>
          <w:right w:w="0" w:type="dxa"/>
        </w:tblCellMar>
      </w:tblPr>
      <w:tblGrid>
        <w:gridCol w:w="2615"/>
        <w:gridCol w:w="60"/>
        <w:gridCol w:w="1070"/>
        <w:gridCol w:w="120"/>
        <w:gridCol w:w="1400"/>
        <w:gridCol w:w="120"/>
        <w:gridCol w:w="1400"/>
        <w:gridCol w:w="120"/>
        <w:gridCol w:w="1400"/>
        <w:gridCol w:w="120"/>
        <w:gridCol w:w="1415"/>
      </w:tblGrid>
      <w:tr>
        <w:trPr/>
        <w:tc>
          <w:tcPr>
            <w:tcW w:w="26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15" w:type="dxa"/>
            <w:tcBorders/>
            <w:shd w:fill="auto" w:val="clear"/>
            <w:vAlign w:val="center"/>
          </w:tcPr>
          <w:p>
            <w:pPr>
              <w:pStyle w:val="TableContents"/>
              <w:spacing w:before="0" w:after="283"/>
              <w:rPr>
                <w:sz w:val="4"/>
                <w:szCs w:val="4"/>
              </w:rPr>
            </w:pPr>
            <w:r>
              <w:rPr>
                <w:sz w:val="4"/>
                <w:szCs w:val="4"/>
              </w:rPr>
            </w:r>
          </w:p>
        </w:tc>
      </w:tr>
      <w:tr>
        <w:trPr/>
        <w:tc>
          <w:tcPr>
            <w:tcW w:w="2615" w:type="dxa"/>
            <w:tcBorders>
              <w:bottom w:val="single" w:sz="8" w:space="0" w:color="732282"/>
            </w:tcBorders>
            <w:shd w:fill="auto" w:val="clear"/>
            <w:tcMar>
              <w:bottom w:w="28" w:type="dxa"/>
            </w:tcMar>
            <w:vAlign w:val="center"/>
          </w:tcPr>
          <w:p>
            <w:pPr>
              <w:pStyle w:val="TableContents"/>
              <w:spacing w:before="0" w:after="0"/>
              <w:rPr>
                <w:rFonts w:ascii="arial" w:hAnsi="arial"/>
                <w:b/>
                <w:color w:val="732282"/>
                <w:sz w:val="16"/>
              </w:rPr>
            </w:pPr>
            <w:r>
              <w:rPr>
                <w:rFonts w:ascii="arial" w:hAnsi="arial"/>
                <w:b/>
                <w:color w:val="732282"/>
                <w:sz w:val="16"/>
              </w:rPr>
              <w:t>Metric</w:t>
            </w:r>
          </w:p>
        </w:tc>
        <w:tc>
          <w:tcPr>
            <w:tcW w:w="60" w:type="dxa"/>
            <w:tcBorders>
              <w:bottom w:val="single" w:sz="8" w:space="0" w:color="732282"/>
            </w:tcBorders>
            <w:shd w:fill="auto" w:val="clear"/>
            <w:tcMar>
              <w:bottom w:w="28" w:type="dxa"/>
            </w:tcMar>
            <w:vAlign w:val="center"/>
          </w:tcPr>
          <w:p>
            <w:pPr>
              <w:pStyle w:val="TableContents"/>
              <w:spacing w:before="0" w:after="283"/>
              <w:rPr/>
            </w:pPr>
            <w:r>
              <w:rPr/>
              <w:t> </w:t>
            </w:r>
          </w:p>
        </w:tc>
        <w:tc>
          <w:tcPr>
            <w:tcW w:w="1070" w:type="dxa"/>
            <w:tcBorders>
              <w:bottom w:val="single" w:sz="8" w:space="0" w:color="732282"/>
            </w:tcBorders>
            <w:shd w:fill="auto" w:val="clear"/>
            <w:tcMar>
              <w:bottom w:w="28" w:type="dxa"/>
            </w:tcMar>
            <w:vAlign w:val="center"/>
          </w:tcPr>
          <w:p>
            <w:pPr>
              <w:pStyle w:val="TableContents"/>
              <w:spacing w:before="0" w:after="283"/>
              <w:jc w:val="center"/>
              <w:rPr>
                <w:b/>
                <w:color w:val="732282"/>
              </w:rPr>
            </w:pPr>
            <w:r>
              <w:rPr>
                <w:b/>
                <w:color w:val="732282"/>
              </w:rPr>
              <w:t>Weighting</w:t>
            </w:r>
          </w:p>
        </w:tc>
        <w:tc>
          <w:tcPr>
            <w:tcW w:w="120" w:type="dxa"/>
            <w:tcBorders>
              <w:bottom w:val="single" w:sz="8" w:space="0" w:color="732282"/>
            </w:tcBorders>
            <w:shd w:fill="auto" w:val="clear"/>
            <w:tcMar>
              <w:bottom w:w="28" w:type="dxa"/>
            </w:tcMar>
            <w:vAlign w:val="center"/>
          </w:tcPr>
          <w:p>
            <w:pPr>
              <w:pStyle w:val="TableContents"/>
              <w:spacing w:before="0" w:after="283"/>
              <w:rPr/>
            </w:pPr>
            <w:r>
              <w:rPr/>
              <w:t>  </w:t>
            </w:r>
          </w:p>
        </w:tc>
        <w:tc>
          <w:tcPr>
            <w:tcW w:w="1400" w:type="dxa"/>
            <w:tcBorders>
              <w:bottom w:val="single" w:sz="8" w:space="0" w:color="732282"/>
            </w:tcBorders>
            <w:shd w:fill="auto" w:val="clear"/>
            <w:tcMar>
              <w:bottom w:w="28" w:type="dxa"/>
            </w:tcMar>
            <w:vAlign w:val="center"/>
          </w:tcPr>
          <w:p>
            <w:pPr>
              <w:pStyle w:val="TableContents"/>
              <w:spacing w:before="0" w:after="283"/>
              <w:jc w:val="center"/>
              <w:rPr>
                <w:b/>
                <w:color w:val="732282"/>
              </w:rPr>
            </w:pPr>
            <w:r>
              <w:rPr>
                <w:b/>
                <w:color w:val="732282"/>
              </w:rPr>
              <w:t>Threshold</w:t>
            </w:r>
          </w:p>
        </w:tc>
        <w:tc>
          <w:tcPr>
            <w:tcW w:w="120" w:type="dxa"/>
            <w:tcBorders>
              <w:bottom w:val="single" w:sz="8" w:space="0" w:color="732282"/>
            </w:tcBorders>
            <w:shd w:fill="auto" w:val="clear"/>
            <w:tcMar>
              <w:bottom w:w="28" w:type="dxa"/>
            </w:tcMar>
            <w:vAlign w:val="center"/>
          </w:tcPr>
          <w:p>
            <w:pPr>
              <w:pStyle w:val="TableContents"/>
              <w:spacing w:before="0" w:after="283"/>
              <w:rPr/>
            </w:pPr>
            <w:r>
              <w:rPr/>
              <w:t>  </w:t>
            </w:r>
          </w:p>
        </w:tc>
        <w:tc>
          <w:tcPr>
            <w:tcW w:w="1400" w:type="dxa"/>
            <w:tcBorders>
              <w:bottom w:val="single" w:sz="8" w:space="0" w:color="732282"/>
            </w:tcBorders>
            <w:shd w:fill="auto" w:val="clear"/>
            <w:tcMar>
              <w:bottom w:w="28" w:type="dxa"/>
            </w:tcMar>
            <w:vAlign w:val="center"/>
          </w:tcPr>
          <w:p>
            <w:pPr>
              <w:pStyle w:val="TableContents"/>
              <w:spacing w:before="0" w:after="283"/>
              <w:jc w:val="center"/>
              <w:rPr>
                <w:b/>
                <w:color w:val="732282"/>
              </w:rPr>
            </w:pPr>
            <w:r>
              <w:rPr>
                <w:b/>
                <w:color w:val="732282"/>
              </w:rPr>
              <w:t>Target</w:t>
            </w:r>
          </w:p>
        </w:tc>
        <w:tc>
          <w:tcPr>
            <w:tcW w:w="120" w:type="dxa"/>
            <w:tcBorders>
              <w:bottom w:val="single" w:sz="8" w:space="0" w:color="732282"/>
            </w:tcBorders>
            <w:shd w:fill="auto" w:val="clear"/>
            <w:tcMar>
              <w:bottom w:w="28" w:type="dxa"/>
            </w:tcMar>
            <w:vAlign w:val="center"/>
          </w:tcPr>
          <w:p>
            <w:pPr>
              <w:pStyle w:val="TableContents"/>
              <w:spacing w:before="0" w:after="283"/>
              <w:rPr/>
            </w:pPr>
            <w:r>
              <w:rPr/>
              <w:t>  </w:t>
            </w:r>
          </w:p>
        </w:tc>
        <w:tc>
          <w:tcPr>
            <w:tcW w:w="1400" w:type="dxa"/>
            <w:tcBorders>
              <w:bottom w:val="single" w:sz="8" w:space="0" w:color="732282"/>
            </w:tcBorders>
            <w:shd w:fill="auto" w:val="clear"/>
            <w:tcMar>
              <w:bottom w:w="28" w:type="dxa"/>
            </w:tcMar>
            <w:vAlign w:val="center"/>
          </w:tcPr>
          <w:p>
            <w:pPr>
              <w:pStyle w:val="TableContents"/>
              <w:spacing w:before="0" w:after="283"/>
              <w:jc w:val="center"/>
              <w:rPr>
                <w:b/>
                <w:color w:val="732282"/>
              </w:rPr>
            </w:pPr>
            <w:r>
              <w:rPr>
                <w:b/>
                <w:color w:val="732282"/>
              </w:rPr>
              <w:t>Maximum</w:t>
            </w:r>
          </w:p>
        </w:tc>
        <w:tc>
          <w:tcPr>
            <w:tcW w:w="120" w:type="dxa"/>
            <w:tcBorders>
              <w:bottom w:val="single" w:sz="8" w:space="0" w:color="732282"/>
            </w:tcBorders>
            <w:shd w:fill="auto" w:val="clear"/>
            <w:tcMar>
              <w:bottom w:w="28" w:type="dxa"/>
            </w:tcMar>
            <w:vAlign w:val="center"/>
          </w:tcPr>
          <w:p>
            <w:pPr>
              <w:pStyle w:val="TableContents"/>
              <w:spacing w:before="0" w:after="283"/>
              <w:rPr/>
            </w:pPr>
            <w:r>
              <w:rPr/>
              <w:t>  </w:t>
            </w:r>
          </w:p>
        </w:tc>
        <w:tc>
          <w:tcPr>
            <w:tcW w:w="1415" w:type="dxa"/>
            <w:tcBorders>
              <w:bottom w:val="single" w:sz="8" w:space="0" w:color="732282"/>
            </w:tcBorders>
            <w:shd w:fill="auto" w:val="clear"/>
            <w:tcMar>
              <w:bottom w:w="28" w:type="dxa"/>
            </w:tcMar>
            <w:vAlign w:val="center"/>
          </w:tcPr>
          <w:p>
            <w:pPr>
              <w:pStyle w:val="TableContents"/>
              <w:spacing w:before="0" w:after="283"/>
              <w:jc w:val="center"/>
              <w:rPr>
                <w:b/>
                <w:color w:val="732282"/>
              </w:rPr>
            </w:pPr>
            <w:r>
              <w:rPr>
                <w:b/>
                <w:color w:val="732282"/>
              </w:rPr>
              <w:t>Results</w:t>
            </w:r>
          </w:p>
        </w:tc>
      </w:tr>
      <w:tr>
        <w:trPr/>
        <w:tc>
          <w:tcPr>
            <w:tcW w:w="2615" w:type="dxa"/>
            <w:tcBorders/>
            <w:shd w:fill="E5E5E5" w:val="clear"/>
            <w:vAlign w:val="center"/>
          </w:tcPr>
          <w:p>
            <w:pPr>
              <w:pStyle w:val="TableContents"/>
              <w:spacing w:before="0" w:after="0"/>
              <w:rPr>
                <w:rFonts w:ascii="arial" w:hAnsi="arial"/>
                <w:sz w:val="18"/>
              </w:rPr>
            </w:pPr>
            <w:r>
              <w:rPr>
                <w:rFonts w:ascii="arial" w:hAnsi="arial"/>
                <w:sz w:val="18"/>
              </w:rPr>
              <w:t>Adjusted EBITDA*</w:t>
            </w:r>
          </w:p>
        </w:tc>
        <w:tc>
          <w:tcPr>
            <w:tcW w:w="60" w:type="dxa"/>
            <w:tcBorders/>
            <w:shd w:fill="E5E5E5" w:val="clear"/>
            <w:vAlign w:val="center"/>
          </w:tcPr>
          <w:p>
            <w:pPr>
              <w:pStyle w:val="TableContents"/>
              <w:spacing w:before="0" w:after="283"/>
              <w:rPr/>
            </w:pPr>
            <w:r>
              <w:rPr/>
              <w:t> </w:t>
            </w:r>
          </w:p>
        </w:tc>
        <w:tc>
          <w:tcPr>
            <w:tcW w:w="1070" w:type="dxa"/>
            <w:tcBorders/>
            <w:shd w:fill="E5E5E5" w:val="clear"/>
            <w:vAlign w:val="center"/>
          </w:tcPr>
          <w:p>
            <w:pPr>
              <w:pStyle w:val="TableContents"/>
              <w:spacing w:before="0" w:after="283"/>
              <w:jc w:val="center"/>
              <w:rPr/>
            </w:pPr>
            <w:r>
              <w:rPr/>
              <w:t>40%</w:t>
            </w:r>
          </w:p>
        </w:tc>
        <w:tc>
          <w:tcPr>
            <w:tcW w:w="120" w:type="dxa"/>
            <w:tcBorders/>
            <w:shd w:fill="E5E5E5" w:val="clear"/>
            <w:vAlign w:val="center"/>
          </w:tcPr>
          <w:p>
            <w:pPr>
              <w:pStyle w:val="TableContents"/>
              <w:spacing w:before="0" w:after="283"/>
              <w:rPr/>
            </w:pPr>
            <w:r>
              <w:rPr/>
              <w:t>  </w:t>
            </w:r>
          </w:p>
        </w:tc>
        <w:tc>
          <w:tcPr>
            <w:tcW w:w="1400" w:type="dxa"/>
            <w:tcBorders/>
            <w:shd w:fill="E5E5E5" w:val="clear"/>
            <w:vAlign w:val="center"/>
          </w:tcPr>
          <w:p>
            <w:pPr>
              <w:pStyle w:val="TableContents"/>
              <w:spacing w:before="0" w:after="283"/>
              <w:jc w:val="center"/>
              <w:rPr/>
            </w:pPr>
            <w:r>
              <w:rPr/>
              <w:t>$5,700 million</w:t>
            </w:r>
          </w:p>
        </w:tc>
        <w:tc>
          <w:tcPr>
            <w:tcW w:w="120" w:type="dxa"/>
            <w:tcBorders/>
            <w:shd w:fill="E5E5E5" w:val="clear"/>
            <w:vAlign w:val="center"/>
          </w:tcPr>
          <w:p>
            <w:pPr>
              <w:pStyle w:val="TableContents"/>
              <w:spacing w:before="0" w:after="283"/>
              <w:rPr/>
            </w:pPr>
            <w:r>
              <w:rPr/>
              <w:t>  </w:t>
            </w:r>
          </w:p>
        </w:tc>
        <w:tc>
          <w:tcPr>
            <w:tcW w:w="1400" w:type="dxa"/>
            <w:tcBorders/>
            <w:shd w:fill="E5E5E5" w:val="clear"/>
            <w:vAlign w:val="center"/>
          </w:tcPr>
          <w:p>
            <w:pPr>
              <w:pStyle w:val="TableContents"/>
              <w:spacing w:before="0" w:after="283"/>
              <w:jc w:val="center"/>
              <w:rPr/>
            </w:pPr>
            <w:r>
              <w:rPr/>
              <w:t>$6,000 million</w:t>
            </w:r>
          </w:p>
        </w:tc>
        <w:tc>
          <w:tcPr>
            <w:tcW w:w="120" w:type="dxa"/>
            <w:tcBorders/>
            <w:shd w:fill="E5E5E5" w:val="clear"/>
            <w:vAlign w:val="center"/>
          </w:tcPr>
          <w:p>
            <w:pPr>
              <w:pStyle w:val="TableContents"/>
              <w:spacing w:before="0" w:after="283"/>
              <w:rPr/>
            </w:pPr>
            <w:r>
              <w:rPr/>
              <w:t>  </w:t>
            </w:r>
          </w:p>
        </w:tc>
        <w:tc>
          <w:tcPr>
            <w:tcW w:w="1400" w:type="dxa"/>
            <w:tcBorders/>
            <w:shd w:fill="E5E5E5" w:val="clear"/>
            <w:vAlign w:val="center"/>
          </w:tcPr>
          <w:p>
            <w:pPr>
              <w:pStyle w:val="TableContents"/>
              <w:spacing w:before="0" w:after="283"/>
              <w:jc w:val="center"/>
              <w:rPr/>
            </w:pPr>
            <w:r>
              <w:rPr/>
              <w:t>$6,300 million</w:t>
            </w:r>
          </w:p>
        </w:tc>
        <w:tc>
          <w:tcPr>
            <w:tcW w:w="120" w:type="dxa"/>
            <w:tcBorders/>
            <w:shd w:fill="E5E5E5" w:val="clear"/>
            <w:vAlign w:val="center"/>
          </w:tcPr>
          <w:p>
            <w:pPr>
              <w:pStyle w:val="TableContents"/>
              <w:spacing w:before="0" w:after="283"/>
              <w:rPr/>
            </w:pPr>
            <w:r>
              <w:rPr/>
              <w:t>  </w:t>
            </w:r>
          </w:p>
        </w:tc>
        <w:tc>
          <w:tcPr>
            <w:tcW w:w="1415" w:type="dxa"/>
            <w:tcBorders/>
            <w:shd w:fill="E5E5E5" w:val="clear"/>
            <w:vAlign w:val="center"/>
          </w:tcPr>
          <w:p>
            <w:pPr>
              <w:pStyle w:val="TableContents"/>
              <w:spacing w:before="0" w:after="283"/>
              <w:jc w:val="center"/>
              <w:rPr/>
            </w:pPr>
            <w:r>
              <w:rPr/>
              <w:t>$6,200 million</w:t>
            </w:r>
          </w:p>
        </w:tc>
      </w:tr>
      <w:tr>
        <w:trPr/>
        <w:tc>
          <w:tcPr>
            <w:tcW w:w="2615" w:type="dxa"/>
            <w:tcBorders/>
            <w:shd w:fill="auto" w:val="clear"/>
            <w:vAlign w:val="center"/>
          </w:tcPr>
          <w:p>
            <w:pPr>
              <w:pStyle w:val="TableContents"/>
              <w:spacing w:before="0" w:after="0"/>
              <w:rPr>
                <w:rFonts w:ascii="arial" w:hAnsi="arial"/>
                <w:sz w:val="18"/>
              </w:rPr>
            </w:pPr>
            <w:r>
              <w:rPr>
                <w:rFonts w:ascii="arial" w:hAnsi="arial"/>
                <w:sz w:val="18"/>
              </w:rPr>
              <w:t>Free Cash Flow**</w:t>
            </w:r>
          </w:p>
        </w:tc>
        <w:tc>
          <w:tcPr>
            <w:tcW w:w="60" w:type="dxa"/>
            <w:tcBorders/>
            <w:shd w:fill="auto" w:val="clear"/>
            <w:vAlign w:val="center"/>
          </w:tcPr>
          <w:p>
            <w:pPr>
              <w:pStyle w:val="TableContents"/>
              <w:spacing w:before="0" w:after="283"/>
              <w:rPr/>
            </w:pPr>
            <w:r>
              <w:rPr/>
              <w:t> </w:t>
            </w:r>
          </w:p>
        </w:tc>
        <w:tc>
          <w:tcPr>
            <w:tcW w:w="1070" w:type="dxa"/>
            <w:tcBorders/>
            <w:shd w:fill="auto" w:val="clear"/>
            <w:vAlign w:val="center"/>
          </w:tcPr>
          <w:p>
            <w:pPr>
              <w:pStyle w:val="TableContents"/>
              <w:spacing w:before="0" w:after="283"/>
              <w:jc w:val="center"/>
              <w:rPr/>
            </w:pPr>
            <w:r>
              <w:rPr/>
              <w:t>40%</w:t>
            </w:r>
          </w:p>
        </w:tc>
        <w:tc>
          <w:tcPr>
            <w:tcW w:w="12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jc w:val="center"/>
              <w:rPr/>
            </w:pPr>
            <w:r>
              <w:rPr/>
              <w:t>$2,400 million</w:t>
            </w:r>
          </w:p>
        </w:tc>
        <w:tc>
          <w:tcPr>
            <w:tcW w:w="12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jc w:val="center"/>
              <w:rPr/>
            </w:pPr>
            <w:r>
              <w:rPr/>
              <w:t>$2,700 million</w:t>
            </w:r>
          </w:p>
        </w:tc>
        <w:tc>
          <w:tcPr>
            <w:tcW w:w="120" w:type="dxa"/>
            <w:tcBorders/>
            <w:shd w:fill="auto" w:val="clear"/>
            <w:vAlign w:val="center"/>
          </w:tcPr>
          <w:p>
            <w:pPr>
              <w:pStyle w:val="TableContents"/>
              <w:spacing w:before="0" w:after="283"/>
              <w:rPr/>
            </w:pPr>
            <w:r>
              <w:rPr/>
              <w:t>  </w:t>
            </w:r>
          </w:p>
        </w:tc>
        <w:tc>
          <w:tcPr>
            <w:tcW w:w="1400" w:type="dxa"/>
            <w:tcBorders/>
            <w:shd w:fill="auto" w:val="clear"/>
            <w:vAlign w:val="center"/>
          </w:tcPr>
          <w:p>
            <w:pPr>
              <w:pStyle w:val="TableContents"/>
              <w:spacing w:before="0" w:after="283"/>
              <w:jc w:val="center"/>
              <w:rPr/>
            </w:pPr>
            <w:r>
              <w:rPr/>
              <w:t>$3,000 million</w:t>
            </w:r>
          </w:p>
        </w:tc>
        <w:tc>
          <w:tcPr>
            <w:tcW w:w="120" w:type="dxa"/>
            <w:tcBorders/>
            <w:shd w:fill="auto" w:val="clear"/>
            <w:vAlign w:val="center"/>
          </w:tcPr>
          <w:p>
            <w:pPr>
              <w:pStyle w:val="TableContents"/>
              <w:spacing w:before="0" w:after="283"/>
              <w:rPr/>
            </w:pPr>
            <w:r>
              <w:rPr/>
              <w:t>  </w:t>
            </w:r>
          </w:p>
        </w:tc>
        <w:tc>
          <w:tcPr>
            <w:tcW w:w="1415" w:type="dxa"/>
            <w:tcBorders/>
            <w:shd w:fill="auto" w:val="clear"/>
            <w:vAlign w:val="center"/>
          </w:tcPr>
          <w:p>
            <w:pPr>
              <w:pStyle w:val="TableContents"/>
              <w:spacing w:before="0" w:after="283"/>
              <w:jc w:val="center"/>
              <w:rPr/>
            </w:pPr>
            <w:r>
              <w:rPr/>
              <w:t>$3,168 million</w:t>
            </w:r>
          </w:p>
        </w:tc>
      </w:tr>
      <w:tr>
        <w:trPr/>
        <w:tc>
          <w:tcPr>
            <w:tcW w:w="2615" w:type="dxa"/>
            <w:tcBorders>
              <w:bottom w:val="single" w:sz="6" w:space="0" w:color="732282"/>
            </w:tcBorders>
            <w:shd w:fill="E5E5E5" w:val="clear"/>
            <w:tcMar>
              <w:bottom w:w="28" w:type="dxa"/>
            </w:tcMar>
            <w:vAlign w:val="center"/>
          </w:tcPr>
          <w:p>
            <w:pPr>
              <w:pStyle w:val="TableContents"/>
              <w:spacing w:before="0" w:after="0"/>
              <w:rPr>
                <w:rFonts w:ascii="arial" w:hAnsi="arial"/>
                <w:sz w:val="18"/>
              </w:rPr>
            </w:pPr>
            <w:r>
              <w:rPr>
                <w:rFonts w:ascii="arial" w:hAnsi="arial"/>
                <w:sz w:val="18"/>
              </w:rPr>
              <w:t>Global Regulatory Submissions</w:t>
            </w:r>
          </w:p>
        </w:tc>
        <w:tc>
          <w:tcPr>
            <w:tcW w:w="60" w:type="dxa"/>
            <w:tcBorders>
              <w:bottom w:val="single" w:sz="6" w:space="0" w:color="732282"/>
            </w:tcBorders>
            <w:shd w:fill="E5E5E5" w:val="clear"/>
            <w:tcMar>
              <w:bottom w:w="28" w:type="dxa"/>
            </w:tcMar>
            <w:vAlign w:val="center"/>
          </w:tcPr>
          <w:p>
            <w:pPr>
              <w:pStyle w:val="TableContents"/>
              <w:spacing w:before="0" w:after="283"/>
              <w:rPr/>
            </w:pPr>
            <w:r>
              <w:rPr/>
              <w:t> </w:t>
            </w:r>
          </w:p>
        </w:tc>
        <w:tc>
          <w:tcPr>
            <w:tcW w:w="1070" w:type="dxa"/>
            <w:tcBorders>
              <w:bottom w:val="single" w:sz="6" w:space="0" w:color="732282"/>
            </w:tcBorders>
            <w:shd w:fill="E5E5E5" w:val="clear"/>
            <w:tcMar>
              <w:bottom w:w="28" w:type="dxa"/>
            </w:tcMar>
            <w:vAlign w:val="center"/>
          </w:tcPr>
          <w:p>
            <w:pPr>
              <w:pStyle w:val="TableContents"/>
              <w:spacing w:before="0" w:after="283"/>
              <w:jc w:val="center"/>
              <w:rPr/>
            </w:pPr>
            <w:r>
              <w:rPr/>
              <w:t>20%</w:t>
            </w:r>
          </w:p>
        </w:tc>
        <w:tc>
          <w:tcPr>
            <w:tcW w:w="120" w:type="dxa"/>
            <w:tcBorders>
              <w:bottom w:val="single" w:sz="6" w:space="0" w:color="732282"/>
            </w:tcBorders>
            <w:shd w:fill="E5E5E5" w:val="clear"/>
            <w:tcMar>
              <w:bottom w:w="28" w:type="dxa"/>
            </w:tcMar>
            <w:vAlign w:val="center"/>
          </w:tcPr>
          <w:p>
            <w:pPr>
              <w:pStyle w:val="TableContents"/>
              <w:spacing w:before="0" w:after="283"/>
              <w:rPr/>
            </w:pPr>
            <w:r>
              <w:rPr/>
              <w:t>  </w:t>
            </w:r>
          </w:p>
        </w:tc>
        <w:tc>
          <w:tcPr>
            <w:tcW w:w="1400" w:type="dxa"/>
            <w:tcBorders>
              <w:bottom w:val="single" w:sz="6" w:space="0" w:color="732282"/>
            </w:tcBorders>
            <w:shd w:fill="E5E5E5" w:val="clear"/>
            <w:tcMar>
              <w:bottom w:w="28" w:type="dxa"/>
            </w:tcMar>
            <w:vAlign w:val="center"/>
          </w:tcPr>
          <w:p>
            <w:pPr>
              <w:pStyle w:val="TableContents"/>
              <w:spacing w:before="0" w:after="283"/>
              <w:jc w:val="center"/>
              <w:rPr/>
            </w:pPr>
            <w:r>
              <w:rPr/>
              <w:t>110</w:t>
            </w:r>
          </w:p>
        </w:tc>
        <w:tc>
          <w:tcPr>
            <w:tcW w:w="120" w:type="dxa"/>
            <w:tcBorders>
              <w:bottom w:val="single" w:sz="6" w:space="0" w:color="732282"/>
            </w:tcBorders>
            <w:shd w:fill="E5E5E5" w:val="clear"/>
            <w:tcMar>
              <w:bottom w:w="28" w:type="dxa"/>
            </w:tcMar>
            <w:vAlign w:val="center"/>
          </w:tcPr>
          <w:p>
            <w:pPr>
              <w:pStyle w:val="TableContents"/>
              <w:spacing w:before="0" w:after="283"/>
              <w:rPr/>
            </w:pPr>
            <w:r>
              <w:rPr/>
              <w:t>  </w:t>
            </w:r>
          </w:p>
        </w:tc>
        <w:tc>
          <w:tcPr>
            <w:tcW w:w="1400" w:type="dxa"/>
            <w:tcBorders>
              <w:bottom w:val="single" w:sz="6" w:space="0" w:color="732282"/>
            </w:tcBorders>
            <w:shd w:fill="E5E5E5" w:val="clear"/>
            <w:tcMar>
              <w:bottom w:w="28" w:type="dxa"/>
            </w:tcMar>
            <w:vAlign w:val="center"/>
          </w:tcPr>
          <w:p>
            <w:pPr>
              <w:pStyle w:val="TableContents"/>
              <w:spacing w:before="0" w:after="283"/>
              <w:jc w:val="center"/>
              <w:rPr/>
            </w:pPr>
            <w:r>
              <w:rPr/>
              <w:t>120</w:t>
            </w:r>
          </w:p>
        </w:tc>
        <w:tc>
          <w:tcPr>
            <w:tcW w:w="120" w:type="dxa"/>
            <w:tcBorders>
              <w:bottom w:val="single" w:sz="6" w:space="0" w:color="732282"/>
            </w:tcBorders>
            <w:shd w:fill="E5E5E5" w:val="clear"/>
            <w:tcMar>
              <w:bottom w:w="28" w:type="dxa"/>
            </w:tcMar>
            <w:vAlign w:val="center"/>
          </w:tcPr>
          <w:p>
            <w:pPr>
              <w:pStyle w:val="TableContents"/>
              <w:spacing w:before="0" w:after="283"/>
              <w:rPr/>
            </w:pPr>
            <w:r>
              <w:rPr/>
              <w:t>  </w:t>
            </w:r>
          </w:p>
        </w:tc>
        <w:tc>
          <w:tcPr>
            <w:tcW w:w="1400" w:type="dxa"/>
            <w:tcBorders>
              <w:bottom w:val="single" w:sz="6" w:space="0" w:color="732282"/>
            </w:tcBorders>
            <w:shd w:fill="E5E5E5" w:val="clear"/>
            <w:tcMar>
              <w:bottom w:w="28" w:type="dxa"/>
            </w:tcMar>
            <w:vAlign w:val="center"/>
          </w:tcPr>
          <w:p>
            <w:pPr>
              <w:pStyle w:val="TableContents"/>
              <w:spacing w:before="0" w:after="283"/>
              <w:jc w:val="center"/>
              <w:rPr/>
            </w:pPr>
            <w:r>
              <w:rPr/>
              <w:t>130</w:t>
            </w:r>
          </w:p>
        </w:tc>
        <w:tc>
          <w:tcPr>
            <w:tcW w:w="120" w:type="dxa"/>
            <w:tcBorders>
              <w:bottom w:val="single" w:sz="6" w:space="0" w:color="732282"/>
            </w:tcBorders>
            <w:shd w:fill="E5E5E5" w:val="clear"/>
            <w:tcMar>
              <w:bottom w:w="28" w:type="dxa"/>
            </w:tcMar>
            <w:vAlign w:val="center"/>
          </w:tcPr>
          <w:p>
            <w:pPr>
              <w:pStyle w:val="TableContents"/>
              <w:spacing w:before="0" w:after="283"/>
              <w:rPr/>
            </w:pPr>
            <w:r>
              <w:rPr/>
              <w:t>  </w:t>
            </w:r>
          </w:p>
        </w:tc>
        <w:tc>
          <w:tcPr>
            <w:tcW w:w="1415" w:type="dxa"/>
            <w:tcBorders>
              <w:bottom w:val="single" w:sz="6" w:space="0" w:color="732282"/>
            </w:tcBorders>
            <w:shd w:fill="E5E5E5" w:val="clear"/>
            <w:tcMar>
              <w:bottom w:w="28" w:type="dxa"/>
            </w:tcMar>
            <w:vAlign w:val="center"/>
          </w:tcPr>
          <w:p>
            <w:pPr>
              <w:pStyle w:val="TableContents"/>
              <w:spacing w:before="0" w:after="283"/>
              <w:jc w:val="center"/>
              <w:rPr/>
            </w:pPr>
            <w:r>
              <w:rPr/>
              <w:t>134</w:t>
            </w:r>
          </w:p>
        </w:tc>
      </w:tr>
    </w:tbl>
    <w:tbl>
      <w:tblPr>
        <w:tblW w:w="10205" w:type="dxa"/>
        <w:jc w:val="left"/>
        <w:tblInd w:w="0" w:type="dxa"/>
        <w:tblCellMar>
          <w:top w:w="0" w:type="dxa"/>
          <w:left w:w="0" w:type="dxa"/>
          <w:bottom w:w="0" w:type="dxa"/>
          <w:right w:w="0" w:type="dxa"/>
        </w:tblCellMar>
      </w:tblPr>
      <w:tblGrid>
        <w:gridCol w:w="155"/>
        <w:gridCol w:w="10050"/>
      </w:tblGrid>
      <w:tr>
        <w:trPr/>
        <w:tc>
          <w:tcPr>
            <w:tcW w:w="155" w:type="dxa"/>
            <w:tcBorders/>
            <w:shd w:fill="auto" w:val="clear"/>
            <w:vAlign w:val="center"/>
          </w:tcPr>
          <w:p>
            <w:pPr>
              <w:pStyle w:val="TableContents"/>
              <w:spacing w:before="0" w:after="283"/>
              <w:jc w:val="left"/>
              <w:rPr/>
            </w:pPr>
            <w:r>
              <w:rPr/>
              <w:t>*</w:t>
            </w:r>
          </w:p>
        </w:tc>
        <w:tc>
          <w:tcPr>
            <w:tcW w:w="10050" w:type="dxa"/>
            <w:tcBorders/>
            <w:shd w:fill="auto" w:val="clear"/>
            <w:vAlign w:val="center"/>
          </w:tcPr>
          <w:p>
            <w:pPr>
              <w:pStyle w:val="TableContents"/>
              <w:spacing w:before="0" w:after="0"/>
              <w:jc w:val="both"/>
              <w:rPr>
                <w:rFonts w:ascii="arial" w:hAnsi="arial"/>
                <w:sz w:val="14"/>
              </w:rPr>
            </w:pPr>
            <w:r>
              <w:rPr>
                <w:rFonts w:ascii="arial" w:hAnsi="arial"/>
                <w:sz w:val="14"/>
              </w:rPr>
              <w:t xml:space="preserve">Adjusted EBITDA is derived from Viatris’ financial statements in the same manner as Viatris’ publicly reported adjusted EBITDA, except that the calculation for the 2022 incentive program utilized budgeted foreign exchange rates and further adjusts for unbudgeted in-process research and development (“IPR&amp;D”) costs and the December 2022 results of the divested biosimilars business. Viatris’ adjusted EBITDA as reported for the twelve months ended December 31, 2022 is reconciled to the most directly comparable U.S. GAAP measure in Appendix A. </w:t>
            </w:r>
          </w:p>
        </w:tc>
      </w:tr>
    </w:tbl>
    <w:tbl>
      <w:tblPr>
        <w:tblW w:w="10205" w:type="dxa"/>
        <w:jc w:val="left"/>
        <w:tblInd w:w="0" w:type="dxa"/>
        <w:tblCellMar>
          <w:top w:w="0" w:type="dxa"/>
          <w:left w:w="0" w:type="dxa"/>
          <w:bottom w:w="0" w:type="dxa"/>
          <w:right w:w="0" w:type="dxa"/>
        </w:tblCellMar>
      </w:tblPr>
      <w:tblGrid>
        <w:gridCol w:w="174"/>
        <w:gridCol w:w="10031"/>
      </w:tblGrid>
      <w:tr>
        <w:trPr/>
        <w:tc>
          <w:tcPr>
            <w:tcW w:w="174" w:type="dxa"/>
            <w:tcBorders/>
            <w:shd w:fill="auto" w:val="clear"/>
            <w:vAlign w:val="center"/>
          </w:tcPr>
          <w:p>
            <w:pPr>
              <w:pStyle w:val="TableContents"/>
              <w:spacing w:before="0" w:after="283"/>
              <w:jc w:val="left"/>
              <w:rPr/>
            </w:pPr>
            <w:r>
              <w:rPr/>
              <w:t>**</w:t>
            </w:r>
          </w:p>
        </w:tc>
        <w:tc>
          <w:tcPr>
            <w:tcW w:w="10031" w:type="dxa"/>
            <w:tcBorders/>
            <w:shd w:fill="auto" w:val="clear"/>
            <w:vAlign w:val="center"/>
          </w:tcPr>
          <w:p>
            <w:pPr>
              <w:pStyle w:val="TableContents"/>
              <w:spacing w:before="0" w:after="0"/>
              <w:jc w:val="both"/>
              <w:rPr>
                <w:rFonts w:ascii="arial" w:hAnsi="arial"/>
                <w:sz w:val="14"/>
              </w:rPr>
            </w:pPr>
            <w:r>
              <w:rPr>
                <w:rFonts w:ascii="arial" w:hAnsi="arial"/>
                <w:sz w:val="14"/>
              </w:rPr>
              <w:t xml:space="preserve">Free cash flow is derived from Viatris’ audited financial statements in the same manner as Viatris’ publicly reported free cash flow, except that the calculation for 2022 incentive program utilized budgeted foreign exchange rates and further adjusts for any of the following, as applicable: unplanned litigation gains or losses equal to or greater than $25 million in the aggregate, material changes related to changes in tax laws, unbudgeted IPR&amp;D costs, proceeds from the sale of property, plant and equipment, all impacts of the Biocon Biologics transaction following its consummation including results after closing and transaction related costs, and any incremental transaction costs related to other select assets sales/reshaping initiatives and material acquisition activities. Viatris’ free cash flow as reported for the twelve months ended December 31, 2022 is reconciled to the most directly comparable U.S. GAAP measure in Appendix A. </w:t>
            </w:r>
          </w:p>
        </w:tc>
      </w:tr>
    </w:tbl>
    <w:p>
      <w:pPr>
        <w:pStyle w:val="TextBody"/>
        <w:spacing w:before="240" w:after="0"/>
        <w:jc w:val="both"/>
        <w:rPr>
          <w:rFonts w:ascii="arial" w:hAnsi="arial"/>
          <w:sz w:val="18"/>
        </w:rPr>
      </w:pPr>
      <w:r>
        <w:rPr>
          <w:rFonts w:ascii="arial" w:hAnsi="arial"/>
          <w:sz w:val="18"/>
        </w:rPr>
        <w:t xml:space="preserve">The following table shows the 2022 actual incentive payout for each NEO reflecting Company performance at 186.63% of target. </w:t>
      </w:r>
    </w:p>
    <w:p>
      <w:pPr>
        <w:pStyle w:val="TextBody"/>
        <w:spacing w:before="0" w:after="0"/>
        <w:jc w:val="left"/>
        <w:rPr/>
      </w:pPr>
      <w:r>
        <w:rPr/>
        <w:t> </w:t>
      </w:r>
    </w:p>
    <w:tbl>
      <w:tblPr>
        <w:tblW w:w="3355" w:type="dxa"/>
        <w:jc w:val="left"/>
        <w:tblInd w:w="0" w:type="dxa"/>
        <w:tblCellMar>
          <w:top w:w="0" w:type="dxa"/>
          <w:left w:w="0" w:type="dxa"/>
          <w:bottom w:w="0" w:type="dxa"/>
          <w:right w:w="0" w:type="dxa"/>
        </w:tblCellMar>
      </w:tblPr>
      <w:tblGrid>
        <w:gridCol w:w="1430"/>
        <w:gridCol w:w="120"/>
        <w:gridCol w:w="216"/>
        <w:gridCol w:w="1514"/>
        <w:gridCol w:w="75"/>
      </w:tblGrid>
      <w:tr>
        <w:trPr/>
        <w:tc>
          <w:tcPr>
            <w:tcW w:w="14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1514"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430" w:type="dxa"/>
            <w:tcBorders>
              <w:bottom w:val="single" w:sz="8" w:space="0" w:color="732282"/>
            </w:tcBorders>
            <w:shd w:fill="auto" w:val="clear"/>
            <w:tcMar>
              <w:bottom w:w="28" w:type="dxa"/>
            </w:tcMar>
            <w:vAlign w:val="center"/>
          </w:tcPr>
          <w:p>
            <w:pPr>
              <w:pStyle w:val="TableContents"/>
              <w:spacing w:before="0" w:after="0"/>
              <w:rPr>
                <w:rFonts w:ascii="arial" w:hAnsi="arial"/>
                <w:b/>
                <w:color w:val="732282"/>
                <w:sz w:val="16"/>
              </w:rPr>
            </w:pPr>
            <w:r>
              <w:rPr>
                <w:rFonts w:ascii="arial" w:hAnsi="arial"/>
                <w:b/>
                <w:color w:val="732282"/>
                <w:sz w:val="16"/>
              </w:rPr>
              <w:t>NEO</w:t>
            </w:r>
          </w:p>
        </w:tc>
        <w:tc>
          <w:tcPr>
            <w:tcW w:w="120" w:type="dxa"/>
            <w:tcBorders>
              <w:bottom w:val="single" w:sz="8" w:space="0" w:color="732282"/>
            </w:tcBorders>
            <w:shd w:fill="auto" w:val="clear"/>
            <w:tcMar>
              <w:bottom w:w="28" w:type="dxa"/>
            </w:tcMar>
            <w:vAlign w:val="center"/>
          </w:tcPr>
          <w:p>
            <w:pPr>
              <w:pStyle w:val="TableContents"/>
              <w:spacing w:before="0" w:after="283"/>
              <w:rPr/>
            </w:pPr>
            <w:r>
              <w:rPr/>
              <w:t>  </w:t>
            </w:r>
          </w:p>
        </w:tc>
        <w:tc>
          <w:tcPr>
            <w:tcW w:w="1730" w:type="dxa"/>
            <w:gridSpan w:val="2"/>
            <w:tcBorders>
              <w:bottom w:val="single" w:sz="8" w:space="0" w:color="732282"/>
            </w:tcBorders>
            <w:shd w:fill="auto" w:val="clear"/>
            <w:tcMar>
              <w:bottom w:w="28" w:type="dxa"/>
            </w:tcMar>
            <w:vAlign w:val="center"/>
          </w:tcPr>
          <w:p>
            <w:pPr>
              <w:pStyle w:val="TableContents"/>
              <w:spacing w:before="0" w:after="283"/>
              <w:jc w:val="right"/>
              <w:rPr>
                <w:b/>
                <w:color w:val="732282"/>
              </w:rPr>
            </w:pPr>
            <w:r>
              <w:rPr>
                <w:b/>
                <w:color w:val="732282"/>
              </w:rPr>
              <w:t>Actual Annual</w:t>
              <w:br/>
              <w:t>Incentive Award</w:t>
            </w:r>
          </w:p>
        </w:tc>
        <w:tc>
          <w:tcPr>
            <w:tcW w:w="75" w:type="dxa"/>
            <w:tcBorders>
              <w:bottom w:val="single" w:sz="8" w:space="0" w:color="732282"/>
            </w:tcBorders>
            <w:shd w:fill="auto" w:val="clear"/>
            <w:tcMar>
              <w:bottom w:w="28" w:type="dxa"/>
            </w:tcMar>
            <w:vAlign w:val="center"/>
          </w:tcPr>
          <w:p>
            <w:pPr>
              <w:pStyle w:val="TableContents"/>
              <w:spacing w:before="0" w:after="283"/>
              <w:rPr/>
            </w:pPr>
            <w:r>
              <w:rPr/>
              <w:t> </w:t>
            </w:r>
          </w:p>
        </w:tc>
      </w:tr>
      <w:tr>
        <w:trPr/>
        <w:tc>
          <w:tcPr>
            <w:tcW w:w="1430" w:type="dxa"/>
            <w:tcBorders/>
            <w:shd w:fill="E5E5E5" w:val="clear"/>
            <w:vAlign w:val="center"/>
          </w:tcPr>
          <w:p>
            <w:pPr>
              <w:pStyle w:val="TableContents"/>
              <w:spacing w:before="0" w:after="0"/>
              <w:rPr>
                <w:rFonts w:ascii="arial" w:hAnsi="arial"/>
                <w:b/>
                <w:sz w:val="18"/>
              </w:rPr>
            </w:pPr>
            <w:r>
              <w:rPr>
                <w:rFonts w:ascii="arial" w:hAnsi="arial"/>
                <w:b/>
                <w:sz w:val="18"/>
              </w:rPr>
              <w:t>Michael Goettler</w:t>
            </w:r>
          </w:p>
        </w:tc>
        <w:tc>
          <w:tcPr>
            <w:tcW w:w="120" w:type="dxa"/>
            <w:tcBorders/>
            <w:shd w:fill="E5E5E5" w:val="clear"/>
            <w:vAlign w:val="center"/>
          </w:tcPr>
          <w:p>
            <w:pPr>
              <w:pStyle w:val="TableContents"/>
              <w:spacing w:before="0" w:after="283"/>
              <w:rPr/>
            </w:pPr>
            <w:r>
              <w:rPr/>
              <w:t>  </w:t>
            </w:r>
          </w:p>
        </w:tc>
        <w:tc>
          <w:tcPr>
            <w:tcW w:w="216" w:type="dxa"/>
            <w:tcBorders/>
            <w:shd w:fill="E5E5E5" w:val="clear"/>
            <w:vAlign w:val="center"/>
          </w:tcPr>
          <w:p>
            <w:pPr>
              <w:pStyle w:val="TableContents"/>
              <w:spacing w:before="0" w:after="283"/>
              <w:rPr/>
            </w:pPr>
            <w:r>
              <w:rPr/>
              <w:t>$</w:t>
            </w:r>
          </w:p>
        </w:tc>
        <w:tc>
          <w:tcPr>
            <w:tcW w:w="1514" w:type="dxa"/>
            <w:tcBorders/>
            <w:shd w:fill="E5E5E5" w:val="clear"/>
            <w:vAlign w:val="center"/>
          </w:tcPr>
          <w:p>
            <w:pPr>
              <w:pStyle w:val="TableContents"/>
              <w:spacing w:before="0" w:after="283"/>
              <w:jc w:val="right"/>
              <w:rPr/>
            </w:pPr>
            <w:r>
              <w:rPr/>
              <w:t>3,639,285</w:t>
            </w:r>
          </w:p>
        </w:tc>
        <w:tc>
          <w:tcPr>
            <w:tcW w:w="75" w:type="dxa"/>
            <w:tcBorders/>
            <w:shd w:fill="E5E5E5" w:val="clear"/>
            <w:vAlign w:val="center"/>
          </w:tcPr>
          <w:p>
            <w:pPr>
              <w:pStyle w:val="TableContents"/>
              <w:spacing w:before="0" w:after="283"/>
              <w:rPr/>
            </w:pPr>
            <w:r>
              <w:rPr/>
              <w:t> </w:t>
            </w:r>
          </w:p>
        </w:tc>
      </w:tr>
      <w:tr>
        <w:trPr/>
        <w:tc>
          <w:tcPr>
            <w:tcW w:w="1430" w:type="dxa"/>
            <w:tcBorders/>
            <w:shd w:fill="auto" w:val="clear"/>
            <w:vAlign w:val="center"/>
          </w:tcPr>
          <w:p>
            <w:pPr>
              <w:pStyle w:val="TableContents"/>
              <w:spacing w:before="0" w:after="0"/>
              <w:rPr>
                <w:rFonts w:ascii="arial" w:hAnsi="arial"/>
                <w:b/>
                <w:sz w:val="18"/>
              </w:rPr>
            </w:pPr>
            <w:r>
              <w:rPr>
                <w:rFonts w:ascii="arial" w:hAnsi="arial"/>
                <w:b/>
                <w:sz w:val="18"/>
              </w:rPr>
              <w:t>Rajiv Malik</w:t>
            </w:r>
          </w:p>
        </w:tc>
        <w:tc>
          <w:tcPr>
            <w:tcW w:w="120" w:type="dxa"/>
            <w:tcBorders/>
            <w:shd w:fill="auto" w:val="clear"/>
            <w:vAlign w:val="center"/>
          </w:tcPr>
          <w:p>
            <w:pPr>
              <w:pStyle w:val="TableContents"/>
              <w:spacing w:before="0" w:after="283"/>
              <w:rPr/>
            </w:pPr>
            <w:r>
              <w:rPr/>
              <w:t>  </w:t>
            </w:r>
          </w:p>
        </w:tc>
        <w:tc>
          <w:tcPr>
            <w:tcW w:w="216" w:type="dxa"/>
            <w:tcBorders/>
            <w:shd w:fill="auto" w:val="clear"/>
            <w:vAlign w:val="center"/>
          </w:tcPr>
          <w:p>
            <w:pPr>
              <w:pStyle w:val="TableContents"/>
              <w:spacing w:before="0" w:after="283"/>
              <w:rPr/>
            </w:pPr>
            <w:r>
              <w:rPr/>
              <w:t>$</w:t>
            </w:r>
          </w:p>
        </w:tc>
        <w:tc>
          <w:tcPr>
            <w:tcW w:w="1514" w:type="dxa"/>
            <w:tcBorders/>
            <w:shd w:fill="auto" w:val="clear"/>
            <w:vAlign w:val="center"/>
          </w:tcPr>
          <w:p>
            <w:pPr>
              <w:pStyle w:val="TableContents"/>
              <w:spacing w:before="0" w:after="283"/>
              <w:jc w:val="right"/>
              <w:rPr/>
            </w:pPr>
            <w:r>
              <w:rPr/>
              <w:t>2,799,450</w:t>
            </w:r>
          </w:p>
        </w:tc>
        <w:tc>
          <w:tcPr>
            <w:tcW w:w="75" w:type="dxa"/>
            <w:tcBorders/>
            <w:shd w:fill="auto" w:val="clear"/>
            <w:vAlign w:val="center"/>
          </w:tcPr>
          <w:p>
            <w:pPr>
              <w:pStyle w:val="TableContents"/>
              <w:spacing w:before="0" w:after="283"/>
              <w:rPr/>
            </w:pPr>
            <w:r>
              <w:rPr/>
              <w:t> </w:t>
            </w:r>
          </w:p>
        </w:tc>
      </w:tr>
      <w:tr>
        <w:trPr/>
        <w:tc>
          <w:tcPr>
            <w:tcW w:w="1430" w:type="dxa"/>
            <w:tcBorders/>
            <w:shd w:fill="E5E5E5" w:val="clear"/>
            <w:vAlign w:val="center"/>
          </w:tcPr>
          <w:p>
            <w:pPr>
              <w:pStyle w:val="TableContents"/>
              <w:spacing w:before="0" w:after="0"/>
              <w:rPr>
                <w:rFonts w:ascii="arial" w:hAnsi="arial"/>
                <w:b/>
                <w:sz w:val="18"/>
              </w:rPr>
            </w:pPr>
            <w:r>
              <w:rPr>
                <w:rFonts w:ascii="arial" w:hAnsi="arial"/>
                <w:b/>
                <w:sz w:val="18"/>
              </w:rPr>
              <w:t>Sanjeev Narula</w:t>
            </w:r>
          </w:p>
        </w:tc>
        <w:tc>
          <w:tcPr>
            <w:tcW w:w="120" w:type="dxa"/>
            <w:tcBorders/>
            <w:shd w:fill="E5E5E5" w:val="clear"/>
            <w:vAlign w:val="center"/>
          </w:tcPr>
          <w:p>
            <w:pPr>
              <w:pStyle w:val="TableContents"/>
              <w:spacing w:before="0" w:after="283"/>
              <w:rPr/>
            </w:pPr>
            <w:r>
              <w:rPr/>
              <w:t>  </w:t>
            </w:r>
          </w:p>
        </w:tc>
        <w:tc>
          <w:tcPr>
            <w:tcW w:w="216" w:type="dxa"/>
            <w:tcBorders/>
            <w:shd w:fill="E5E5E5" w:val="clear"/>
            <w:vAlign w:val="center"/>
          </w:tcPr>
          <w:p>
            <w:pPr>
              <w:pStyle w:val="TableContents"/>
              <w:spacing w:before="0" w:after="283"/>
              <w:rPr/>
            </w:pPr>
            <w:r>
              <w:rPr/>
              <w:t>$</w:t>
            </w:r>
          </w:p>
        </w:tc>
        <w:tc>
          <w:tcPr>
            <w:tcW w:w="1514" w:type="dxa"/>
            <w:tcBorders/>
            <w:shd w:fill="E5E5E5" w:val="clear"/>
            <w:vAlign w:val="center"/>
          </w:tcPr>
          <w:p>
            <w:pPr>
              <w:pStyle w:val="TableContents"/>
              <w:spacing w:before="0" w:after="283"/>
              <w:jc w:val="right"/>
              <w:rPr/>
            </w:pPr>
            <w:r>
              <w:rPr/>
              <w:t>1,586,355</w:t>
            </w:r>
          </w:p>
        </w:tc>
        <w:tc>
          <w:tcPr>
            <w:tcW w:w="75" w:type="dxa"/>
            <w:tcBorders/>
            <w:shd w:fill="E5E5E5" w:val="clear"/>
            <w:vAlign w:val="center"/>
          </w:tcPr>
          <w:p>
            <w:pPr>
              <w:pStyle w:val="TableContents"/>
              <w:spacing w:before="0" w:after="283"/>
              <w:rPr/>
            </w:pPr>
            <w:r>
              <w:rPr/>
              <w:t> </w:t>
            </w:r>
          </w:p>
        </w:tc>
      </w:tr>
      <w:tr>
        <w:trPr/>
        <w:tc>
          <w:tcPr>
            <w:tcW w:w="1430" w:type="dxa"/>
            <w:tcBorders/>
            <w:shd w:fill="auto" w:val="clear"/>
            <w:vAlign w:val="center"/>
          </w:tcPr>
          <w:p>
            <w:pPr>
              <w:pStyle w:val="TableContents"/>
              <w:spacing w:before="0" w:after="0"/>
              <w:rPr>
                <w:rFonts w:ascii="arial" w:hAnsi="arial"/>
                <w:b/>
                <w:sz w:val="18"/>
              </w:rPr>
            </w:pPr>
            <w:r>
              <w:rPr>
                <w:rFonts w:ascii="arial" w:hAnsi="arial"/>
                <w:b/>
                <w:sz w:val="18"/>
              </w:rPr>
              <w:t>Anthony Mauro</w:t>
            </w:r>
          </w:p>
        </w:tc>
        <w:tc>
          <w:tcPr>
            <w:tcW w:w="120" w:type="dxa"/>
            <w:tcBorders/>
            <w:shd w:fill="auto" w:val="clear"/>
            <w:vAlign w:val="center"/>
          </w:tcPr>
          <w:p>
            <w:pPr>
              <w:pStyle w:val="TableContents"/>
              <w:spacing w:before="0" w:after="283"/>
              <w:rPr/>
            </w:pPr>
            <w:r>
              <w:rPr/>
              <w:t>  </w:t>
            </w:r>
          </w:p>
        </w:tc>
        <w:tc>
          <w:tcPr>
            <w:tcW w:w="216" w:type="dxa"/>
            <w:tcBorders/>
            <w:shd w:fill="auto" w:val="clear"/>
            <w:vAlign w:val="center"/>
          </w:tcPr>
          <w:p>
            <w:pPr>
              <w:pStyle w:val="TableContents"/>
              <w:spacing w:before="0" w:after="283"/>
              <w:rPr/>
            </w:pPr>
            <w:r>
              <w:rPr/>
              <w:t>$</w:t>
            </w:r>
          </w:p>
        </w:tc>
        <w:tc>
          <w:tcPr>
            <w:tcW w:w="1514" w:type="dxa"/>
            <w:tcBorders/>
            <w:shd w:fill="auto" w:val="clear"/>
            <w:vAlign w:val="center"/>
          </w:tcPr>
          <w:p>
            <w:pPr>
              <w:pStyle w:val="TableContents"/>
              <w:spacing w:before="0" w:after="283"/>
              <w:jc w:val="right"/>
              <w:rPr/>
            </w:pPr>
            <w:r>
              <w:rPr/>
              <w:t>1,716,996</w:t>
            </w:r>
          </w:p>
        </w:tc>
        <w:tc>
          <w:tcPr>
            <w:tcW w:w="75" w:type="dxa"/>
            <w:tcBorders/>
            <w:shd w:fill="auto" w:val="clear"/>
            <w:vAlign w:val="center"/>
          </w:tcPr>
          <w:p>
            <w:pPr>
              <w:pStyle w:val="TableContents"/>
              <w:spacing w:before="0" w:after="283"/>
              <w:rPr/>
            </w:pPr>
            <w:r>
              <w:rPr/>
              <w:t> </w:t>
            </w:r>
          </w:p>
        </w:tc>
      </w:tr>
      <w:tr>
        <w:trPr/>
        <w:tc>
          <w:tcPr>
            <w:tcW w:w="1430" w:type="dxa"/>
            <w:tcBorders>
              <w:bottom w:val="single" w:sz="6" w:space="0" w:color="732282"/>
            </w:tcBorders>
            <w:shd w:fill="E5E5E5" w:val="clear"/>
            <w:tcMar>
              <w:bottom w:w="28" w:type="dxa"/>
            </w:tcMar>
            <w:vAlign w:val="center"/>
          </w:tcPr>
          <w:p>
            <w:pPr>
              <w:pStyle w:val="TableContents"/>
              <w:spacing w:before="0" w:after="0"/>
              <w:rPr>
                <w:rFonts w:ascii="arial" w:hAnsi="arial"/>
                <w:b/>
                <w:sz w:val="18"/>
              </w:rPr>
            </w:pPr>
            <w:r>
              <w:rPr>
                <w:rFonts w:ascii="arial" w:hAnsi="arial"/>
                <w:b/>
                <w:sz w:val="18"/>
              </w:rPr>
              <w:t>Robert J. Coury</w:t>
            </w:r>
          </w:p>
        </w:tc>
        <w:tc>
          <w:tcPr>
            <w:tcW w:w="120" w:type="dxa"/>
            <w:tcBorders>
              <w:bottom w:val="single" w:sz="6" w:space="0" w:color="732282"/>
            </w:tcBorders>
            <w:shd w:fill="E5E5E5" w:val="clear"/>
            <w:tcMar>
              <w:bottom w:w="28" w:type="dxa"/>
            </w:tcMar>
            <w:vAlign w:val="center"/>
          </w:tcPr>
          <w:p>
            <w:pPr>
              <w:pStyle w:val="TableContents"/>
              <w:spacing w:before="0" w:after="283"/>
              <w:rPr/>
            </w:pPr>
            <w:r>
              <w:rPr/>
              <w:t>  </w:t>
            </w:r>
          </w:p>
        </w:tc>
        <w:tc>
          <w:tcPr>
            <w:tcW w:w="216" w:type="dxa"/>
            <w:tcBorders>
              <w:bottom w:val="single" w:sz="6" w:space="0" w:color="732282"/>
            </w:tcBorders>
            <w:shd w:fill="E5E5E5" w:val="clear"/>
            <w:tcMar>
              <w:bottom w:w="28" w:type="dxa"/>
            </w:tcMar>
            <w:vAlign w:val="center"/>
          </w:tcPr>
          <w:p>
            <w:pPr>
              <w:pStyle w:val="TableContents"/>
              <w:spacing w:before="0" w:after="283"/>
              <w:rPr/>
            </w:pPr>
            <w:r>
              <w:rPr/>
              <w:t>$</w:t>
            </w:r>
          </w:p>
        </w:tc>
        <w:tc>
          <w:tcPr>
            <w:tcW w:w="1514" w:type="dxa"/>
            <w:tcBorders>
              <w:bottom w:val="single" w:sz="6" w:space="0" w:color="732282"/>
            </w:tcBorders>
            <w:shd w:fill="E5E5E5" w:val="clear"/>
            <w:tcMar>
              <w:bottom w:w="28" w:type="dxa"/>
            </w:tcMar>
            <w:vAlign w:val="center"/>
          </w:tcPr>
          <w:p>
            <w:pPr>
              <w:pStyle w:val="TableContents"/>
              <w:spacing w:before="0" w:after="283"/>
              <w:jc w:val="right"/>
              <w:rPr/>
            </w:pPr>
            <w:r>
              <w:rPr/>
              <w:t>5,039,010</w:t>
            </w:r>
          </w:p>
        </w:tc>
        <w:tc>
          <w:tcPr>
            <w:tcW w:w="75" w:type="dxa"/>
            <w:tcBorders>
              <w:bottom w:val="single" w:sz="6" w:space="0" w:color="732282"/>
            </w:tcBorders>
            <w:shd w:fill="E5E5E5" w:val="clear"/>
            <w:tcMar>
              <w:bottom w:w="28" w:type="dxa"/>
            </w:tcMar>
            <w:vAlign w:val="center"/>
          </w:tcPr>
          <w:p>
            <w:pPr>
              <w:pStyle w:val="TableContents"/>
              <w:spacing w:before="0" w:after="283"/>
              <w:rPr/>
            </w:pPr>
            <w:r>
              <w:rPr/>
              <w:t> </w:t>
            </w:r>
          </w:p>
        </w:tc>
      </w:tr>
    </w:tbl>
    <w:p>
      <w:pPr>
        <w:pStyle w:val="TextBody"/>
        <w:spacing w:before="240" w:after="0"/>
        <w:jc w:val="left"/>
        <w:rPr>
          <w:rFonts w:ascii="arial" w:hAnsi="arial"/>
          <w:b/>
          <w:sz w:val="20"/>
        </w:rPr>
      </w:pPr>
      <w:r>
        <w:rPr>
          <w:rFonts w:ascii="arial" w:hAnsi="arial"/>
          <w:b/>
          <w:sz w:val="20"/>
        </w:rPr>
        <w:t xml:space="preserve">2022 Long-Term Incentive Compensation Programs </w:t>
      </w:r>
    </w:p>
    <w:p>
      <w:pPr>
        <w:pStyle w:val="TextBody"/>
        <w:spacing w:before="120" w:after="0"/>
        <w:jc w:val="both"/>
        <w:rPr>
          <w:rFonts w:ascii="arial" w:hAnsi="arial"/>
          <w:b/>
          <w:i/>
          <w:sz w:val="20"/>
        </w:rPr>
      </w:pPr>
      <w:r>
        <w:rPr>
          <w:rFonts w:ascii="arial" w:hAnsi="arial"/>
          <w:b/>
          <w:i/>
          <w:sz w:val="20"/>
        </w:rPr>
        <w:t xml:space="preserve">Long-Term Incentive Compensation Grants for 2022 </w:t>
      </w:r>
    </w:p>
    <w:p>
      <w:pPr>
        <w:pStyle w:val="TextBody"/>
        <w:spacing w:before="120" w:after="0"/>
        <w:jc w:val="both"/>
        <w:rPr>
          <w:rFonts w:ascii="arial" w:hAnsi="arial"/>
          <w:sz w:val="18"/>
        </w:rPr>
      </w:pPr>
      <w:r>
        <w:rPr>
          <w:rFonts w:ascii="arial" w:hAnsi="arial"/>
          <w:sz w:val="18"/>
        </w:rPr>
        <w:t xml:space="preserve">The Compensation Committee believes that the value of long-term incentives should be directly related to the performance of Viatris’ ordinary shares over several years, as well as other measures associated with the growth, success, and long-term sustainability of Viatris. The Compensation Committee approved annual long-term incentive (“LTI”) award grants in the first quarter of 2022.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30 </w:t>
      </w:r>
      <w:r>
        <w:br w:type="page"/>
      </w:r>
    </w:p>
    <w:p>
      <w:pPr>
        <w:pStyle w:val="HorizontalLine"/>
        <w:rPr/>
      </w:pPr>
      <w:r>
        <w:rPr/>
      </w:r>
    </w:p>
    <w:p>
      <w:pPr>
        <w:pStyle w:val="TextBody"/>
        <w:spacing w:before="0" w:after="0"/>
        <w:jc w:val="both"/>
        <w:rPr>
          <w:rFonts w:ascii="arial" w:hAnsi="arial"/>
          <w:sz w:val="18"/>
        </w:rPr>
      </w:pPr>
      <w:r>
        <w:rPr>
          <w:rFonts w:ascii="arial" w:hAnsi="arial"/>
          <w:sz w:val="18"/>
        </w:rPr>
        <w:t xml:space="preserve">In 2022, we increased the percentage of performance-based awards (which are subject to a TSR modifier) from 60% to 65%, with 65% of each NEO’s award in the form of PRSUs and 35% in the form of restricted stock units (“RSUs”). RSUs vest ratably over a three-year period following the grant date, and PRSUs vest as described below. This mix of LTI awards provides NEOs with a combination of incentives and aligns them with the interests of shareholders. </w:t>
      </w:r>
    </w:p>
    <w:p>
      <w:pPr>
        <w:pStyle w:val="TextBody"/>
        <w:spacing w:before="240" w:after="0"/>
        <w:jc w:val="both"/>
        <w:rPr>
          <w:rFonts w:ascii="arial" w:hAnsi="arial"/>
          <w:sz w:val="18"/>
        </w:rPr>
      </w:pPr>
      <w:r>
        <w:rPr>
          <w:rFonts w:ascii="arial" w:hAnsi="arial"/>
          <w:sz w:val="18"/>
        </w:rPr>
        <w:t xml:space="preserve">Each NEO’s 2022 LTI award had a targeted value at grant equal to a percentage of the NEO’s base salary. In setting each NEO’s LTI targeted value, the Compensation Committee considered a variety of factors, including, among others, peer group compensation and expectations regarding individual roles and responsibilities. </w:t>
      </w:r>
    </w:p>
    <w:p>
      <w:pPr>
        <w:pStyle w:val="TextBody"/>
        <w:spacing w:before="240" w:after="0"/>
        <w:jc w:val="both"/>
        <w:rPr>
          <w:rFonts w:ascii="arial" w:hAnsi="arial"/>
          <w:sz w:val="18"/>
        </w:rPr>
      </w:pPr>
      <w:r>
        <w:rPr>
          <w:rFonts w:ascii="arial" w:hAnsi="arial"/>
          <w:sz w:val="18"/>
        </w:rPr>
        <w:t xml:space="preserve">For 2022, the Compensation Committee approved the following annual LTI award values for our NEOs: </w:t>
      </w:r>
    </w:p>
    <w:p>
      <w:pPr>
        <w:pStyle w:val="TextBody"/>
        <w:spacing w:before="0" w:after="0"/>
        <w:jc w:val="left"/>
        <w:rPr/>
      </w:pPr>
      <w:r>
        <w:rPr/>
        <w:t> </w:t>
      </w:r>
    </w:p>
    <w:tbl>
      <w:tblPr>
        <w:tblW w:w="5465" w:type="dxa"/>
        <w:jc w:val="left"/>
        <w:tblInd w:w="0" w:type="dxa"/>
        <w:tblCellMar>
          <w:top w:w="0" w:type="dxa"/>
          <w:left w:w="0" w:type="dxa"/>
          <w:bottom w:w="0" w:type="dxa"/>
          <w:right w:w="0" w:type="dxa"/>
        </w:tblCellMar>
      </w:tblPr>
      <w:tblGrid>
        <w:gridCol w:w="1430"/>
        <w:gridCol w:w="120"/>
        <w:gridCol w:w="140"/>
        <w:gridCol w:w="980"/>
        <w:gridCol w:w="60"/>
        <w:gridCol w:w="120"/>
        <w:gridCol w:w="140"/>
        <w:gridCol w:w="980"/>
        <w:gridCol w:w="60"/>
        <w:gridCol w:w="120"/>
        <w:gridCol w:w="140"/>
        <w:gridCol w:w="1100"/>
        <w:gridCol w:w="75"/>
      </w:tblGrid>
      <w:tr>
        <w:trPr/>
        <w:tc>
          <w:tcPr>
            <w:tcW w:w="14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430" w:type="dxa"/>
            <w:tcBorders>
              <w:bottom w:val="single" w:sz="8" w:space="0" w:color="732282"/>
            </w:tcBorders>
            <w:shd w:fill="auto" w:val="clear"/>
            <w:tcMar>
              <w:bottom w:w="28" w:type="dxa"/>
            </w:tcMar>
            <w:vAlign w:val="center"/>
          </w:tcPr>
          <w:p>
            <w:pPr>
              <w:pStyle w:val="TableContents"/>
              <w:spacing w:before="0" w:after="0"/>
              <w:rPr>
                <w:rFonts w:ascii="arial" w:hAnsi="arial"/>
                <w:b/>
                <w:color w:val="732282"/>
                <w:sz w:val="16"/>
              </w:rPr>
            </w:pPr>
            <w:r>
              <w:rPr>
                <w:rFonts w:ascii="arial" w:hAnsi="arial"/>
                <w:b/>
                <w:color w:val="732282"/>
                <w:sz w:val="16"/>
              </w:rPr>
              <w:t>NEO</w:t>
            </w:r>
          </w:p>
        </w:tc>
        <w:tc>
          <w:tcPr>
            <w:tcW w:w="120" w:type="dxa"/>
            <w:tcBorders>
              <w:bottom w:val="single" w:sz="8" w:space="0" w:color="732282"/>
            </w:tcBorders>
            <w:shd w:fill="auto" w:val="clear"/>
            <w:tcMar>
              <w:bottom w:w="28" w:type="dxa"/>
            </w:tcMar>
            <w:vAlign w:val="center"/>
          </w:tcPr>
          <w:p>
            <w:pPr>
              <w:pStyle w:val="TableContents"/>
              <w:spacing w:before="0" w:after="283"/>
              <w:rPr/>
            </w:pPr>
            <w:r>
              <w:rPr/>
              <w:t>  </w:t>
            </w:r>
          </w:p>
        </w:tc>
        <w:tc>
          <w:tcPr>
            <w:tcW w:w="1120" w:type="dxa"/>
            <w:gridSpan w:val="2"/>
            <w:tcBorders>
              <w:bottom w:val="single" w:sz="8" w:space="0" w:color="732282"/>
            </w:tcBorders>
            <w:shd w:fill="auto" w:val="clear"/>
            <w:tcMar>
              <w:bottom w:w="28" w:type="dxa"/>
            </w:tcMar>
            <w:vAlign w:val="center"/>
          </w:tcPr>
          <w:p>
            <w:pPr>
              <w:pStyle w:val="TableContents"/>
              <w:spacing w:before="0" w:after="283"/>
              <w:jc w:val="right"/>
              <w:rPr>
                <w:b/>
                <w:color w:val="732282"/>
              </w:rPr>
            </w:pPr>
            <w:r>
              <w:rPr>
                <w:b/>
                <w:color w:val="732282"/>
              </w:rPr>
              <w:t>PRSUs</w:t>
            </w:r>
          </w:p>
        </w:tc>
        <w:tc>
          <w:tcPr>
            <w:tcW w:w="60" w:type="dxa"/>
            <w:tcBorders>
              <w:bottom w:val="single" w:sz="8" w:space="0" w:color="732282"/>
            </w:tcBorders>
            <w:shd w:fill="auto" w:val="clear"/>
            <w:tcMar>
              <w:bottom w:w="28" w:type="dxa"/>
            </w:tcMar>
            <w:vAlign w:val="center"/>
          </w:tcPr>
          <w:p>
            <w:pPr>
              <w:pStyle w:val="TableContents"/>
              <w:spacing w:before="0" w:after="283"/>
              <w:rPr/>
            </w:pPr>
            <w:r>
              <w:rPr/>
              <w:t> </w:t>
            </w:r>
          </w:p>
        </w:tc>
        <w:tc>
          <w:tcPr>
            <w:tcW w:w="120" w:type="dxa"/>
            <w:tcBorders>
              <w:bottom w:val="single" w:sz="8" w:space="0" w:color="732282"/>
            </w:tcBorders>
            <w:shd w:fill="auto" w:val="clear"/>
            <w:tcMar>
              <w:bottom w:w="28" w:type="dxa"/>
            </w:tcMar>
            <w:vAlign w:val="center"/>
          </w:tcPr>
          <w:p>
            <w:pPr>
              <w:pStyle w:val="TableContents"/>
              <w:spacing w:before="0" w:after="283"/>
              <w:rPr/>
            </w:pPr>
            <w:r>
              <w:rPr/>
              <w:t>  </w:t>
            </w:r>
          </w:p>
        </w:tc>
        <w:tc>
          <w:tcPr>
            <w:tcW w:w="1120" w:type="dxa"/>
            <w:gridSpan w:val="2"/>
            <w:tcBorders>
              <w:bottom w:val="single" w:sz="8" w:space="0" w:color="732282"/>
            </w:tcBorders>
            <w:shd w:fill="auto" w:val="clear"/>
            <w:tcMar>
              <w:bottom w:w="28" w:type="dxa"/>
            </w:tcMar>
            <w:vAlign w:val="center"/>
          </w:tcPr>
          <w:p>
            <w:pPr>
              <w:pStyle w:val="TableContents"/>
              <w:spacing w:before="0" w:after="283"/>
              <w:jc w:val="right"/>
              <w:rPr>
                <w:b/>
                <w:color w:val="732282"/>
              </w:rPr>
            </w:pPr>
            <w:r>
              <w:rPr>
                <w:b/>
                <w:color w:val="732282"/>
              </w:rPr>
              <w:t>RSUs</w:t>
            </w:r>
          </w:p>
        </w:tc>
        <w:tc>
          <w:tcPr>
            <w:tcW w:w="60" w:type="dxa"/>
            <w:tcBorders>
              <w:bottom w:val="single" w:sz="8" w:space="0" w:color="732282"/>
            </w:tcBorders>
            <w:shd w:fill="auto" w:val="clear"/>
            <w:tcMar>
              <w:bottom w:w="28" w:type="dxa"/>
            </w:tcMar>
            <w:vAlign w:val="center"/>
          </w:tcPr>
          <w:p>
            <w:pPr>
              <w:pStyle w:val="TableContents"/>
              <w:spacing w:before="0" w:after="283"/>
              <w:rPr/>
            </w:pPr>
            <w:r>
              <w:rPr/>
              <w:t> </w:t>
            </w:r>
          </w:p>
        </w:tc>
        <w:tc>
          <w:tcPr>
            <w:tcW w:w="120" w:type="dxa"/>
            <w:tcBorders>
              <w:bottom w:val="single" w:sz="8" w:space="0" w:color="732282"/>
            </w:tcBorders>
            <w:shd w:fill="auto" w:val="clear"/>
            <w:tcMar>
              <w:bottom w:w="28" w:type="dxa"/>
            </w:tcMar>
            <w:vAlign w:val="center"/>
          </w:tcPr>
          <w:p>
            <w:pPr>
              <w:pStyle w:val="TableContents"/>
              <w:spacing w:before="0" w:after="283"/>
              <w:rPr/>
            </w:pPr>
            <w:r>
              <w:rPr/>
              <w:t>  </w:t>
            </w:r>
          </w:p>
        </w:tc>
        <w:tc>
          <w:tcPr>
            <w:tcW w:w="1240" w:type="dxa"/>
            <w:gridSpan w:val="2"/>
            <w:tcBorders>
              <w:bottom w:val="single" w:sz="8" w:space="0" w:color="732282"/>
            </w:tcBorders>
            <w:shd w:fill="auto" w:val="clear"/>
            <w:tcMar>
              <w:bottom w:w="28" w:type="dxa"/>
            </w:tcMar>
            <w:vAlign w:val="center"/>
          </w:tcPr>
          <w:p>
            <w:pPr>
              <w:pStyle w:val="TableContents"/>
              <w:spacing w:before="0" w:after="283"/>
              <w:jc w:val="right"/>
              <w:rPr>
                <w:b/>
                <w:color w:val="732282"/>
              </w:rPr>
            </w:pPr>
            <w:r>
              <w:rPr>
                <w:b/>
                <w:color w:val="732282"/>
              </w:rPr>
              <w:t>Total LTI</w:t>
              <w:br/>
              <w:t>Award</w:t>
            </w:r>
          </w:p>
        </w:tc>
        <w:tc>
          <w:tcPr>
            <w:tcW w:w="75" w:type="dxa"/>
            <w:tcBorders>
              <w:bottom w:val="single" w:sz="8" w:space="0" w:color="732282"/>
            </w:tcBorders>
            <w:shd w:fill="auto" w:val="clear"/>
            <w:tcMar>
              <w:bottom w:w="28" w:type="dxa"/>
            </w:tcMar>
            <w:vAlign w:val="center"/>
          </w:tcPr>
          <w:p>
            <w:pPr>
              <w:pStyle w:val="TableContents"/>
              <w:spacing w:before="0" w:after="283"/>
              <w:rPr/>
            </w:pPr>
            <w:r>
              <w:rPr/>
              <w:t> </w:t>
            </w:r>
          </w:p>
        </w:tc>
      </w:tr>
      <w:tr>
        <w:trPr/>
        <w:tc>
          <w:tcPr>
            <w:tcW w:w="1430" w:type="dxa"/>
            <w:tcBorders/>
            <w:shd w:fill="E5E5E5" w:val="clear"/>
            <w:vAlign w:val="center"/>
          </w:tcPr>
          <w:p>
            <w:pPr>
              <w:pStyle w:val="TableContents"/>
              <w:spacing w:before="0" w:after="0"/>
              <w:rPr>
                <w:rFonts w:ascii="arial" w:hAnsi="arial"/>
                <w:b/>
                <w:sz w:val="18"/>
              </w:rPr>
            </w:pPr>
            <w:r>
              <w:rPr>
                <w:rFonts w:ascii="arial" w:hAnsi="arial"/>
                <w:b/>
                <w:sz w:val="18"/>
              </w:rPr>
              <w:t>Michael Goettler</w:t>
            </w:r>
          </w:p>
        </w:tc>
        <w:tc>
          <w:tcPr>
            <w:tcW w:w="120" w:type="dxa"/>
            <w:tcBorders/>
            <w:shd w:fill="E5E5E5" w:val="clear"/>
            <w:vAlign w:val="center"/>
          </w:tcPr>
          <w:p>
            <w:pPr>
              <w:pStyle w:val="TableContents"/>
              <w:spacing w:before="0" w:after="283"/>
              <w:rPr/>
            </w:pPr>
            <w:r>
              <w:rPr/>
              <w:t>  </w:t>
            </w:r>
          </w:p>
        </w:tc>
        <w:tc>
          <w:tcPr>
            <w:tcW w:w="140" w:type="dxa"/>
            <w:tcBorders/>
            <w:shd w:fill="E5E5E5" w:val="clear"/>
            <w:vAlign w:val="center"/>
          </w:tcPr>
          <w:p>
            <w:pPr>
              <w:pStyle w:val="TableContents"/>
              <w:spacing w:before="0" w:after="283"/>
              <w:rPr/>
            </w:pPr>
            <w:r>
              <w:rPr/>
              <w:t>$</w:t>
            </w:r>
          </w:p>
        </w:tc>
        <w:tc>
          <w:tcPr>
            <w:tcW w:w="980" w:type="dxa"/>
            <w:tcBorders/>
            <w:shd w:fill="E5E5E5" w:val="clear"/>
            <w:vAlign w:val="center"/>
          </w:tcPr>
          <w:p>
            <w:pPr>
              <w:pStyle w:val="TableContents"/>
              <w:spacing w:before="0" w:after="283"/>
              <w:jc w:val="right"/>
              <w:rPr/>
            </w:pPr>
            <w:r>
              <w:rPr/>
              <w:t>5,915,000</w:t>
            </w:r>
          </w:p>
        </w:tc>
        <w:tc>
          <w:tcPr>
            <w:tcW w:w="60" w:type="dxa"/>
            <w:tcBorders/>
            <w:shd w:fill="E5E5E5" w:val="clear"/>
            <w:vAlign w:val="center"/>
          </w:tcPr>
          <w:p>
            <w:pPr>
              <w:pStyle w:val="TableContents"/>
              <w:spacing w:before="0" w:after="283"/>
              <w:rPr/>
            </w:pPr>
            <w:r>
              <w:rPr/>
              <w:t> </w:t>
            </w:r>
          </w:p>
        </w:tc>
        <w:tc>
          <w:tcPr>
            <w:tcW w:w="120" w:type="dxa"/>
            <w:tcBorders/>
            <w:shd w:fill="E5E5E5" w:val="clear"/>
            <w:vAlign w:val="center"/>
          </w:tcPr>
          <w:p>
            <w:pPr>
              <w:pStyle w:val="TableContents"/>
              <w:spacing w:before="0" w:after="283"/>
              <w:rPr/>
            </w:pPr>
            <w:r>
              <w:rPr/>
              <w:t>  </w:t>
            </w:r>
          </w:p>
        </w:tc>
        <w:tc>
          <w:tcPr>
            <w:tcW w:w="140" w:type="dxa"/>
            <w:tcBorders/>
            <w:shd w:fill="E5E5E5" w:val="clear"/>
            <w:vAlign w:val="center"/>
          </w:tcPr>
          <w:p>
            <w:pPr>
              <w:pStyle w:val="TableContents"/>
              <w:spacing w:before="0" w:after="283"/>
              <w:rPr/>
            </w:pPr>
            <w:r>
              <w:rPr/>
              <w:t>$</w:t>
            </w:r>
          </w:p>
        </w:tc>
        <w:tc>
          <w:tcPr>
            <w:tcW w:w="980" w:type="dxa"/>
            <w:tcBorders/>
            <w:shd w:fill="E5E5E5" w:val="clear"/>
            <w:vAlign w:val="center"/>
          </w:tcPr>
          <w:p>
            <w:pPr>
              <w:pStyle w:val="TableContents"/>
              <w:spacing w:before="0" w:after="283"/>
              <w:jc w:val="right"/>
              <w:rPr/>
            </w:pPr>
            <w:r>
              <w:rPr/>
              <w:t>3,185,000</w:t>
            </w:r>
          </w:p>
        </w:tc>
        <w:tc>
          <w:tcPr>
            <w:tcW w:w="60" w:type="dxa"/>
            <w:tcBorders/>
            <w:shd w:fill="E5E5E5" w:val="clear"/>
            <w:vAlign w:val="center"/>
          </w:tcPr>
          <w:p>
            <w:pPr>
              <w:pStyle w:val="TableContents"/>
              <w:spacing w:before="0" w:after="283"/>
              <w:rPr/>
            </w:pPr>
            <w:r>
              <w:rPr/>
              <w:t> </w:t>
            </w:r>
          </w:p>
        </w:tc>
        <w:tc>
          <w:tcPr>
            <w:tcW w:w="120" w:type="dxa"/>
            <w:tcBorders/>
            <w:shd w:fill="E5E5E5" w:val="clear"/>
            <w:vAlign w:val="center"/>
          </w:tcPr>
          <w:p>
            <w:pPr>
              <w:pStyle w:val="TableContents"/>
              <w:spacing w:before="0" w:after="283"/>
              <w:rPr/>
            </w:pPr>
            <w:r>
              <w:rPr/>
              <w:t>  </w:t>
            </w:r>
          </w:p>
        </w:tc>
        <w:tc>
          <w:tcPr>
            <w:tcW w:w="140" w:type="dxa"/>
            <w:tcBorders/>
            <w:shd w:fill="E5E5E5" w:val="clear"/>
            <w:vAlign w:val="center"/>
          </w:tcPr>
          <w:p>
            <w:pPr>
              <w:pStyle w:val="TableContents"/>
              <w:spacing w:before="0" w:after="283"/>
              <w:rPr/>
            </w:pPr>
            <w:r>
              <w:rPr/>
              <w:t> </w:t>
            </w:r>
          </w:p>
        </w:tc>
        <w:tc>
          <w:tcPr>
            <w:tcW w:w="1100" w:type="dxa"/>
            <w:tcBorders/>
            <w:shd w:fill="E5E5E5" w:val="clear"/>
            <w:vAlign w:val="center"/>
          </w:tcPr>
          <w:p>
            <w:pPr>
              <w:pStyle w:val="TableContents"/>
              <w:spacing w:before="0" w:after="283"/>
              <w:jc w:val="right"/>
              <w:rPr/>
            </w:pPr>
            <w:r>
              <w:rPr/>
              <w:t>$9,100,000</w:t>
            </w:r>
          </w:p>
        </w:tc>
        <w:tc>
          <w:tcPr>
            <w:tcW w:w="75" w:type="dxa"/>
            <w:tcBorders/>
            <w:shd w:fill="E5E5E5" w:val="clear"/>
            <w:vAlign w:val="center"/>
          </w:tcPr>
          <w:p>
            <w:pPr>
              <w:pStyle w:val="TableContents"/>
              <w:spacing w:before="0" w:after="283"/>
              <w:rPr/>
            </w:pPr>
            <w:r>
              <w:rPr/>
              <w:t> </w:t>
            </w:r>
          </w:p>
        </w:tc>
      </w:tr>
      <w:tr>
        <w:trPr/>
        <w:tc>
          <w:tcPr>
            <w:tcW w:w="1430" w:type="dxa"/>
            <w:tcBorders/>
            <w:shd w:fill="auto" w:val="clear"/>
            <w:vAlign w:val="center"/>
          </w:tcPr>
          <w:p>
            <w:pPr>
              <w:pStyle w:val="TableContents"/>
              <w:spacing w:before="0" w:after="0"/>
              <w:rPr>
                <w:rFonts w:ascii="arial" w:hAnsi="arial"/>
                <w:b/>
                <w:sz w:val="18"/>
              </w:rPr>
            </w:pPr>
            <w:r>
              <w:rPr>
                <w:rFonts w:ascii="arial" w:hAnsi="arial"/>
                <w:b/>
                <w:sz w:val="18"/>
              </w:rPr>
              <w:t>Rajiv Malik</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4,680,000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2,520,000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$7,200,000</w:t>
            </w:r>
          </w:p>
        </w:tc>
        <w:tc>
          <w:tcPr>
            <w:tcW w:w="75" w:type="dxa"/>
            <w:tcBorders/>
            <w:shd w:fill="auto" w:val="clear"/>
            <w:vAlign w:val="center"/>
          </w:tcPr>
          <w:p>
            <w:pPr>
              <w:pStyle w:val="TableContents"/>
              <w:spacing w:before="0" w:after="283"/>
              <w:rPr/>
            </w:pPr>
            <w:r>
              <w:rPr/>
              <w:t> </w:t>
            </w:r>
          </w:p>
        </w:tc>
      </w:tr>
      <w:tr>
        <w:trPr/>
        <w:tc>
          <w:tcPr>
            <w:tcW w:w="1430" w:type="dxa"/>
            <w:tcBorders/>
            <w:shd w:fill="E5E5E5" w:val="clear"/>
            <w:vAlign w:val="center"/>
          </w:tcPr>
          <w:p>
            <w:pPr>
              <w:pStyle w:val="TableContents"/>
              <w:spacing w:before="0" w:after="0"/>
              <w:rPr>
                <w:rFonts w:ascii="arial" w:hAnsi="arial"/>
                <w:b/>
                <w:sz w:val="18"/>
              </w:rPr>
            </w:pPr>
            <w:r>
              <w:rPr>
                <w:rFonts w:ascii="arial" w:hAnsi="arial"/>
                <w:b/>
                <w:sz w:val="18"/>
              </w:rPr>
              <w:t>Sanjeev Narula</w:t>
            </w:r>
          </w:p>
        </w:tc>
        <w:tc>
          <w:tcPr>
            <w:tcW w:w="120" w:type="dxa"/>
            <w:tcBorders/>
            <w:shd w:fill="E5E5E5" w:val="clear"/>
            <w:vAlign w:val="center"/>
          </w:tcPr>
          <w:p>
            <w:pPr>
              <w:pStyle w:val="TableContents"/>
              <w:spacing w:before="0" w:after="283"/>
              <w:rPr/>
            </w:pPr>
            <w:r>
              <w:rPr/>
              <w:t>  </w:t>
            </w:r>
          </w:p>
        </w:tc>
        <w:tc>
          <w:tcPr>
            <w:tcW w:w="140" w:type="dxa"/>
            <w:tcBorders/>
            <w:shd w:fill="E5E5E5" w:val="clear"/>
            <w:vAlign w:val="center"/>
          </w:tcPr>
          <w:p>
            <w:pPr>
              <w:pStyle w:val="TableContents"/>
              <w:spacing w:before="0" w:after="283"/>
              <w:rPr/>
            </w:pPr>
            <w:r>
              <w:rPr/>
              <w:t>$</w:t>
            </w:r>
          </w:p>
        </w:tc>
        <w:tc>
          <w:tcPr>
            <w:tcW w:w="980" w:type="dxa"/>
            <w:tcBorders/>
            <w:shd w:fill="E5E5E5" w:val="clear"/>
            <w:vAlign w:val="center"/>
          </w:tcPr>
          <w:p>
            <w:pPr>
              <w:pStyle w:val="TableContents"/>
              <w:spacing w:before="0" w:after="283"/>
              <w:jc w:val="right"/>
              <w:rPr/>
            </w:pPr>
            <w:r>
              <w:rPr/>
              <w:t>2,210,000</w:t>
            </w:r>
          </w:p>
        </w:tc>
        <w:tc>
          <w:tcPr>
            <w:tcW w:w="60" w:type="dxa"/>
            <w:tcBorders/>
            <w:shd w:fill="E5E5E5" w:val="clear"/>
            <w:vAlign w:val="center"/>
          </w:tcPr>
          <w:p>
            <w:pPr>
              <w:pStyle w:val="TableContents"/>
              <w:spacing w:before="0" w:after="283"/>
              <w:rPr/>
            </w:pPr>
            <w:r>
              <w:rPr/>
              <w:t> </w:t>
            </w:r>
          </w:p>
        </w:tc>
        <w:tc>
          <w:tcPr>
            <w:tcW w:w="120" w:type="dxa"/>
            <w:tcBorders/>
            <w:shd w:fill="E5E5E5" w:val="clear"/>
            <w:vAlign w:val="center"/>
          </w:tcPr>
          <w:p>
            <w:pPr>
              <w:pStyle w:val="TableContents"/>
              <w:spacing w:before="0" w:after="283"/>
              <w:rPr/>
            </w:pPr>
            <w:r>
              <w:rPr/>
              <w:t>  </w:t>
            </w:r>
          </w:p>
        </w:tc>
        <w:tc>
          <w:tcPr>
            <w:tcW w:w="140" w:type="dxa"/>
            <w:tcBorders/>
            <w:shd w:fill="E5E5E5" w:val="clear"/>
            <w:vAlign w:val="center"/>
          </w:tcPr>
          <w:p>
            <w:pPr>
              <w:pStyle w:val="TableContents"/>
              <w:spacing w:before="0" w:after="283"/>
              <w:rPr/>
            </w:pPr>
            <w:r>
              <w:rPr/>
              <w:t>$</w:t>
            </w:r>
          </w:p>
        </w:tc>
        <w:tc>
          <w:tcPr>
            <w:tcW w:w="980" w:type="dxa"/>
            <w:tcBorders/>
            <w:shd w:fill="E5E5E5" w:val="clear"/>
            <w:vAlign w:val="center"/>
          </w:tcPr>
          <w:p>
            <w:pPr>
              <w:pStyle w:val="TableContents"/>
              <w:spacing w:before="0" w:after="283"/>
              <w:jc w:val="right"/>
              <w:rPr/>
            </w:pPr>
            <w:r>
              <w:rPr/>
              <w:t>1,190,000</w:t>
            </w:r>
          </w:p>
        </w:tc>
        <w:tc>
          <w:tcPr>
            <w:tcW w:w="60" w:type="dxa"/>
            <w:tcBorders/>
            <w:shd w:fill="E5E5E5" w:val="clear"/>
            <w:vAlign w:val="center"/>
          </w:tcPr>
          <w:p>
            <w:pPr>
              <w:pStyle w:val="TableContents"/>
              <w:spacing w:before="0" w:after="283"/>
              <w:rPr/>
            </w:pPr>
            <w:r>
              <w:rPr/>
              <w:t> </w:t>
            </w:r>
          </w:p>
        </w:tc>
        <w:tc>
          <w:tcPr>
            <w:tcW w:w="120" w:type="dxa"/>
            <w:tcBorders/>
            <w:shd w:fill="E5E5E5" w:val="clear"/>
            <w:vAlign w:val="center"/>
          </w:tcPr>
          <w:p>
            <w:pPr>
              <w:pStyle w:val="TableContents"/>
              <w:spacing w:before="0" w:after="283"/>
              <w:rPr/>
            </w:pPr>
            <w:r>
              <w:rPr/>
              <w:t>  </w:t>
            </w:r>
          </w:p>
        </w:tc>
        <w:tc>
          <w:tcPr>
            <w:tcW w:w="140" w:type="dxa"/>
            <w:tcBorders/>
            <w:shd w:fill="E5E5E5" w:val="clear"/>
            <w:vAlign w:val="center"/>
          </w:tcPr>
          <w:p>
            <w:pPr>
              <w:pStyle w:val="TableContents"/>
              <w:spacing w:before="0" w:after="283"/>
              <w:rPr/>
            </w:pPr>
            <w:r>
              <w:rPr/>
              <w:t> </w:t>
            </w:r>
          </w:p>
        </w:tc>
        <w:tc>
          <w:tcPr>
            <w:tcW w:w="1100" w:type="dxa"/>
            <w:tcBorders/>
            <w:shd w:fill="E5E5E5" w:val="clear"/>
            <w:vAlign w:val="center"/>
          </w:tcPr>
          <w:p>
            <w:pPr>
              <w:pStyle w:val="TableContents"/>
              <w:spacing w:before="0" w:after="283"/>
              <w:jc w:val="right"/>
              <w:rPr/>
            </w:pPr>
            <w:r>
              <w:rPr/>
              <w:t>$3,400,000</w:t>
            </w:r>
          </w:p>
        </w:tc>
        <w:tc>
          <w:tcPr>
            <w:tcW w:w="75" w:type="dxa"/>
            <w:tcBorders/>
            <w:shd w:fill="E5E5E5" w:val="clear"/>
            <w:vAlign w:val="center"/>
          </w:tcPr>
          <w:p>
            <w:pPr>
              <w:pStyle w:val="TableContents"/>
              <w:spacing w:before="0" w:after="283"/>
              <w:rPr/>
            </w:pPr>
            <w:r>
              <w:rPr/>
              <w:t> </w:t>
            </w:r>
          </w:p>
        </w:tc>
      </w:tr>
      <w:tr>
        <w:trPr/>
        <w:tc>
          <w:tcPr>
            <w:tcW w:w="1430" w:type="dxa"/>
            <w:tcBorders/>
            <w:shd w:fill="auto" w:val="clear"/>
            <w:vAlign w:val="center"/>
          </w:tcPr>
          <w:p>
            <w:pPr>
              <w:pStyle w:val="TableContents"/>
              <w:spacing w:before="0" w:after="0"/>
              <w:rPr>
                <w:rFonts w:ascii="arial" w:hAnsi="arial"/>
                <w:b/>
                <w:sz w:val="18"/>
              </w:rPr>
            </w:pPr>
            <w:r>
              <w:rPr>
                <w:rFonts w:ascii="arial" w:hAnsi="arial"/>
                <w:b/>
                <w:sz w:val="18"/>
              </w:rPr>
              <w:t>Anthony Mauro</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2,080,000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1,120,000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$3,200,000</w:t>
            </w:r>
          </w:p>
        </w:tc>
        <w:tc>
          <w:tcPr>
            <w:tcW w:w="75" w:type="dxa"/>
            <w:tcBorders/>
            <w:shd w:fill="auto" w:val="clear"/>
            <w:vAlign w:val="center"/>
          </w:tcPr>
          <w:p>
            <w:pPr>
              <w:pStyle w:val="TableContents"/>
              <w:spacing w:before="0" w:after="283"/>
              <w:rPr/>
            </w:pPr>
            <w:r>
              <w:rPr/>
              <w:t> </w:t>
            </w:r>
          </w:p>
        </w:tc>
      </w:tr>
      <w:tr>
        <w:trPr/>
        <w:tc>
          <w:tcPr>
            <w:tcW w:w="1430" w:type="dxa"/>
            <w:tcBorders>
              <w:bottom w:val="single" w:sz="6" w:space="0" w:color="732282"/>
            </w:tcBorders>
            <w:shd w:fill="E5E5E5" w:val="clear"/>
            <w:tcMar>
              <w:bottom w:w="28" w:type="dxa"/>
            </w:tcMar>
            <w:vAlign w:val="center"/>
          </w:tcPr>
          <w:p>
            <w:pPr>
              <w:pStyle w:val="TableContents"/>
              <w:spacing w:before="0" w:after="0"/>
              <w:rPr>
                <w:rFonts w:ascii="arial" w:hAnsi="arial"/>
                <w:b/>
                <w:sz w:val="18"/>
              </w:rPr>
            </w:pPr>
            <w:r>
              <w:rPr>
                <w:rFonts w:ascii="arial" w:hAnsi="arial"/>
                <w:b/>
                <w:sz w:val="18"/>
              </w:rPr>
              <w:t>Robert J. Coury</w:t>
            </w:r>
          </w:p>
        </w:tc>
        <w:tc>
          <w:tcPr>
            <w:tcW w:w="120" w:type="dxa"/>
            <w:tcBorders>
              <w:bottom w:val="single" w:sz="6" w:space="0" w:color="732282"/>
            </w:tcBorders>
            <w:shd w:fill="E5E5E5" w:val="clear"/>
            <w:tcMar>
              <w:bottom w:w="28" w:type="dxa"/>
            </w:tcMar>
            <w:vAlign w:val="center"/>
          </w:tcPr>
          <w:p>
            <w:pPr>
              <w:pStyle w:val="TableContents"/>
              <w:spacing w:before="0" w:after="283"/>
              <w:rPr/>
            </w:pPr>
            <w:r>
              <w:rPr/>
              <w:t>  </w:t>
            </w:r>
          </w:p>
        </w:tc>
        <w:tc>
          <w:tcPr>
            <w:tcW w:w="140" w:type="dxa"/>
            <w:tcBorders>
              <w:bottom w:val="single" w:sz="6" w:space="0" w:color="732282"/>
            </w:tcBorders>
            <w:shd w:fill="E5E5E5" w:val="clear"/>
            <w:tcMar>
              <w:bottom w:w="28" w:type="dxa"/>
            </w:tcMar>
            <w:vAlign w:val="center"/>
          </w:tcPr>
          <w:p>
            <w:pPr>
              <w:pStyle w:val="TableContents"/>
              <w:spacing w:before="0" w:after="283"/>
              <w:rPr/>
            </w:pPr>
            <w:r>
              <w:rPr/>
              <w:t>$</w:t>
            </w:r>
          </w:p>
        </w:tc>
        <w:tc>
          <w:tcPr>
            <w:tcW w:w="980" w:type="dxa"/>
            <w:tcBorders>
              <w:bottom w:val="single" w:sz="6" w:space="0" w:color="732282"/>
            </w:tcBorders>
            <w:shd w:fill="E5E5E5" w:val="clear"/>
            <w:tcMar>
              <w:bottom w:w="28" w:type="dxa"/>
            </w:tcMar>
            <w:vAlign w:val="center"/>
          </w:tcPr>
          <w:p>
            <w:pPr>
              <w:pStyle w:val="TableContents"/>
              <w:spacing w:before="0" w:after="283"/>
              <w:jc w:val="right"/>
              <w:rPr/>
            </w:pPr>
            <w:r>
              <w:rPr/>
              <w:t>7,020,000</w:t>
            </w:r>
          </w:p>
        </w:tc>
        <w:tc>
          <w:tcPr>
            <w:tcW w:w="60" w:type="dxa"/>
            <w:tcBorders>
              <w:bottom w:val="single" w:sz="6" w:space="0" w:color="732282"/>
            </w:tcBorders>
            <w:shd w:fill="E5E5E5" w:val="clear"/>
            <w:tcMar>
              <w:bottom w:w="28" w:type="dxa"/>
            </w:tcMar>
            <w:vAlign w:val="center"/>
          </w:tcPr>
          <w:p>
            <w:pPr>
              <w:pStyle w:val="TableContents"/>
              <w:spacing w:before="0" w:after="283"/>
              <w:rPr/>
            </w:pPr>
            <w:r>
              <w:rPr/>
              <w:t> </w:t>
            </w:r>
          </w:p>
        </w:tc>
        <w:tc>
          <w:tcPr>
            <w:tcW w:w="120" w:type="dxa"/>
            <w:tcBorders>
              <w:bottom w:val="single" w:sz="6" w:space="0" w:color="732282"/>
            </w:tcBorders>
            <w:shd w:fill="E5E5E5" w:val="clear"/>
            <w:tcMar>
              <w:bottom w:w="28" w:type="dxa"/>
            </w:tcMar>
            <w:vAlign w:val="center"/>
          </w:tcPr>
          <w:p>
            <w:pPr>
              <w:pStyle w:val="TableContents"/>
              <w:spacing w:before="0" w:after="283"/>
              <w:rPr/>
            </w:pPr>
            <w:r>
              <w:rPr/>
              <w:t>  </w:t>
            </w:r>
          </w:p>
        </w:tc>
        <w:tc>
          <w:tcPr>
            <w:tcW w:w="140" w:type="dxa"/>
            <w:tcBorders>
              <w:bottom w:val="single" w:sz="6" w:space="0" w:color="732282"/>
            </w:tcBorders>
            <w:shd w:fill="E5E5E5" w:val="clear"/>
            <w:tcMar>
              <w:bottom w:w="28" w:type="dxa"/>
            </w:tcMar>
            <w:vAlign w:val="center"/>
          </w:tcPr>
          <w:p>
            <w:pPr>
              <w:pStyle w:val="TableContents"/>
              <w:spacing w:before="0" w:after="283"/>
              <w:rPr/>
            </w:pPr>
            <w:r>
              <w:rPr/>
              <w:t>$</w:t>
            </w:r>
          </w:p>
        </w:tc>
        <w:tc>
          <w:tcPr>
            <w:tcW w:w="980" w:type="dxa"/>
            <w:tcBorders>
              <w:bottom w:val="single" w:sz="6" w:space="0" w:color="732282"/>
            </w:tcBorders>
            <w:shd w:fill="E5E5E5" w:val="clear"/>
            <w:tcMar>
              <w:bottom w:w="28" w:type="dxa"/>
            </w:tcMar>
            <w:vAlign w:val="center"/>
          </w:tcPr>
          <w:p>
            <w:pPr>
              <w:pStyle w:val="TableContents"/>
              <w:spacing w:before="0" w:after="283"/>
              <w:jc w:val="right"/>
              <w:rPr/>
            </w:pPr>
            <w:r>
              <w:rPr/>
              <w:t>3,780,000</w:t>
            </w:r>
          </w:p>
        </w:tc>
        <w:tc>
          <w:tcPr>
            <w:tcW w:w="60" w:type="dxa"/>
            <w:tcBorders>
              <w:bottom w:val="single" w:sz="6" w:space="0" w:color="732282"/>
            </w:tcBorders>
            <w:shd w:fill="E5E5E5" w:val="clear"/>
            <w:tcMar>
              <w:bottom w:w="28" w:type="dxa"/>
            </w:tcMar>
            <w:vAlign w:val="center"/>
          </w:tcPr>
          <w:p>
            <w:pPr>
              <w:pStyle w:val="TableContents"/>
              <w:spacing w:before="0" w:after="283"/>
              <w:rPr/>
            </w:pPr>
            <w:r>
              <w:rPr/>
              <w:t> </w:t>
            </w:r>
          </w:p>
        </w:tc>
        <w:tc>
          <w:tcPr>
            <w:tcW w:w="120" w:type="dxa"/>
            <w:tcBorders>
              <w:bottom w:val="single" w:sz="6" w:space="0" w:color="732282"/>
            </w:tcBorders>
            <w:shd w:fill="E5E5E5" w:val="clear"/>
            <w:tcMar>
              <w:bottom w:w="28" w:type="dxa"/>
            </w:tcMar>
            <w:vAlign w:val="center"/>
          </w:tcPr>
          <w:p>
            <w:pPr>
              <w:pStyle w:val="TableContents"/>
              <w:spacing w:before="0" w:after="283"/>
              <w:rPr/>
            </w:pPr>
            <w:r>
              <w:rPr/>
              <w:t>  </w:t>
            </w:r>
          </w:p>
        </w:tc>
        <w:tc>
          <w:tcPr>
            <w:tcW w:w="140" w:type="dxa"/>
            <w:tcBorders>
              <w:bottom w:val="single" w:sz="6" w:space="0" w:color="732282"/>
            </w:tcBorders>
            <w:shd w:fill="E5E5E5" w:val="clear"/>
            <w:tcMar>
              <w:bottom w:w="28" w:type="dxa"/>
            </w:tcMar>
            <w:vAlign w:val="center"/>
          </w:tcPr>
          <w:p>
            <w:pPr>
              <w:pStyle w:val="TableContents"/>
              <w:spacing w:before="0" w:after="283"/>
              <w:rPr/>
            </w:pPr>
            <w:r>
              <w:rPr/>
              <w:t>$</w:t>
            </w:r>
          </w:p>
        </w:tc>
        <w:tc>
          <w:tcPr>
            <w:tcW w:w="1100" w:type="dxa"/>
            <w:tcBorders>
              <w:bottom w:val="single" w:sz="6" w:space="0" w:color="732282"/>
            </w:tcBorders>
            <w:shd w:fill="E5E5E5" w:val="clear"/>
            <w:tcMar>
              <w:bottom w:w="28" w:type="dxa"/>
            </w:tcMar>
            <w:vAlign w:val="center"/>
          </w:tcPr>
          <w:p>
            <w:pPr>
              <w:pStyle w:val="TableContents"/>
              <w:spacing w:before="0" w:after="283"/>
              <w:jc w:val="right"/>
              <w:rPr/>
            </w:pPr>
            <w:r>
              <w:rPr/>
              <w:t>10,800,000</w:t>
            </w:r>
          </w:p>
        </w:tc>
        <w:tc>
          <w:tcPr>
            <w:tcW w:w="75" w:type="dxa"/>
            <w:tcBorders>
              <w:bottom w:val="single" w:sz="6" w:space="0" w:color="732282"/>
            </w:tcBorders>
            <w:shd w:fill="E5E5E5" w:val="clear"/>
            <w:tcMar>
              <w:bottom w:w="28" w:type="dxa"/>
            </w:tcMar>
            <w:vAlign w:val="center"/>
          </w:tcPr>
          <w:p>
            <w:pPr>
              <w:pStyle w:val="TableContents"/>
              <w:spacing w:before="0" w:after="283"/>
              <w:rPr/>
            </w:pPr>
            <w:r>
              <w:rPr/>
              <w:t> </w:t>
            </w:r>
          </w:p>
        </w:tc>
      </w:tr>
    </w:tbl>
    <w:p>
      <w:pPr>
        <w:pStyle w:val="TextBody"/>
        <w:spacing w:before="240" w:after="0"/>
        <w:jc w:val="both"/>
        <w:rPr>
          <w:rFonts w:ascii="arial" w:hAnsi="arial"/>
          <w:b/>
          <w:i/>
          <w:sz w:val="20"/>
        </w:rPr>
      </w:pPr>
      <w:r>
        <w:rPr>
          <w:rFonts w:ascii="arial" w:hAnsi="arial"/>
          <w:b/>
          <w:i/>
          <w:sz w:val="20"/>
        </w:rPr>
        <w:t xml:space="preserve">2022 Three-Year PRSU Performance Metrics </w:t>
      </w:r>
    </w:p>
    <w:p>
      <w:pPr>
        <w:pStyle w:val="TextBody"/>
        <w:spacing w:before="120" w:after="0"/>
        <w:jc w:val="both"/>
        <w:rPr>
          <w:rFonts w:ascii="arial" w:hAnsi="arial"/>
          <w:sz w:val="18"/>
        </w:rPr>
      </w:pPr>
      <w:r>
        <w:rPr>
          <w:rFonts w:ascii="arial" w:hAnsi="arial"/>
          <w:sz w:val="18"/>
        </w:rPr>
        <w:t xml:space="preserve">The 2022 grant of PRSUs was subject to a free cash flow metric and relative market performance metric (i.e., relative TSR using the S&amp;P 500 Pharmaceutical Index, which is used as a modifier to determine the final payout percentage), as described below. The free cash flow metric incentivizes effective use of Viatris’ capital to drive cash flow generation, encouraging behavior that is closely aligned with our efforts to drive a durable and sustainable business. In addition, the relative TSR modifier impacts executive pay based on Viatris’ performance as compared to industry competitors. </w:t>
      </w:r>
    </w:p>
    <w:p>
      <w:pPr>
        <w:pStyle w:val="TextBody"/>
        <w:spacing w:before="240" w:after="0"/>
        <w:jc w:val="both"/>
        <w:rPr>
          <w:rFonts w:ascii="arial" w:hAnsi="arial"/>
          <w:sz w:val="18"/>
        </w:rPr>
      </w:pPr>
      <w:r>
        <w:rPr>
          <w:rFonts w:ascii="arial" w:hAnsi="arial"/>
          <w:sz w:val="18"/>
        </w:rPr>
        <w:t xml:space="preserve">As shown in the table below, payouts under the 2022 PRSUs will be determined in two steps. First, in the first quarter of 2025, the outcome of the free cash flow metric will be assessed, resulting in an initial payout percentage of 50% for threshold performance (with 0% payout for below threshold performance) up to 150% for maximum performance, with linear interpolation for achievement between threshold and maximum. Second, the relative TSR metric will be applied as a modifier to the initial payout percentage, decreasing it by 30%, leaving it unaffected, or increasing it by 30%, in order to calculate the final payout percentage.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615"/>
        <w:gridCol w:w="60"/>
        <w:gridCol w:w="1070"/>
        <w:gridCol w:w="60"/>
        <w:gridCol w:w="2061"/>
        <w:gridCol w:w="60"/>
        <w:gridCol w:w="2732"/>
        <w:gridCol w:w="60"/>
        <w:gridCol w:w="2487"/>
      </w:tblGrid>
      <w:tr>
        <w:trPr/>
        <w:tc>
          <w:tcPr>
            <w:tcW w:w="16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6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87" w:type="dxa"/>
            <w:tcBorders/>
            <w:shd w:fill="auto" w:val="clear"/>
            <w:vAlign w:val="center"/>
          </w:tcPr>
          <w:p>
            <w:pPr>
              <w:pStyle w:val="TableContents"/>
              <w:spacing w:before="0" w:after="283"/>
              <w:rPr>
                <w:sz w:val="4"/>
                <w:szCs w:val="4"/>
              </w:rPr>
            </w:pPr>
            <w:r>
              <w:rPr>
                <w:sz w:val="4"/>
                <w:szCs w:val="4"/>
              </w:rPr>
            </w:r>
          </w:p>
        </w:tc>
      </w:tr>
      <w:tr>
        <w:trPr/>
        <w:tc>
          <w:tcPr>
            <w:tcW w:w="1615" w:type="dxa"/>
            <w:tcBorders>
              <w:bottom w:val="single" w:sz="8" w:space="0" w:color="732282"/>
            </w:tcBorders>
            <w:shd w:fill="auto" w:val="clear"/>
            <w:tcMar>
              <w:bottom w:w="28" w:type="dxa"/>
            </w:tcMar>
            <w:vAlign w:val="center"/>
          </w:tcPr>
          <w:p>
            <w:pPr>
              <w:pStyle w:val="TableContents"/>
              <w:spacing w:before="0" w:after="0"/>
              <w:rPr>
                <w:rFonts w:ascii="arial" w:hAnsi="arial"/>
                <w:b/>
                <w:color w:val="732282"/>
                <w:sz w:val="16"/>
              </w:rPr>
            </w:pPr>
            <w:r>
              <w:rPr>
                <w:rFonts w:ascii="arial" w:hAnsi="arial"/>
                <w:b/>
                <w:color w:val="732282"/>
                <w:sz w:val="16"/>
              </w:rPr>
              <w:t>Metric</w:t>
            </w:r>
          </w:p>
        </w:tc>
        <w:tc>
          <w:tcPr>
            <w:tcW w:w="60" w:type="dxa"/>
            <w:tcBorders>
              <w:bottom w:val="single" w:sz="8" w:space="0" w:color="732282"/>
            </w:tcBorders>
            <w:shd w:fill="auto" w:val="clear"/>
            <w:tcMar>
              <w:bottom w:w="28" w:type="dxa"/>
            </w:tcMar>
            <w:vAlign w:val="center"/>
          </w:tcPr>
          <w:p>
            <w:pPr>
              <w:pStyle w:val="TableContents"/>
              <w:spacing w:before="0" w:after="283"/>
              <w:rPr/>
            </w:pPr>
            <w:r>
              <w:rPr/>
              <w:t> </w:t>
            </w:r>
          </w:p>
        </w:tc>
        <w:tc>
          <w:tcPr>
            <w:tcW w:w="1070" w:type="dxa"/>
            <w:tcBorders>
              <w:bottom w:val="single" w:sz="8" w:space="0" w:color="732282"/>
            </w:tcBorders>
            <w:shd w:fill="auto" w:val="clear"/>
            <w:tcMar>
              <w:bottom w:w="28" w:type="dxa"/>
            </w:tcMar>
            <w:vAlign w:val="center"/>
          </w:tcPr>
          <w:p>
            <w:pPr>
              <w:pStyle w:val="TableContents"/>
              <w:spacing w:before="0" w:after="283"/>
              <w:jc w:val="center"/>
              <w:rPr>
                <w:b/>
                <w:color w:val="732282"/>
              </w:rPr>
            </w:pPr>
            <w:r>
              <w:rPr>
                <w:b/>
                <w:color w:val="732282"/>
              </w:rPr>
              <w:t>Weighting</w:t>
            </w:r>
          </w:p>
        </w:tc>
        <w:tc>
          <w:tcPr>
            <w:tcW w:w="60" w:type="dxa"/>
            <w:tcBorders>
              <w:bottom w:val="single" w:sz="8" w:space="0" w:color="732282"/>
            </w:tcBorders>
            <w:shd w:fill="auto" w:val="clear"/>
            <w:tcMar>
              <w:bottom w:w="28" w:type="dxa"/>
            </w:tcMar>
            <w:vAlign w:val="center"/>
          </w:tcPr>
          <w:p>
            <w:pPr>
              <w:pStyle w:val="TableContents"/>
              <w:spacing w:before="0" w:after="283"/>
              <w:rPr/>
            </w:pPr>
            <w:r>
              <w:rPr/>
              <w:t> </w:t>
            </w:r>
          </w:p>
        </w:tc>
        <w:tc>
          <w:tcPr>
            <w:tcW w:w="2061" w:type="dxa"/>
            <w:tcBorders>
              <w:bottom w:val="single" w:sz="8" w:space="0" w:color="732282"/>
            </w:tcBorders>
            <w:shd w:fill="auto" w:val="clear"/>
            <w:tcMar>
              <w:bottom w:w="28" w:type="dxa"/>
            </w:tcMar>
            <w:vAlign w:val="center"/>
          </w:tcPr>
          <w:p>
            <w:pPr>
              <w:pStyle w:val="TableContents"/>
              <w:spacing w:before="0" w:after="283"/>
              <w:jc w:val="center"/>
              <w:rPr>
                <w:b/>
                <w:color w:val="732282"/>
              </w:rPr>
            </w:pPr>
            <w:r>
              <w:rPr>
                <w:b/>
                <w:color w:val="732282"/>
              </w:rPr>
              <w:t>Threshold</w:t>
            </w:r>
          </w:p>
        </w:tc>
        <w:tc>
          <w:tcPr>
            <w:tcW w:w="60" w:type="dxa"/>
            <w:tcBorders>
              <w:bottom w:val="single" w:sz="8" w:space="0" w:color="732282"/>
            </w:tcBorders>
            <w:shd w:fill="auto" w:val="clear"/>
            <w:tcMar>
              <w:bottom w:w="28" w:type="dxa"/>
            </w:tcMar>
            <w:vAlign w:val="center"/>
          </w:tcPr>
          <w:p>
            <w:pPr>
              <w:pStyle w:val="TableContents"/>
              <w:spacing w:before="0" w:after="283"/>
              <w:rPr/>
            </w:pPr>
            <w:r>
              <w:rPr/>
              <w:t> </w:t>
            </w:r>
          </w:p>
        </w:tc>
        <w:tc>
          <w:tcPr>
            <w:tcW w:w="2732" w:type="dxa"/>
            <w:tcBorders>
              <w:bottom w:val="single" w:sz="8" w:space="0" w:color="732282"/>
            </w:tcBorders>
            <w:shd w:fill="auto" w:val="clear"/>
            <w:tcMar>
              <w:bottom w:w="28" w:type="dxa"/>
            </w:tcMar>
            <w:vAlign w:val="center"/>
          </w:tcPr>
          <w:p>
            <w:pPr>
              <w:pStyle w:val="TableContents"/>
              <w:spacing w:before="0" w:after="283"/>
              <w:jc w:val="center"/>
              <w:rPr>
                <w:b/>
                <w:color w:val="732282"/>
              </w:rPr>
            </w:pPr>
            <w:r>
              <w:rPr>
                <w:b/>
                <w:color w:val="732282"/>
              </w:rPr>
              <w:t>Target</w:t>
            </w:r>
          </w:p>
        </w:tc>
        <w:tc>
          <w:tcPr>
            <w:tcW w:w="60" w:type="dxa"/>
            <w:tcBorders>
              <w:bottom w:val="single" w:sz="8" w:space="0" w:color="732282"/>
            </w:tcBorders>
            <w:shd w:fill="auto" w:val="clear"/>
            <w:tcMar>
              <w:bottom w:w="28" w:type="dxa"/>
            </w:tcMar>
            <w:vAlign w:val="center"/>
          </w:tcPr>
          <w:p>
            <w:pPr>
              <w:pStyle w:val="TableContents"/>
              <w:spacing w:before="0" w:after="283"/>
              <w:rPr/>
            </w:pPr>
            <w:r>
              <w:rPr/>
              <w:t> </w:t>
            </w:r>
          </w:p>
        </w:tc>
        <w:tc>
          <w:tcPr>
            <w:tcW w:w="2487" w:type="dxa"/>
            <w:tcBorders>
              <w:bottom w:val="single" w:sz="8" w:space="0" w:color="732282"/>
            </w:tcBorders>
            <w:shd w:fill="auto" w:val="clear"/>
            <w:tcMar>
              <w:bottom w:w="28" w:type="dxa"/>
            </w:tcMar>
            <w:vAlign w:val="center"/>
          </w:tcPr>
          <w:p>
            <w:pPr>
              <w:pStyle w:val="TableContents"/>
              <w:spacing w:before="0" w:after="283"/>
              <w:jc w:val="center"/>
              <w:rPr>
                <w:b/>
                <w:color w:val="732282"/>
              </w:rPr>
            </w:pPr>
            <w:r>
              <w:rPr>
                <w:b/>
                <w:color w:val="732282"/>
              </w:rPr>
              <w:t>Maximum</w:t>
            </w:r>
          </w:p>
        </w:tc>
      </w:tr>
      <w:tr>
        <w:trPr/>
        <w:tc>
          <w:tcPr>
            <w:tcW w:w="1615" w:type="dxa"/>
            <w:tcBorders/>
            <w:shd w:fill="E5E5E5" w:val="clear"/>
            <w:vAlign w:val="center"/>
          </w:tcPr>
          <w:p>
            <w:pPr>
              <w:pStyle w:val="TableContents"/>
              <w:spacing w:before="0" w:after="0"/>
              <w:rPr>
                <w:rFonts w:ascii="arial" w:hAnsi="arial"/>
                <w:sz w:val="18"/>
              </w:rPr>
            </w:pPr>
            <w:r>
              <w:rPr>
                <w:rFonts w:ascii="arial" w:hAnsi="arial"/>
                <w:sz w:val="18"/>
              </w:rPr>
              <w:t>Free Cash Flow*</w:t>
            </w:r>
          </w:p>
        </w:tc>
        <w:tc>
          <w:tcPr>
            <w:tcW w:w="60" w:type="dxa"/>
            <w:tcBorders/>
            <w:shd w:fill="E5E5E5" w:val="clear"/>
            <w:vAlign w:val="center"/>
          </w:tcPr>
          <w:p>
            <w:pPr>
              <w:pStyle w:val="TableContents"/>
              <w:spacing w:before="0" w:after="283"/>
              <w:rPr/>
            </w:pPr>
            <w:r>
              <w:rPr/>
              <w:t> </w:t>
            </w:r>
          </w:p>
        </w:tc>
        <w:tc>
          <w:tcPr>
            <w:tcW w:w="1070" w:type="dxa"/>
            <w:tcBorders/>
            <w:shd w:fill="E5E5E5" w:val="clear"/>
            <w:vAlign w:val="center"/>
          </w:tcPr>
          <w:p>
            <w:pPr>
              <w:pStyle w:val="TableContents"/>
              <w:spacing w:before="0" w:after="283"/>
              <w:jc w:val="center"/>
              <w:rPr/>
            </w:pPr>
            <w:r>
              <w:rPr/>
              <w:t>100%</w:t>
            </w:r>
          </w:p>
        </w:tc>
        <w:tc>
          <w:tcPr>
            <w:tcW w:w="60" w:type="dxa"/>
            <w:tcBorders/>
            <w:shd w:fill="E5E5E5" w:val="clear"/>
            <w:vAlign w:val="center"/>
          </w:tcPr>
          <w:p>
            <w:pPr>
              <w:pStyle w:val="TableContents"/>
              <w:spacing w:before="0" w:after="283"/>
              <w:rPr/>
            </w:pPr>
            <w:r>
              <w:rPr/>
              <w:t> </w:t>
            </w:r>
          </w:p>
        </w:tc>
        <w:tc>
          <w:tcPr>
            <w:tcW w:w="2061" w:type="dxa"/>
            <w:tcBorders/>
            <w:shd w:fill="E5E5E5" w:val="clear"/>
            <w:vAlign w:val="center"/>
          </w:tcPr>
          <w:p>
            <w:pPr>
              <w:pStyle w:val="TableContents"/>
              <w:spacing w:before="0" w:after="283"/>
              <w:jc w:val="center"/>
              <w:rPr/>
            </w:pPr>
            <w:r>
              <w:rPr/>
              <w:t>$6,900 million</w:t>
            </w:r>
          </w:p>
        </w:tc>
        <w:tc>
          <w:tcPr>
            <w:tcW w:w="60" w:type="dxa"/>
            <w:tcBorders/>
            <w:shd w:fill="E5E5E5" w:val="clear"/>
            <w:vAlign w:val="center"/>
          </w:tcPr>
          <w:p>
            <w:pPr>
              <w:pStyle w:val="TableContents"/>
              <w:spacing w:before="0" w:after="283"/>
              <w:rPr/>
            </w:pPr>
            <w:r>
              <w:rPr/>
              <w:t> </w:t>
            </w:r>
          </w:p>
        </w:tc>
        <w:tc>
          <w:tcPr>
            <w:tcW w:w="2732" w:type="dxa"/>
            <w:tcBorders/>
            <w:shd w:fill="E5E5E5" w:val="clear"/>
            <w:vAlign w:val="center"/>
          </w:tcPr>
          <w:p>
            <w:pPr>
              <w:pStyle w:val="TableContents"/>
              <w:spacing w:before="0" w:after="283"/>
              <w:jc w:val="center"/>
              <w:rPr/>
            </w:pPr>
            <w:r>
              <w:rPr/>
              <w:t>$7,900 million</w:t>
            </w:r>
          </w:p>
        </w:tc>
        <w:tc>
          <w:tcPr>
            <w:tcW w:w="60" w:type="dxa"/>
            <w:tcBorders/>
            <w:shd w:fill="E5E5E5" w:val="clear"/>
            <w:vAlign w:val="center"/>
          </w:tcPr>
          <w:p>
            <w:pPr>
              <w:pStyle w:val="TableContents"/>
              <w:spacing w:before="0" w:after="283"/>
              <w:rPr/>
            </w:pPr>
            <w:r>
              <w:rPr/>
              <w:t> </w:t>
            </w:r>
          </w:p>
        </w:tc>
        <w:tc>
          <w:tcPr>
            <w:tcW w:w="2487" w:type="dxa"/>
            <w:tcBorders/>
            <w:shd w:fill="E5E5E5" w:val="clear"/>
            <w:vAlign w:val="center"/>
          </w:tcPr>
          <w:p>
            <w:pPr>
              <w:pStyle w:val="TableContents"/>
              <w:spacing w:before="0" w:after="283"/>
              <w:jc w:val="center"/>
              <w:rPr/>
            </w:pPr>
            <w:r>
              <w:rPr/>
              <w:t>$8,900 million</w:t>
            </w:r>
          </w:p>
        </w:tc>
      </w:tr>
      <w:tr>
        <w:trPr/>
        <w:tc>
          <w:tcPr>
            <w:tcW w:w="1615" w:type="dxa"/>
            <w:tcBorders/>
            <w:shd w:fill="auto" w:val="clear"/>
            <w:vAlign w:val="center"/>
          </w:tcPr>
          <w:p>
            <w:pPr>
              <w:pStyle w:val="TableContents"/>
              <w:spacing w:before="0" w:after="0"/>
              <w:rPr>
                <w:rFonts w:ascii="arial" w:hAnsi="arial"/>
                <w:sz w:val="18"/>
              </w:rPr>
            </w:pPr>
            <w:r>
              <w:rPr>
                <w:rFonts w:ascii="arial" w:hAnsi="arial"/>
                <w:sz w:val="18"/>
              </w:rPr>
              <w:t>Relative TSR of Peer Group**</w:t>
            </w:r>
          </w:p>
        </w:tc>
        <w:tc>
          <w:tcPr>
            <w:tcW w:w="60" w:type="dxa"/>
            <w:tcBorders/>
            <w:shd w:fill="auto" w:val="clear"/>
            <w:vAlign w:val="center"/>
          </w:tcPr>
          <w:p>
            <w:pPr>
              <w:pStyle w:val="TableContents"/>
              <w:spacing w:before="0" w:after="283"/>
              <w:rPr/>
            </w:pPr>
            <w:r>
              <w:rPr/>
              <w:t> </w:t>
            </w:r>
          </w:p>
        </w:tc>
        <w:tc>
          <w:tcPr>
            <w:tcW w:w="1070" w:type="dxa"/>
            <w:tcBorders/>
            <w:shd w:fill="auto" w:val="clear"/>
            <w:vAlign w:val="center"/>
          </w:tcPr>
          <w:p>
            <w:pPr>
              <w:pStyle w:val="TableContents"/>
              <w:spacing w:before="0" w:after="283"/>
              <w:jc w:val="center"/>
              <w:rPr/>
            </w:pPr>
            <w:r>
              <w:rPr/>
              <w:t>Multiplier</w:t>
            </w:r>
          </w:p>
        </w:tc>
        <w:tc>
          <w:tcPr>
            <w:tcW w:w="60" w:type="dxa"/>
            <w:tcBorders/>
            <w:shd w:fill="auto" w:val="clear"/>
            <w:vAlign w:val="center"/>
          </w:tcPr>
          <w:p>
            <w:pPr>
              <w:pStyle w:val="TableContents"/>
              <w:spacing w:before="0" w:after="283"/>
              <w:rPr/>
            </w:pPr>
            <w:r>
              <w:rPr/>
              <w:t> </w:t>
            </w:r>
          </w:p>
        </w:tc>
        <w:tc>
          <w:tcPr>
            <w:tcW w:w="2061" w:type="dxa"/>
            <w:tcBorders/>
            <w:shd w:fill="auto" w:val="clear"/>
            <w:vAlign w:val="center"/>
          </w:tcPr>
          <w:p>
            <w:pPr>
              <w:pStyle w:val="TableContents"/>
              <w:spacing w:before="0" w:after="283"/>
              <w:jc w:val="center"/>
              <w:rPr/>
            </w:pPr>
            <w:r>
              <w:rPr/>
              <w:t>At or Below</w:t>
              <w:br/>
              <w:t>25th Percentile of Peer Group</w:t>
            </w:r>
          </w:p>
        </w:tc>
        <w:tc>
          <w:tcPr>
            <w:tcW w:w="60" w:type="dxa"/>
            <w:tcBorders/>
            <w:shd w:fill="auto" w:val="clear"/>
            <w:vAlign w:val="center"/>
          </w:tcPr>
          <w:p>
            <w:pPr>
              <w:pStyle w:val="TableContents"/>
              <w:spacing w:before="0" w:after="283"/>
              <w:rPr/>
            </w:pPr>
            <w:r>
              <w:rPr/>
              <w:t> </w:t>
            </w:r>
          </w:p>
        </w:tc>
        <w:tc>
          <w:tcPr>
            <w:tcW w:w="2732" w:type="dxa"/>
            <w:tcBorders/>
            <w:shd w:fill="auto" w:val="clear"/>
            <w:vAlign w:val="center"/>
          </w:tcPr>
          <w:p>
            <w:pPr>
              <w:pStyle w:val="TableContents"/>
              <w:spacing w:before="0" w:after="283"/>
              <w:jc w:val="center"/>
              <w:rPr/>
            </w:pPr>
            <w:r>
              <w:rPr/>
              <w:t>Between 25th and 75th Percentiles of Peer Group</w:t>
            </w:r>
          </w:p>
        </w:tc>
        <w:tc>
          <w:tcPr>
            <w:tcW w:w="60" w:type="dxa"/>
            <w:tcBorders/>
            <w:shd w:fill="auto" w:val="clear"/>
            <w:vAlign w:val="center"/>
          </w:tcPr>
          <w:p>
            <w:pPr>
              <w:pStyle w:val="TableContents"/>
              <w:spacing w:before="0" w:after="283"/>
              <w:rPr/>
            </w:pPr>
            <w:r>
              <w:rPr/>
              <w:t> </w:t>
            </w:r>
          </w:p>
        </w:tc>
        <w:tc>
          <w:tcPr>
            <w:tcW w:w="2487" w:type="dxa"/>
            <w:tcBorders/>
            <w:shd w:fill="auto" w:val="clear"/>
            <w:vAlign w:val="center"/>
          </w:tcPr>
          <w:p>
            <w:pPr>
              <w:pStyle w:val="TableContents"/>
              <w:spacing w:before="0" w:after="283"/>
              <w:jc w:val="center"/>
              <w:rPr/>
            </w:pPr>
            <w:r>
              <w:rPr/>
              <w:t>At or Above 75th Percentile of Peer Group</w:t>
            </w:r>
          </w:p>
        </w:tc>
      </w:tr>
      <w:tr>
        <w:trPr/>
        <w:tc>
          <w:tcPr>
            <w:tcW w:w="1615" w:type="dxa"/>
            <w:tcBorders>
              <w:bottom w:val="single" w:sz="6" w:space="0" w:color="732282"/>
            </w:tcBorders>
            <w:shd w:fill="E5E5E5" w:val="clear"/>
            <w:tcMar>
              <w:bottom w:w="28" w:type="dxa"/>
            </w:tcMar>
            <w:vAlign w:val="center"/>
          </w:tcPr>
          <w:p>
            <w:pPr>
              <w:pStyle w:val="TableContents"/>
              <w:spacing w:before="0" w:after="0"/>
              <w:rPr>
                <w:rFonts w:ascii="arial" w:hAnsi="arial"/>
                <w:sz w:val="18"/>
              </w:rPr>
            </w:pPr>
            <w:r>
              <w:rPr>
                <w:rFonts w:ascii="arial" w:hAnsi="arial"/>
                <w:sz w:val="18"/>
              </w:rPr>
              <w:t>Payout Opportunity (as % of Target)</w:t>
            </w:r>
          </w:p>
        </w:tc>
        <w:tc>
          <w:tcPr>
            <w:tcW w:w="60" w:type="dxa"/>
            <w:tcBorders>
              <w:bottom w:val="single" w:sz="6" w:space="0" w:color="732282"/>
            </w:tcBorders>
            <w:shd w:fill="E5E5E5" w:val="clear"/>
            <w:tcMar>
              <w:bottom w:w="28" w:type="dxa"/>
            </w:tcMar>
            <w:vAlign w:val="center"/>
          </w:tcPr>
          <w:p>
            <w:pPr>
              <w:pStyle w:val="TableContents"/>
              <w:spacing w:before="0" w:after="283"/>
              <w:rPr/>
            </w:pPr>
            <w:r>
              <w:rPr/>
              <w:t> </w:t>
            </w:r>
          </w:p>
        </w:tc>
        <w:tc>
          <w:tcPr>
            <w:tcW w:w="1070" w:type="dxa"/>
            <w:tcBorders>
              <w:bottom w:val="single" w:sz="6" w:space="0" w:color="732282"/>
            </w:tcBorders>
            <w:shd w:fill="E5E5E5" w:val="clear"/>
            <w:tcMar>
              <w:bottom w:w="28" w:type="dxa"/>
            </w:tcMar>
            <w:vAlign w:val="center"/>
          </w:tcPr>
          <w:p>
            <w:pPr>
              <w:pStyle w:val="TableContents"/>
              <w:spacing w:before="0" w:after="283"/>
              <w:rPr/>
            </w:pPr>
            <w:r>
              <w:rPr/>
              <w:t> </w:t>
            </w:r>
          </w:p>
        </w:tc>
        <w:tc>
          <w:tcPr>
            <w:tcW w:w="60" w:type="dxa"/>
            <w:tcBorders>
              <w:bottom w:val="single" w:sz="6" w:space="0" w:color="732282"/>
            </w:tcBorders>
            <w:shd w:fill="E5E5E5" w:val="clear"/>
            <w:tcMar>
              <w:bottom w:w="28" w:type="dxa"/>
            </w:tcMar>
            <w:vAlign w:val="center"/>
          </w:tcPr>
          <w:p>
            <w:pPr>
              <w:pStyle w:val="TableContents"/>
              <w:spacing w:before="0" w:after="283"/>
              <w:rPr/>
            </w:pPr>
            <w:r>
              <w:rPr/>
              <w:t> </w:t>
            </w:r>
          </w:p>
        </w:tc>
        <w:tc>
          <w:tcPr>
            <w:tcW w:w="2061" w:type="dxa"/>
            <w:tcBorders>
              <w:bottom w:val="single" w:sz="6" w:space="0" w:color="732282"/>
            </w:tcBorders>
            <w:shd w:fill="E5E5E5" w:val="clear"/>
            <w:tcMar>
              <w:bottom w:w="28" w:type="dxa"/>
            </w:tcMar>
            <w:vAlign w:val="center"/>
          </w:tcPr>
          <w:p>
            <w:pPr>
              <w:pStyle w:val="TableContents"/>
              <w:spacing w:before="0" w:after="283"/>
              <w:jc w:val="center"/>
              <w:rPr/>
            </w:pPr>
            <w:r>
              <w:rPr/>
              <w:t>35%</w:t>
            </w:r>
          </w:p>
        </w:tc>
        <w:tc>
          <w:tcPr>
            <w:tcW w:w="60" w:type="dxa"/>
            <w:tcBorders>
              <w:bottom w:val="single" w:sz="6" w:space="0" w:color="732282"/>
            </w:tcBorders>
            <w:shd w:fill="E5E5E5" w:val="clear"/>
            <w:tcMar>
              <w:bottom w:w="28" w:type="dxa"/>
            </w:tcMar>
            <w:vAlign w:val="center"/>
          </w:tcPr>
          <w:p>
            <w:pPr>
              <w:pStyle w:val="TableContents"/>
              <w:spacing w:before="0" w:after="283"/>
              <w:rPr/>
            </w:pPr>
            <w:r>
              <w:rPr/>
              <w:t> </w:t>
            </w:r>
          </w:p>
        </w:tc>
        <w:tc>
          <w:tcPr>
            <w:tcW w:w="2732" w:type="dxa"/>
            <w:tcBorders>
              <w:bottom w:val="single" w:sz="6" w:space="0" w:color="732282"/>
            </w:tcBorders>
            <w:shd w:fill="E5E5E5" w:val="clear"/>
            <w:tcMar>
              <w:bottom w:w="28" w:type="dxa"/>
            </w:tcMar>
            <w:vAlign w:val="center"/>
          </w:tcPr>
          <w:p>
            <w:pPr>
              <w:pStyle w:val="TableContents"/>
              <w:spacing w:before="0" w:after="283"/>
              <w:jc w:val="center"/>
              <w:rPr/>
            </w:pPr>
            <w:r>
              <w:rPr/>
              <w:t>100%</w:t>
            </w:r>
          </w:p>
        </w:tc>
        <w:tc>
          <w:tcPr>
            <w:tcW w:w="60" w:type="dxa"/>
            <w:tcBorders>
              <w:bottom w:val="single" w:sz="6" w:space="0" w:color="732282"/>
            </w:tcBorders>
            <w:shd w:fill="E5E5E5" w:val="clear"/>
            <w:tcMar>
              <w:bottom w:w="28" w:type="dxa"/>
            </w:tcMar>
            <w:vAlign w:val="center"/>
          </w:tcPr>
          <w:p>
            <w:pPr>
              <w:pStyle w:val="TableContents"/>
              <w:spacing w:before="0" w:after="283"/>
              <w:rPr/>
            </w:pPr>
            <w:r>
              <w:rPr/>
              <w:t> </w:t>
            </w:r>
          </w:p>
        </w:tc>
        <w:tc>
          <w:tcPr>
            <w:tcW w:w="2487" w:type="dxa"/>
            <w:tcBorders>
              <w:bottom w:val="single" w:sz="6" w:space="0" w:color="732282"/>
            </w:tcBorders>
            <w:shd w:fill="E5E5E5" w:val="clear"/>
            <w:tcMar>
              <w:bottom w:w="28" w:type="dxa"/>
            </w:tcMar>
            <w:vAlign w:val="center"/>
          </w:tcPr>
          <w:p>
            <w:pPr>
              <w:pStyle w:val="TableContents"/>
              <w:spacing w:before="0" w:after="283"/>
              <w:jc w:val="center"/>
              <w:rPr/>
            </w:pPr>
            <w:r>
              <w:rPr/>
              <w:t>195%</w:t>
            </w:r>
          </w:p>
        </w:tc>
      </w:tr>
    </w:tbl>
    <w:tbl>
      <w:tblPr>
        <w:tblW w:w="10205" w:type="dxa"/>
        <w:jc w:val="left"/>
        <w:tblInd w:w="0" w:type="dxa"/>
        <w:tblCellMar>
          <w:top w:w="0" w:type="dxa"/>
          <w:left w:w="0" w:type="dxa"/>
          <w:bottom w:w="0" w:type="dxa"/>
          <w:right w:w="0" w:type="dxa"/>
        </w:tblCellMar>
      </w:tblPr>
      <w:tblGrid>
        <w:gridCol w:w="155"/>
        <w:gridCol w:w="10050"/>
      </w:tblGrid>
      <w:tr>
        <w:trPr/>
        <w:tc>
          <w:tcPr>
            <w:tcW w:w="155" w:type="dxa"/>
            <w:tcBorders/>
            <w:shd w:fill="auto" w:val="clear"/>
            <w:vAlign w:val="center"/>
          </w:tcPr>
          <w:p>
            <w:pPr>
              <w:pStyle w:val="TableContents"/>
              <w:spacing w:before="0" w:after="283"/>
              <w:jc w:val="left"/>
              <w:rPr/>
            </w:pPr>
            <w:r>
              <w:rPr/>
              <w:t>*</w:t>
            </w:r>
          </w:p>
        </w:tc>
        <w:tc>
          <w:tcPr>
            <w:tcW w:w="10050" w:type="dxa"/>
            <w:tcBorders/>
            <w:shd w:fill="auto" w:val="clear"/>
            <w:vAlign w:val="center"/>
          </w:tcPr>
          <w:p>
            <w:pPr>
              <w:pStyle w:val="TableContents"/>
              <w:spacing w:before="0" w:after="0"/>
              <w:jc w:val="both"/>
              <w:rPr>
                <w:rFonts w:ascii="arial" w:hAnsi="arial"/>
                <w:sz w:val="14"/>
              </w:rPr>
            </w:pPr>
            <w:r>
              <w:rPr>
                <w:rFonts w:ascii="arial" w:hAnsi="arial"/>
                <w:sz w:val="14"/>
              </w:rPr>
              <w:t xml:space="preserve">Free cash flow is derived from Viatris’ audited financial statements in the same manner as Viatris’ publicly reported free cash flow, except that the calculation for the 2022 PRSUs utilized budgeted foreign exchange rates and further adjusts for any of the following, as applicable: unplanned litigation gains or losses equal to or greater than $25 million in the aggregate, material changes related to changes in tax laws, unbudgeted IPR&amp;D costs, proceeds from the sale of property, plant and equipment, all impacts of the Biocon Biologics transaction following its consummation including results after closing and transaction related costs, any incremental transaction costs related to other select assets sales/reshaping initiatives and material acquisition activities, all impacts of other select asset sales/reshaping initiatives, all impacts of material acquisition activities and proceeds from the monetization of the Biocon Biologics equity interest. Viatris’ free cash flow as reported for the twelve months ended December 31, 2022 is reconciled to the most directly comparable U.S. GAAP measure in Appendix A. </w:t>
            </w:r>
          </w:p>
        </w:tc>
      </w:tr>
    </w:tbl>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31 </w:t>
      </w:r>
      <w:r>
        <w:br w:type="page"/>
      </w:r>
    </w:p>
    <w:p>
      <w:pPr>
        <w:pStyle w:val="HorizontalLine"/>
        <w:rPr/>
      </w:pPr>
      <w:r>
        <w:rPr/>
      </w:r>
    </w:p>
    <w:tbl>
      <w:tblPr>
        <w:tblW w:w="10205" w:type="dxa"/>
        <w:jc w:val="left"/>
        <w:tblInd w:w="0" w:type="dxa"/>
        <w:tblCellMar>
          <w:top w:w="0" w:type="dxa"/>
          <w:left w:w="0" w:type="dxa"/>
          <w:bottom w:w="0" w:type="dxa"/>
          <w:right w:w="0" w:type="dxa"/>
        </w:tblCellMar>
      </w:tblPr>
      <w:tblGrid>
        <w:gridCol w:w="204"/>
        <w:gridCol w:w="10001"/>
      </w:tblGrid>
      <w:tr>
        <w:trPr/>
        <w:tc>
          <w:tcPr>
            <w:tcW w:w="204" w:type="dxa"/>
            <w:tcBorders/>
            <w:shd w:fill="auto" w:val="clear"/>
            <w:vAlign w:val="center"/>
          </w:tcPr>
          <w:p>
            <w:pPr>
              <w:pStyle w:val="TableContents"/>
              <w:spacing w:before="0" w:after="283"/>
              <w:jc w:val="left"/>
              <w:rPr/>
            </w:pPr>
            <w:r>
              <w:rPr/>
              <w:t>**</w:t>
            </w:r>
          </w:p>
        </w:tc>
        <w:tc>
          <w:tcPr>
            <w:tcW w:w="10001" w:type="dxa"/>
            <w:tcBorders/>
            <w:shd w:fill="auto" w:val="clear"/>
            <w:vAlign w:val="center"/>
          </w:tcPr>
          <w:p>
            <w:pPr>
              <w:pStyle w:val="TableContents"/>
              <w:spacing w:before="0" w:after="0"/>
              <w:jc w:val="both"/>
              <w:rPr>
                <w:rFonts w:ascii="arial" w:hAnsi="arial"/>
                <w:sz w:val="14"/>
              </w:rPr>
            </w:pPr>
            <w:r>
              <w:rPr>
                <w:rFonts w:ascii="arial" w:hAnsi="arial"/>
                <w:sz w:val="14"/>
              </w:rPr>
              <w:t xml:space="preserve">Relative TSR is calculated by comparing the difference between Viatris’ 30-day trailing average closing ordinary share price at the day before the beginning of the performance period and day before the end of the performance period plus any dividends paid during the performance period against the same metric for each company in the S&amp;P 500 Pharmaceutical Index. </w:t>
            </w:r>
          </w:p>
        </w:tc>
      </w:tr>
    </w:tbl>
    <w:p>
      <w:pPr>
        <w:pStyle w:val="TextBody"/>
        <w:spacing w:before="240" w:after="0"/>
        <w:jc w:val="both"/>
        <w:rPr>
          <w:rFonts w:ascii="arial" w:hAnsi="arial"/>
          <w:sz w:val="18"/>
        </w:rPr>
      </w:pPr>
      <w:r>
        <w:rPr>
          <w:rFonts w:ascii="arial" w:hAnsi="arial"/>
          <w:sz w:val="18"/>
        </w:rPr>
        <w:t xml:space="preserve">Payouts with respect to PRSUs granted in 2022 will be determined in early 2025 following the conclusion of the three-year performance cycle. </w:t>
      </w:r>
    </w:p>
    <w:p>
      <w:pPr>
        <w:pStyle w:val="TextBody"/>
        <w:spacing w:before="200" w:after="0"/>
        <w:jc w:val="both"/>
        <w:rPr>
          <w:rFonts w:ascii="arial" w:hAnsi="arial"/>
          <w:b/>
          <w:i/>
          <w:sz w:val="20"/>
        </w:rPr>
      </w:pPr>
      <w:r>
        <w:rPr>
          <w:rFonts w:ascii="arial" w:hAnsi="arial"/>
          <w:b/>
          <w:i/>
          <w:sz w:val="20"/>
        </w:rPr>
        <w:t xml:space="preserve">Governance and Other Considerations Impacting Viatris Compensation Decisions </w:t>
      </w:r>
    </w:p>
    <w:p>
      <w:pPr>
        <w:pStyle w:val="TextBody"/>
        <w:spacing w:before="120" w:after="0"/>
        <w:jc w:val="both"/>
        <w:rPr>
          <w:rFonts w:ascii="arial" w:hAnsi="arial"/>
          <w:sz w:val="18"/>
        </w:rPr>
      </w:pPr>
      <w:r>
        <w:rPr>
          <w:rFonts w:ascii="arial" w:hAnsi="arial"/>
          <w:sz w:val="18"/>
        </w:rPr>
        <w:t xml:space="preserve">The Compensation Committee and Board proactively consider external governance-related developments and trends relating to executive compensation. In setting or approving executive compensation, the Compensation Committee and Board may consider, in addition to any corporate goals and objectives applicable to an individual executive, some or all of the following: recognition of individual performance and contributions; pay for performance; alignment with long-term shareholder interests; advancement of Company strategic goals; maintenance of an appropriate level of fixed and at-risk compensation; remaining competitive with companies within the Company’s peer group; competition for executive talent; internal pay equity; leadership and mentoring skills and contributions; talent management; contributions to establishment or execution of corporate strategy; retention; compliance with applicable law and the Code of Business Conduct and Ethics and Company policy; and/or any other factors determined by the Board or the Compensation Committee to be in the interests of the Company. </w:t>
      </w:r>
    </w:p>
    <w:p>
      <w:pPr>
        <w:pStyle w:val="TextBody"/>
        <w:spacing w:before="200" w:after="0"/>
        <w:jc w:val="both"/>
        <w:rPr>
          <w:rFonts w:ascii="arial" w:hAnsi="arial"/>
          <w:sz w:val="18"/>
        </w:rPr>
      </w:pPr>
      <w:r>
        <w:rPr>
          <w:rFonts w:ascii="arial" w:hAnsi="arial"/>
          <w:sz w:val="18"/>
        </w:rPr>
        <w:t xml:space="preserve">The Compensation Committee and Board believe that each company must independently assess which market practices and trends are appropriate for the company at any particular time in the company’s history and remain fully committed to maintaining a strong compensation governance philosophy that is aligned with shareholder interests and best practices. See also page 27. </w:t>
      </w:r>
    </w:p>
    <w:p>
      <w:pPr>
        <w:pStyle w:val="TextBody"/>
        <w:spacing w:before="200" w:after="0"/>
        <w:jc w:val="both"/>
        <w:rPr>
          <w:rFonts w:ascii="arial" w:hAnsi="arial"/>
          <w:b/>
          <w:i/>
          <w:sz w:val="20"/>
        </w:rPr>
      </w:pPr>
      <w:r>
        <w:rPr>
          <w:rFonts w:ascii="arial" w:hAnsi="arial"/>
          <w:b/>
          <w:i/>
          <w:sz w:val="20"/>
        </w:rPr>
        <w:t xml:space="preserve">Commitment to Responsible, Shareholder-Aligned Compensation Governance Practices </w:t>
      </w:r>
    </w:p>
    <w:p>
      <w:pPr>
        <w:pStyle w:val="TextBody"/>
        <w:spacing w:before="120" w:after="0"/>
        <w:jc w:val="both"/>
        <w:rPr>
          <w:rFonts w:ascii="arial" w:hAnsi="arial"/>
          <w:sz w:val="18"/>
        </w:rPr>
      </w:pPr>
      <w:r>
        <w:rPr>
          <w:rFonts w:ascii="arial" w:hAnsi="arial"/>
          <w:sz w:val="18"/>
        </w:rPr>
        <w:t xml:space="preserve">The following table summarizes certain specific compensation-related governance practices adopted by the Compensation Committee and Board with respect to 2022 compensation. We note that implementation of many of these practices was responsive to comments from shareholders or otherwise endorsed by shareholders.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top w:val="single" w:sz="6" w:space="0" w:color="732282"/>
              <w:left w:val="single" w:sz="6" w:space="0" w:color="732282"/>
              <w:right w:val="single" w:sz="6" w:space="0" w:color="732282"/>
            </w:tcBorders>
            <w:shd w:fill="732282" w:val="clear"/>
            <w:tcMar>
              <w:top w:w="28" w:type="dxa"/>
              <w:left w:w="160" w:type="dxa"/>
              <w:right w:w="40" w:type="dxa"/>
            </w:tcMar>
            <w:vAlign w:val="center"/>
          </w:tcPr>
          <w:p>
            <w:pPr>
              <w:pStyle w:val="TableContents"/>
              <w:spacing w:before="0" w:after="0"/>
              <w:rPr>
                <w:rFonts w:ascii="arial" w:hAnsi="arial"/>
                <w:b/>
                <w:color w:val="FFFFFF"/>
                <w:sz w:val="18"/>
              </w:rPr>
            </w:pPr>
            <w:r>
              <w:rPr>
                <w:rFonts w:ascii="arial" w:hAnsi="arial"/>
                <w:b/>
                <w:color w:val="FFFFFF"/>
                <w:sz w:val="18"/>
              </w:rPr>
              <w:t>What We Do</w:t>
            </w:r>
          </w:p>
        </w:tc>
      </w:tr>
      <w:tr>
        <w:trPr/>
        <w:tc>
          <w:tcPr>
            <w:tcW w:w="10205" w:type="dxa"/>
            <w:tcBorders>
              <w:left w:val="single" w:sz="6" w:space="0" w:color="732282"/>
              <w:right w:val="single" w:sz="6" w:space="0" w:color="732282"/>
            </w:tcBorders>
            <w:shd w:fill="auto" w:val="clear"/>
            <w:tcMar>
              <w:left w:w="160" w:type="dxa"/>
              <w:right w:w="40" w:type="dxa"/>
            </w:tcMar>
            <w:vAlign w:val="center"/>
          </w:tcPr>
          <w:p>
            <w:pPr>
              <w:pStyle w:val="TableContents"/>
              <w:spacing w:before="0" w:after="0"/>
              <w:jc w:val="both"/>
              <w:rPr/>
            </w:pPr>
            <w:r>
              <w:rPr/>
              <w:t>✓  </w:t>
            </w:r>
            <w:r>
              <w:rPr>
                <w:rFonts w:ascii="arial" w:hAnsi="arial"/>
                <w:sz w:val="18"/>
              </w:rPr>
              <w:t>Maintain a significant portion of compensation aligned with shareholder interests and tied to share price or financial and operational business performance</w:t>
            </w:r>
          </w:p>
        </w:tc>
      </w:tr>
      <w:tr>
        <w:trPr/>
        <w:tc>
          <w:tcPr>
            <w:tcW w:w="10205" w:type="dxa"/>
            <w:tcBorders>
              <w:left w:val="single" w:sz="6" w:space="0" w:color="732282"/>
              <w:right w:val="single" w:sz="6" w:space="0" w:color="732282"/>
            </w:tcBorders>
            <w:shd w:fill="E5E5E5" w:val="clear"/>
            <w:tcMar>
              <w:left w:w="160" w:type="dxa"/>
              <w:right w:w="40" w:type="dxa"/>
            </w:tcMar>
            <w:vAlign w:val="center"/>
          </w:tcPr>
          <w:p>
            <w:pPr>
              <w:pStyle w:val="TableContents"/>
              <w:spacing w:before="0" w:after="0"/>
              <w:jc w:val="both"/>
              <w:rPr/>
            </w:pPr>
            <w:r>
              <w:rPr/>
              <w:t>✓  </w:t>
            </w:r>
            <w:r>
              <w:rPr>
                <w:rFonts w:ascii="arial" w:hAnsi="arial"/>
                <w:sz w:val="18"/>
              </w:rPr>
              <w:t>Employ metrics for annual and long-term incentives that support both short- and long-term strategies and align with shareholder interests, including a non-financial metric in the annual program tied to important product development initiatives</w:t>
            </w:r>
          </w:p>
        </w:tc>
      </w:tr>
      <w:tr>
        <w:trPr/>
        <w:tc>
          <w:tcPr>
            <w:tcW w:w="10205" w:type="dxa"/>
            <w:tcBorders>
              <w:left w:val="single" w:sz="6" w:space="0" w:color="732282"/>
              <w:right w:val="single" w:sz="6" w:space="0" w:color="732282"/>
            </w:tcBorders>
            <w:shd w:fill="auto" w:val="clear"/>
            <w:tcMar>
              <w:left w:w="160" w:type="dxa"/>
              <w:right w:w="40" w:type="dxa"/>
            </w:tcMar>
            <w:vAlign w:val="center"/>
          </w:tcPr>
          <w:p>
            <w:pPr>
              <w:pStyle w:val="TableContents"/>
              <w:spacing w:before="0" w:after="0"/>
              <w:jc w:val="both"/>
              <w:rPr/>
            </w:pPr>
            <w:r>
              <w:rPr/>
              <w:t>✓  </w:t>
            </w:r>
            <w:r>
              <w:rPr>
                <w:rFonts w:ascii="arial" w:hAnsi="arial"/>
                <w:sz w:val="18"/>
              </w:rPr>
              <w:t>Base long-term incentives heavily on performance-based metrics and short-term incentives entirely on performance-based metrics</w:t>
            </w:r>
          </w:p>
        </w:tc>
      </w:tr>
      <w:tr>
        <w:trPr/>
        <w:tc>
          <w:tcPr>
            <w:tcW w:w="10205" w:type="dxa"/>
            <w:tcBorders>
              <w:left w:val="single" w:sz="6" w:space="0" w:color="732282"/>
              <w:right w:val="single" w:sz="6" w:space="0" w:color="732282"/>
            </w:tcBorders>
            <w:shd w:fill="E5E5E5" w:val="clear"/>
            <w:tcMar>
              <w:left w:w="160" w:type="dxa"/>
              <w:right w:w="40" w:type="dxa"/>
            </w:tcMar>
            <w:vAlign w:val="center"/>
          </w:tcPr>
          <w:p>
            <w:pPr>
              <w:pStyle w:val="TableContents"/>
              <w:spacing w:before="0" w:after="0"/>
              <w:jc w:val="both"/>
              <w:rPr/>
            </w:pPr>
            <w:r>
              <w:rPr/>
              <w:t>✓  </w:t>
            </w:r>
            <w:r>
              <w:rPr>
                <w:rFonts w:ascii="arial" w:hAnsi="arial"/>
                <w:sz w:val="18"/>
              </w:rPr>
              <w:t>Set rigorous and measurable performance goals and periodically review and discuss our executives’ performance</w:t>
            </w:r>
          </w:p>
        </w:tc>
      </w:tr>
      <w:tr>
        <w:trPr/>
        <w:tc>
          <w:tcPr>
            <w:tcW w:w="10205" w:type="dxa"/>
            <w:tcBorders>
              <w:left w:val="single" w:sz="6" w:space="0" w:color="732282"/>
              <w:right w:val="single" w:sz="6" w:space="0" w:color="732282"/>
            </w:tcBorders>
            <w:shd w:fill="auto" w:val="clear"/>
            <w:tcMar>
              <w:left w:w="160" w:type="dxa"/>
              <w:right w:w="40" w:type="dxa"/>
            </w:tcMar>
            <w:vAlign w:val="center"/>
          </w:tcPr>
          <w:p>
            <w:pPr>
              <w:pStyle w:val="TableContents"/>
              <w:spacing w:before="0" w:after="0"/>
              <w:jc w:val="both"/>
              <w:rPr/>
            </w:pPr>
            <w:r>
              <w:rPr/>
              <w:t>✓  </w:t>
            </w:r>
            <w:r>
              <w:rPr>
                <w:rFonts w:ascii="arial" w:hAnsi="arial"/>
                <w:sz w:val="18"/>
              </w:rPr>
              <w:t>Use double-trigger vesting for annual long-term incentive awards upon a change in control</w:t>
            </w:r>
          </w:p>
        </w:tc>
      </w:tr>
      <w:tr>
        <w:trPr/>
        <w:tc>
          <w:tcPr>
            <w:tcW w:w="10205" w:type="dxa"/>
            <w:tcBorders>
              <w:left w:val="single" w:sz="6" w:space="0" w:color="732282"/>
              <w:right w:val="single" w:sz="6" w:space="0" w:color="732282"/>
            </w:tcBorders>
            <w:shd w:fill="E5E5E5" w:val="clear"/>
            <w:tcMar>
              <w:left w:w="160" w:type="dxa"/>
              <w:right w:w="40" w:type="dxa"/>
            </w:tcMar>
            <w:vAlign w:val="center"/>
          </w:tcPr>
          <w:p>
            <w:pPr>
              <w:pStyle w:val="TableContents"/>
              <w:spacing w:before="0" w:after="0"/>
              <w:jc w:val="both"/>
              <w:rPr/>
            </w:pPr>
            <w:r>
              <w:rPr/>
              <w:t>✓  </w:t>
            </w:r>
            <w:r>
              <w:rPr>
                <w:rFonts w:ascii="arial" w:hAnsi="arial"/>
                <w:sz w:val="18"/>
              </w:rPr>
              <w:t>Retain independent compensation consultants that report directly to the Compensation Committee</w:t>
            </w:r>
          </w:p>
        </w:tc>
      </w:tr>
      <w:tr>
        <w:trPr/>
        <w:tc>
          <w:tcPr>
            <w:tcW w:w="10205" w:type="dxa"/>
            <w:tcBorders>
              <w:left w:val="single" w:sz="6" w:space="0" w:color="732282"/>
              <w:right w:val="single" w:sz="6" w:space="0" w:color="732282"/>
            </w:tcBorders>
            <w:shd w:fill="auto" w:val="clear"/>
            <w:tcMar>
              <w:left w:w="160" w:type="dxa"/>
              <w:right w:w="40" w:type="dxa"/>
            </w:tcMar>
            <w:vAlign w:val="center"/>
          </w:tcPr>
          <w:p>
            <w:pPr>
              <w:pStyle w:val="TableContents"/>
              <w:spacing w:before="0" w:after="0"/>
              <w:jc w:val="both"/>
              <w:rPr/>
            </w:pPr>
            <w:r>
              <w:rPr/>
              <w:t>✓  </w:t>
            </w:r>
            <w:r>
              <w:rPr>
                <w:rFonts w:ascii="arial" w:hAnsi="arial"/>
                <w:sz w:val="18"/>
              </w:rPr>
              <w:t>Maintain strong share ownership guidelines</w:t>
            </w:r>
          </w:p>
        </w:tc>
      </w:tr>
      <w:tr>
        <w:trPr/>
        <w:tc>
          <w:tcPr>
            <w:tcW w:w="10205" w:type="dxa"/>
            <w:tcBorders>
              <w:left w:val="single" w:sz="6" w:space="0" w:color="732282"/>
              <w:right w:val="single" w:sz="6" w:space="0" w:color="732282"/>
            </w:tcBorders>
            <w:shd w:fill="E5E5E5" w:val="clear"/>
            <w:tcMar>
              <w:left w:w="160" w:type="dxa"/>
              <w:right w:w="40" w:type="dxa"/>
            </w:tcMar>
            <w:vAlign w:val="center"/>
          </w:tcPr>
          <w:p>
            <w:pPr>
              <w:pStyle w:val="TableContents"/>
              <w:spacing w:before="0" w:after="0"/>
              <w:jc w:val="both"/>
              <w:rPr/>
            </w:pPr>
            <w:r>
              <w:rPr/>
              <w:t>✓  </w:t>
            </w:r>
            <w:r>
              <w:rPr>
                <w:rFonts w:ascii="arial" w:hAnsi="arial"/>
                <w:sz w:val="18"/>
              </w:rPr>
              <w:t>Maintain a robust clawback policy</w:t>
            </w:r>
          </w:p>
        </w:tc>
      </w:tr>
      <w:tr>
        <w:trPr/>
        <w:tc>
          <w:tcPr>
            <w:tcW w:w="10205" w:type="dxa"/>
            <w:tcBorders>
              <w:left w:val="single" w:sz="6" w:space="0" w:color="732282"/>
              <w:right w:val="single" w:sz="6" w:space="0" w:color="732282"/>
            </w:tcBorders>
            <w:shd w:fill="auto" w:val="clear"/>
            <w:tcMar>
              <w:left w:w="160" w:type="dxa"/>
              <w:right w:w="40" w:type="dxa"/>
            </w:tcMar>
            <w:vAlign w:val="center"/>
          </w:tcPr>
          <w:p>
            <w:pPr>
              <w:pStyle w:val="TableContents"/>
              <w:spacing w:before="0" w:after="0"/>
              <w:jc w:val="both"/>
              <w:rPr/>
            </w:pPr>
            <w:r>
              <w:rPr/>
              <w:t>✓  </w:t>
            </w:r>
            <w:r>
              <w:rPr>
                <w:rFonts w:ascii="arial" w:hAnsi="arial"/>
                <w:sz w:val="18"/>
              </w:rPr>
              <w:t>Engage with shareholders on compensation and governance matters</w:t>
            </w:r>
          </w:p>
        </w:tc>
      </w:tr>
      <w:tr>
        <w:trPr/>
        <w:tc>
          <w:tcPr>
            <w:tcW w:w="10205" w:type="dxa"/>
            <w:tcBorders>
              <w:left w:val="single" w:sz="6" w:space="0" w:color="732282"/>
              <w:right w:val="single" w:sz="6" w:space="0" w:color="732282"/>
            </w:tcBorders>
            <w:shd w:fill="E5E5E5" w:val="clear"/>
            <w:tcMar>
              <w:left w:w="160" w:type="dxa"/>
              <w:right w:w="40" w:type="dxa"/>
            </w:tcMar>
            <w:vAlign w:val="center"/>
          </w:tcPr>
          <w:p>
            <w:pPr>
              <w:pStyle w:val="TableContents"/>
              <w:spacing w:before="0" w:after="0"/>
              <w:jc w:val="both"/>
              <w:rPr/>
            </w:pPr>
            <w:r>
              <w:rPr/>
              <w:t>✓  </w:t>
            </w:r>
            <w:r>
              <w:rPr>
                <w:rFonts w:ascii="arial" w:hAnsi="arial"/>
                <w:sz w:val="18"/>
              </w:rPr>
              <w:t>Consider peer groups and market data in determining compensation</w:t>
            </w:r>
          </w:p>
        </w:tc>
      </w:tr>
      <w:tr>
        <w:trPr/>
        <w:tc>
          <w:tcPr>
            <w:tcW w:w="10205" w:type="dxa"/>
            <w:tcBorders>
              <w:left w:val="single" w:sz="6" w:space="0" w:color="732282"/>
              <w:bottom w:val="single" w:sz="6" w:space="0" w:color="732282"/>
              <w:right w:val="single" w:sz="6" w:space="0" w:color="732282"/>
            </w:tcBorders>
            <w:shd w:fill="auto" w:val="clear"/>
            <w:tcMar>
              <w:left w:w="160" w:type="dxa"/>
              <w:bottom w:w="28" w:type="dxa"/>
              <w:right w:w="40" w:type="dxa"/>
            </w:tcMar>
            <w:vAlign w:val="center"/>
          </w:tcPr>
          <w:p>
            <w:pPr>
              <w:pStyle w:val="TableContents"/>
              <w:spacing w:before="0" w:after="0"/>
              <w:jc w:val="both"/>
              <w:rPr/>
            </w:pPr>
            <w:r>
              <w:rPr/>
              <w:t>✓  </w:t>
            </w:r>
            <w:r>
              <w:rPr>
                <w:rFonts w:ascii="arial" w:hAnsi="arial"/>
                <w:sz w:val="18"/>
              </w:rPr>
              <w:t>Annual Say-on-Pay Vote</w:t>
            </w:r>
          </w:p>
        </w:tc>
      </w:tr>
    </w:tbl>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32 </w:t>
      </w:r>
      <w:r>
        <w:br w:type="page"/>
      </w:r>
    </w:p>
    <w:p>
      <w:pPr>
        <w:pStyle w:val="HorizontalLine"/>
        <w:rPr/>
      </w:pPr>
      <w:r>
        <w:rPr/>
      </w:r>
    </w:p>
    <w:tbl>
      <w:tblPr>
        <w:tblW w:w="7550" w:type="dxa"/>
        <w:jc w:val="left"/>
        <w:tblInd w:w="0" w:type="dxa"/>
        <w:tblCellMar>
          <w:top w:w="0" w:type="dxa"/>
          <w:left w:w="0" w:type="dxa"/>
          <w:bottom w:w="0" w:type="dxa"/>
          <w:right w:w="0" w:type="dxa"/>
        </w:tblCellMar>
      </w:tblPr>
      <w:tblGrid>
        <w:gridCol w:w="7550"/>
      </w:tblGrid>
      <w:tr>
        <w:trPr/>
        <w:tc>
          <w:tcPr>
            <w:tcW w:w="7550" w:type="dxa"/>
            <w:tcBorders/>
            <w:shd w:fill="auto" w:val="clear"/>
            <w:vAlign w:val="center"/>
          </w:tcPr>
          <w:p>
            <w:pPr>
              <w:pStyle w:val="TableContents"/>
              <w:spacing w:before="0" w:after="283"/>
              <w:rPr>
                <w:sz w:val="4"/>
                <w:szCs w:val="4"/>
              </w:rPr>
            </w:pPr>
            <w:r>
              <w:rPr>
                <w:sz w:val="4"/>
                <w:szCs w:val="4"/>
              </w:rPr>
            </w:r>
          </w:p>
        </w:tc>
      </w:tr>
      <w:tr>
        <w:trPr/>
        <w:tc>
          <w:tcPr>
            <w:tcW w:w="7550" w:type="dxa"/>
            <w:tcBorders>
              <w:top w:val="single" w:sz="6" w:space="0" w:color="732282"/>
              <w:left w:val="single" w:sz="6" w:space="0" w:color="732282"/>
              <w:right w:val="single" w:sz="6" w:space="0" w:color="732282"/>
            </w:tcBorders>
            <w:shd w:fill="732282" w:val="clear"/>
            <w:tcMar>
              <w:top w:w="28" w:type="dxa"/>
              <w:left w:w="160" w:type="dxa"/>
              <w:right w:w="40" w:type="dxa"/>
            </w:tcMar>
            <w:vAlign w:val="center"/>
          </w:tcPr>
          <w:p>
            <w:pPr>
              <w:pStyle w:val="TableContents"/>
              <w:spacing w:before="0" w:after="0"/>
              <w:rPr>
                <w:rFonts w:ascii="arial" w:hAnsi="arial"/>
                <w:b/>
                <w:color w:val="FFFFFF"/>
                <w:sz w:val="18"/>
              </w:rPr>
            </w:pPr>
            <w:r>
              <w:rPr>
                <w:rFonts w:ascii="arial" w:hAnsi="arial"/>
                <w:b/>
                <w:color w:val="FFFFFF"/>
                <w:sz w:val="18"/>
              </w:rPr>
              <w:t>What We Don’t Do</w:t>
            </w:r>
          </w:p>
        </w:tc>
      </w:tr>
      <w:tr>
        <w:trPr/>
        <w:tc>
          <w:tcPr>
            <w:tcW w:w="7550" w:type="dxa"/>
            <w:tcBorders>
              <w:left w:val="single" w:sz="6" w:space="0" w:color="732282"/>
              <w:right w:val="single" w:sz="6" w:space="0" w:color="732282"/>
            </w:tcBorders>
            <w:shd w:fill="auto" w:val="clear"/>
            <w:tcMar>
              <w:left w:w="160" w:type="dxa"/>
              <w:right w:w="40" w:type="dxa"/>
            </w:tcMar>
            <w:vAlign w:val="center"/>
          </w:tcPr>
          <w:p>
            <w:pPr>
              <w:pStyle w:val="TableContents"/>
              <w:spacing w:before="0" w:after="0"/>
              <w:jc w:val="both"/>
              <w:rPr>
                <w:rFonts w:ascii="arial" w:hAnsi="arial"/>
                <w:sz w:val="18"/>
              </w:rPr>
            </w:pPr>
            <w:r>
              <w:rPr>
                <w:rFonts w:ascii="arial" w:hAnsi="arial"/>
                <w:sz w:val="18"/>
              </w:rPr>
              <w:t>X   New fixed-term NEO employment agreements</w:t>
            </w:r>
          </w:p>
        </w:tc>
      </w:tr>
      <w:tr>
        <w:trPr/>
        <w:tc>
          <w:tcPr>
            <w:tcW w:w="7550" w:type="dxa"/>
            <w:tcBorders>
              <w:left w:val="single" w:sz="6" w:space="0" w:color="732282"/>
              <w:right w:val="single" w:sz="6" w:space="0" w:color="732282"/>
            </w:tcBorders>
            <w:shd w:fill="E5E5E5" w:val="clear"/>
            <w:tcMar>
              <w:left w:w="160" w:type="dxa"/>
              <w:right w:w="40" w:type="dxa"/>
            </w:tcMar>
            <w:vAlign w:val="center"/>
          </w:tcPr>
          <w:p>
            <w:pPr>
              <w:pStyle w:val="TableContents"/>
              <w:spacing w:before="0" w:after="0"/>
              <w:jc w:val="both"/>
              <w:rPr>
                <w:rFonts w:ascii="arial" w:hAnsi="arial"/>
                <w:sz w:val="18"/>
              </w:rPr>
            </w:pPr>
            <w:r>
              <w:rPr>
                <w:rFonts w:ascii="arial" w:hAnsi="arial"/>
                <w:sz w:val="18"/>
              </w:rPr>
              <w:t>X   Excise tax gross-ups</w:t>
            </w:r>
          </w:p>
        </w:tc>
      </w:tr>
      <w:tr>
        <w:trPr/>
        <w:tc>
          <w:tcPr>
            <w:tcW w:w="7550" w:type="dxa"/>
            <w:tcBorders>
              <w:left w:val="single" w:sz="6" w:space="0" w:color="732282"/>
              <w:right w:val="single" w:sz="6" w:space="0" w:color="732282"/>
            </w:tcBorders>
            <w:shd w:fill="auto" w:val="clear"/>
            <w:tcMar>
              <w:left w:w="160" w:type="dxa"/>
              <w:right w:w="40" w:type="dxa"/>
            </w:tcMar>
            <w:vAlign w:val="center"/>
          </w:tcPr>
          <w:p>
            <w:pPr>
              <w:pStyle w:val="TableContents"/>
              <w:spacing w:before="0" w:after="0"/>
              <w:jc w:val="both"/>
              <w:rPr>
                <w:rFonts w:ascii="arial" w:hAnsi="arial"/>
                <w:sz w:val="18"/>
              </w:rPr>
            </w:pPr>
            <w:r>
              <w:rPr>
                <w:rFonts w:ascii="arial" w:hAnsi="arial"/>
                <w:sz w:val="18"/>
              </w:rPr>
              <w:t>X   Supplemental retirement agreements</w:t>
            </w:r>
          </w:p>
        </w:tc>
      </w:tr>
      <w:tr>
        <w:trPr/>
        <w:tc>
          <w:tcPr>
            <w:tcW w:w="7550" w:type="dxa"/>
            <w:tcBorders>
              <w:left w:val="single" w:sz="6" w:space="0" w:color="732282"/>
              <w:right w:val="single" w:sz="6" w:space="0" w:color="732282"/>
            </w:tcBorders>
            <w:shd w:fill="E5E5E5" w:val="clear"/>
            <w:tcMar>
              <w:left w:w="160" w:type="dxa"/>
              <w:right w:w="40" w:type="dxa"/>
            </w:tcMar>
            <w:vAlign w:val="center"/>
          </w:tcPr>
          <w:p>
            <w:pPr>
              <w:pStyle w:val="TableContents"/>
              <w:spacing w:before="0" w:after="0"/>
              <w:jc w:val="both"/>
              <w:rPr>
                <w:rFonts w:ascii="arial" w:hAnsi="arial"/>
                <w:sz w:val="18"/>
              </w:rPr>
            </w:pPr>
            <w:r>
              <w:rPr>
                <w:rFonts w:ascii="arial" w:hAnsi="arial"/>
                <w:sz w:val="18"/>
              </w:rPr>
              <w:t>X   Exercise positive discretion in determining annual incentive compensation or LTI payouts</w:t>
            </w:r>
          </w:p>
        </w:tc>
      </w:tr>
      <w:tr>
        <w:trPr/>
        <w:tc>
          <w:tcPr>
            <w:tcW w:w="7550" w:type="dxa"/>
            <w:tcBorders>
              <w:left w:val="single" w:sz="6" w:space="0" w:color="732282"/>
              <w:right w:val="single" w:sz="6" w:space="0" w:color="732282"/>
            </w:tcBorders>
            <w:shd w:fill="auto" w:val="clear"/>
            <w:tcMar>
              <w:left w:w="160" w:type="dxa"/>
              <w:right w:w="40" w:type="dxa"/>
            </w:tcMar>
            <w:vAlign w:val="center"/>
          </w:tcPr>
          <w:p>
            <w:pPr>
              <w:pStyle w:val="TableContents"/>
              <w:spacing w:before="0" w:after="0"/>
              <w:jc w:val="both"/>
              <w:rPr>
                <w:rFonts w:ascii="arial" w:hAnsi="arial"/>
                <w:sz w:val="18"/>
              </w:rPr>
            </w:pPr>
            <w:r>
              <w:rPr>
                <w:rFonts w:ascii="arial" w:hAnsi="arial"/>
                <w:sz w:val="18"/>
              </w:rPr>
              <w:t>X   Re-pricing of stock options without shareholder approval</w:t>
            </w:r>
          </w:p>
        </w:tc>
      </w:tr>
      <w:tr>
        <w:trPr/>
        <w:tc>
          <w:tcPr>
            <w:tcW w:w="7550" w:type="dxa"/>
            <w:tcBorders>
              <w:left w:val="single" w:sz="6" w:space="0" w:color="732282"/>
              <w:bottom w:val="single" w:sz="6" w:space="0" w:color="732282"/>
              <w:right w:val="single" w:sz="6" w:space="0" w:color="732282"/>
            </w:tcBorders>
            <w:shd w:fill="E5E5E5" w:val="clear"/>
            <w:tcMar>
              <w:left w:w="160" w:type="dxa"/>
              <w:bottom w:w="28" w:type="dxa"/>
              <w:right w:w="40" w:type="dxa"/>
            </w:tcMar>
            <w:vAlign w:val="center"/>
          </w:tcPr>
          <w:p>
            <w:pPr>
              <w:pStyle w:val="TableContents"/>
              <w:spacing w:before="0" w:after="0"/>
              <w:jc w:val="both"/>
              <w:rPr>
                <w:rFonts w:ascii="arial" w:hAnsi="arial"/>
                <w:sz w:val="18"/>
              </w:rPr>
            </w:pPr>
            <w:r>
              <w:rPr>
                <w:rFonts w:ascii="arial" w:hAnsi="arial"/>
                <w:sz w:val="18"/>
              </w:rPr>
              <w:t>X   Hedging or pledging of shares</w:t>
            </w:r>
          </w:p>
        </w:tc>
      </w:tr>
    </w:tbl>
    <w:p>
      <w:pPr>
        <w:pStyle w:val="TextBody"/>
        <w:spacing w:before="240" w:after="0"/>
        <w:jc w:val="left"/>
        <w:rPr>
          <w:rFonts w:ascii="arial" w:hAnsi="arial"/>
          <w:b/>
          <w:sz w:val="20"/>
        </w:rPr>
      </w:pPr>
      <w:r>
        <w:rPr>
          <w:rFonts w:ascii="arial" w:hAnsi="arial"/>
          <w:b/>
          <w:sz w:val="20"/>
        </w:rPr>
        <w:t xml:space="preserve">Limited Perquisites </w:t>
      </w:r>
    </w:p>
    <w:p>
      <w:pPr>
        <w:pStyle w:val="TextBody"/>
        <w:spacing w:before="120" w:after="0"/>
        <w:jc w:val="both"/>
        <w:rPr>
          <w:rFonts w:ascii="arial" w:hAnsi="arial"/>
          <w:sz w:val="18"/>
        </w:rPr>
      </w:pPr>
      <w:r>
        <w:rPr>
          <w:rFonts w:ascii="arial" w:hAnsi="arial"/>
          <w:sz w:val="18"/>
        </w:rPr>
        <w:t xml:space="preserve">We provide certain limited perquisites to our NEOs, including the following: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arial" w:hAnsi="arial"/>
                <w:sz w:val="18"/>
              </w:rPr>
            </w:pPr>
            <w:r>
              <w:rPr>
                <w:rFonts w:ascii="arial" w:hAnsi="arial"/>
                <w:sz w:val="18"/>
              </w:rPr>
              <w:t xml:space="preserve">Each NEO receives a car allowance or the use of a leased vehicle and payment of certain ancillary expenses. The NEOs are responsible for paying any taxes incurred relating to this perquisite. </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both"/>
              <w:rPr>
                <w:rFonts w:ascii="arial" w:hAnsi="arial"/>
                <w:sz w:val="18"/>
              </w:rPr>
            </w:pPr>
            <w:r>
              <w:rPr>
                <w:rFonts w:ascii="arial" w:hAnsi="arial"/>
                <w:sz w:val="18"/>
              </w:rPr>
              <w:t xml:space="preserve">Our NEOs take an extraordinarily active approach to overseeing and managing Viatris’ global operations, which necessitates and will continue to necessitate a significant amount of U.S. domestic and international travel time due to our diverse business centers, manufacturing and other facilities, and many client and vendor locations around the world. Viatris provides management with access to corporate aircraft to assist in the management of Viatris’ global platform by providing a more efficient and secure traveling environment, including where sensitive business issues may be discussed or reviewed, as well as maximum flexibility to our executives in the conduct of business. For reasons of business efficiency and continued security-related concerns (including personal security, especially given the global nature of Viatris’ business, as well as privacy of business information and communications), we also may from time to time require certain executives to use corporate aircraft for business and personal purposes. </w:t>
            </w:r>
          </w:p>
        </w:tc>
      </w:tr>
    </w:tbl>
    <w:p>
      <w:pPr>
        <w:pStyle w:val="TextBody"/>
        <w:spacing w:before="0" w:after="0"/>
        <w:jc w:val="left"/>
        <w:rPr/>
      </w:pPr>
      <w:r>
        <w:rPr/>
        <w:t> </w:t>
      </w:r>
    </w:p>
    <w:tbl>
      <w:tblPr>
        <w:tblW w:w="9970" w:type="dxa"/>
        <w:jc w:val="left"/>
        <w:tblInd w:w="0" w:type="dxa"/>
        <w:tblCellMar>
          <w:top w:w="0" w:type="dxa"/>
          <w:left w:w="0" w:type="dxa"/>
          <w:bottom w:w="0" w:type="dxa"/>
          <w:right w:w="0" w:type="dxa"/>
        </w:tblCellMar>
      </w:tblPr>
      <w:tblGrid>
        <w:gridCol w:w="75"/>
        <w:gridCol w:w="110"/>
        <w:gridCol w:w="60"/>
        <w:gridCol w:w="972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725" w:type="dxa"/>
            <w:tcBorders/>
            <w:shd w:fill="auto" w:val="clear"/>
            <w:vAlign w:val="center"/>
          </w:tcPr>
          <w:p>
            <w:pPr>
              <w:pStyle w:val="TableContents"/>
              <w:spacing w:before="0" w:after="0"/>
              <w:jc w:val="both"/>
              <w:rPr>
                <w:rFonts w:ascii="arial" w:hAnsi="arial"/>
                <w:sz w:val="18"/>
              </w:rPr>
            </w:pPr>
            <w:r>
              <w:rPr>
                <w:rFonts w:ascii="arial" w:hAnsi="arial"/>
                <w:sz w:val="18"/>
              </w:rPr>
              <w:t xml:space="preserve">Because of continued security-related concerns, we may from time-to-time provide certain NEOs with personal security. </w:t>
            </w:r>
          </w:p>
        </w:tc>
      </w:tr>
    </w:tbl>
    <w:p>
      <w:pPr>
        <w:pStyle w:val="TextBody"/>
        <w:spacing w:before="240" w:after="0"/>
        <w:jc w:val="left"/>
        <w:rPr>
          <w:rFonts w:ascii="arial" w:hAnsi="arial"/>
          <w:b/>
          <w:sz w:val="20"/>
        </w:rPr>
      </w:pPr>
      <w:r>
        <w:rPr>
          <w:rFonts w:ascii="arial" w:hAnsi="arial"/>
          <w:b/>
          <w:sz w:val="20"/>
        </w:rPr>
        <w:t xml:space="preserve">401(k) Restoration Plan </w:t>
      </w:r>
    </w:p>
    <w:p>
      <w:pPr>
        <w:pStyle w:val="TextBody"/>
        <w:spacing w:before="120" w:after="0"/>
        <w:jc w:val="both"/>
        <w:rPr>
          <w:rFonts w:ascii="arial" w:hAnsi="arial"/>
          <w:sz w:val="18"/>
        </w:rPr>
      </w:pPr>
      <w:r>
        <w:rPr>
          <w:rFonts w:ascii="arial" w:hAnsi="arial"/>
          <w:sz w:val="18"/>
        </w:rPr>
        <w:t xml:space="preserve">The 401(k) Restoration Plan (the “Restoration Plan”) permits employees (including NEOs) who earn compensation in excess of the limits imposed by Section 401(a)(17) of the Internal Revenue Code of 1986, as amended (the “Code”) to (i) defer a portion of base salary and bonus compensation, (ii) be (for employees other than the NEOs with a Retirement Benefit Agreement) credited with a Company matching contribution in respect of deferrals under the Restoration Plan, and (iii) be credited with Company non-elective contributions (to the extent made by Viatris), in each case, to the extent that participants otherwise would be able to defer or be credited with such amounts, as applicable, under Viatris’ 401(k) plan if not for the limits on contributions and deferrals imposed by the Code. Company matching contributions immediately vest and Company non-elective contributions are subject to an initial three-year vesting period. Upon a change in control (as defined in the Restoration Plan), a participant will become 100% vested in any unvested portion of his or her non-elective contributions. Distributions of such participant’s vested account balance will be made in a lump sum within 60 days following a participant’s separation from service (or such later date as may be required by Section 409A of the Code).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33 </w:t>
      </w:r>
      <w:r>
        <w:br w:type="page"/>
      </w:r>
    </w:p>
    <w:p>
      <w:pPr>
        <w:pStyle w:val="HorizontalLine"/>
        <w:rPr/>
      </w:pPr>
      <w:r>
        <w:rPr/>
      </w:r>
    </w:p>
    <w:p>
      <w:pPr>
        <w:pStyle w:val="TextBody"/>
        <w:spacing w:before="0" w:after="0"/>
        <w:jc w:val="left"/>
        <w:rPr>
          <w:rFonts w:ascii="arial" w:hAnsi="arial"/>
          <w:b/>
          <w:sz w:val="20"/>
        </w:rPr>
      </w:pPr>
      <w:r>
        <w:rPr>
          <w:rFonts w:ascii="arial" w:hAnsi="arial"/>
          <w:b/>
          <w:sz w:val="20"/>
        </w:rPr>
        <w:t xml:space="preserve">2022 Share Ownership Requirements </w:t>
      </w:r>
    </w:p>
    <w:p>
      <w:pPr>
        <w:pStyle w:val="TextBody"/>
        <w:spacing w:before="120" w:after="0"/>
        <w:jc w:val="both"/>
        <w:rPr>
          <w:rFonts w:ascii="arial" w:hAnsi="arial"/>
          <w:sz w:val="18"/>
        </w:rPr>
      </w:pPr>
      <w:r>
        <w:rPr>
          <w:rFonts w:ascii="arial" w:hAnsi="arial"/>
          <w:sz w:val="18"/>
        </w:rPr>
        <w:t xml:space="preserve">Viatris maintains robust share ownership requirements for our NEOs. The requirement is expressed as a multiple of base salary and shown in the table below. </w:t>
      </w:r>
    </w:p>
    <w:p>
      <w:pPr>
        <w:pStyle w:val="TextBody"/>
        <w:spacing w:before="0" w:after="0"/>
        <w:jc w:val="left"/>
        <w:rPr/>
      </w:pPr>
      <w:r>
        <w:rPr/>
        <w:t> </w:t>
      </w:r>
    </w:p>
    <w:tbl>
      <w:tblPr>
        <w:tblW w:w="3115" w:type="dxa"/>
        <w:jc w:val="left"/>
        <w:tblInd w:w="0" w:type="dxa"/>
        <w:tblCellMar>
          <w:top w:w="0" w:type="dxa"/>
          <w:left w:w="0" w:type="dxa"/>
          <w:bottom w:w="0" w:type="dxa"/>
          <w:right w:w="0" w:type="dxa"/>
        </w:tblCellMar>
      </w:tblPr>
      <w:tblGrid>
        <w:gridCol w:w="1880"/>
        <w:gridCol w:w="120"/>
        <w:gridCol w:w="195"/>
        <w:gridCol w:w="845"/>
        <w:gridCol w:w="75"/>
      </w:tblGrid>
      <w:tr>
        <w:trPr/>
        <w:tc>
          <w:tcPr>
            <w:tcW w:w="18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880" w:type="dxa"/>
            <w:tcBorders>
              <w:bottom w:val="single" w:sz="8" w:space="0" w:color="732282"/>
            </w:tcBorders>
            <w:shd w:fill="auto" w:val="clear"/>
            <w:tcMar>
              <w:bottom w:w="28" w:type="dxa"/>
            </w:tcMar>
            <w:vAlign w:val="center"/>
          </w:tcPr>
          <w:p>
            <w:pPr>
              <w:pStyle w:val="TableContents"/>
              <w:spacing w:before="0" w:after="0"/>
              <w:rPr>
                <w:rFonts w:ascii="arial" w:hAnsi="arial"/>
                <w:b/>
                <w:color w:val="732282"/>
                <w:sz w:val="16"/>
              </w:rPr>
            </w:pPr>
            <w:r>
              <w:rPr>
                <w:rFonts w:ascii="arial" w:hAnsi="arial"/>
                <w:b/>
                <w:color w:val="732282"/>
                <w:sz w:val="16"/>
              </w:rPr>
              <w:t>Position</w:t>
            </w:r>
          </w:p>
        </w:tc>
        <w:tc>
          <w:tcPr>
            <w:tcW w:w="120" w:type="dxa"/>
            <w:tcBorders>
              <w:bottom w:val="single" w:sz="8" w:space="0" w:color="732282"/>
            </w:tcBorders>
            <w:shd w:fill="auto" w:val="clear"/>
            <w:tcMar>
              <w:bottom w:w="28" w:type="dxa"/>
            </w:tcMar>
            <w:vAlign w:val="center"/>
          </w:tcPr>
          <w:p>
            <w:pPr>
              <w:pStyle w:val="TableContents"/>
              <w:spacing w:before="0" w:after="283"/>
              <w:rPr/>
            </w:pPr>
            <w:r>
              <w:rPr/>
              <w:t>  </w:t>
            </w:r>
          </w:p>
        </w:tc>
        <w:tc>
          <w:tcPr>
            <w:tcW w:w="1040" w:type="dxa"/>
            <w:gridSpan w:val="2"/>
            <w:tcBorders>
              <w:bottom w:val="single" w:sz="8" w:space="0" w:color="732282"/>
            </w:tcBorders>
            <w:shd w:fill="auto" w:val="clear"/>
            <w:tcMar>
              <w:bottom w:w="28" w:type="dxa"/>
            </w:tcMar>
            <w:vAlign w:val="center"/>
          </w:tcPr>
          <w:p>
            <w:pPr>
              <w:pStyle w:val="TableContents"/>
              <w:spacing w:before="0" w:after="0"/>
              <w:jc w:val="right"/>
              <w:rPr>
                <w:rFonts w:ascii="arial" w:hAnsi="arial"/>
                <w:b/>
                <w:color w:val="732282"/>
                <w:sz w:val="16"/>
              </w:rPr>
            </w:pPr>
            <w:r>
              <w:rPr>
                <w:rFonts w:ascii="arial" w:hAnsi="arial"/>
                <w:b/>
                <w:color w:val="732282"/>
                <w:sz w:val="16"/>
              </w:rPr>
              <w:t>Ownership</w:t>
            </w:r>
          </w:p>
          <w:p>
            <w:pPr>
              <w:pStyle w:val="TableContents"/>
              <w:spacing w:before="0" w:after="20"/>
              <w:jc w:val="right"/>
              <w:rPr>
                <w:rFonts w:ascii="arial" w:hAnsi="arial"/>
                <w:b/>
                <w:color w:val="732282"/>
                <w:sz w:val="16"/>
              </w:rPr>
            </w:pPr>
            <w:r>
              <w:rPr>
                <w:rFonts w:ascii="arial" w:hAnsi="arial"/>
                <w:b/>
                <w:color w:val="732282"/>
                <w:sz w:val="16"/>
              </w:rPr>
              <w:t>Requirement</w:t>
            </w:r>
          </w:p>
        </w:tc>
        <w:tc>
          <w:tcPr>
            <w:tcW w:w="75" w:type="dxa"/>
            <w:tcBorders>
              <w:bottom w:val="single" w:sz="8" w:space="0" w:color="732282"/>
            </w:tcBorders>
            <w:shd w:fill="auto" w:val="clear"/>
            <w:tcMar>
              <w:bottom w:w="28" w:type="dxa"/>
            </w:tcMar>
            <w:vAlign w:val="center"/>
          </w:tcPr>
          <w:p>
            <w:pPr>
              <w:pStyle w:val="TableContents"/>
              <w:spacing w:before="0" w:after="283"/>
              <w:rPr/>
            </w:pPr>
            <w:r>
              <w:rPr/>
              <w:t> </w:t>
            </w:r>
          </w:p>
        </w:tc>
      </w:tr>
      <w:tr>
        <w:trPr/>
        <w:tc>
          <w:tcPr>
            <w:tcW w:w="1880" w:type="dxa"/>
            <w:tcBorders/>
            <w:shd w:fill="E5E5E5" w:val="clear"/>
            <w:vAlign w:val="center"/>
          </w:tcPr>
          <w:p>
            <w:pPr>
              <w:pStyle w:val="TableContents"/>
              <w:spacing w:before="0" w:after="0"/>
              <w:rPr>
                <w:rFonts w:ascii="arial" w:hAnsi="arial"/>
                <w:sz w:val="18"/>
              </w:rPr>
            </w:pPr>
            <w:r>
              <w:rPr>
                <w:rFonts w:ascii="arial" w:hAnsi="arial"/>
                <w:sz w:val="18"/>
              </w:rPr>
              <w:t>Executive Chairman</w:t>
            </w:r>
          </w:p>
        </w:tc>
        <w:tc>
          <w:tcPr>
            <w:tcW w:w="120" w:type="dxa"/>
            <w:tcBorders/>
            <w:shd w:fill="E5E5E5" w:val="clear"/>
            <w:vAlign w:val="center"/>
          </w:tcPr>
          <w:p>
            <w:pPr>
              <w:pStyle w:val="TableContents"/>
              <w:spacing w:before="0" w:after="283"/>
              <w:rPr/>
            </w:pPr>
            <w:r>
              <w:rPr/>
              <w:t>  </w:t>
            </w:r>
          </w:p>
        </w:tc>
        <w:tc>
          <w:tcPr>
            <w:tcW w:w="195" w:type="dxa"/>
            <w:tcBorders/>
            <w:shd w:fill="E5E5E5" w:val="clear"/>
            <w:vAlign w:val="center"/>
          </w:tcPr>
          <w:p>
            <w:pPr>
              <w:pStyle w:val="TableContents"/>
              <w:spacing w:before="0" w:after="283"/>
              <w:rPr/>
            </w:pPr>
            <w:r>
              <w:rPr/>
              <w:t> </w:t>
            </w:r>
          </w:p>
        </w:tc>
        <w:tc>
          <w:tcPr>
            <w:tcW w:w="845" w:type="dxa"/>
            <w:tcBorders/>
            <w:shd w:fill="E5E5E5" w:val="clear"/>
            <w:vAlign w:val="center"/>
          </w:tcPr>
          <w:p>
            <w:pPr>
              <w:pStyle w:val="TableContents"/>
              <w:spacing w:before="0" w:after="283"/>
              <w:jc w:val="right"/>
              <w:rPr/>
            </w:pPr>
            <w:r>
              <w:rPr/>
              <w:t>6x</w:t>
            </w:r>
          </w:p>
        </w:tc>
        <w:tc>
          <w:tcPr>
            <w:tcW w:w="75" w:type="dxa"/>
            <w:tcBorders/>
            <w:shd w:fill="E5E5E5" w:val="clear"/>
            <w:vAlign w:val="center"/>
          </w:tcPr>
          <w:p>
            <w:pPr>
              <w:pStyle w:val="TableContents"/>
              <w:spacing w:before="0" w:after="283"/>
              <w:rPr/>
            </w:pPr>
            <w:r>
              <w:rPr/>
              <w:t> </w:t>
            </w:r>
          </w:p>
        </w:tc>
      </w:tr>
      <w:tr>
        <w:trPr/>
        <w:tc>
          <w:tcPr>
            <w:tcW w:w="1880" w:type="dxa"/>
            <w:tcBorders/>
            <w:shd w:fill="auto" w:val="clear"/>
            <w:vAlign w:val="center"/>
          </w:tcPr>
          <w:p>
            <w:pPr>
              <w:pStyle w:val="TableContents"/>
              <w:spacing w:before="0" w:after="0"/>
              <w:rPr>
                <w:rFonts w:ascii="arial" w:hAnsi="arial"/>
                <w:sz w:val="18"/>
              </w:rPr>
            </w:pPr>
            <w:r>
              <w:rPr>
                <w:rFonts w:ascii="arial" w:hAnsi="arial"/>
                <w:sz w:val="18"/>
              </w:rPr>
              <w:t>Chief Executive Officer</w:t>
            </w:r>
          </w:p>
        </w:tc>
        <w:tc>
          <w:tcPr>
            <w:tcW w:w="120"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283"/>
              <w:rPr/>
            </w:pPr>
            <w:r>
              <w:rPr/>
              <w:t> </w:t>
            </w:r>
          </w:p>
        </w:tc>
        <w:tc>
          <w:tcPr>
            <w:tcW w:w="845" w:type="dxa"/>
            <w:tcBorders/>
            <w:shd w:fill="auto" w:val="clear"/>
            <w:vAlign w:val="center"/>
          </w:tcPr>
          <w:p>
            <w:pPr>
              <w:pStyle w:val="TableContents"/>
              <w:spacing w:before="0" w:after="283"/>
              <w:jc w:val="right"/>
              <w:rPr/>
            </w:pPr>
            <w:r>
              <w:rPr/>
              <w:t>6x</w:t>
            </w:r>
          </w:p>
        </w:tc>
        <w:tc>
          <w:tcPr>
            <w:tcW w:w="75" w:type="dxa"/>
            <w:tcBorders/>
            <w:shd w:fill="auto" w:val="clear"/>
            <w:vAlign w:val="center"/>
          </w:tcPr>
          <w:p>
            <w:pPr>
              <w:pStyle w:val="TableContents"/>
              <w:spacing w:before="0" w:after="283"/>
              <w:rPr/>
            </w:pPr>
            <w:r>
              <w:rPr/>
              <w:t> </w:t>
            </w:r>
          </w:p>
        </w:tc>
      </w:tr>
      <w:tr>
        <w:trPr/>
        <w:tc>
          <w:tcPr>
            <w:tcW w:w="1880" w:type="dxa"/>
            <w:tcBorders/>
            <w:shd w:fill="E5E5E5" w:val="clear"/>
            <w:vAlign w:val="center"/>
          </w:tcPr>
          <w:p>
            <w:pPr>
              <w:pStyle w:val="TableContents"/>
              <w:spacing w:before="0" w:after="0"/>
              <w:rPr>
                <w:rFonts w:ascii="arial" w:hAnsi="arial"/>
                <w:sz w:val="18"/>
              </w:rPr>
            </w:pPr>
            <w:r>
              <w:rPr>
                <w:rFonts w:ascii="arial" w:hAnsi="arial"/>
                <w:sz w:val="18"/>
              </w:rPr>
              <w:t>President</w:t>
            </w:r>
          </w:p>
        </w:tc>
        <w:tc>
          <w:tcPr>
            <w:tcW w:w="120" w:type="dxa"/>
            <w:tcBorders/>
            <w:shd w:fill="E5E5E5" w:val="clear"/>
            <w:vAlign w:val="center"/>
          </w:tcPr>
          <w:p>
            <w:pPr>
              <w:pStyle w:val="TableContents"/>
              <w:spacing w:before="0" w:after="283"/>
              <w:rPr/>
            </w:pPr>
            <w:r>
              <w:rPr/>
              <w:t>  </w:t>
            </w:r>
          </w:p>
        </w:tc>
        <w:tc>
          <w:tcPr>
            <w:tcW w:w="195" w:type="dxa"/>
            <w:tcBorders/>
            <w:shd w:fill="E5E5E5" w:val="clear"/>
            <w:vAlign w:val="center"/>
          </w:tcPr>
          <w:p>
            <w:pPr>
              <w:pStyle w:val="TableContents"/>
              <w:spacing w:before="0" w:after="283"/>
              <w:rPr/>
            </w:pPr>
            <w:r>
              <w:rPr/>
              <w:t> </w:t>
            </w:r>
          </w:p>
        </w:tc>
        <w:tc>
          <w:tcPr>
            <w:tcW w:w="845" w:type="dxa"/>
            <w:tcBorders/>
            <w:shd w:fill="E5E5E5" w:val="clear"/>
            <w:vAlign w:val="center"/>
          </w:tcPr>
          <w:p>
            <w:pPr>
              <w:pStyle w:val="TableContents"/>
              <w:spacing w:before="0" w:after="283"/>
              <w:jc w:val="right"/>
              <w:rPr/>
            </w:pPr>
            <w:r>
              <w:rPr/>
              <w:t>4x</w:t>
            </w:r>
          </w:p>
        </w:tc>
        <w:tc>
          <w:tcPr>
            <w:tcW w:w="75" w:type="dxa"/>
            <w:tcBorders/>
            <w:shd w:fill="E5E5E5" w:val="clear"/>
            <w:vAlign w:val="center"/>
          </w:tcPr>
          <w:p>
            <w:pPr>
              <w:pStyle w:val="TableContents"/>
              <w:spacing w:before="0" w:after="283"/>
              <w:rPr/>
            </w:pPr>
            <w:r>
              <w:rPr/>
              <w:t> </w:t>
            </w:r>
          </w:p>
        </w:tc>
      </w:tr>
      <w:tr>
        <w:trPr/>
        <w:tc>
          <w:tcPr>
            <w:tcW w:w="1880" w:type="dxa"/>
            <w:tcBorders>
              <w:bottom w:val="single" w:sz="6" w:space="0" w:color="732282"/>
            </w:tcBorders>
            <w:shd w:fill="auto" w:val="clear"/>
            <w:tcMar>
              <w:bottom w:w="28" w:type="dxa"/>
            </w:tcMar>
            <w:vAlign w:val="center"/>
          </w:tcPr>
          <w:p>
            <w:pPr>
              <w:pStyle w:val="TableContents"/>
              <w:spacing w:before="0" w:after="0"/>
              <w:rPr>
                <w:rFonts w:ascii="arial" w:hAnsi="arial"/>
                <w:sz w:val="18"/>
              </w:rPr>
            </w:pPr>
            <w:r>
              <w:rPr>
                <w:rFonts w:ascii="arial" w:hAnsi="arial"/>
                <w:sz w:val="18"/>
              </w:rPr>
              <w:t>Other NEOs</w:t>
            </w:r>
          </w:p>
        </w:tc>
        <w:tc>
          <w:tcPr>
            <w:tcW w:w="120" w:type="dxa"/>
            <w:tcBorders>
              <w:bottom w:val="single" w:sz="6" w:space="0" w:color="732282"/>
            </w:tcBorders>
            <w:shd w:fill="auto" w:val="clear"/>
            <w:tcMar>
              <w:bottom w:w="28" w:type="dxa"/>
            </w:tcMar>
            <w:vAlign w:val="center"/>
          </w:tcPr>
          <w:p>
            <w:pPr>
              <w:pStyle w:val="TableContents"/>
              <w:spacing w:before="0" w:after="283"/>
              <w:rPr/>
            </w:pPr>
            <w:r>
              <w:rPr/>
              <w:t>  </w:t>
            </w:r>
          </w:p>
        </w:tc>
        <w:tc>
          <w:tcPr>
            <w:tcW w:w="195" w:type="dxa"/>
            <w:tcBorders>
              <w:bottom w:val="single" w:sz="6" w:space="0" w:color="732282"/>
            </w:tcBorders>
            <w:shd w:fill="auto" w:val="clear"/>
            <w:tcMar>
              <w:bottom w:w="28" w:type="dxa"/>
            </w:tcMar>
            <w:vAlign w:val="center"/>
          </w:tcPr>
          <w:p>
            <w:pPr>
              <w:pStyle w:val="TableContents"/>
              <w:spacing w:before="0" w:after="283"/>
              <w:rPr/>
            </w:pPr>
            <w:r>
              <w:rPr/>
              <w:t> </w:t>
            </w:r>
          </w:p>
        </w:tc>
        <w:tc>
          <w:tcPr>
            <w:tcW w:w="845" w:type="dxa"/>
            <w:tcBorders>
              <w:bottom w:val="single" w:sz="6" w:space="0" w:color="732282"/>
            </w:tcBorders>
            <w:shd w:fill="auto" w:val="clear"/>
            <w:tcMar>
              <w:bottom w:w="28" w:type="dxa"/>
            </w:tcMar>
            <w:vAlign w:val="center"/>
          </w:tcPr>
          <w:p>
            <w:pPr>
              <w:pStyle w:val="TableContents"/>
              <w:spacing w:before="0" w:after="283"/>
              <w:jc w:val="right"/>
              <w:rPr/>
            </w:pPr>
            <w:r>
              <w:rPr/>
              <w:t>3x</w:t>
            </w:r>
          </w:p>
        </w:tc>
        <w:tc>
          <w:tcPr>
            <w:tcW w:w="75" w:type="dxa"/>
            <w:tcBorders>
              <w:bottom w:val="single" w:sz="6" w:space="0" w:color="732282"/>
            </w:tcBorders>
            <w:shd w:fill="auto" w:val="clear"/>
            <w:tcMar>
              <w:bottom w:w="28" w:type="dxa"/>
            </w:tcMar>
            <w:vAlign w:val="center"/>
          </w:tcPr>
          <w:p>
            <w:pPr>
              <w:pStyle w:val="TableContents"/>
              <w:spacing w:before="0" w:after="283"/>
              <w:rPr/>
            </w:pPr>
            <w:r>
              <w:rPr/>
              <w:t> </w:t>
            </w:r>
          </w:p>
        </w:tc>
      </w:tr>
    </w:tbl>
    <w:p>
      <w:pPr>
        <w:pStyle w:val="TextBody"/>
        <w:spacing w:before="240" w:after="0"/>
        <w:jc w:val="both"/>
        <w:rPr>
          <w:rFonts w:ascii="arial" w:hAnsi="arial"/>
          <w:sz w:val="18"/>
        </w:rPr>
      </w:pPr>
      <w:r>
        <w:rPr>
          <w:rFonts w:ascii="arial" w:hAnsi="arial"/>
          <w:sz w:val="18"/>
        </w:rPr>
        <w:t xml:space="preserve">In addition to the NEOs, the Viatris share ownership policy covers the most senior employees at Viatris to promote an ownership culture and further align the interests of those leaders with those of shareholders. Each covered employee has five years from the date they became subject to the policy to achieve the minimum ownership requirement. Common stock actually owned by the covered employee (including shares of common stock held by the covered employee in the Restoration Plan), as well as restricted shares and unvested RSUs and PRSUs (including corresponding dividend equivalent units (“DEUs”)) count toward compliance with these requirements. All NEOs meet these share ownership requirements or are expected to meet them by the applicable date. </w:t>
      </w:r>
    </w:p>
    <w:p>
      <w:pPr>
        <w:pStyle w:val="TextBody"/>
        <w:spacing w:before="240" w:after="0"/>
        <w:jc w:val="left"/>
        <w:rPr>
          <w:rFonts w:ascii="arial" w:hAnsi="arial"/>
          <w:b/>
          <w:sz w:val="20"/>
        </w:rPr>
      </w:pPr>
      <w:r>
        <w:rPr>
          <w:rFonts w:ascii="arial" w:hAnsi="arial"/>
          <w:b/>
          <w:sz w:val="20"/>
        </w:rPr>
        <w:t xml:space="preserve">Clawback Policy </w:t>
      </w:r>
    </w:p>
    <w:p>
      <w:pPr>
        <w:pStyle w:val="TextBody"/>
        <w:spacing w:before="120" w:after="0"/>
        <w:jc w:val="both"/>
        <w:rPr>
          <w:rFonts w:ascii="arial" w:hAnsi="arial"/>
          <w:sz w:val="18"/>
        </w:rPr>
      </w:pPr>
      <w:r>
        <w:rPr>
          <w:rFonts w:ascii="arial" w:hAnsi="arial"/>
          <w:sz w:val="18"/>
        </w:rPr>
        <w:t xml:space="preserve">The Board has approved a clawback policy relating to incentive compensation programs. The policy provides that Viatris may take action to recoup annual incentive compensation and equity-based incentive compensation gains resulting from specified misconduct that causes Viatris to materially restate its financial statements. </w:t>
      </w:r>
    </w:p>
    <w:p>
      <w:pPr>
        <w:pStyle w:val="TextBody"/>
        <w:spacing w:before="240" w:after="0"/>
        <w:jc w:val="both"/>
        <w:rPr>
          <w:rFonts w:ascii="arial" w:hAnsi="arial"/>
          <w:sz w:val="18"/>
        </w:rPr>
      </w:pPr>
      <w:r>
        <w:rPr>
          <w:rFonts w:ascii="arial" w:hAnsi="arial"/>
          <w:sz w:val="18"/>
        </w:rPr>
        <w:t xml:space="preserve">The policy also provides that Viatris may take action to recoup some or all bonus and equity incentive compensation in the event of executive misconduct involving material violations of law or Viatris policy as well as failure to manage or monitor another individual who committed such misconduct, and that the Board or a designated Board committee will disclose the circumstances of any recoupment relating to such misconduct if required by law or regulation or if it determines that disclosure is in the best interests of Viatris and its shareholders. </w:t>
      </w:r>
    </w:p>
    <w:p>
      <w:pPr>
        <w:pStyle w:val="TextBody"/>
        <w:spacing w:before="240" w:after="0"/>
        <w:jc w:val="both"/>
        <w:rPr>
          <w:rFonts w:ascii="arial" w:hAnsi="arial"/>
          <w:sz w:val="18"/>
        </w:rPr>
      </w:pPr>
      <w:r>
        <w:rPr>
          <w:rFonts w:ascii="arial" w:hAnsi="arial"/>
          <w:sz w:val="18"/>
        </w:rPr>
        <w:t xml:space="preserve">In addition, Viatris has a number of other policies in effect that govern our executive team’s behavior and that set out clear ethical expectations. Those policies, including our Code of Business Conduct and Ethics, empower Viatris to take a full range of disciplinary responses for any violations, and the Board and the Compensation Committee are not otherwise constrained from seeking to clawback from or deny compensation to any member of the executive team in response to any breach of duties or ethics. The Board considers additional updates to the clawback policy from time to time. </w:t>
      </w:r>
    </w:p>
    <w:p>
      <w:pPr>
        <w:pStyle w:val="TextBody"/>
        <w:spacing w:before="240" w:after="0"/>
        <w:jc w:val="both"/>
        <w:rPr>
          <w:rFonts w:ascii="arial" w:hAnsi="arial"/>
          <w:sz w:val="18"/>
        </w:rPr>
      </w:pPr>
      <w:r>
        <w:rPr>
          <w:rFonts w:ascii="arial" w:hAnsi="arial"/>
          <w:sz w:val="18"/>
        </w:rPr>
        <w:t xml:space="preserve">On October 26, 2022, the SEC adopted rules implementing the clawback provisions of the Dodd-Frank Act. The final rules direct the stock exchanges to establish listing standards requiring listed companies to develop and implement a policy providing for the recovery of erroneously awarded incentive-based compensation received by current or former executive officers and to satisfy related disclosure obligations. We intend to timely amend our clawback policy to reflect these new requirements.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34 </w:t>
      </w:r>
      <w:r>
        <w:br w:type="page"/>
      </w:r>
    </w:p>
    <w:p>
      <w:pPr>
        <w:pStyle w:val="HorizontalLine"/>
        <w:rPr/>
      </w:pPr>
      <w:r>
        <w:rPr/>
      </w:r>
    </w:p>
    <w:p>
      <w:pPr>
        <w:pStyle w:val="TextBody"/>
        <w:spacing w:before="0" w:after="0"/>
        <w:jc w:val="left"/>
        <w:rPr>
          <w:rFonts w:ascii="arial" w:hAnsi="arial"/>
          <w:b/>
          <w:sz w:val="20"/>
        </w:rPr>
      </w:pPr>
      <w:r>
        <w:rPr>
          <w:rFonts w:ascii="arial" w:hAnsi="arial"/>
          <w:b/>
          <w:sz w:val="20"/>
        </w:rPr>
        <w:t xml:space="preserve">Anti-Hedging and Anti-Pledging Policy </w:t>
      </w:r>
    </w:p>
    <w:p>
      <w:pPr>
        <w:pStyle w:val="TextBody"/>
        <w:spacing w:before="120" w:after="0"/>
        <w:jc w:val="both"/>
        <w:rPr>
          <w:rFonts w:ascii="arial" w:hAnsi="arial"/>
          <w:sz w:val="18"/>
        </w:rPr>
      </w:pPr>
      <w:r>
        <w:rPr>
          <w:rFonts w:ascii="arial" w:hAnsi="arial"/>
          <w:sz w:val="18"/>
        </w:rPr>
        <w:t xml:space="preserve">Viatris has a securities trading policy that prohibits directors and Section 16 Officers and their respective designees from trading in hedging instruments or otherwise engaging in any transaction that limits or eliminates, or is designed to limit or eliminate, economic risks associated with the ownership of our securities. Hedging instruments are defined as any prepaid variable forward contracts, equity swaps, collars, exchange funds, insurance contracts, short sales, options, puts, calls or other instruments that hedge or offset, or are designed to hedge or offset, movements in the market value of our securities. For purposes of this policy, our securities include shares and options to purchase shares, and any other type of securities that we may issue, including but not limited to, preferred shares, notes, debentures, and warrants issued by Viatris or any parent, subsidiary, or subsidiary of any parent of Viatris, as well as any derivative financial instruments pertaining to such securities, whether or not issued by us, such as options and forward contracts. </w:t>
      </w:r>
    </w:p>
    <w:p>
      <w:pPr>
        <w:pStyle w:val="TextBody"/>
        <w:spacing w:before="240" w:after="0"/>
        <w:jc w:val="both"/>
        <w:rPr>
          <w:rFonts w:ascii="arial" w:hAnsi="arial"/>
          <w:sz w:val="18"/>
        </w:rPr>
      </w:pPr>
      <w:r>
        <w:rPr>
          <w:rFonts w:ascii="arial" w:hAnsi="arial"/>
          <w:sz w:val="18"/>
        </w:rPr>
        <w:t xml:space="preserve">The policy also prohibits Directors and Section 16 Officers and their respective designees from entering into any transaction that involves the holding of our securities in a margin account (other than the “cashless exercise” of stock options) or the pledging of our securities as collateral for loans. The Compensation Committee may approve exceptions to the prohibition on the use of margin accounts or pledging or securities if, among other factors, the Director or Section 16 Officer demonstrates, in advance, that he or she has the continuing financial capacity to repay any underlying loan or potential margin call without resorting to our securities held in such margin account or our pledged securities and is not in possession of any material information about the Company that has not been made widely available to the investing public. </w:t>
      </w:r>
    </w:p>
    <w:p>
      <w:pPr>
        <w:pStyle w:val="TextBody"/>
        <w:spacing w:before="240" w:after="0"/>
        <w:jc w:val="left"/>
        <w:rPr>
          <w:rFonts w:ascii="arial" w:hAnsi="arial"/>
          <w:b/>
          <w:sz w:val="20"/>
        </w:rPr>
      </w:pPr>
      <w:r>
        <w:rPr>
          <w:rFonts w:ascii="arial" w:hAnsi="arial"/>
          <w:b/>
          <w:sz w:val="20"/>
        </w:rPr>
        <w:t xml:space="preserve">Consideration of Risk in Company Compensation Policies </w:t>
      </w:r>
    </w:p>
    <w:p>
      <w:pPr>
        <w:pStyle w:val="TextBody"/>
        <w:spacing w:before="120" w:after="0"/>
        <w:jc w:val="both"/>
        <w:rPr>
          <w:rFonts w:ascii="arial" w:hAnsi="arial"/>
          <w:sz w:val="18"/>
        </w:rPr>
      </w:pPr>
      <w:r>
        <w:rPr>
          <w:rFonts w:ascii="arial" w:hAnsi="arial"/>
          <w:sz w:val="18"/>
        </w:rPr>
        <w:t xml:space="preserve">The Compensation Committee has considered risk management in determining compensation policies and believes that our programs are designed appropriately to encourage outstanding, consistent, sustainable business performance over extended periods of time. Management and the Compensation Committee have considered and discussed the risks inherent in our business and the design of our compensation plans, policies and programs that are intended to drive the achievement of our long-term business objectives while avoiding excessive short-term risk-taking. In addition, we utilize a mix of objective performance measures, so that undue emphasis is not placed on one particular measure, and we employ different types of compensation to provide value over the short-, medium- and long-term. These performance measures are reevaluated annually in light of the evolving risk environment facing our business. When making compensation decisions, we also consider qualitative factors to avoid the consequences that an overly formulaic approach may have on excessive risk-taking by management. At least annually, the Compensation Committee also receives and discusses a report from Meridian Compensation Partners, LLC (“Meridian”), its independent compensation consultant, on risk management in connection with the Company’s compensation program. </w:t>
      </w:r>
    </w:p>
    <w:p>
      <w:pPr>
        <w:pStyle w:val="TextBody"/>
        <w:spacing w:before="240" w:after="0"/>
        <w:jc w:val="both"/>
        <w:rPr>
          <w:rFonts w:ascii="arial" w:hAnsi="arial"/>
          <w:sz w:val="18"/>
        </w:rPr>
      </w:pPr>
      <w:r>
        <w:rPr>
          <w:rFonts w:ascii="arial" w:hAnsi="arial"/>
          <w:sz w:val="18"/>
        </w:rPr>
        <w:t xml:space="preserve">The Compensation Committee believes that our compensation policies and practices do not encourage excessive risk and are not reasonably likely to have a material adverse effect on the Company. </w:t>
      </w:r>
    </w:p>
    <w:p>
      <w:pPr>
        <w:pStyle w:val="TextBody"/>
        <w:spacing w:before="240" w:after="0"/>
        <w:jc w:val="left"/>
        <w:rPr>
          <w:rFonts w:ascii="arial" w:hAnsi="arial"/>
          <w:b/>
          <w:sz w:val="20"/>
        </w:rPr>
      </w:pPr>
      <w:r>
        <w:rPr>
          <w:rFonts w:ascii="arial" w:hAnsi="arial"/>
          <w:b/>
          <w:sz w:val="20"/>
        </w:rPr>
        <w:t xml:space="preserve">Role of the Compensation Committee </w:t>
      </w:r>
    </w:p>
    <w:p>
      <w:pPr>
        <w:pStyle w:val="TextBody"/>
        <w:spacing w:before="120" w:after="0"/>
        <w:jc w:val="both"/>
        <w:rPr>
          <w:rFonts w:ascii="arial" w:hAnsi="arial"/>
          <w:sz w:val="18"/>
        </w:rPr>
      </w:pPr>
      <w:r>
        <w:rPr>
          <w:rFonts w:ascii="arial" w:hAnsi="arial"/>
          <w:sz w:val="18"/>
        </w:rPr>
        <w:t xml:space="preserve">The Compensation Committee is comprised solely of independent Directors and oversees the design and implementation of our executive compensation programs. The Compensation Committee reviews and evaluates the performance of our NEOs and determines their compensation and objectives, or, in the case of our Executive Chairman and CEO, recommends compensation and objectives to the independent, non-executive members of the Board. The Compensation Committee monitors compensation trends and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35 </w:t>
      </w:r>
      <w:r>
        <w:br w:type="page"/>
      </w:r>
    </w:p>
    <w:p>
      <w:pPr>
        <w:pStyle w:val="HorizontalLine"/>
        <w:rPr/>
      </w:pPr>
      <w:r>
        <w:rPr/>
      </w:r>
    </w:p>
    <w:p>
      <w:pPr>
        <w:pStyle w:val="TextBody"/>
        <w:spacing w:before="0" w:after="0"/>
        <w:jc w:val="both"/>
        <w:rPr>
          <w:rFonts w:ascii="arial" w:hAnsi="arial"/>
          <w:sz w:val="18"/>
        </w:rPr>
      </w:pPr>
      <w:r>
        <w:rPr>
          <w:rFonts w:ascii="arial" w:hAnsi="arial"/>
          <w:sz w:val="18"/>
        </w:rPr>
        <w:t xml:space="preserve">developments periodically and undertakes a comprehensive assessment of our compensation programs at least annually. In fulfilling these responsibilities, the Compensation Committee utilizes the support of independent compensation consulting firms, independent outside counsel, and an internal executive compensation team. </w:t>
      </w:r>
    </w:p>
    <w:p>
      <w:pPr>
        <w:pStyle w:val="TextBody"/>
        <w:spacing w:before="240" w:after="0"/>
        <w:jc w:val="both"/>
        <w:rPr>
          <w:rFonts w:ascii="arial" w:hAnsi="arial"/>
          <w:sz w:val="18"/>
        </w:rPr>
      </w:pPr>
      <w:r>
        <w:rPr>
          <w:rFonts w:ascii="arial" w:hAnsi="arial"/>
          <w:sz w:val="18"/>
        </w:rPr>
        <w:t xml:space="preserve">The Compensation Committee has retained Meridian to provide advice and information regarding the design and implementation of Viatris’ executive compensation programs. Meridian also provided information to the Compensation Committee regarding regulatory and other technical developments that may be relevant to our executive compensation programs. In addition, Meridian provided the Compensation Committee with competitive market information, analyses and trends on executive base salary, annual incentives, long-term incentives, benefits and perquisites. </w:t>
      </w:r>
    </w:p>
    <w:p>
      <w:pPr>
        <w:pStyle w:val="TextBody"/>
        <w:spacing w:before="240" w:after="0"/>
        <w:jc w:val="both"/>
        <w:rPr>
          <w:rFonts w:ascii="arial" w:hAnsi="arial"/>
          <w:sz w:val="18"/>
        </w:rPr>
      </w:pPr>
      <w:r>
        <w:rPr>
          <w:rFonts w:ascii="arial" w:hAnsi="arial"/>
          <w:sz w:val="18"/>
        </w:rPr>
        <w:t xml:space="preserve">The Compensation Committee also receives advice from outside counsel including, but not limited to, Cravath, Swaine &amp; Moore LLP. </w:t>
      </w:r>
    </w:p>
    <w:p>
      <w:pPr>
        <w:pStyle w:val="TextBody"/>
        <w:spacing w:before="240" w:after="0"/>
        <w:jc w:val="both"/>
        <w:rPr>
          <w:rFonts w:ascii="arial" w:hAnsi="arial"/>
          <w:sz w:val="18"/>
        </w:rPr>
      </w:pPr>
      <w:r>
        <w:rPr>
          <w:rFonts w:ascii="arial" w:hAnsi="arial"/>
          <w:sz w:val="18"/>
        </w:rPr>
        <w:t xml:space="preserve">The Compensation Committee performs an annual review of the independence of its outside advisors, consistent with NASDAQ requirements and the Compensation Committee charter. </w:t>
      </w:r>
    </w:p>
    <w:p>
      <w:pPr>
        <w:pStyle w:val="TextBody"/>
        <w:spacing w:before="240" w:after="0"/>
        <w:jc w:val="left"/>
        <w:rPr>
          <w:rFonts w:ascii="arial" w:hAnsi="arial"/>
          <w:b/>
          <w:sz w:val="20"/>
        </w:rPr>
      </w:pPr>
      <w:r>
        <w:rPr>
          <w:rFonts w:ascii="arial" w:hAnsi="arial"/>
          <w:b/>
          <w:sz w:val="20"/>
        </w:rPr>
        <w:t xml:space="preserve">Tax Deduction Cap on Executive Compensation </w:t>
      </w:r>
    </w:p>
    <w:p>
      <w:pPr>
        <w:pStyle w:val="TextBody"/>
        <w:spacing w:before="120" w:after="0"/>
        <w:jc w:val="both"/>
        <w:rPr>
          <w:rFonts w:ascii="arial" w:hAnsi="arial"/>
          <w:sz w:val="18"/>
        </w:rPr>
      </w:pPr>
      <w:r>
        <w:rPr>
          <w:rFonts w:ascii="arial" w:hAnsi="arial"/>
          <w:sz w:val="18"/>
        </w:rPr>
        <w:t xml:space="preserve">Section 162(m) of the Code restricts the deductibility for U.S. federal income tax purposes of the compensation paid to the CEO, CFO, each of the other NEOs who was an executive officer at the end of the applicable fiscal year, and certain other executives to the extent that such compensation for such executive exceeds $1 million. As a result, except to the extent provided in limited transition relief, compensation over $1 million paid to any NEO is no longer deductible under Section 162(m) of the Code. The Board and the Compensation Committee reserve the right to provide compensation to our executives that is not deductible, including, but not limited to, when necessary to comply with contractual commitments, or to maintain the flexibility needed to attract talent, promote retention, or recognize and reward desired performance. </w:t>
      </w:r>
    </w:p>
    <w:p>
      <w:pPr>
        <w:pStyle w:val="TextBody"/>
        <w:spacing w:before="240" w:after="0"/>
        <w:jc w:val="left"/>
        <w:rPr>
          <w:rFonts w:ascii="arial" w:hAnsi="arial"/>
          <w:b/>
          <w:sz w:val="20"/>
        </w:rPr>
      </w:pPr>
      <w:r>
        <w:rPr>
          <w:rFonts w:ascii="arial" w:hAnsi="arial"/>
          <w:b/>
          <w:sz w:val="20"/>
        </w:rPr>
        <w:t xml:space="preserve">Compensation Committee Report </w:t>
      </w:r>
    </w:p>
    <w:p>
      <w:pPr>
        <w:pStyle w:val="TextBody"/>
        <w:spacing w:before="120" w:after="0"/>
        <w:jc w:val="both"/>
        <w:rPr>
          <w:rFonts w:ascii="arial" w:hAnsi="arial"/>
          <w:sz w:val="18"/>
        </w:rPr>
      </w:pPr>
      <w:r>
        <w:rPr>
          <w:rFonts w:ascii="arial" w:hAnsi="arial"/>
          <w:sz w:val="18"/>
        </w:rPr>
        <w:t xml:space="preserve">We have reviewed and discussed the CD&amp;A with management. Based on such review and discussions, we recommended to the Board that the CD&amp;A be included in this Amendment. </w:t>
      </w:r>
    </w:p>
    <w:p>
      <w:pPr>
        <w:pStyle w:val="TextBody"/>
        <w:spacing w:before="240" w:after="0"/>
        <w:jc w:val="left"/>
        <w:rPr>
          <w:rFonts w:ascii="arial" w:hAnsi="arial"/>
          <w:sz w:val="20"/>
        </w:rPr>
      </w:pPr>
      <w:r>
        <w:rPr>
          <w:rFonts w:ascii="arial" w:hAnsi="arial"/>
          <w:sz w:val="20"/>
        </w:rPr>
        <w:t xml:space="preserve">Respectfully submitted, </w:t>
      </w:r>
    </w:p>
    <w:p>
      <w:pPr>
        <w:pStyle w:val="TextBody"/>
        <w:spacing w:before="240" w:after="0"/>
        <w:jc w:val="left"/>
        <w:rPr>
          <w:rFonts w:ascii="arial" w:hAnsi="arial"/>
          <w:sz w:val="20"/>
        </w:rPr>
      </w:pPr>
      <w:r>
        <w:rPr>
          <w:rFonts w:ascii="arial" w:hAnsi="arial"/>
          <w:sz w:val="20"/>
        </w:rPr>
        <w:t xml:space="preserve">Melina Higgins, Chair </w:t>
      </w:r>
    </w:p>
    <w:p>
      <w:pPr>
        <w:pStyle w:val="TextBody"/>
        <w:spacing w:before="0" w:after="0"/>
        <w:jc w:val="left"/>
        <w:rPr>
          <w:rFonts w:ascii="arial" w:hAnsi="arial"/>
          <w:sz w:val="20"/>
        </w:rPr>
      </w:pPr>
      <w:r>
        <w:rPr>
          <w:rFonts w:ascii="arial" w:hAnsi="arial"/>
          <w:sz w:val="20"/>
        </w:rPr>
        <w:t xml:space="preserve">James M. Kilts </w:t>
      </w:r>
    </w:p>
    <w:p>
      <w:pPr>
        <w:pStyle w:val="TextBody"/>
        <w:spacing w:before="0" w:after="0"/>
        <w:jc w:val="left"/>
        <w:rPr>
          <w:rFonts w:ascii="arial" w:hAnsi="arial"/>
          <w:sz w:val="20"/>
        </w:rPr>
      </w:pPr>
      <w:r>
        <w:rPr>
          <w:rFonts w:ascii="arial" w:hAnsi="arial"/>
          <w:sz w:val="20"/>
        </w:rPr>
        <w:t xml:space="preserve">Harry A. Korman </w:t>
      </w:r>
    </w:p>
    <w:p>
      <w:pPr>
        <w:pStyle w:val="TextBody"/>
        <w:spacing w:before="0" w:after="0"/>
        <w:jc w:val="left"/>
        <w:rPr>
          <w:rFonts w:ascii="arial" w:hAnsi="arial"/>
          <w:sz w:val="20"/>
        </w:rPr>
      </w:pPr>
      <w:r>
        <w:rPr>
          <w:rFonts w:ascii="arial" w:hAnsi="arial"/>
          <w:sz w:val="20"/>
        </w:rPr>
        <w:t xml:space="preserve">Pauline van der Meer Mohr </w:t>
      </w:r>
    </w:p>
    <w:p>
      <w:pPr>
        <w:pStyle w:val="TextBody"/>
        <w:spacing w:before="240" w:after="0"/>
        <w:jc w:val="left"/>
        <w:rPr>
          <w:rFonts w:ascii="arial" w:hAnsi="arial"/>
          <w:b/>
          <w:sz w:val="20"/>
        </w:rPr>
      </w:pPr>
      <w:r>
        <w:rPr>
          <w:rFonts w:ascii="arial" w:hAnsi="arial"/>
          <w:b/>
          <w:sz w:val="20"/>
        </w:rPr>
        <w:t xml:space="preserve">Compensation Committee Interlocks and Insider Participation </w:t>
      </w:r>
    </w:p>
    <w:p>
      <w:pPr>
        <w:pStyle w:val="TextBody"/>
        <w:spacing w:before="120" w:after="0"/>
        <w:jc w:val="both"/>
        <w:rPr>
          <w:rFonts w:ascii="arial" w:hAnsi="arial"/>
          <w:sz w:val="18"/>
        </w:rPr>
      </w:pPr>
      <w:r>
        <w:rPr>
          <w:rFonts w:ascii="arial" w:hAnsi="arial"/>
          <w:sz w:val="18"/>
        </w:rPr>
        <w:t xml:space="preserve">None of the members of the Compensation Committee during 2022 was an officer or employee of Viatris, was formerly an officer of Viatris, or had any relationship requiring disclosure by Viatris under Item 404 of Regulation S-K. During 2022, no executive officer of Viatris served on the compensation committee or board of another entity, one of whose executive officers served on the Compensation Committee or the Board of Viatris.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36 </w:t>
      </w:r>
      <w:r>
        <w:br w:type="page"/>
      </w:r>
    </w:p>
    <w:p>
      <w:pPr>
        <w:pStyle w:val="HorizontalLine"/>
        <w:rPr/>
      </w:pPr>
      <w:r>
        <w:rPr/>
      </w:r>
    </w:p>
    <w:p>
      <w:pPr>
        <w:pStyle w:val="TextBody"/>
        <w:spacing w:before="0" w:after="0"/>
        <w:jc w:val="left"/>
        <w:rPr>
          <w:rFonts w:ascii="arial" w:hAnsi="arial"/>
          <w:color w:val="666666"/>
          <w:sz w:val="28"/>
        </w:rPr>
      </w:pPr>
      <w:r>
        <w:rPr>
          <w:rFonts w:ascii="arial" w:hAnsi="arial"/>
          <w:color w:val="666666"/>
          <w:sz w:val="28"/>
        </w:rPr>
        <w:t xml:space="preserve">Executive Compensation Tables </w:t>
      </w:r>
    </w:p>
    <w:p>
      <w:pPr>
        <w:pStyle w:val="TextBody"/>
        <w:spacing w:before="240" w:after="0"/>
        <w:jc w:val="left"/>
        <w:rPr>
          <w:rFonts w:ascii="arial" w:hAnsi="arial"/>
          <w:b/>
          <w:color w:val="732282"/>
          <w:sz w:val="20"/>
        </w:rPr>
      </w:pPr>
      <w:r>
        <w:rPr>
          <w:rFonts w:ascii="arial" w:hAnsi="arial"/>
          <w:b/>
          <w:color w:val="732282"/>
          <w:sz w:val="20"/>
        </w:rPr>
        <w:t xml:space="preserve">2022 Summary Compensation Table </w:t>
      </w:r>
    </w:p>
    <w:p>
      <w:pPr>
        <w:pStyle w:val="TextBody"/>
        <w:spacing w:before="120" w:after="0"/>
        <w:jc w:val="both"/>
        <w:rPr>
          <w:rFonts w:ascii="arial" w:hAnsi="arial"/>
          <w:sz w:val="18"/>
        </w:rPr>
      </w:pPr>
      <w:r>
        <w:rPr>
          <w:rFonts w:ascii="arial" w:hAnsi="arial"/>
          <w:sz w:val="18"/>
        </w:rPr>
        <w:t xml:space="preserve">The following summary compensation table sets forth the cash and non-cash compensation paid or granted to or earned by the NEOs. The 2021 and 2022 compensation reflects the first full years of Viatris’ simplified performance-based compensation program. Portions of reported 2020 compensation include one-time transaction-related items and address certain legacy company (Upjohn and Mylan) commitments that are not components of the Viatris 2021 and 2022 compensation program. </w:t>
      </w:r>
    </w:p>
    <w:p>
      <w:pPr>
        <w:pStyle w:val="TextBody"/>
        <w:spacing w:before="0" w:after="0"/>
        <w:jc w:val="left"/>
        <w:rPr/>
      </w:pPr>
      <w:r>
        <w:rPr/>
        <w:t> </w:t>
      </w:r>
    </w:p>
    <w:tbl>
      <w:tblPr>
        <w:tblW w:w="11750" w:type="dxa"/>
        <w:jc w:val="left"/>
        <w:tblInd w:w="0" w:type="dxa"/>
        <w:tblCellMar>
          <w:top w:w="0" w:type="dxa"/>
          <w:left w:w="0" w:type="dxa"/>
          <w:bottom w:w="0" w:type="dxa"/>
          <w:right w:w="0" w:type="dxa"/>
        </w:tblCellMar>
      </w:tblPr>
      <w:tblGrid>
        <w:gridCol w:w="1835"/>
        <w:gridCol w:w="60"/>
        <w:gridCol w:w="60"/>
        <w:gridCol w:w="500"/>
        <w:gridCol w:w="60"/>
        <w:gridCol w:w="60"/>
        <w:gridCol w:w="60"/>
        <w:gridCol w:w="980"/>
        <w:gridCol w:w="60"/>
        <w:gridCol w:w="60"/>
        <w:gridCol w:w="60"/>
        <w:gridCol w:w="1100"/>
        <w:gridCol w:w="60"/>
        <w:gridCol w:w="60"/>
        <w:gridCol w:w="60"/>
        <w:gridCol w:w="1100"/>
        <w:gridCol w:w="60"/>
        <w:gridCol w:w="60"/>
        <w:gridCol w:w="60"/>
        <w:gridCol w:w="800"/>
        <w:gridCol w:w="60"/>
        <w:gridCol w:w="60"/>
        <w:gridCol w:w="60"/>
        <w:gridCol w:w="980"/>
        <w:gridCol w:w="60"/>
        <w:gridCol w:w="60"/>
        <w:gridCol w:w="64"/>
        <w:gridCol w:w="856"/>
        <w:gridCol w:w="60"/>
        <w:gridCol w:w="60"/>
        <w:gridCol w:w="64"/>
        <w:gridCol w:w="856"/>
        <w:gridCol w:w="60"/>
        <w:gridCol w:w="60"/>
        <w:gridCol w:w="60"/>
        <w:gridCol w:w="1100"/>
        <w:gridCol w:w="75"/>
      </w:tblGrid>
      <w:tr>
        <w:trPr/>
        <w:tc>
          <w:tcPr>
            <w:tcW w:w="18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835" w:type="dxa"/>
            <w:tcBorders/>
            <w:shd w:fill="444444" w:val="clear"/>
            <w:vAlign w:val="center"/>
          </w:tcPr>
          <w:p>
            <w:pPr>
              <w:pStyle w:val="TableContents"/>
              <w:spacing w:before="0" w:after="283"/>
              <w:rPr>
                <w:sz w:val="4"/>
                <w:szCs w:val="4"/>
              </w:rPr>
            </w:pPr>
            <w:r>
              <w:rPr>
                <w:sz w:val="4"/>
                <w:szCs w:val="4"/>
              </w:rPr>
            </w:r>
          </w:p>
        </w:tc>
        <w:tc>
          <w:tcPr>
            <w:tcW w:w="680" w:type="dxa"/>
            <w:gridSpan w:val="4"/>
            <w:tcBorders/>
            <w:shd w:fill="444444" w:val="clear"/>
            <w:vAlign w:val="center"/>
          </w:tcPr>
          <w:p>
            <w:pPr>
              <w:pStyle w:val="TableContents"/>
              <w:spacing w:before="0" w:after="283"/>
              <w:rPr>
                <w:sz w:val="4"/>
                <w:szCs w:val="4"/>
              </w:rPr>
            </w:pPr>
            <w:r>
              <w:rPr>
                <w:sz w:val="4"/>
                <w:szCs w:val="4"/>
              </w:rPr>
            </w:r>
          </w:p>
        </w:tc>
        <w:tc>
          <w:tcPr>
            <w:tcW w:w="1160" w:type="dxa"/>
            <w:gridSpan w:val="4"/>
            <w:tcBorders/>
            <w:shd w:fill="444444" w:val="clear"/>
            <w:vAlign w:val="center"/>
          </w:tcPr>
          <w:p>
            <w:pPr>
              <w:pStyle w:val="TableContents"/>
              <w:spacing w:before="0" w:after="283"/>
              <w:rPr>
                <w:sz w:val="4"/>
                <w:szCs w:val="4"/>
              </w:rPr>
            </w:pPr>
            <w:r>
              <w:rPr>
                <w:sz w:val="4"/>
                <w:szCs w:val="4"/>
              </w:rPr>
            </w:r>
          </w:p>
        </w:tc>
        <w:tc>
          <w:tcPr>
            <w:tcW w:w="1280" w:type="dxa"/>
            <w:gridSpan w:val="4"/>
            <w:tcBorders/>
            <w:shd w:fill="444444" w:val="clear"/>
            <w:vAlign w:val="center"/>
          </w:tcPr>
          <w:p>
            <w:pPr>
              <w:pStyle w:val="TableContents"/>
              <w:spacing w:before="0" w:after="283"/>
              <w:rPr>
                <w:sz w:val="4"/>
                <w:szCs w:val="4"/>
              </w:rPr>
            </w:pPr>
            <w:r>
              <w:rPr>
                <w:sz w:val="4"/>
                <w:szCs w:val="4"/>
              </w:rPr>
            </w:r>
          </w:p>
        </w:tc>
        <w:tc>
          <w:tcPr>
            <w:tcW w:w="1280" w:type="dxa"/>
            <w:gridSpan w:val="4"/>
            <w:tcBorders/>
            <w:shd w:fill="444444" w:val="clear"/>
            <w:vAlign w:val="center"/>
          </w:tcPr>
          <w:p>
            <w:pPr>
              <w:pStyle w:val="TableContents"/>
              <w:spacing w:before="0" w:after="283"/>
              <w:rPr>
                <w:sz w:val="4"/>
                <w:szCs w:val="4"/>
              </w:rPr>
            </w:pPr>
            <w:r>
              <w:rPr>
                <w:sz w:val="4"/>
                <w:szCs w:val="4"/>
              </w:rPr>
            </w:r>
          </w:p>
        </w:tc>
        <w:tc>
          <w:tcPr>
            <w:tcW w:w="980" w:type="dxa"/>
            <w:gridSpan w:val="4"/>
            <w:tcBorders/>
            <w:shd w:fill="444444" w:val="clear"/>
            <w:vAlign w:val="center"/>
          </w:tcPr>
          <w:p>
            <w:pPr>
              <w:pStyle w:val="TableContents"/>
              <w:spacing w:before="0" w:after="283"/>
              <w:rPr>
                <w:sz w:val="4"/>
                <w:szCs w:val="4"/>
              </w:rPr>
            </w:pPr>
            <w:r>
              <w:rPr>
                <w:sz w:val="4"/>
                <w:szCs w:val="4"/>
              </w:rPr>
            </w:r>
          </w:p>
        </w:tc>
        <w:tc>
          <w:tcPr>
            <w:tcW w:w="1160" w:type="dxa"/>
            <w:gridSpan w:val="4"/>
            <w:tcBorders/>
            <w:shd w:fill="444444" w:val="clear"/>
            <w:vAlign w:val="center"/>
          </w:tcPr>
          <w:p>
            <w:pPr>
              <w:pStyle w:val="TableContents"/>
              <w:spacing w:before="0" w:after="283"/>
              <w:rPr>
                <w:sz w:val="4"/>
                <w:szCs w:val="4"/>
              </w:rPr>
            </w:pPr>
            <w:r>
              <w:rPr>
                <w:sz w:val="4"/>
                <w:szCs w:val="4"/>
              </w:rPr>
            </w:r>
          </w:p>
        </w:tc>
        <w:tc>
          <w:tcPr>
            <w:tcW w:w="1040" w:type="dxa"/>
            <w:gridSpan w:val="4"/>
            <w:tcBorders/>
            <w:shd w:fill="444444" w:val="clear"/>
            <w:vAlign w:val="center"/>
          </w:tcPr>
          <w:p>
            <w:pPr>
              <w:pStyle w:val="TableContents"/>
              <w:spacing w:before="0" w:after="283"/>
              <w:rPr>
                <w:sz w:val="4"/>
                <w:szCs w:val="4"/>
              </w:rPr>
            </w:pPr>
            <w:r>
              <w:rPr>
                <w:sz w:val="4"/>
                <w:szCs w:val="4"/>
              </w:rPr>
            </w:r>
          </w:p>
        </w:tc>
        <w:tc>
          <w:tcPr>
            <w:tcW w:w="1040" w:type="dxa"/>
            <w:gridSpan w:val="4"/>
            <w:tcBorders/>
            <w:shd w:fill="444444" w:val="clear"/>
            <w:vAlign w:val="center"/>
          </w:tcPr>
          <w:p>
            <w:pPr>
              <w:pStyle w:val="TableContents"/>
              <w:spacing w:before="0" w:after="283"/>
              <w:rPr>
                <w:sz w:val="4"/>
                <w:szCs w:val="4"/>
              </w:rPr>
            </w:pPr>
            <w:r>
              <w:rPr>
                <w:sz w:val="4"/>
                <w:szCs w:val="4"/>
              </w:rPr>
            </w:r>
          </w:p>
        </w:tc>
        <w:tc>
          <w:tcPr>
            <w:tcW w:w="1295" w:type="dxa"/>
            <w:gridSpan w:val="4"/>
            <w:tcBorders/>
            <w:shd w:fill="444444" w:val="clear"/>
            <w:vAlign w:val="center"/>
          </w:tcPr>
          <w:p>
            <w:pPr>
              <w:pStyle w:val="TableContents"/>
              <w:spacing w:before="0" w:after="283"/>
              <w:rPr>
                <w:sz w:val="4"/>
                <w:szCs w:val="4"/>
              </w:rPr>
            </w:pPr>
            <w:r>
              <w:rPr>
                <w:sz w:val="4"/>
                <w:szCs w:val="4"/>
              </w:rPr>
            </w:r>
          </w:p>
        </w:tc>
      </w:tr>
      <w:tr>
        <w:trPr/>
        <w:tc>
          <w:tcPr>
            <w:tcW w:w="1835" w:type="dxa"/>
            <w:tcBorders/>
            <w:shd w:fill="444444" w:val="clear"/>
            <w:vAlign w:val="center"/>
          </w:tcPr>
          <w:p>
            <w:pPr>
              <w:pStyle w:val="TableContents"/>
              <w:spacing w:before="0" w:after="283"/>
              <w:rPr/>
            </w:pPr>
            <w:r>
              <w:rPr>
                <w:b/>
                <w:color w:val="FFFFFF"/>
              </w:rPr>
              <w:t>Name and</w:t>
            </w:r>
            <w:r>
              <w:rPr/>
              <w:br/>
            </w:r>
            <w:r>
              <w:rPr>
                <w:b/>
                <w:color w:val="FFFFFF"/>
              </w:rPr>
              <w:t>Principal Position</w:t>
            </w:r>
          </w:p>
        </w:tc>
        <w:tc>
          <w:tcPr>
            <w:tcW w:w="60" w:type="dxa"/>
            <w:tcBorders/>
            <w:shd w:fill="444444" w:val="clear"/>
            <w:vAlign w:val="center"/>
          </w:tcPr>
          <w:p>
            <w:pPr>
              <w:pStyle w:val="TableContents"/>
              <w:spacing w:before="0" w:after="283"/>
              <w:rPr/>
            </w:pPr>
            <w:r>
              <w:rPr/>
              <w:t> </w:t>
            </w:r>
          </w:p>
        </w:tc>
        <w:tc>
          <w:tcPr>
            <w:tcW w:w="560" w:type="dxa"/>
            <w:gridSpan w:val="2"/>
            <w:tcBorders/>
            <w:shd w:fill="444444" w:val="clear"/>
            <w:vAlign w:val="center"/>
          </w:tcPr>
          <w:p>
            <w:pPr>
              <w:pStyle w:val="TableContents"/>
              <w:spacing w:before="0" w:after="0"/>
              <w:jc w:val="right"/>
              <w:rPr>
                <w:rFonts w:ascii="arial" w:hAnsi="arial"/>
                <w:b/>
                <w:color w:val="FFFFFF"/>
                <w:sz w:val="14"/>
              </w:rPr>
            </w:pPr>
            <w:r>
              <w:rPr>
                <w:rFonts w:ascii="arial" w:hAnsi="arial"/>
                <w:b/>
                <w:color w:val="FFFFFF"/>
                <w:sz w:val="14"/>
              </w:rPr>
              <w:t>Fiscal</w:t>
            </w:r>
          </w:p>
          <w:p>
            <w:pPr>
              <w:pStyle w:val="TableContents"/>
              <w:spacing w:before="0" w:after="20"/>
              <w:jc w:val="right"/>
              <w:rPr>
                <w:rFonts w:ascii="arial" w:hAnsi="arial"/>
                <w:b/>
                <w:color w:val="FFFFFF"/>
                <w:sz w:val="14"/>
              </w:rPr>
            </w:pPr>
            <w:r>
              <w:rPr>
                <w:rFonts w:ascii="arial" w:hAnsi="arial"/>
                <w:b/>
                <w:color w:val="FFFFFF"/>
                <w:sz w:val="14"/>
              </w:rPr>
              <w:t>Year</w:t>
            </w:r>
          </w:p>
        </w:tc>
        <w:tc>
          <w:tcPr>
            <w:tcW w:w="60" w:type="dxa"/>
            <w:tcBorders/>
            <w:shd w:fill="444444" w:val="clear"/>
            <w:vAlign w:val="center"/>
          </w:tcPr>
          <w:p>
            <w:pPr>
              <w:pStyle w:val="TableContents"/>
              <w:spacing w:before="0" w:after="283"/>
              <w:rPr/>
            </w:pPr>
            <w:r>
              <w:rPr/>
              <w:t> </w:t>
            </w:r>
          </w:p>
        </w:tc>
        <w:tc>
          <w:tcPr>
            <w:tcW w:w="60" w:type="dxa"/>
            <w:tcBorders/>
            <w:shd w:fill="444444" w:val="clear"/>
            <w:vAlign w:val="center"/>
          </w:tcPr>
          <w:p>
            <w:pPr>
              <w:pStyle w:val="TableContents"/>
              <w:spacing w:before="0" w:after="283"/>
              <w:rPr/>
            </w:pPr>
            <w:r>
              <w:rPr/>
              <w:t> </w:t>
            </w:r>
          </w:p>
        </w:tc>
        <w:tc>
          <w:tcPr>
            <w:tcW w:w="1040" w:type="dxa"/>
            <w:gridSpan w:val="2"/>
            <w:tcBorders/>
            <w:shd w:fill="444444" w:val="clear"/>
            <w:vAlign w:val="center"/>
          </w:tcPr>
          <w:p>
            <w:pPr>
              <w:pStyle w:val="TableContents"/>
              <w:spacing w:before="0" w:after="0"/>
              <w:jc w:val="right"/>
              <w:rPr>
                <w:rFonts w:ascii="arial" w:hAnsi="arial"/>
                <w:b/>
                <w:color w:val="FFFFFF"/>
                <w:sz w:val="14"/>
              </w:rPr>
            </w:pPr>
            <w:r>
              <w:rPr>
                <w:rFonts w:ascii="arial" w:hAnsi="arial"/>
                <w:b/>
                <w:color w:val="FFFFFF"/>
                <w:sz w:val="14"/>
              </w:rPr>
              <w:t>Salary</w:t>
            </w:r>
          </w:p>
          <w:p>
            <w:pPr>
              <w:pStyle w:val="TableContents"/>
              <w:spacing w:before="0" w:after="20"/>
              <w:jc w:val="right"/>
              <w:rPr>
                <w:rFonts w:ascii="arial" w:hAnsi="arial"/>
                <w:b/>
                <w:color w:val="FFFFFF"/>
                <w:sz w:val="14"/>
              </w:rPr>
            </w:pPr>
            <w:r>
              <w:rPr>
                <w:rFonts w:ascii="arial" w:hAnsi="arial"/>
                <w:b/>
                <w:color w:val="FFFFFF"/>
                <w:sz w:val="14"/>
              </w:rPr>
              <w:t>($)(1)</w:t>
            </w:r>
          </w:p>
        </w:tc>
        <w:tc>
          <w:tcPr>
            <w:tcW w:w="60" w:type="dxa"/>
            <w:tcBorders/>
            <w:shd w:fill="444444" w:val="clear"/>
            <w:vAlign w:val="center"/>
          </w:tcPr>
          <w:p>
            <w:pPr>
              <w:pStyle w:val="TableContents"/>
              <w:spacing w:before="0" w:after="283"/>
              <w:rPr/>
            </w:pPr>
            <w:r>
              <w:rPr/>
              <w:t> </w:t>
            </w:r>
          </w:p>
        </w:tc>
        <w:tc>
          <w:tcPr>
            <w:tcW w:w="60" w:type="dxa"/>
            <w:tcBorders/>
            <w:shd w:fill="444444" w:val="clear"/>
            <w:vAlign w:val="center"/>
          </w:tcPr>
          <w:p>
            <w:pPr>
              <w:pStyle w:val="TableContents"/>
              <w:spacing w:before="0" w:after="283"/>
              <w:rPr/>
            </w:pPr>
            <w:r>
              <w:rPr/>
              <w:t> </w:t>
            </w:r>
          </w:p>
        </w:tc>
        <w:tc>
          <w:tcPr>
            <w:tcW w:w="1160" w:type="dxa"/>
            <w:gridSpan w:val="2"/>
            <w:tcBorders/>
            <w:shd w:fill="444444" w:val="clear"/>
            <w:vAlign w:val="center"/>
          </w:tcPr>
          <w:p>
            <w:pPr>
              <w:pStyle w:val="TableContents"/>
              <w:spacing w:before="0" w:after="0"/>
              <w:jc w:val="right"/>
              <w:rPr>
                <w:rFonts w:ascii="arial" w:hAnsi="arial"/>
                <w:b/>
                <w:color w:val="FFFFFF"/>
                <w:sz w:val="14"/>
              </w:rPr>
            </w:pPr>
            <w:r>
              <w:rPr>
                <w:rFonts w:ascii="arial" w:hAnsi="arial"/>
                <w:b/>
                <w:color w:val="FFFFFF"/>
                <w:sz w:val="14"/>
              </w:rPr>
              <w:t>Bonus</w:t>
            </w:r>
          </w:p>
          <w:p>
            <w:pPr>
              <w:pStyle w:val="TableContents"/>
              <w:spacing w:before="0" w:after="20"/>
              <w:jc w:val="right"/>
              <w:rPr>
                <w:rFonts w:ascii="arial" w:hAnsi="arial"/>
                <w:b/>
                <w:color w:val="FFFFFF"/>
                <w:sz w:val="14"/>
              </w:rPr>
            </w:pPr>
            <w:r>
              <w:rPr>
                <w:rFonts w:ascii="arial" w:hAnsi="arial"/>
                <w:b/>
                <w:color w:val="FFFFFF"/>
                <w:sz w:val="14"/>
              </w:rPr>
              <w:t>($)(2)</w:t>
            </w:r>
          </w:p>
        </w:tc>
        <w:tc>
          <w:tcPr>
            <w:tcW w:w="60" w:type="dxa"/>
            <w:tcBorders/>
            <w:shd w:fill="444444" w:val="clear"/>
            <w:vAlign w:val="center"/>
          </w:tcPr>
          <w:p>
            <w:pPr>
              <w:pStyle w:val="TableContents"/>
              <w:spacing w:before="0" w:after="283"/>
              <w:rPr/>
            </w:pPr>
            <w:r>
              <w:rPr/>
              <w:t> </w:t>
            </w:r>
          </w:p>
        </w:tc>
        <w:tc>
          <w:tcPr>
            <w:tcW w:w="60" w:type="dxa"/>
            <w:tcBorders/>
            <w:shd w:fill="444444" w:val="clear"/>
            <w:vAlign w:val="center"/>
          </w:tcPr>
          <w:p>
            <w:pPr>
              <w:pStyle w:val="TableContents"/>
              <w:spacing w:before="0" w:after="283"/>
              <w:rPr/>
            </w:pPr>
            <w:r>
              <w:rPr/>
              <w:t> </w:t>
            </w:r>
          </w:p>
        </w:tc>
        <w:tc>
          <w:tcPr>
            <w:tcW w:w="1160" w:type="dxa"/>
            <w:gridSpan w:val="2"/>
            <w:tcBorders/>
            <w:shd w:fill="444444" w:val="clear"/>
            <w:vAlign w:val="center"/>
          </w:tcPr>
          <w:p>
            <w:pPr>
              <w:pStyle w:val="TableContents"/>
              <w:spacing w:before="0" w:after="0"/>
              <w:jc w:val="right"/>
              <w:rPr>
                <w:rFonts w:ascii="arial" w:hAnsi="arial"/>
                <w:b/>
                <w:color w:val="FFFFFF"/>
                <w:sz w:val="14"/>
              </w:rPr>
            </w:pPr>
            <w:r>
              <w:rPr>
                <w:rFonts w:ascii="arial" w:hAnsi="arial"/>
                <w:b/>
                <w:color w:val="FFFFFF"/>
                <w:sz w:val="14"/>
              </w:rPr>
              <w:t>Stock</w:t>
            </w:r>
          </w:p>
          <w:p>
            <w:pPr>
              <w:pStyle w:val="TableContents"/>
              <w:spacing w:before="0" w:after="0"/>
              <w:jc w:val="right"/>
              <w:rPr>
                <w:rFonts w:ascii="arial" w:hAnsi="arial"/>
                <w:b/>
                <w:color w:val="FFFFFF"/>
                <w:sz w:val="14"/>
              </w:rPr>
            </w:pPr>
            <w:r>
              <w:rPr>
                <w:rFonts w:ascii="arial" w:hAnsi="arial"/>
                <w:b/>
                <w:color w:val="FFFFFF"/>
                <w:sz w:val="14"/>
              </w:rPr>
              <w:t>Awards</w:t>
            </w:r>
          </w:p>
          <w:p>
            <w:pPr>
              <w:pStyle w:val="TableContents"/>
              <w:spacing w:before="0" w:after="20"/>
              <w:jc w:val="right"/>
              <w:rPr>
                <w:rFonts w:ascii="arial" w:hAnsi="arial"/>
                <w:b/>
                <w:color w:val="FFFFFF"/>
                <w:sz w:val="14"/>
              </w:rPr>
            </w:pPr>
            <w:r>
              <w:rPr>
                <w:rFonts w:ascii="arial" w:hAnsi="arial"/>
                <w:b/>
                <w:color w:val="FFFFFF"/>
                <w:sz w:val="14"/>
              </w:rPr>
              <w:t>($)(3)</w:t>
            </w:r>
          </w:p>
        </w:tc>
        <w:tc>
          <w:tcPr>
            <w:tcW w:w="60" w:type="dxa"/>
            <w:tcBorders/>
            <w:shd w:fill="444444" w:val="clear"/>
            <w:vAlign w:val="center"/>
          </w:tcPr>
          <w:p>
            <w:pPr>
              <w:pStyle w:val="TableContents"/>
              <w:spacing w:before="0" w:after="283"/>
              <w:rPr/>
            </w:pPr>
            <w:r>
              <w:rPr/>
              <w:t> </w:t>
            </w:r>
          </w:p>
        </w:tc>
        <w:tc>
          <w:tcPr>
            <w:tcW w:w="60" w:type="dxa"/>
            <w:tcBorders/>
            <w:shd w:fill="444444" w:val="clear"/>
            <w:vAlign w:val="center"/>
          </w:tcPr>
          <w:p>
            <w:pPr>
              <w:pStyle w:val="TableContents"/>
              <w:spacing w:before="0" w:after="283"/>
              <w:rPr/>
            </w:pPr>
            <w:r>
              <w:rPr/>
              <w:t> </w:t>
            </w:r>
          </w:p>
        </w:tc>
        <w:tc>
          <w:tcPr>
            <w:tcW w:w="860" w:type="dxa"/>
            <w:gridSpan w:val="2"/>
            <w:tcBorders/>
            <w:shd w:fill="444444" w:val="clear"/>
            <w:vAlign w:val="center"/>
          </w:tcPr>
          <w:p>
            <w:pPr>
              <w:pStyle w:val="TableContents"/>
              <w:spacing w:before="0" w:after="0"/>
              <w:jc w:val="right"/>
              <w:rPr>
                <w:rFonts w:ascii="arial" w:hAnsi="arial"/>
                <w:b/>
                <w:color w:val="FFFFFF"/>
                <w:sz w:val="14"/>
              </w:rPr>
            </w:pPr>
            <w:r>
              <w:rPr>
                <w:rFonts w:ascii="arial" w:hAnsi="arial"/>
                <w:b/>
                <w:color w:val="FFFFFF"/>
                <w:sz w:val="14"/>
              </w:rPr>
              <w:t>Option</w:t>
            </w:r>
          </w:p>
          <w:p>
            <w:pPr>
              <w:pStyle w:val="TableContents"/>
              <w:spacing w:before="0" w:after="0"/>
              <w:jc w:val="right"/>
              <w:rPr>
                <w:rFonts w:ascii="arial" w:hAnsi="arial"/>
                <w:b/>
                <w:color w:val="FFFFFF"/>
                <w:sz w:val="14"/>
              </w:rPr>
            </w:pPr>
            <w:r>
              <w:rPr>
                <w:rFonts w:ascii="arial" w:hAnsi="arial"/>
                <w:b/>
                <w:color w:val="FFFFFF"/>
                <w:sz w:val="14"/>
              </w:rPr>
              <w:t>Awards</w:t>
            </w:r>
          </w:p>
          <w:p>
            <w:pPr>
              <w:pStyle w:val="TableContents"/>
              <w:spacing w:before="0" w:after="20"/>
              <w:jc w:val="right"/>
              <w:rPr>
                <w:rFonts w:ascii="arial" w:hAnsi="arial"/>
                <w:b/>
                <w:color w:val="FFFFFF"/>
                <w:sz w:val="14"/>
              </w:rPr>
            </w:pPr>
            <w:r>
              <w:rPr>
                <w:rFonts w:ascii="arial" w:hAnsi="arial"/>
                <w:b/>
                <w:color w:val="FFFFFF"/>
                <w:sz w:val="14"/>
              </w:rPr>
              <w:t>($)(4)</w:t>
            </w:r>
          </w:p>
        </w:tc>
        <w:tc>
          <w:tcPr>
            <w:tcW w:w="60" w:type="dxa"/>
            <w:tcBorders/>
            <w:shd w:fill="444444" w:val="clear"/>
            <w:vAlign w:val="center"/>
          </w:tcPr>
          <w:p>
            <w:pPr>
              <w:pStyle w:val="TableContents"/>
              <w:spacing w:before="0" w:after="283"/>
              <w:rPr/>
            </w:pPr>
            <w:r>
              <w:rPr/>
              <w:t> </w:t>
            </w:r>
          </w:p>
        </w:tc>
        <w:tc>
          <w:tcPr>
            <w:tcW w:w="60" w:type="dxa"/>
            <w:tcBorders/>
            <w:shd w:fill="444444" w:val="clear"/>
            <w:vAlign w:val="center"/>
          </w:tcPr>
          <w:p>
            <w:pPr>
              <w:pStyle w:val="TableContents"/>
              <w:spacing w:before="0" w:after="283"/>
              <w:rPr/>
            </w:pPr>
            <w:r>
              <w:rPr/>
              <w:t> </w:t>
            </w:r>
          </w:p>
        </w:tc>
        <w:tc>
          <w:tcPr>
            <w:tcW w:w="1040" w:type="dxa"/>
            <w:gridSpan w:val="2"/>
            <w:tcBorders/>
            <w:shd w:fill="444444" w:val="clear"/>
            <w:vAlign w:val="center"/>
          </w:tcPr>
          <w:p>
            <w:pPr>
              <w:pStyle w:val="TableContents"/>
              <w:spacing w:before="0" w:after="0"/>
              <w:jc w:val="right"/>
              <w:rPr>
                <w:rFonts w:ascii="arial" w:hAnsi="arial"/>
                <w:b/>
                <w:color w:val="FFFFFF"/>
                <w:sz w:val="14"/>
              </w:rPr>
            </w:pPr>
            <w:r>
              <w:rPr>
                <w:rFonts w:ascii="arial" w:hAnsi="arial"/>
                <w:b/>
                <w:color w:val="FFFFFF"/>
                <w:sz w:val="14"/>
              </w:rPr>
              <w:t>Non-Equity</w:t>
            </w:r>
          </w:p>
          <w:p>
            <w:pPr>
              <w:pStyle w:val="TableContents"/>
              <w:spacing w:before="0" w:after="0"/>
              <w:jc w:val="right"/>
              <w:rPr>
                <w:rFonts w:ascii="arial" w:hAnsi="arial"/>
                <w:b/>
                <w:color w:val="FFFFFF"/>
                <w:sz w:val="14"/>
              </w:rPr>
            </w:pPr>
            <w:r>
              <w:rPr>
                <w:rFonts w:ascii="arial" w:hAnsi="arial"/>
                <w:b/>
                <w:color w:val="FFFFFF"/>
                <w:sz w:val="14"/>
              </w:rPr>
              <w:t>Incentive Plan</w:t>
            </w:r>
          </w:p>
          <w:p>
            <w:pPr>
              <w:pStyle w:val="TableContents"/>
              <w:spacing w:before="0" w:after="0"/>
              <w:jc w:val="right"/>
              <w:rPr>
                <w:rFonts w:ascii="arial" w:hAnsi="arial"/>
                <w:b/>
                <w:color w:val="FFFFFF"/>
                <w:sz w:val="14"/>
              </w:rPr>
            </w:pPr>
            <w:r>
              <w:rPr>
                <w:rFonts w:ascii="arial" w:hAnsi="arial"/>
                <w:b/>
                <w:color w:val="FFFFFF"/>
                <w:sz w:val="14"/>
              </w:rPr>
              <w:t>Compensation</w:t>
            </w:r>
          </w:p>
          <w:p>
            <w:pPr>
              <w:pStyle w:val="TableContents"/>
              <w:spacing w:before="0" w:after="20"/>
              <w:jc w:val="right"/>
              <w:rPr>
                <w:rFonts w:ascii="arial" w:hAnsi="arial"/>
                <w:b/>
                <w:color w:val="FFFFFF"/>
                <w:sz w:val="14"/>
              </w:rPr>
            </w:pPr>
            <w:r>
              <w:rPr>
                <w:rFonts w:ascii="arial" w:hAnsi="arial"/>
                <w:b/>
                <w:color w:val="FFFFFF"/>
                <w:sz w:val="14"/>
              </w:rPr>
              <w:t>($)(5)</w:t>
            </w:r>
          </w:p>
        </w:tc>
        <w:tc>
          <w:tcPr>
            <w:tcW w:w="60" w:type="dxa"/>
            <w:tcBorders/>
            <w:shd w:fill="444444" w:val="clear"/>
            <w:vAlign w:val="center"/>
          </w:tcPr>
          <w:p>
            <w:pPr>
              <w:pStyle w:val="TableContents"/>
              <w:spacing w:before="0" w:after="283"/>
              <w:rPr/>
            </w:pPr>
            <w:r>
              <w:rPr/>
              <w:t> </w:t>
            </w:r>
          </w:p>
        </w:tc>
        <w:tc>
          <w:tcPr>
            <w:tcW w:w="60" w:type="dxa"/>
            <w:tcBorders/>
            <w:shd w:fill="444444" w:val="clear"/>
            <w:vAlign w:val="center"/>
          </w:tcPr>
          <w:p>
            <w:pPr>
              <w:pStyle w:val="TableContents"/>
              <w:spacing w:before="0" w:after="283"/>
              <w:rPr/>
            </w:pPr>
            <w:r>
              <w:rPr/>
              <w:t> </w:t>
            </w:r>
          </w:p>
        </w:tc>
        <w:tc>
          <w:tcPr>
            <w:tcW w:w="920" w:type="dxa"/>
            <w:gridSpan w:val="2"/>
            <w:tcBorders/>
            <w:shd w:fill="444444" w:val="clear"/>
            <w:vAlign w:val="center"/>
          </w:tcPr>
          <w:p>
            <w:pPr>
              <w:pStyle w:val="TableContents"/>
              <w:spacing w:before="0" w:after="0"/>
              <w:jc w:val="right"/>
              <w:rPr>
                <w:rFonts w:ascii="arial" w:hAnsi="arial"/>
                <w:b/>
                <w:color w:val="FFFFFF"/>
                <w:sz w:val="14"/>
              </w:rPr>
            </w:pPr>
            <w:r>
              <w:rPr>
                <w:rFonts w:ascii="arial" w:hAnsi="arial"/>
                <w:b/>
                <w:color w:val="FFFFFF"/>
                <w:sz w:val="14"/>
              </w:rPr>
              <w:t>Change in</w:t>
            </w:r>
          </w:p>
          <w:p>
            <w:pPr>
              <w:pStyle w:val="TableContents"/>
              <w:spacing w:before="0" w:after="0"/>
              <w:jc w:val="right"/>
              <w:rPr>
                <w:rFonts w:ascii="arial" w:hAnsi="arial"/>
                <w:b/>
                <w:color w:val="FFFFFF"/>
                <w:sz w:val="14"/>
              </w:rPr>
            </w:pPr>
            <w:r>
              <w:rPr>
                <w:rFonts w:ascii="arial" w:hAnsi="arial"/>
                <w:b/>
                <w:color w:val="FFFFFF"/>
                <w:sz w:val="14"/>
              </w:rPr>
              <w:t>Pension Value</w:t>
            </w:r>
          </w:p>
          <w:p>
            <w:pPr>
              <w:pStyle w:val="TableContents"/>
              <w:spacing w:before="0" w:after="0"/>
              <w:jc w:val="right"/>
              <w:rPr>
                <w:rFonts w:ascii="arial" w:hAnsi="arial"/>
                <w:b/>
                <w:color w:val="FFFFFF"/>
                <w:sz w:val="14"/>
              </w:rPr>
            </w:pPr>
            <w:r>
              <w:rPr>
                <w:rFonts w:ascii="arial" w:hAnsi="arial"/>
                <w:b/>
                <w:color w:val="FFFFFF"/>
                <w:sz w:val="14"/>
              </w:rPr>
              <w:t>and Non-</w:t>
              <w:br/>
              <w:t>qualified</w:t>
            </w:r>
          </w:p>
          <w:p>
            <w:pPr>
              <w:pStyle w:val="TableContents"/>
              <w:spacing w:before="0" w:after="0"/>
              <w:jc w:val="right"/>
              <w:rPr>
                <w:rFonts w:ascii="arial" w:hAnsi="arial"/>
                <w:b/>
                <w:color w:val="FFFFFF"/>
                <w:sz w:val="14"/>
              </w:rPr>
            </w:pPr>
            <w:r>
              <w:rPr>
                <w:rFonts w:ascii="arial" w:hAnsi="arial"/>
                <w:b/>
                <w:color w:val="FFFFFF"/>
                <w:sz w:val="14"/>
              </w:rPr>
              <w:t>Deferred</w:t>
            </w:r>
          </w:p>
          <w:p>
            <w:pPr>
              <w:pStyle w:val="TableContents"/>
              <w:spacing w:before="0" w:after="0"/>
              <w:jc w:val="right"/>
              <w:rPr>
                <w:rFonts w:ascii="arial" w:hAnsi="arial"/>
                <w:b/>
                <w:color w:val="FFFFFF"/>
                <w:sz w:val="14"/>
              </w:rPr>
            </w:pPr>
            <w:r>
              <w:rPr>
                <w:rFonts w:ascii="arial" w:hAnsi="arial"/>
                <w:b/>
                <w:color w:val="FFFFFF"/>
                <w:sz w:val="14"/>
              </w:rPr>
              <w:t>Compensation</w:t>
            </w:r>
          </w:p>
          <w:p>
            <w:pPr>
              <w:pStyle w:val="TableContents"/>
              <w:spacing w:before="0" w:after="0"/>
              <w:jc w:val="right"/>
              <w:rPr>
                <w:rFonts w:ascii="arial" w:hAnsi="arial"/>
                <w:b/>
                <w:color w:val="FFFFFF"/>
                <w:sz w:val="14"/>
              </w:rPr>
            </w:pPr>
            <w:r>
              <w:rPr>
                <w:rFonts w:ascii="arial" w:hAnsi="arial"/>
                <w:b/>
                <w:color w:val="FFFFFF"/>
                <w:sz w:val="14"/>
              </w:rPr>
              <w:t>Earnings</w:t>
            </w:r>
          </w:p>
          <w:p>
            <w:pPr>
              <w:pStyle w:val="TableContents"/>
              <w:spacing w:before="0" w:after="20"/>
              <w:jc w:val="right"/>
              <w:rPr>
                <w:rFonts w:ascii="arial" w:hAnsi="arial"/>
                <w:b/>
                <w:color w:val="FFFFFF"/>
                <w:sz w:val="14"/>
              </w:rPr>
            </w:pPr>
            <w:r>
              <w:rPr>
                <w:rFonts w:ascii="arial" w:hAnsi="arial"/>
                <w:b/>
                <w:color w:val="FFFFFF"/>
                <w:sz w:val="14"/>
              </w:rPr>
              <w:t>($)(6)</w:t>
            </w:r>
          </w:p>
        </w:tc>
        <w:tc>
          <w:tcPr>
            <w:tcW w:w="60" w:type="dxa"/>
            <w:tcBorders/>
            <w:shd w:fill="444444" w:val="clear"/>
            <w:vAlign w:val="center"/>
          </w:tcPr>
          <w:p>
            <w:pPr>
              <w:pStyle w:val="TableContents"/>
              <w:spacing w:before="0" w:after="283"/>
              <w:rPr/>
            </w:pPr>
            <w:r>
              <w:rPr/>
              <w:t> </w:t>
            </w:r>
          </w:p>
        </w:tc>
        <w:tc>
          <w:tcPr>
            <w:tcW w:w="60" w:type="dxa"/>
            <w:tcBorders/>
            <w:shd w:fill="444444" w:val="clear"/>
            <w:vAlign w:val="center"/>
          </w:tcPr>
          <w:p>
            <w:pPr>
              <w:pStyle w:val="TableContents"/>
              <w:spacing w:before="0" w:after="283"/>
              <w:rPr/>
            </w:pPr>
            <w:r>
              <w:rPr/>
              <w:t> </w:t>
            </w:r>
          </w:p>
        </w:tc>
        <w:tc>
          <w:tcPr>
            <w:tcW w:w="920" w:type="dxa"/>
            <w:gridSpan w:val="2"/>
            <w:tcBorders/>
            <w:shd w:fill="444444" w:val="clear"/>
            <w:vAlign w:val="center"/>
          </w:tcPr>
          <w:p>
            <w:pPr>
              <w:pStyle w:val="TableContents"/>
              <w:spacing w:before="0" w:after="0"/>
              <w:jc w:val="right"/>
              <w:rPr>
                <w:rFonts w:ascii="arial" w:hAnsi="arial"/>
                <w:b/>
                <w:color w:val="FFFFFF"/>
                <w:sz w:val="14"/>
              </w:rPr>
            </w:pPr>
            <w:r>
              <w:rPr>
                <w:rFonts w:ascii="arial" w:hAnsi="arial"/>
                <w:b/>
                <w:color w:val="FFFFFF"/>
                <w:sz w:val="14"/>
              </w:rPr>
              <w:t>All Other</w:t>
            </w:r>
          </w:p>
          <w:p>
            <w:pPr>
              <w:pStyle w:val="TableContents"/>
              <w:spacing w:before="0" w:after="0"/>
              <w:jc w:val="right"/>
              <w:rPr>
                <w:rFonts w:ascii="arial" w:hAnsi="arial"/>
                <w:b/>
                <w:color w:val="FFFFFF"/>
                <w:sz w:val="14"/>
              </w:rPr>
            </w:pPr>
            <w:r>
              <w:rPr>
                <w:rFonts w:ascii="arial" w:hAnsi="arial"/>
                <w:b/>
                <w:color w:val="FFFFFF"/>
                <w:sz w:val="14"/>
              </w:rPr>
              <w:t>Compensation</w:t>
            </w:r>
          </w:p>
          <w:p>
            <w:pPr>
              <w:pStyle w:val="TableContents"/>
              <w:spacing w:before="0" w:after="20"/>
              <w:jc w:val="right"/>
              <w:rPr>
                <w:rFonts w:ascii="arial" w:hAnsi="arial"/>
                <w:b/>
                <w:color w:val="FFFFFF"/>
                <w:sz w:val="14"/>
              </w:rPr>
            </w:pPr>
            <w:r>
              <w:rPr>
                <w:rFonts w:ascii="arial" w:hAnsi="arial"/>
                <w:b/>
                <w:color w:val="FFFFFF"/>
                <w:sz w:val="14"/>
              </w:rPr>
              <w:t>($)(7)</w:t>
            </w:r>
          </w:p>
        </w:tc>
        <w:tc>
          <w:tcPr>
            <w:tcW w:w="60" w:type="dxa"/>
            <w:tcBorders/>
            <w:shd w:fill="444444" w:val="clear"/>
            <w:vAlign w:val="center"/>
          </w:tcPr>
          <w:p>
            <w:pPr>
              <w:pStyle w:val="TableContents"/>
              <w:spacing w:before="0" w:after="283"/>
              <w:rPr/>
            </w:pPr>
            <w:r>
              <w:rPr/>
              <w:t> </w:t>
            </w:r>
          </w:p>
        </w:tc>
        <w:tc>
          <w:tcPr>
            <w:tcW w:w="60" w:type="dxa"/>
            <w:tcBorders/>
            <w:shd w:fill="444444" w:val="clear"/>
            <w:vAlign w:val="center"/>
          </w:tcPr>
          <w:p>
            <w:pPr>
              <w:pStyle w:val="TableContents"/>
              <w:spacing w:before="0" w:after="283"/>
              <w:rPr/>
            </w:pPr>
            <w:r>
              <w:rPr/>
              <w:t> </w:t>
            </w:r>
          </w:p>
        </w:tc>
        <w:tc>
          <w:tcPr>
            <w:tcW w:w="1160" w:type="dxa"/>
            <w:gridSpan w:val="2"/>
            <w:tcBorders/>
            <w:shd w:fill="444444" w:val="clear"/>
            <w:vAlign w:val="center"/>
          </w:tcPr>
          <w:p>
            <w:pPr>
              <w:pStyle w:val="TableContents"/>
              <w:spacing w:before="0" w:after="0"/>
              <w:jc w:val="right"/>
              <w:rPr>
                <w:rFonts w:ascii="arial" w:hAnsi="arial"/>
                <w:b/>
                <w:color w:val="FFFFFF"/>
                <w:sz w:val="14"/>
              </w:rPr>
            </w:pPr>
            <w:r>
              <w:rPr>
                <w:rFonts w:ascii="arial" w:hAnsi="arial"/>
                <w:b/>
                <w:color w:val="FFFFFF"/>
                <w:sz w:val="14"/>
              </w:rPr>
              <w:t>Total</w:t>
            </w:r>
          </w:p>
          <w:p>
            <w:pPr>
              <w:pStyle w:val="TableContents"/>
              <w:spacing w:before="0" w:after="20"/>
              <w:jc w:val="right"/>
              <w:rPr>
                <w:rFonts w:ascii="arial" w:hAnsi="arial"/>
                <w:b/>
                <w:color w:val="FFFFFF"/>
                <w:sz w:val="14"/>
              </w:rPr>
            </w:pPr>
            <w:r>
              <w:rPr>
                <w:rFonts w:ascii="arial" w:hAnsi="arial"/>
                <w:b/>
                <w:color w:val="FFFFFF"/>
                <w:sz w:val="14"/>
              </w:rPr>
              <w:t>($)</w:t>
            </w:r>
          </w:p>
        </w:tc>
        <w:tc>
          <w:tcPr>
            <w:tcW w:w="75" w:type="dxa"/>
            <w:tcBorders/>
            <w:shd w:fill="444444" w:val="clear"/>
            <w:vAlign w:val="center"/>
          </w:tcPr>
          <w:p>
            <w:pPr>
              <w:pStyle w:val="TableContents"/>
              <w:spacing w:before="0" w:after="283"/>
              <w:rPr/>
            </w:pPr>
            <w:r>
              <w:rPr/>
              <w:t> </w:t>
            </w:r>
          </w:p>
        </w:tc>
      </w:tr>
      <w:tr>
        <w:trPr/>
        <w:tc>
          <w:tcPr>
            <w:tcW w:w="1835" w:type="dxa"/>
            <w:vMerge w:val="restart"/>
            <w:tcBorders/>
            <w:shd w:fill="E5E5E5" w:val="clear"/>
            <w:vAlign w:val="center"/>
          </w:tcPr>
          <w:p>
            <w:pPr>
              <w:pStyle w:val="TableContents"/>
              <w:spacing w:before="0" w:after="0"/>
              <w:rPr>
                <w:rFonts w:ascii="arial" w:hAnsi="arial"/>
                <w:b/>
                <w:sz w:val="15"/>
              </w:rPr>
            </w:pPr>
            <w:r>
              <w:rPr>
                <w:rFonts w:ascii="arial" w:hAnsi="arial"/>
                <w:b/>
                <w:sz w:val="15"/>
              </w:rPr>
              <w:t>Michael Goettler</w:t>
            </w:r>
          </w:p>
          <w:p>
            <w:pPr>
              <w:pStyle w:val="TableContents"/>
              <w:spacing w:before="0" w:after="20"/>
              <w:rPr>
                <w:rFonts w:ascii="arial" w:hAnsi="arial"/>
                <w:i/>
                <w:sz w:val="15"/>
              </w:rPr>
            </w:pPr>
            <w:r>
              <w:rPr>
                <w:rFonts w:ascii="arial" w:hAnsi="arial"/>
                <w:i/>
                <w:sz w:val="15"/>
              </w:rPr>
              <w:t>Chief Executive Officer</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500" w:type="dxa"/>
            <w:tcBorders/>
            <w:shd w:fill="E5E5E5" w:val="clear"/>
            <w:vAlign w:val="center"/>
          </w:tcPr>
          <w:p>
            <w:pPr>
              <w:pStyle w:val="TableContents"/>
              <w:spacing w:before="0" w:after="283"/>
              <w:jc w:val="right"/>
              <w:rPr/>
            </w:pPr>
            <w:r>
              <w:rPr/>
              <w:t>2022</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980" w:type="dxa"/>
            <w:tcBorders/>
            <w:shd w:fill="E5E5E5" w:val="clear"/>
            <w:vAlign w:val="center"/>
          </w:tcPr>
          <w:p>
            <w:pPr>
              <w:pStyle w:val="TableContents"/>
              <w:spacing w:before="0" w:after="283"/>
              <w:jc w:val="right"/>
              <w:rPr/>
            </w:pPr>
            <w:r>
              <w:rPr/>
              <w:t>1,300,000</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1100" w:type="dxa"/>
            <w:tcBorders/>
            <w:shd w:fill="E5E5E5" w:val="clear"/>
            <w:vAlign w:val="center"/>
          </w:tcPr>
          <w:p>
            <w:pPr>
              <w:pStyle w:val="TableContents"/>
              <w:spacing w:before="0" w:after="283"/>
              <w:jc w:val="right"/>
              <w:rPr/>
            </w:pPr>
            <w:r>
              <w:rPr/>
              <w:t>—</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1100" w:type="dxa"/>
            <w:tcBorders/>
            <w:shd w:fill="E5E5E5" w:val="clear"/>
            <w:vAlign w:val="center"/>
          </w:tcPr>
          <w:p>
            <w:pPr>
              <w:pStyle w:val="TableContents"/>
              <w:spacing w:before="0" w:after="283"/>
              <w:jc w:val="right"/>
              <w:rPr/>
            </w:pPr>
            <w:r>
              <w:rPr/>
              <w:t>9,100,001</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800" w:type="dxa"/>
            <w:tcBorders/>
            <w:shd w:fill="E5E5E5" w:val="clear"/>
            <w:vAlign w:val="center"/>
          </w:tcPr>
          <w:p>
            <w:pPr>
              <w:pStyle w:val="TableContents"/>
              <w:spacing w:before="0" w:after="283"/>
              <w:jc w:val="right"/>
              <w:rPr/>
            </w:pPr>
            <w:r>
              <w:rPr/>
              <w:t>—</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980" w:type="dxa"/>
            <w:tcBorders/>
            <w:shd w:fill="E5E5E5" w:val="clear"/>
            <w:vAlign w:val="center"/>
          </w:tcPr>
          <w:p>
            <w:pPr>
              <w:pStyle w:val="TableContents"/>
              <w:spacing w:before="0" w:after="283"/>
              <w:jc w:val="right"/>
              <w:rPr/>
            </w:pPr>
            <w:r>
              <w:rPr/>
              <w:t>3,639,285</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4" w:type="dxa"/>
            <w:tcBorders/>
            <w:shd w:fill="E5E5E5" w:val="clear"/>
            <w:vAlign w:val="center"/>
          </w:tcPr>
          <w:p>
            <w:pPr>
              <w:pStyle w:val="TableContents"/>
              <w:spacing w:before="0" w:after="283"/>
              <w:rPr/>
            </w:pPr>
            <w:r>
              <w:rPr/>
              <w:t> </w:t>
            </w:r>
          </w:p>
        </w:tc>
        <w:tc>
          <w:tcPr>
            <w:tcW w:w="856" w:type="dxa"/>
            <w:tcBorders/>
            <w:shd w:fill="E5E5E5" w:val="clear"/>
            <w:vAlign w:val="center"/>
          </w:tcPr>
          <w:p>
            <w:pPr>
              <w:pStyle w:val="TableContents"/>
              <w:spacing w:before="0" w:after="283"/>
              <w:jc w:val="right"/>
              <w:rPr/>
            </w:pPr>
            <w:r>
              <w:rPr/>
              <w:t>—</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4" w:type="dxa"/>
            <w:tcBorders/>
            <w:shd w:fill="E5E5E5" w:val="clear"/>
            <w:vAlign w:val="center"/>
          </w:tcPr>
          <w:p>
            <w:pPr>
              <w:pStyle w:val="TableContents"/>
              <w:spacing w:before="0" w:after="283"/>
              <w:rPr/>
            </w:pPr>
            <w:r>
              <w:rPr/>
              <w:t> </w:t>
            </w:r>
          </w:p>
        </w:tc>
        <w:tc>
          <w:tcPr>
            <w:tcW w:w="856" w:type="dxa"/>
            <w:tcBorders/>
            <w:shd w:fill="E5E5E5" w:val="clear"/>
            <w:vAlign w:val="center"/>
          </w:tcPr>
          <w:p>
            <w:pPr>
              <w:pStyle w:val="TableContents"/>
              <w:spacing w:before="0" w:after="283"/>
              <w:jc w:val="right"/>
              <w:rPr/>
            </w:pPr>
            <w:r>
              <w:rPr/>
              <w:t>731,984</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1100" w:type="dxa"/>
            <w:tcBorders/>
            <w:shd w:fill="E5E5E5" w:val="clear"/>
            <w:vAlign w:val="center"/>
          </w:tcPr>
          <w:p>
            <w:pPr>
              <w:pStyle w:val="TableContents"/>
              <w:spacing w:before="0" w:after="283"/>
              <w:jc w:val="right"/>
              <w:rPr/>
            </w:pPr>
            <w:r>
              <w:rPr/>
              <w:t>14,771,270</w:t>
            </w:r>
          </w:p>
        </w:tc>
        <w:tc>
          <w:tcPr>
            <w:tcW w:w="75" w:type="dxa"/>
            <w:tcBorders/>
            <w:shd w:fill="E5E5E5" w:val="clear"/>
            <w:vAlign w:val="center"/>
          </w:tcPr>
          <w:p>
            <w:pPr>
              <w:pStyle w:val="TableContents"/>
              <w:spacing w:before="0" w:after="283"/>
              <w:rPr/>
            </w:pPr>
            <w:r>
              <w:rPr/>
              <w:t> </w:t>
            </w:r>
          </w:p>
        </w:tc>
      </w:tr>
      <w:tr>
        <w:trPr/>
        <w:tc>
          <w:tcPr>
            <w:tcW w:w="1835" w:type="dxa"/>
            <w:vMerge w:val="continue"/>
            <w:tcBorders/>
            <w:shd w:fill="E5E5E5" w:val="clear"/>
            <w:vAlign w:val="center"/>
          </w:tcPr>
          <w:p>
            <w:pPr>
              <w:pStyle w:val="Normal"/>
              <w:rPr/>
            </w:pPr>
            <w:r>
              <w:rPr/>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500" w:type="dxa"/>
            <w:tcBorders/>
            <w:shd w:fill="E5E5E5" w:val="clear"/>
            <w:vAlign w:val="center"/>
          </w:tcPr>
          <w:p>
            <w:pPr>
              <w:pStyle w:val="TableContents"/>
              <w:spacing w:before="0" w:after="283"/>
              <w:jc w:val="right"/>
              <w:rPr/>
            </w:pPr>
            <w:r>
              <w:rPr/>
              <w:t>2021</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980" w:type="dxa"/>
            <w:tcBorders/>
            <w:shd w:fill="E5E5E5" w:val="clear"/>
            <w:vAlign w:val="center"/>
          </w:tcPr>
          <w:p>
            <w:pPr>
              <w:pStyle w:val="TableContents"/>
              <w:spacing w:before="0" w:after="283"/>
              <w:jc w:val="right"/>
              <w:rPr/>
            </w:pPr>
            <w:r>
              <w:rPr/>
              <w:t>1,300,000</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1100" w:type="dxa"/>
            <w:tcBorders/>
            <w:shd w:fill="E5E5E5" w:val="clear"/>
            <w:vAlign w:val="center"/>
          </w:tcPr>
          <w:p>
            <w:pPr>
              <w:pStyle w:val="TableContents"/>
              <w:spacing w:before="0" w:after="283"/>
              <w:jc w:val="right"/>
              <w:rPr/>
            </w:pPr>
            <w:r>
              <w:rPr/>
              <w:t>—</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1100" w:type="dxa"/>
            <w:tcBorders/>
            <w:shd w:fill="E5E5E5" w:val="clear"/>
            <w:vAlign w:val="center"/>
          </w:tcPr>
          <w:p>
            <w:pPr>
              <w:pStyle w:val="TableContents"/>
              <w:spacing w:before="0" w:after="283"/>
              <w:jc w:val="right"/>
              <w:rPr/>
            </w:pPr>
            <w:r>
              <w:rPr/>
              <w:t>9,100,015</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800" w:type="dxa"/>
            <w:tcBorders/>
            <w:shd w:fill="E5E5E5" w:val="clear"/>
            <w:vAlign w:val="center"/>
          </w:tcPr>
          <w:p>
            <w:pPr>
              <w:pStyle w:val="TableContents"/>
              <w:spacing w:before="0" w:after="283"/>
              <w:jc w:val="right"/>
              <w:rPr/>
            </w:pPr>
            <w:r>
              <w:rPr/>
              <w:t>—</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980" w:type="dxa"/>
            <w:tcBorders/>
            <w:shd w:fill="E5E5E5" w:val="clear"/>
            <w:vAlign w:val="center"/>
          </w:tcPr>
          <w:p>
            <w:pPr>
              <w:pStyle w:val="TableContents"/>
              <w:spacing w:before="0" w:after="283"/>
              <w:jc w:val="right"/>
              <w:rPr/>
            </w:pPr>
            <w:r>
              <w:rPr/>
              <w:t>3,716,115</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4" w:type="dxa"/>
            <w:tcBorders/>
            <w:shd w:fill="E5E5E5" w:val="clear"/>
            <w:vAlign w:val="center"/>
          </w:tcPr>
          <w:p>
            <w:pPr>
              <w:pStyle w:val="TableContents"/>
              <w:spacing w:before="0" w:after="283"/>
              <w:rPr/>
            </w:pPr>
            <w:r>
              <w:rPr/>
              <w:t> </w:t>
            </w:r>
          </w:p>
        </w:tc>
        <w:tc>
          <w:tcPr>
            <w:tcW w:w="856" w:type="dxa"/>
            <w:tcBorders/>
            <w:shd w:fill="E5E5E5" w:val="clear"/>
            <w:vAlign w:val="center"/>
          </w:tcPr>
          <w:p>
            <w:pPr>
              <w:pStyle w:val="TableContents"/>
              <w:spacing w:before="0" w:after="283"/>
              <w:jc w:val="right"/>
              <w:rPr/>
            </w:pPr>
            <w:r>
              <w:rPr/>
              <w:t>—</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4" w:type="dxa"/>
            <w:tcBorders/>
            <w:shd w:fill="E5E5E5" w:val="clear"/>
            <w:vAlign w:val="center"/>
          </w:tcPr>
          <w:p>
            <w:pPr>
              <w:pStyle w:val="TableContents"/>
              <w:spacing w:before="0" w:after="283"/>
              <w:rPr/>
            </w:pPr>
            <w:r>
              <w:rPr/>
              <w:t> </w:t>
            </w:r>
          </w:p>
        </w:tc>
        <w:tc>
          <w:tcPr>
            <w:tcW w:w="856" w:type="dxa"/>
            <w:tcBorders/>
            <w:shd w:fill="E5E5E5" w:val="clear"/>
            <w:vAlign w:val="center"/>
          </w:tcPr>
          <w:p>
            <w:pPr>
              <w:pStyle w:val="TableContents"/>
              <w:spacing w:before="0" w:after="283"/>
              <w:jc w:val="right"/>
              <w:rPr/>
            </w:pPr>
            <w:r>
              <w:rPr/>
              <w:t>663,440</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1100" w:type="dxa"/>
            <w:tcBorders/>
            <w:shd w:fill="E5E5E5" w:val="clear"/>
            <w:vAlign w:val="center"/>
          </w:tcPr>
          <w:p>
            <w:pPr>
              <w:pStyle w:val="TableContents"/>
              <w:spacing w:before="0" w:after="283"/>
              <w:jc w:val="right"/>
              <w:rPr/>
            </w:pPr>
            <w:r>
              <w:rPr/>
              <w:t>14,779,570</w:t>
            </w:r>
          </w:p>
        </w:tc>
        <w:tc>
          <w:tcPr>
            <w:tcW w:w="75" w:type="dxa"/>
            <w:tcBorders/>
            <w:shd w:fill="E5E5E5" w:val="clear"/>
            <w:vAlign w:val="center"/>
          </w:tcPr>
          <w:p>
            <w:pPr>
              <w:pStyle w:val="TableContents"/>
              <w:spacing w:before="0" w:after="283"/>
              <w:rPr/>
            </w:pPr>
            <w:r>
              <w:rPr/>
              <w:t> </w:t>
            </w:r>
          </w:p>
        </w:tc>
      </w:tr>
      <w:tr>
        <w:trPr/>
        <w:tc>
          <w:tcPr>
            <w:tcW w:w="1835" w:type="dxa"/>
            <w:vMerge w:val="continue"/>
            <w:tcBorders/>
            <w:shd w:fill="E5E5E5" w:val="clear"/>
            <w:vAlign w:val="center"/>
          </w:tcPr>
          <w:p>
            <w:pPr>
              <w:pStyle w:val="Normal"/>
              <w:rPr/>
            </w:pPr>
            <w:r>
              <w:rPr/>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500" w:type="dxa"/>
            <w:tcBorders/>
            <w:shd w:fill="E5E5E5" w:val="clear"/>
            <w:vAlign w:val="center"/>
          </w:tcPr>
          <w:p>
            <w:pPr>
              <w:pStyle w:val="TableContents"/>
              <w:spacing w:before="0" w:after="283"/>
              <w:jc w:val="right"/>
              <w:rPr/>
            </w:pPr>
            <w:r>
              <w:rPr/>
              <w:t>2020</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980" w:type="dxa"/>
            <w:tcBorders/>
            <w:shd w:fill="E5E5E5" w:val="clear"/>
            <w:vAlign w:val="center"/>
          </w:tcPr>
          <w:p>
            <w:pPr>
              <w:pStyle w:val="TableContents"/>
              <w:spacing w:before="0" w:after="283"/>
              <w:jc w:val="right"/>
              <w:rPr/>
            </w:pPr>
            <w:r>
              <w:rPr/>
              <w:t>871,875</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1100" w:type="dxa"/>
            <w:tcBorders/>
            <w:shd w:fill="E5E5E5" w:val="clear"/>
            <w:vAlign w:val="center"/>
          </w:tcPr>
          <w:p>
            <w:pPr>
              <w:pStyle w:val="TableContents"/>
              <w:spacing w:before="0" w:after="283"/>
              <w:jc w:val="right"/>
              <w:rPr/>
            </w:pPr>
            <w:r>
              <w:rPr/>
              <w:t>1,000,000</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1100" w:type="dxa"/>
            <w:tcBorders/>
            <w:shd w:fill="E5E5E5" w:val="clear"/>
            <w:vAlign w:val="center"/>
          </w:tcPr>
          <w:p>
            <w:pPr>
              <w:pStyle w:val="TableContents"/>
              <w:spacing w:before="0" w:after="283"/>
              <w:jc w:val="right"/>
              <w:rPr/>
            </w:pPr>
            <w:r>
              <w:rPr/>
              <w:t>2,400,000</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800" w:type="dxa"/>
            <w:tcBorders/>
            <w:shd w:fill="E5E5E5" w:val="clear"/>
            <w:vAlign w:val="center"/>
          </w:tcPr>
          <w:p>
            <w:pPr>
              <w:pStyle w:val="TableContents"/>
              <w:spacing w:before="0" w:after="283"/>
              <w:jc w:val="right"/>
              <w:rPr/>
            </w:pPr>
            <w:r>
              <w:rPr/>
              <w:t>—</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980" w:type="dxa"/>
            <w:tcBorders/>
            <w:shd w:fill="E5E5E5" w:val="clear"/>
            <w:vAlign w:val="center"/>
          </w:tcPr>
          <w:p>
            <w:pPr>
              <w:pStyle w:val="TableContents"/>
              <w:spacing w:before="0" w:after="283"/>
              <w:jc w:val="right"/>
              <w:rPr/>
            </w:pPr>
            <w:r>
              <w:rPr/>
              <w:t>951,675</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4" w:type="dxa"/>
            <w:tcBorders/>
            <w:shd w:fill="E5E5E5" w:val="clear"/>
            <w:vAlign w:val="center"/>
          </w:tcPr>
          <w:p>
            <w:pPr>
              <w:pStyle w:val="TableContents"/>
              <w:spacing w:before="0" w:after="283"/>
              <w:rPr/>
            </w:pPr>
            <w:r>
              <w:rPr/>
              <w:t> </w:t>
            </w:r>
          </w:p>
        </w:tc>
        <w:tc>
          <w:tcPr>
            <w:tcW w:w="856" w:type="dxa"/>
            <w:tcBorders/>
            <w:shd w:fill="E5E5E5" w:val="clear"/>
            <w:vAlign w:val="center"/>
          </w:tcPr>
          <w:p>
            <w:pPr>
              <w:pStyle w:val="TableContents"/>
              <w:spacing w:before="0" w:after="283"/>
              <w:jc w:val="right"/>
              <w:rPr/>
            </w:pPr>
            <w:r>
              <w:rPr/>
              <w:t>—</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4" w:type="dxa"/>
            <w:tcBorders/>
            <w:shd w:fill="E5E5E5" w:val="clear"/>
            <w:vAlign w:val="center"/>
          </w:tcPr>
          <w:p>
            <w:pPr>
              <w:pStyle w:val="TableContents"/>
              <w:spacing w:before="0" w:after="283"/>
              <w:rPr/>
            </w:pPr>
            <w:r>
              <w:rPr/>
              <w:t> </w:t>
            </w:r>
          </w:p>
        </w:tc>
        <w:tc>
          <w:tcPr>
            <w:tcW w:w="856" w:type="dxa"/>
            <w:tcBorders/>
            <w:shd w:fill="E5E5E5" w:val="clear"/>
            <w:vAlign w:val="center"/>
          </w:tcPr>
          <w:p>
            <w:pPr>
              <w:pStyle w:val="TableContents"/>
              <w:spacing w:before="0" w:after="283"/>
              <w:jc w:val="right"/>
              <w:rPr/>
            </w:pPr>
            <w:r>
              <w:rPr/>
              <w:t>249,355</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1100" w:type="dxa"/>
            <w:tcBorders/>
            <w:shd w:fill="E5E5E5" w:val="clear"/>
            <w:vAlign w:val="center"/>
          </w:tcPr>
          <w:p>
            <w:pPr>
              <w:pStyle w:val="TableContents"/>
              <w:spacing w:before="0" w:after="283"/>
              <w:jc w:val="right"/>
              <w:rPr/>
            </w:pPr>
            <w:r>
              <w:rPr/>
              <w:t>5,472,905</w:t>
            </w:r>
          </w:p>
        </w:tc>
        <w:tc>
          <w:tcPr>
            <w:tcW w:w="75" w:type="dxa"/>
            <w:tcBorders/>
            <w:shd w:fill="E5E5E5" w:val="clear"/>
            <w:vAlign w:val="center"/>
          </w:tcPr>
          <w:p>
            <w:pPr>
              <w:pStyle w:val="TableContents"/>
              <w:spacing w:before="0" w:after="283"/>
              <w:rPr/>
            </w:pPr>
            <w:r>
              <w:rPr/>
              <w:t> </w:t>
            </w:r>
          </w:p>
        </w:tc>
      </w:tr>
      <w:tr>
        <w:trPr/>
        <w:tc>
          <w:tcPr>
            <w:tcW w:w="1835" w:type="dxa"/>
            <w:vMerge w:val="restart"/>
            <w:tcBorders/>
            <w:shd w:fill="auto" w:val="clear"/>
            <w:vAlign w:val="center"/>
          </w:tcPr>
          <w:p>
            <w:pPr>
              <w:pStyle w:val="TableContents"/>
              <w:spacing w:before="0" w:after="0"/>
              <w:rPr>
                <w:rFonts w:ascii="arial" w:hAnsi="arial"/>
                <w:b/>
                <w:sz w:val="15"/>
              </w:rPr>
            </w:pPr>
            <w:r>
              <w:rPr>
                <w:rFonts w:ascii="arial" w:hAnsi="arial"/>
                <w:b/>
                <w:sz w:val="15"/>
              </w:rPr>
              <w:t>Sanjeev Narula</w:t>
            </w:r>
          </w:p>
          <w:p>
            <w:pPr>
              <w:pStyle w:val="TableContents"/>
              <w:spacing w:before="0" w:after="20"/>
              <w:rPr>
                <w:rFonts w:ascii="arial" w:hAnsi="arial"/>
                <w:i/>
                <w:sz w:val="15"/>
              </w:rPr>
            </w:pPr>
            <w:r>
              <w:rPr>
                <w:rFonts w:ascii="arial" w:hAnsi="arial"/>
                <w:i/>
                <w:sz w:val="15"/>
              </w:rPr>
              <w:t>Chief Financial Officer</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0" w:type="dxa"/>
            <w:tcBorders/>
            <w:shd w:fill="auto" w:val="clear"/>
            <w:vAlign w:val="center"/>
          </w:tcPr>
          <w:p>
            <w:pPr>
              <w:pStyle w:val="TableContents"/>
              <w:spacing w:before="0" w:after="283"/>
              <w:jc w:val="right"/>
              <w:rPr/>
            </w:pPr>
            <w:r>
              <w:rPr/>
              <w:t>2022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840,385</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3,400,006</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1,586,355</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856"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856" w:type="dxa"/>
            <w:tcBorders/>
            <w:shd w:fill="auto" w:val="clear"/>
            <w:vAlign w:val="center"/>
          </w:tcPr>
          <w:p>
            <w:pPr>
              <w:pStyle w:val="TableContents"/>
              <w:spacing w:before="0" w:after="283"/>
              <w:jc w:val="right"/>
              <w:rPr/>
            </w:pPr>
            <w:r>
              <w:rPr/>
              <w:t>281,660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6,108,406</w:t>
            </w:r>
          </w:p>
        </w:tc>
        <w:tc>
          <w:tcPr>
            <w:tcW w:w="75" w:type="dxa"/>
            <w:tcBorders/>
            <w:shd w:fill="auto" w:val="clear"/>
            <w:vAlign w:val="center"/>
          </w:tcPr>
          <w:p>
            <w:pPr>
              <w:pStyle w:val="TableContents"/>
              <w:spacing w:before="0" w:after="283"/>
              <w:rPr/>
            </w:pPr>
            <w:r>
              <w:rPr/>
              <w:t> </w:t>
            </w:r>
          </w:p>
        </w:tc>
      </w:tr>
      <w:tr>
        <w:trPr/>
        <w:tc>
          <w:tcPr>
            <w:tcW w:w="1835" w:type="dxa"/>
            <w:vMerge w:val="continue"/>
            <w:tcBorders/>
            <w:shd w:fill="auto" w:val="clear"/>
            <w:vAlign w:val="center"/>
          </w:tcPr>
          <w:p>
            <w:pPr>
              <w:pStyle w:val="Normal"/>
              <w:rPr/>
            </w:pPr>
            <w:r>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0" w:type="dxa"/>
            <w:tcBorders/>
            <w:shd w:fill="auto" w:val="clear"/>
            <w:vAlign w:val="center"/>
          </w:tcPr>
          <w:p>
            <w:pPr>
              <w:pStyle w:val="TableContents"/>
              <w:spacing w:before="0" w:after="283"/>
              <w:jc w:val="right"/>
              <w:rPr/>
            </w:pPr>
            <w:r>
              <w:rPr/>
              <w:t>2021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800,000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2,800,011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1,524,560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856"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856" w:type="dxa"/>
            <w:tcBorders/>
            <w:shd w:fill="auto" w:val="clear"/>
            <w:vAlign w:val="center"/>
          </w:tcPr>
          <w:p>
            <w:pPr>
              <w:pStyle w:val="TableContents"/>
              <w:spacing w:before="0" w:after="283"/>
              <w:jc w:val="right"/>
              <w:rPr/>
            </w:pPr>
            <w:r>
              <w:rPr/>
              <w:t>526,114</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5,650,685</w:t>
            </w:r>
          </w:p>
        </w:tc>
        <w:tc>
          <w:tcPr>
            <w:tcW w:w="75" w:type="dxa"/>
            <w:tcBorders/>
            <w:shd w:fill="auto" w:val="clear"/>
            <w:vAlign w:val="center"/>
          </w:tcPr>
          <w:p>
            <w:pPr>
              <w:pStyle w:val="TableContents"/>
              <w:spacing w:before="0" w:after="283"/>
              <w:rPr/>
            </w:pPr>
            <w:r>
              <w:rPr/>
              <w:t> </w:t>
            </w:r>
          </w:p>
        </w:tc>
      </w:tr>
      <w:tr>
        <w:trPr/>
        <w:tc>
          <w:tcPr>
            <w:tcW w:w="1835" w:type="dxa"/>
            <w:vMerge w:val="continue"/>
            <w:tcBorders/>
            <w:shd w:fill="auto" w:val="clear"/>
            <w:vAlign w:val="center"/>
          </w:tcPr>
          <w:p>
            <w:pPr>
              <w:pStyle w:val="Normal"/>
              <w:rPr/>
            </w:pPr>
            <w:r>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0" w:type="dxa"/>
            <w:tcBorders/>
            <w:shd w:fill="auto" w:val="clear"/>
            <w:vAlign w:val="center"/>
          </w:tcPr>
          <w:p>
            <w:pPr>
              <w:pStyle w:val="TableContents"/>
              <w:spacing w:before="0" w:after="283"/>
              <w:jc w:val="right"/>
              <w:rPr/>
            </w:pPr>
            <w:r>
              <w:rPr/>
              <w:t>2020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539,183</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1,000,000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425,000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303,021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856"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856" w:type="dxa"/>
            <w:tcBorders/>
            <w:shd w:fill="auto" w:val="clear"/>
            <w:vAlign w:val="center"/>
          </w:tcPr>
          <w:p>
            <w:pPr>
              <w:pStyle w:val="TableContents"/>
              <w:spacing w:before="0" w:after="283"/>
              <w:jc w:val="right"/>
              <w:rPr/>
            </w:pPr>
            <w:r>
              <w:rPr/>
              <w:t>661,719</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2,928,923</w:t>
            </w:r>
          </w:p>
        </w:tc>
        <w:tc>
          <w:tcPr>
            <w:tcW w:w="75" w:type="dxa"/>
            <w:tcBorders/>
            <w:shd w:fill="auto" w:val="clear"/>
            <w:vAlign w:val="center"/>
          </w:tcPr>
          <w:p>
            <w:pPr>
              <w:pStyle w:val="TableContents"/>
              <w:spacing w:before="0" w:after="283"/>
              <w:rPr/>
            </w:pPr>
            <w:r>
              <w:rPr/>
              <w:t> </w:t>
            </w:r>
          </w:p>
        </w:tc>
      </w:tr>
      <w:tr>
        <w:trPr/>
        <w:tc>
          <w:tcPr>
            <w:tcW w:w="1835" w:type="dxa"/>
            <w:vMerge w:val="restart"/>
            <w:tcBorders/>
            <w:shd w:fill="E5E5E5" w:val="clear"/>
            <w:vAlign w:val="center"/>
          </w:tcPr>
          <w:p>
            <w:pPr>
              <w:pStyle w:val="TableContents"/>
              <w:spacing w:before="0" w:after="0"/>
              <w:rPr>
                <w:rFonts w:ascii="arial" w:hAnsi="arial"/>
                <w:b/>
                <w:sz w:val="15"/>
              </w:rPr>
            </w:pPr>
            <w:r>
              <w:rPr>
                <w:rFonts w:ascii="arial" w:hAnsi="arial"/>
                <w:b/>
                <w:sz w:val="15"/>
              </w:rPr>
              <w:t>Rajiv Malik</w:t>
            </w:r>
          </w:p>
          <w:p>
            <w:pPr>
              <w:pStyle w:val="TableContents"/>
              <w:spacing w:before="0" w:after="20"/>
              <w:rPr>
                <w:rFonts w:ascii="arial" w:hAnsi="arial"/>
                <w:i/>
                <w:sz w:val="15"/>
              </w:rPr>
            </w:pPr>
            <w:r>
              <w:rPr>
                <w:rFonts w:ascii="arial" w:hAnsi="arial"/>
                <w:i/>
                <w:sz w:val="15"/>
              </w:rPr>
              <w:t>President</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500" w:type="dxa"/>
            <w:tcBorders/>
            <w:shd w:fill="E5E5E5" w:val="clear"/>
            <w:vAlign w:val="center"/>
          </w:tcPr>
          <w:p>
            <w:pPr>
              <w:pStyle w:val="TableContents"/>
              <w:spacing w:before="0" w:after="283"/>
              <w:jc w:val="right"/>
              <w:rPr/>
            </w:pPr>
            <w:r>
              <w:rPr/>
              <w:t>2022</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980" w:type="dxa"/>
            <w:tcBorders/>
            <w:shd w:fill="E5E5E5" w:val="clear"/>
            <w:vAlign w:val="center"/>
          </w:tcPr>
          <w:p>
            <w:pPr>
              <w:pStyle w:val="TableContents"/>
              <w:spacing w:before="0" w:after="283"/>
              <w:jc w:val="right"/>
              <w:rPr/>
            </w:pPr>
            <w:r>
              <w:rPr/>
              <w:t>1,200,000</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1100" w:type="dxa"/>
            <w:tcBorders/>
            <w:shd w:fill="E5E5E5" w:val="clear"/>
            <w:vAlign w:val="center"/>
          </w:tcPr>
          <w:p>
            <w:pPr>
              <w:pStyle w:val="TableContents"/>
              <w:spacing w:before="0" w:after="283"/>
              <w:jc w:val="right"/>
              <w:rPr/>
            </w:pPr>
            <w:r>
              <w:rPr/>
              <w:t>10,950,000</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1100" w:type="dxa"/>
            <w:tcBorders/>
            <w:shd w:fill="E5E5E5" w:val="clear"/>
            <w:vAlign w:val="center"/>
          </w:tcPr>
          <w:p>
            <w:pPr>
              <w:pStyle w:val="TableContents"/>
              <w:spacing w:before="0" w:after="283"/>
              <w:jc w:val="right"/>
              <w:rPr/>
            </w:pPr>
            <w:r>
              <w:rPr/>
              <w:t>7,200,007</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800" w:type="dxa"/>
            <w:tcBorders/>
            <w:shd w:fill="E5E5E5" w:val="clear"/>
            <w:vAlign w:val="center"/>
          </w:tcPr>
          <w:p>
            <w:pPr>
              <w:pStyle w:val="TableContents"/>
              <w:spacing w:before="0" w:after="283"/>
              <w:jc w:val="right"/>
              <w:rPr/>
            </w:pPr>
            <w:r>
              <w:rPr/>
              <w:t>—</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980" w:type="dxa"/>
            <w:tcBorders/>
            <w:shd w:fill="E5E5E5" w:val="clear"/>
            <w:vAlign w:val="center"/>
          </w:tcPr>
          <w:p>
            <w:pPr>
              <w:pStyle w:val="TableContents"/>
              <w:spacing w:before="0" w:after="283"/>
              <w:jc w:val="right"/>
              <w:rPr/>
            </w:pPr>
            <w:r>
              <w:rPr/>
              <w:t>2,799,450</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4" w:type="dxa"/>
            <w:tcBorders/>
            <w:shd w:fill="E5E5E5" w:val="clear"/>
            <w:vAlign w:val="center"/>
          </w:tcPr>
          <w:p>
            <w:pPr>
              <w:pStyle w:val="TableContents"/>
              <w:spacing w:before="0" w:after="283"/>
              <w:rPr/>
            </w:pPr>
            <w:r>
              <w:rPr/>
              <w:t> </w:t>
            </w:r>
          </w:p>
        </w:tc>
        <w:tc>
          <w:tcPr>
            <w:tcW w:w="856" w:type="dxa"/>
            <w:tcBorders/>
            <w:shd w:fill="E5E5E5" w:val="clear"/>
            <w:vAlign w:val="center"/>
          </w:tcPr>
          <w:p>
            <w:pPr>
              <w:pStyle w:val="TableContents"/>
              <w:spacing w:before="0" w:after="283"/>
              <w:jc w:val="right"/>
              <w:rPr/>
            </w:pPr>
            <w:r>
              <w:rPr/>
              <w:t>—</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4" w:type="dxa"/>
            <w:tcBorders/>
            <w:shd w:fill="E5E5E5" w:val="clear"/>
            <w:vAlign w:val="center"/>
          </w:tcPr>
          <w:p>
            <w:pPr>
              <w:pStyle w:val="TableContents"/>
              <w:spacing w:before="0" w:after="283"/>
              <w:rPr/>
            </w:pPr>
            <w:r>
              <w:rPr/>
              <w:t> </w:t>
            </w:r>
          </w:p>
        </w:tc>
        <w:tc>
          <w:tcPr>
            <w:tcW w:w="856" w:type="dxa"/>
            <w:tcBorders/>
            <w:shd w:fill="E5E5E5" w:val="clear"/>
            <w:vAlign w:val="center"/>
          </w:tcPr>
          <w:p>
            <w:pPr>
              <w:pStyle w:val="TableContents"/>
              <w:spacing w:before="0" w:after="283"/>
              <w:jc w:val="right"/>
              <w:rPr/>
            </w:pPr>
            <w:r>
              <w:rPr/>
              <w:t>405,434</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1100" w:type="dxa"/>
            <w:tcBorders/>
            <w:shd w:fill="E5E5E5" w:val="clear"/>
            <w:vAlign w:val="center"/>
          </w:tcPr>
          <w:p>
            <w:pPr>
              <w:pStyle w:val="TableContents"/>
              <w:spacing w:before="0" w:after="283"/>
              <w:jc w:val="right"/>
              <w:rPr/>
            </w:pPr>
            <w:r>
              <w:rPr/>
              <w:t>22,554,891</w:t>
            </w:r>
          </w:p>
        </w:tc>
        <w:tc>
          <w:tcPr>
            <w:tcW w:w="75" w:type="dxa"/>
            <w:tcBorders/>
            <w:shd w:fill="E5E5E5" w:val="clear"/>
            <w:vAlign w:val="center"/>
          </w:tcPr>
          <w:p>
            <w:pPr>
              <w:pStyle w:val="TableContents"/>
              <w:spacing w:before="0" w:after="283"/>
              <w:rPr/>
            </w:pPr>
            <w:r>
              <w:rPr/>
              <w:t> </w:t>
            </w:r>
          </w:p>
        </w:tc>
      </w:tr>
      <w:tr>
        <w:trPr/>
        <w:tc>
          <w:tcPr>
            <w:tcW w:w="1835" w:type="dxa"/>
            <w:vMerge w:val="continue"/>
            <w:tcBorders/>
            <w:shd w:fill="E5E5E5" w:val="clear"/>
            <w:vAlign w:val="center"/>
          </w:tcPr>
          <w:p>
            <w:pPr>
              <w:pStyle w:val="Normal"/>
              <w:rPr/>
            </w:pPr>
            <w:r>
              <w:rPr/>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500" w:type="dxa"/>
            <w:tcBorders/>
            <w:shd w:fill="E5E5E5" w:val="clear"/>
            <w:vAlign w:val="center"/>
          </w:tcPr>
          <w:p>
            <w:pPr>
              <w:pStyle w:val="TableContents"/>
              <w:spacing w:before="0" w:after="283"/>
              <w:jc w:val="right"/>
              <w:rPr/>
            </w:pPr>
            <w:r>
              <w:rPr/>
              <w:t>2021</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980" w:type="dxa"/>
            <w:tcBorders/>
            <w:shd w:fill="E5E5E5" w:val="clear"/>
            <w:vAlign w:val="center"/>
          </w:tcPr>
          <w:p>
            <w:pPr>
              <w:pStyle w:val="TableContents"/>
              <w:spacing w:before="0" w:after="283"/>
              <w:jc w:val="right"/>
              <w:rPr/>
            </w:pPr>
            <w:r>
              <w:rPr/>
              <w:t>1,200,000</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1100" w:type="dxa"/>
            <w:tcBorders/>
            <w:shd w:fill="E5E5E5" w:val="clear"/>
            <w:vAlign w:val="center"/>
          </w:tcPr>
          <w:p>
            <w:pPr>
              <w:pStyle w:val="TableContents"/>
              <w:spacing w:before="0" w:after="283"/>
              <w:jc w:val="right"/>
              <w:rPr/>
            </w:pPr>
            <w:r>
              <w:rPr/>
              <w:t>—</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1100" w:type="dxa"/>
            <w:tcBorders/>
            <w:shd w:fill="E5E5E5" w:val="clear"/>
            <w:vAlign w:val="center"/>
          </w:tcPr>
          <w:p>
            <w:pPr>
              <w:pStyle w:val="TableContents"/>
              <w:spacing w:before="0" w:after="283"/>
              <w:jc w:val="right"/>
              <w:rPr/>
            </w:pPr>
            <w:r>
              <w:rPr/>
              <w:t>7,200,017</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800" w:type="dxa"/>
            <w:tcBorders/>
            <w:shd w:fill="E5E5E5" w:val="clear"/>
            <w:vAlign w:val="center"/>
          </w:tcPr>
          <w:p>
            <w:pPr>
              <w:pStyle w:val="TableContents"/>
              <w:spacing w:before="0" w:after="283"/>
              <w:jc w:val="right"/>
              <w:rPr/>
            </w:pPr>
            <w:r>
              <w:rPr/>
              <w:t>—</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980" w:type="dxa"/>
            <w:tcBorders/>
            <w:shd w:fill="E5E5E5" w:val="clear"/>
            <w:vAlign w:val="center"/>
          </w:tcPr>
          <w:p>
            <w:pPr>
              <w:pStyle w:val="TableContents"/>
              <w:spacing w:before="0" w:after="283"/>
              <w:jc w:val="right"/>
              <w:rPr/>
            </w:pPr>
            <w:r>
              <w:rPr/>
              <w:t>2,858,550</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4" w:type="dxa"/>
            <w:tcBorders/>
            <w:shd w:fill="E5E5E5" w:val="clear"/>
            <w:vAlign w:val="center"/>
          </w:tcPr>
          <w:p>
            <w:pPr>
              <w:pStyle w:val="TableContents"/>
              <w:spacing w:before="0" w:after="283"/>
              <w:rPr/>
            </w:pPr>
            <w:r>
              <w:rPr/>
              <w:t> </w:t>
            </w:r>
          </w:p>
        </w:tc>
        <w:tc>
          <w:tcPr>
            <w:tcW w:w="856" w:type="dxa"/>
            <w:tcBorders/>
            <w:shd w:fill="E5E5E5" w:val="clear"/>
            <w:vAlign w:val="center"/>
          </w:tcPr>
          <w:p>
            <w:pPr>
              <w:pStyle w:val="TableContents"/>
              <w:spacing w:before="0" w:after="283"/>
              <w:jc w:val="right"/>
              <w:rPr/>
            </w:pPr>
            <w:r>
              <w:rPr/>
              <w:t>—</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4" w:type="dxa"/>
            <w:tcBorders/>
            <w:shd w:fill="E5E5E5" w:val="clear"/>
            <w:vAlign w:val="center"/>
          </w:tcPr>
          <w:p>
            <w:pPr>
              <w:pStyle w:val="TableContents"/>
              <w:spacing w:before="0" w:after="283"/>
              <w:rPr/>
            </w:pPr>
            <w:r>
              <w:rPr/>
              <w:t> </w:t>
            </w:r>
          </w:p>
        </w:tc>
        <w:tc>
          <w:tcPr>
            <w:tcW w:w="856" w:type="dxa"/>
            <w:tcBorders/>
            <w:shd w:fill="E5E5E5" w:val="clear"/>
            <w:vAlign w:val="center"/>
          </w:tcPr>
          <w:p>
            <w:pPr>
              <w:pStyle w:val="TableContents"/>
              <w:spacing w:before="0" w:after="283"/>
              <w:jc w:val="right"/>
              <w:rPr/>
            </w:pPr>
            <w:r>
              <w:rPr/>
              <w:t>363,683</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1100" w:type="dxa"/>
            <w:tcBorders/>
            <w:shd w:fill="E5E5E5" w:val="clear"/>
            <w:vAlign w:val="center"/>
          </w:tcPr>
          <w:p>
            <w:pPr>
              <w:pStyle w:val="TableContents"/>
              <w:spacing w:before="0" w:after="283"/>
              <w:jc w:val="right"/>
              <w:rPr/>
            </w:pPr>
            <w:r>
              <w:rPr/>
              <w:t>11,622,250</w:t>
            </w:r>
          </w:p>
        </w:tc>
        <w:tc>
          <w:tcPr>
            <w:tcW w:w="75" w:type="dxa"/>
            <w:tcBorders/>
            <w:shd w:fill="E5E5E5" w:val="clear"/>
            <w:vAlign w:val="center"/>
          </w:tcPr>
          <w:p>
            <w:pPr>
              <w:pStyle w:val="TableContents"/>
              <w:spacing w:before="0" w:after="283"/>
              <w:rPr/>
            </w:pPr>
            <w:r>
              <w:rPr/>
              <w:t> </w:t>
            </w:r>
          </w:p>
        </w:tc>
      </w:tr>
      <w:tr>
        <w:trPr/>
        <w:tc>
          <w:tcPr>
            <w:tcW w:w="1835" w:type="dxa"/>
            <w:vMerge w:val="continue"/>
            <w:tcBorders/>
            <w:shd w:fill="E5E5E5" w:val="clear"/>
            <w:vAlign w:val="center"/>
          </w:tcPr>
          <w:p>
            <w:pPr>
              <w:pStyle w:val="Normal"/>
              <w:rPr/>
            </w:pPr>
            <w:r>
              <w:rPr/>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500" w:type="dxa"/>
            <w:tcBorders/>
            <w:shd w:fill="E5E5E5" w:val="clear"/>
            <w:vAlign w:val="center"/>
          </w:tcPr>
          <w:p>
            <w:pPr>
              <w:pStyle w:val="TableContents"/>
              <w:spacing w:before="0" w:after="283"/>
              <w:jc w:val="right"/>
              <w:rPr/>
            </w:pPr>
            <w:r>
              <w:rPr/>
              <w:t>2020</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980" w:type="dxa"/>
            <w:tcBorders/>
            <w:shd w:fill="E5E5E5" w:val="clear"/>
            <w:vAlign w:val="center"/>
          </w:tcPr>
          <w:p>
            <w:pPr>
              <w:pStyle w:val="TableContents"/>
              <w:spacing w:before="0" w:after="283"/>
              <w:jc w:val="right"/>
              <w:rPr/>
            </w:pPr>
            <w:r>
              <w:rPr/>
              <w:t>1,155,769</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1100" w:type="dxa"/>
            <w:tcBorders/>
            <w:shd w:fill="E5E5E5" w:val="clear"/>
            <w:vAlign w:val="center"/>
          </w:tcPr>
          <w:p>
            <w:pPr>
              <w:pStyle w:val="TableContents"/>
              <w:spacing w:before="0" w:after="283"/>
              <w:jc w:val="right"/>
              <w:rPr/>
            </w:pPr>
            <w:r>
              <w:rPr/>
              <w:t>2,500,000</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1100" w:type="dxa"/>
            <w:tcBorders/>
            <w:shd w:fill="E5E5E5" w:val="clear"/>
            <w:vAlign w:val="center"/>
          </w:tcPr>
          <w:p>
            <w:pPr>
              <w:pStyle w:val="TableContents"/>
              <w:spacing w:before="0" w:after="283"/>
              <w:jc w:val="right"/>
              <w:rPr/>
            </w:pPr>
            <w:r>
              <w:rPr/>
              <w:t>6,210,015</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800" w:type="dxa"/>
            <w:tcBorders/>
            <w:shd w:fill="E5E5E5" w:val="clear"/>
            <w:vAlign w:val="center"/>
          </w:tcPr>
          <w:p>
            <w:pPr>
              <w:pStyle w:val="TableContents"/>
              <w:spacing w:before="0" w:after="283"/>
              <w:jc w:val="right"/>
              <w:rPr/>
            </w:pPr>
            <w:r>
              <w:rPr/>
              <w:t>690,001</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980" w:type="dxa"/>
            <w:tcBorders/>
            <w:shd w:fill="E5E5E5" w:val="clear"/>
            <w:vAlign w:val="center"/>
          </w:tcPr>
          <w:p>
            <w:pPr>
              <w:pStyle w:val="TableContents"/>
              <w:spacing w:before="0" w:after="283"/>
              <w:jc w:val="right"/>
              <w:rPr/>
            </w:pPr>
            <w:r>
              <w:rPr/>
              <w:t>2,358,386</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4" w:type="dxa"/>
            <w:tcBorders/>
            <w:shd w:fill="E5E5E5" w:val="clear"/>
            <w:vAlign w:val="center"/>
          </w:tcPr>
          <w:p>
            <w:pPr>
              <w:pStyle w:val="TableContents"/>
              <w:spacing w:before="0" w:after="283"/>
              <w:rPr/>
            </w:pPr>
            <w:r>
              <w:rPr/>
              <w:t> </w:t>
            </w:r>
          </w:p>
        </w:tc>
        <w:tc>
          <w:tcPr>
            <w:tcW w:w="856" w:type="dxa"/>
            <w:tcBorders/>
            <w:shd w:fill="E5E5E5" w:val="clear"/>
            <w:vAlign w:val="center"/>
          </w:tcPr>
          <w:p>
            <w:pPr>
              <w:pStyle w:val="TableContents"/>
              <w:spacing w:before="0" w:after="283"/>
              <w:jc w:val="right"/>
              <w:rPr/>
            </w:pPr>
            <w:r>
              <w:rPr/>
              <w:t>336,290</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4" w:type="dxa"/>
            <w:tcBorders/>
            <w:shd w:fill="E5E5E5" w:val="clear"/>
            <w:vAlign w:val="center"/>
          </w:tcPr>
          <w:p>
            <w:pPr>
              <w:pStyle w:val="TableContents"/>
              <w:spacing w:before="0" w:after="283"/>
              <w:rPr/>
            </w:pPr>
            <w:r>
              <w:rPr/>
              <w:t> </w:t>
            </w:r>
          </w:p>
        </w:tc>
        <w:tc>
          <w:tcPr>
            <w:tcW w:w="856" w:type="dxa"/>
            <w:tcBorders/>
            <w:shd w:fill="E5E5E5" w:val="clear"/>
            <w:vAlign w:val="center"/>
          </w:tcPr>
          <w:p>
            <w:pPr>
              <w:pStyle w:val="TableContents"/>
              <w:spacing w:before="0" w:after="283"/>
              <w:jc w:val="right"/>
              <w:rPr/>
            </w:pPr>
            <w:r>
              <w:rPr/>
              <w:t>851,522</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1100" w:type="dxa"/>
            <w:tcBorders/>
            <w:shd w:fill="E5E5E5" w:val="clear"/>
            <w:vAlign w:val="center"/>
          </w:tcPr>
          <w:p>
            <w:pPr>
              <w:pStyle w:val="TableContents"/>
              <w:spacing w:before="0" w:after="283"/>
              <w:jc w:val="right"/>
              <w:rPr/>
            </w:pPr>
            <w:r>
              <w:rPr/>
              <w:t>14,101,983</w:t>
            </w:r>
          </w:p>
        </w:tc>
        <w:tc>
          <w:tcPr>
            <w:tcW w:w="75" w:type="dxa"/>
            <w:tcBorders/>
            <w:shd w:fill="E5E5E5" w:val="clear"/>
            <w:vAlign w:val="center"/>
          </w:tcPr>
          <w:p>
            <w:pPr>
              <w:pStyle w:val="TableContents"/>
              <w:spacing w:before="0" w:after="283"/>
              <w:rPr/>
            </w:pPr>
            <w:r>
              <w:rPr/>
              <w:t> </w:t>
            </w:r>
          </w:p>
        </w:tc>
      </w:tr>
      <w:tr>
        <w:trPr/>
        <w:tc>
          <w:tcPr>
            <w:tcW w:w="1835" w:type="dxa"/>
            <w:vMerge w:val="restart"/>
            <w:tcBorders/>
            <w:shd w:fill="auto" w:val="clear"/>
            <w:vAlign w:val="center"/>
          </w:tcPr>
          <w:p>
            <w:pPr>
              <w:pStyle w:val="TableContents"/>
              <w:spacing w:before="0" w:after="0"/>
              <w:rPr>
                <w:rFonts w:ascii="arial" w:hAnsi="arial"/>
                <w:b/>
                <w:sz w:val="15"/>
              </w:rPr>
            </w:pPr>
            <w:r>
              <w:rPr>
                <w:rFonts w:ascii="arial" w:hAnsi="arial"/>
                <w:b/>
                <w:sz w:val="15"/>
              </w:rPr>
              <w:t>Anthony Mauro</w:t>
            </w:r>
          </w:p>
          <w:p>
            <w:pPr>
              <w:pStyle w:val="TableContents"/>
              <w:spacing w:before="0" w:after="20"/>
              <w:rPr>
                <w:rFonts w:ascii="arial" w:hAnsi="arial"/>
                <w:i/>
                <w:sz w:val="15"/>
              </w:rPr>
            </w:pPr>
            <w:r>
              <w:rPr>
                <w:rFonts w:ascii="arial" w:hAnsi="arial"/>
                <w:i/>
                <w:sz w:val="15"/>
              </w:rPr>
              <w:t>President, Developed Markets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0" w:type="dxa"/>
            <w:tcBorders/>
            <w:shd w:fill="auto" w:val="clear"/>
            <w:vAlign w:val="center"/>
          </w:tcPr>
          <w:p>
            <w:pPr>
              <w:pStyle w:val="TableContents"/>
              <w:spacing w:before="0" w:after="283"/>
              <w:jc w:val="right"/>
              <w:rPr/>
            </w:pPr>
            <w:r>
              <w:rPr/>
              <w:t>2022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800,000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6,553,800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3,200,005</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1,716,996</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856"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856" w:type="dxa"/>
            <w:tcBorders/>
            <w:shd w:fill="auto" w:val="clear"/>
            <w:vAlign w:val="center"/>
          </w:tcPr>
          <w:p>
            <w:pPr>
              <w:pStyle w:val="TableContents"/>
              <w:spacing w:before="0" w:after="283"/>
              <w:jc w:val="right"/>
              <w:rPr/>
            </w:pPr>
            <w:r>
              <w:rPr/>
              <w:t>317,968</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12,588,769</w:t>
            </w:r>
          </w:p>
        </w:tc>
        <w:tc>
          <w:tcPr>
            <w:tcW w:w="75" w:type="dxa"/>
            <w:tcBorders/>
            <w:shd w:fill="auto" w:val="clear"/>
            <w:vAlign w:val="center"/>
          </w:tcPr>
          <w:p>
            <w:pPr>
              <w:pStyle w:val="TableContents"/>
              <w:spacing w:before="0" w:after="283"/>
              <w:rPr/>
            </w:pPr>
            <w:r>
              <w:rPr/>
              <w:t> </w:t>
            </w:r>
          </w:p>
        </w:tc>
      </w:tr>
      <w:tr>
        <w:trPr/>
        <w:tc>
          <w:tcPr>
            <w:tcW w:w="1835" w:type="dxa"/>
            <w:vMerge w:val="continue"/>
            <w:tcBorders/>
            <w:shd w:fill="auto" w:val="clear"/>
            <w:vAlign w:val="center"/>
          </w:tcPr>
          <w:p>
            <w:pPr>
              <w:pStyle w:val="Normal"/>
              <w:rPr/>
            </w:pPr>
            <w:r>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0" w:type="dxa"/>
            <w:tcBorders/>
            <w:shd w:fill="auto" w:val="clear"/>
            <w:vAlign w:val="center"/>
          </w:tcPr>
          <w:p>
            <w:pPr>
              <w:pStyle w:val="TableContents"/>
              <w:spacing w:before="0" w:after="283"/>
              <w:jc w:val="right"/>
              <w:rPr/>
            </w:pPr>
            <w:r>
              <w:rPr/>
              <w:t>2021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800,000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3,200,017</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1,753,244</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856"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856" w:type="dxa"/>
            <w:tcBorders/>
            <w:shd w:fill="auto" w:val="clear"/>
            <w:vAlign w:val="center"/>
          </w:tcPr>
          <w:p>
            <w:pPr>
              <w:pStyle w:val="TableContents"/>
              <w:spacing w:before="0" w:after="283"/>
              <w:jc w:val="right"/>
              <w:rPr/>
            </w:pPr>
            <w:r>
              <w:rPr/>
              <w:t>296,654</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6,049,915</w:t>
            </w:r>
          </w:p>
        </w:tc>
        <w:tc>
          <w:tcPr>
            <w:tcW w:w="75" w:type="dxa"/>
            <w:tcBorders/>
            <w:shd w:fill="auto" w:val="clear"/>
            <w:vAlign w:val="center"/>
          </w:tcPr>
          <w:p>
            <w:pPr>
              <w:pStyle w:val="TableContents"/>
              <w:spacing w:before="0" w:after="283"/>
              <w:rPr/>
            </w:pPr>
            <w:r>
              <w:rPr/>
              <w:t> </w:t>
            </w:r>
          </w:p>
        </w:tc>
      </w:tr>
      <w:tr>
        <w:trPr/>
        <w:tc>
          <w:tcPr>
            <w:tcW w:w="1835" w:type="dxa"/>
            <w:vMerge w:val="continue"/>
            <w:tcBorders/>
            <w:shd w:fill="auto" w:val="clear"/>
            <w:vAlign w:val="center"/>
          </w:tcPr>
          <w:p>
            <w:pPr>
              <w:pStyle w:val="Normal"/>
              <w:rPr/>
            </w:pPr>
            <w:r>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0" w:type="dxa"/>
            <w:tcBorders/>
            <w:shd w:fill="auto" w:val="clear"/>
            <w:vAlign w:val="center"/>
          </w:tcPr>
          <w:p>
            <w:pPr>
              <w:pStyle w:val="TableContents"/>
              <w:spacing w:before="0" w:after="283"/>
              <w:jc w:val="right"/>
              <w:rPr/>
            </w:pPr>
            <w:r>
              <w:rPr/>
              <w:t>2020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800,000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1,000,000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2,880,022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320,005</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1,501,164</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856"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856" w:type="dxa"/>
            <w:tcBorders/>
            <w:shd w:fill="auto" w:val="clear"/>
            <w:vAlign w:val="center"/>
          </w:tcPr>
          <w:p>
            <w:pPr>
              <w:pStyle w:val="TableContents"/>
              <w:spacing w:before="0" w:after="283"/>
              <w:jc w:val="right"/>
              <w:rPr/>
            </w:pPr>
            <w:r>
              <w:rPr/>
              <w:t>243,446</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6,744,637</w:t>
            </w:r>
          </w:p>
        </w:tc>
        <w:tc>
          <w:tcPr>
            <w:tcW w:w="75" w:type="dxa"/>
            <w:tcBorders/>
            <w:shd w:fill="auto" w:val="clear"/>
            <w:vAlign w:val="center"/>
          </w:tcPr>
          <w:p>
            <w:pPr>
              <w:pStyle w:val="TableContents"/>
              <w:spacing w:before="0" w:after="283"/>
              <w:rPr/>
            </w:pPr>
            <w:r>
              <w:rPr/>
              <w:t> </w:t>
            </w:r>
          </w:p>
        </w:tc>
      </w:tr>
      <w:tr>
        <w:trPr/>
        <w:tc>
          <w:tcPr>
            <w:tcW w:w="1835" w:type="dxa"/>
            <w:vMerge w:val="restart"/>
            <w:tcBorders/>
            <w:shd w:fill="E5E5E5" w:val="clear"/>
            <w:vAlign w:val="center"/>
          </w:tcPr>
          <w:p>
            <w:pPr>
              <w:pStyle w:val="TableContents"/>
              <w:spacing w:before="0" w:after="0"/>
              <w:rPr>
                <w:rFonts w:ascii="arial" w:hAnsi="arial"/>
                <w:b/>
                <w:sz w:val="15"/>
              </w:rPr>
            </w:pPr>
            <w:r>
              <w:rPr>
                <w:rFonts w:ascii="arial" w:hAnsi="arial"/>
                <w:b/>
                <w:sz w:val="15"/>
              </w:rPr>
              <w:t>Robert J. Coury</w:t>
            </w:r>
          </w:p>
          <w:p>
            <w:pPr>
              <w:pStyle w:val="TableContents"/>
              <w:spacing w:before="0" w:after="20"/>
              <w:rPr>
                <w:rFonts w:ascii="arial" w:hAnsi="arial"/>
                <w:i/>
                <w:sz w:val="15"/>
              </w:rPr>
            </w:pPr>
            <w:r>
              <w:rPr>
                <w:rFonts w:ascii="arial" w:hAnsi="arial"/>
                <w:i/>
                <w:sz w:val="15"/>
              </w:rPr>
              <w:t>Executive Chairman</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500" w:type="dxa"/>
            <w:tcBorders/>
            <w:shd w:fill="E5E5E5" w:val="clear"/>
            <w:vAlign w:val="center"/>
          </w:tcPr>
          <w:p>
            <w:pPr>
              <w:pStyle w:val="TableContents"/>
              <w:spacing w:before="0" w:after="283"/>
              <w:jc w:val="right"/>
              <w:rPr/>
            </w:pPr>
            <w:r>
              <w:rPr/>
              <w:t>2022</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980" w:type="dxa"/>
            <w:tcBorders/>
            <w:shd w:fill="E5E5E5" w:val="clear"/>
            <w:vAlign w:val="center"/>
          </w:tcPr>
          <w:p>
            <w:pPr>
              <w:pStyle w:val="TableContents"/>
              <w:spacing w:before="0" w:after="283"/>
              <w:jc w:val="right"/>
              <w:rPr/>
            </w:pPr>
            <w:r>
              <w:rPr/>
              <w:t>1,800,000</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1100" w:type="dxa"/>
            <w:tcBorders/>
            <w:shd w:fill="E5E5E5" w:val="clear"/>
            <w:vAlign w:val="center"/>
          </w:tcPr>
          <w:p>
            <w:pPr>
              <w:pStyle w:val="TableContents"/>
              <w:spacing w:before="0" w:after="283"/>
              <w:jc w:val="right"/>
              <w:rPr/>
            </w:pPr>
            <w:r>
              <w:rPr/>
              <w:t>—</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1100" w:type="dxa"/>
            <w:tcBorders/>
            <w:shd w:fill="E5E5E5" w:val="clear"/>
            <w:vAlign w:val="center"/>
          </w:tcPr>
          <w:p>
            <w:pPr>
              <w:pStyle w:val="TableContents"/>
              <w:spacing w:before="0" w:after="283"/>
              <w:jc w:val="right"/>
              <w:rPr/>
            </w:pPr>
            <w:r>
              <w:rPr/>
              <w:t>10,800,015</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800" w:type="dxa"/>
            <w:tcBorders/>
            <w:shd w:fill="E5E5E5" w:val="clear"/>
            <w:vAlign w:val="center"/>
          </w:tcPr>
          <w:p>
            <w:pPr>
              <w:pStyle w:val="TableContents"/>
              <w:spacing w:before="0" w:after="283"/>
              <w:jc w:val="right"/>
              <w:rPr/>
            </w:pPr>
            <w:r>
              <w:rPr/>
              <w:t>—</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980" w:type="dxa"/>
            <w:tcBorders/>
            <w:shd w:fill="E5E5E5" w:val="clear"/>
            <w:vAlign w:val="center"/>
          </w:tcPr>
          <w:p>
            <w:pPr>
              <w:pStyle w:val="TableContents"/>
              <w:spacing w:before="0" w:after="283"/>
              <w:jc w:val="right"/>
              <w:rPr/>
            </w:pPr>
            <w:r>
              <w:rPr/>
              <w:t>5,039,010</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4" w:type="dxa"/>
            <w:tcBorders/>
            <w:shd w:fill="E5E5E5" w:val="clear"/>
            <w:vAlign w:val="center"/>
          </w:tcPr>
          <w:p>
            <w:pPr>
              <w:pStyle w:val="TableContents"/>
              <w:spacing w:before="0" w:after="283"/>
              <w:rPr/>
            </w:pPr>
            <w:r>
              <w:rPr/>
              <w:t> </w:t>
            </w:r>
          </w:p>
        </w:tc>
        <w:tc>
          <w:tcPr>
            <w:tcW w:w="856" w:type="dxa"/>
            <w:tcBorders/>
            <w:shd w:fill="E5E5E5" w:val="clear"/>
            <w:vAlign w:val="center"/>
          </w:tcPr>
          <w:p>
            <w:pPr>
              <w:pStyle w:val="TableContents"/>
              <w:spacing w:before="0" w:after="283"/>
              <w:jc w:val="right"/>
              <w:rPr/>
            </w:pPr>
            <w:r>
              <w:rPr/>
              <w:t>—</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4" w:type="dxa"/>
            <w:tcBorders/>
            <w:shd w:fill="E5E5E5" w:val="clear"/>
            <w:vAlign w:val="center"/>
          </w:tcPr>
          <w:p>
            <w:pPr>
              <w:pStyle w:val="TableContents"/>
              <w:spacing w:before="0" w:after="283"/>
              <w:rPr/>
            </w:pPr>
            <w:r>
              <w:rPr/>
              <w:t> </w:t>
            </w:r>
          </w:p>
        </w:tc>
        <w:tc>
          <w:tcPr>
            <w:tcW w:w="856" w:type="dxa"/>
            <w:tcBorders/>
            <w:shd w:fill="E5E5E5" w:val="clear"/>
            <w:vAlign w:val="center"/>
          </w:tcPr>
          <w:p>
            <w:pPr>
              <w:pStyle w:val="TableContents"/>
              <w:spacing w:before="0" w:after="283"/>
              <w:jc w:val="right"/>
              <w:rPr/>
            </w:pPr>
            <w:r>
              <w:rPr/>
              <w:t>859,620</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1100" w:type="dxa"/>
            <w:tcBorders/>
            <w:shd w:fill="E5E5E5" w:val="clear"/>
            <w:vAlign w:val="center"/>
          </w:tcPr>
          <w:p>
            <w:pPr>
              <w:pStyle w:val="TableContents"/>
              <w:spacing w:before="0" w:after="283"/>
              <w:jc w:val="right"/>
              <w:rPr/>
            </w:pPr>
            <w:r>
              <w:rPr/>
              <w:t>18,498,645</w:t>
            </w:r>
          </w:p>
        </w:tc>
        <w:tc>
          <w:tcPr>
            <w:tcW w:w="75" w:type="dxa"/>
            <w:tcBorders/>
            <w:shd w:fill="E5E5E5" w:val="clear"/>
            <w:vAlign w:val="center"/>
          </w:tcPr>
          <w:p>
            <w:pPr>
              <w:pStyle w:val="TableContents"/>
              <w:spacing w:before="0" w:after="283"/>
              <w:rPr/>
            </w:pPr>
            <w:r>
              <w:rPr/>
              <w:t> </w:t>
            </w:r>
          </w:p>
        </w:tc>
      </w:tr>
      <w:tr>
        <w:trPr/>
        <w:tc>
          <w:tcPr>
            <w:tcW w:w="1835" w:type="dxa"/>
            <w:vMerge w:val="continue"/>
            <w:tcBorders/>
            <w:shd w:fill="E5E5E5" w:val="clear"/>
            <w:vAlign w:val="center"/>
          </w:tcPr>
          <w:p>
            <w:pPr>
              <w:pStyle w:val="Normal"/>
              <w:rPr/>
            </w:pPr>
            <w:r>
              <w:rPr/>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500" w:type="dxa"/>
            <w:tcBorders/>
            <w:shd w:fill="E5E5E5" w:val="clear"/>
            <w:vAlign w:val="center"/>
          </w:tcPr>
          <w:p>
            <w:pPr>
              <w:pStyle w:val="TableContents"/>
              <w:spacing w:before="0" w:after="283"/>
              <w:jc w:val="right"/>
              <w:rPr/>
            </w:pPr>
            <w:r>
              <w:rPr/>
              <w:t>2021</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980" w:type="dxa"/>
            <w:tcBorders/>
            <w:shd w:fill="E5E5E5" w:val="clear"/>
            <w:vAlign w:val="center"/>
          </w:tcPr>
          <w:p>
            <w:pPr>
              <w:pStyle w:val="TableContents"/>
              <w:spacing w:before="0" w:after="283"/>
              <w:jc w:val="right"/>
              <w:rPr/>
            </w:pPr>
            <w:r>
              <w:rPr/>
              <w:t>1,800,000</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1100" w:type="dxa"/>
            <w:tcBorders/>
            <w:shd w:fill="E5E5E5" w:val="clear"/>
            <w:vAlign w:val="center"/>
          </w:tcPr>
          <w:p>
            <w:pPr>
              <w:pStyle w:val="TableContents"/>
              <w:spacing w:before="0" w:after="283"/>
              <w:jc w:val="right"/>
              <w:rPr/>
            </w:pPr>
            <w:r>
              <w:rPr/>
              <w:t>—</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1100" w:type="dxa"/>
            <w:tcBorders/>
            <w:shd w:fill="E5E5E5" w:val="clear"/>
            <w:vAlign w:val="center"/>
          </w:tcPr>
          <w:p>
            <w:pPr>
              <w:pStyle w:val="TableContents"/>
              <w:spacing w:before="0" w:after="283"/>
              <w:jc w:val="right"/>
              <w:rPr/>
            </w:pPr>
            <w:r>
              <w:rPr/>
              <w:t>10,800,010</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800" w:type="dxa"/>
            <w:tcBorders/>
            <w:shd w:fill="E5E5E5" w:val="clear"/>
            <w:vAlign w:val="center"/>
          </w:tcPr>
          <w:p>
            <w:pPr>
              <w:pStyle w:val="TableContents"/>
              <w:spacing w:before="0" w:after="283"/>
              <w:jc w:val="right"/>
              <w:rPr/>
            </w:pPr>
            <w:r>
              <w:rPr/>
              <w:t>—</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980" w:type="dxa"/>
            <w:tcBorders/>
            <w:shd w:fill="E5E5E5" w:val="clear"/>
            <w:vAlign w:val="center"/>
          </w:tcPr>
          <w:p>
            <w:pPr>
              <w:pStyle w:val="TableContents"/>
              <w:spacing w:before="0" w:after="283"/>
              <w:jc w:val="right"/>
              <w:rPr/>
            </w:pPr>
            <w:r>
              <w:rPr/>
              <w:t>5,145,390</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4" w:type="dxa"/>
            <w:tcBorders/>
            <w:shd w:fill="E5E5E5" w:val="clear"/>
            <w:vAlign w:val="center"/>
          </w:tcPr>
          <w:p>
            <w:pPr>
              <w:pStyle w:val="TableContents"/>
              <w:spacing w:before="0" w:after="283"/>
              <w:rPr/>
            </w:pPr>
            <w:r>
              <w:rPr/>
              <w:t> </w:t>
            </w:r>
          </w:p>
        </w:tc>
        <w:tc>
          <w:tcPr>
            <w:tcW w:w="856" w:type="dxa"/>
            <w:tcBorders/>
            <w:shd w:fill="E5E5E5" w:val="clear"/>
            <w:vAlign w:val="center"/>
          </w:tcPr>
          <w:p>
            <w:pPr>
              <w:pStyle w:val="TableContents"/>
              <w:spacing w:before="0" w:after="283"/>
              <w:jc w:val="right"/>
              <w:rPr/>
            </w:pPr>
            <w:r>
              <w:rPr/>
              <w:t>—</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4" w:type="dxa"/>
            <w:tcBorders/>
            <w:shd w:fill="E5E5E5" w:val="clear"/>
            <w:vAlign w:val="center"/>
          </w:tcPr>
          <w:p>
            <w:pPr>
              <w:pStyle w:val="TableContents"/>
              <w:spacing w:before="0" w:after="283"/>
              <w:rPr/>
            </w:pPr>
            <w:r>
              <w:rPr/>
              <w:t> </w:t>
            </w:r>
          </w:p>
        </w:tc>
        <w:tc>
          <w:tcPr>
            <w:tcW w:w="856" w:type="dxa"/>
            <w:tcBorders/>
            <w:shd w:fill="E5E5E5" w:val="clear"/>
            <w:vAlign w:val="center"/>
          </w:tcPr>
          <w:p>
            <w:pPr>
              <w:pStyle w:val="TableContents"/>
              <w:spacing w:before="0" w:after="283"/>
              <w:jc w:val="right"/>
              <w:rPr/>
            </w:pPr>
            <w:r>
              <w:rPr/>
              <w:t>806,678</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1100" w:type="dxa"/>
            <w:tcBorders/>
            <w:shd w:fill="E5E5E5" w:val="clear"/>
            <w:vAlign w:val="center"/>
          </w:tcPr>
          <w:p>
            <w:pPr>
              <w:pStyle w:val="TableContents"/>
              <w:spacing w:before="0" w:after="283"/>
              <w:jc w:val="right"/>
              <w:rPr/>
            </w:pPr>
            <w:r>
              <w:rPr/>
              <w:t>18,552,078</w:t>
            </w:r>
          </w:p>
        </w:tc>
        <w:tc>
          <w:tcPr>
            <w:tcW w:w="75" w:type="dxa"/>
            <w:tcBorders/>
            <w:shd w:fill="E5E5E5" w:val="clear"/>
            <w:vAlign w:val="center"/>
          </w:tcPr>
          <w:p>
            <w:pPr>
              <w:pStyle w:val="TableContents"/>
              <w:spacing w:before="0" w:after="283"/>
              <w:rPr/>
            </w:pPr>
            <w:r>
              <w:rPr/>
              <w:t> </w:t>
            </w:r>
          </w:p>
        </w:tc>
      </w:tr>
      <w:tr>
        <w:trPr/>
        <w:tc>
          <w:tcPr>
            <w:tcW w:w="1835" w:type="dxa"/>
            <w:vMerge w:val="continue"/>
            <w:tcBorders/>
            <w:shd w:fill="E5E5E5" w:val="clear"/>
            <w:vAlign w:val="center"/>
          </w:tcPr>
          <w:p>
            <w:pPr>
              <w:pStyle w:val="Normal"/>
              <w:rPr/>
            </w:pPr>
            <w:r>
              <w:rPr/>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500" w:type="dxa"/>
            <w:tcBorders/>
            <w:shd w:fill="E5E5E5" w:val="clear"/>
            <w:vAlign w:val="center"/>
          </w:tcPr>
          <w:p>
            <w:pPr>
              <w:pStyle w:val="TableContents"/>
              <w:spacing w:before="0" w:after="283"/>
              <w:jc w:val="right"/>
              <w:rPr/>
            </w:pPr>
            <w:r>
              <w:rPr/>
              <w:t>2020</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980" w:type="dxa"/>
            <w:tcBorders/>
            <w:shd w:fill="E5E5E5" w:val="clear"/>
            <w:vAlign w:val="center"/>
          </w:tcPr>
          <w:p>
            <w:pPr>
              <w:pStyle w:val="TableContents"/>
              <w:spacing w:before="0" w:after="283"/>
              <w:jc w:val="right"/>
              <w:rPr/>
            </w:pPr>
            <w:r>
              <w:rPr/>
              <w:t>1,800,000</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1100" w:type="dxa"/>
            <w:tcBorders/>
            <w:shd w:fill="E5E5E5" w:val="clear"/>
            <w:vAlign w:val="center"/>
          </w:tcPr>
          <w:p>
            <w:pPr>
              <w:pStyle w:val="TableContents"/>
              <w:spacing w:before="0" w:after="283"/>
              <w:jc w:val="right"/>
              <w:rPr/>
            </w:pPr>
            <w:r>
              <w:rPr/>
              <w:t>10,000,000</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1100" w:type="dxa"/>
            <w:tcBorders/>
            <w:shd w:fill="E5E5E5" w:val="clear"/>
            <w:vAlign w:val="center"/>
          </w:tcPr>
          <w:p>
            <w:pPr>
              <w:pStyle w:val="TableContents"/>
              <w:spacing w:before="0" w:after="283"/>
              <w:jc w:val="right"/>
              <w:rPr/>
            </w:pPr>
            <w:r>
              <w:rPr/>
              <w:t>12,451,936</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800" w:type="dxa"/>
            <w:tcBorders/>
            <w:shd w:fill="E5E5E5" w:val="clear"/>
            <w:vAlign w:val="center"/>
          </w:tcPr>
          <w:p>
            <w:pPr>
              <w:pStyle w:val="TableContents"/>
              <w:spacing w:before="0" w:after="283"/>
              <w:jc w:val="right"/>
              <w:rPr/>
            </w:pPr>
            <w:r>
              <w:rPr/>
              <w:t>—</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980" w:type="dxa"/>
            <w:tcBorders/>
            <w:shd w:fill="E5E5E5" w:val="clear"/>
            <w:vAlign w:val="center"/>
          </w:tcPr>
          <w:p>
            <w:pPr>
              <w:pStyle w:val="TableContents"/>
              <w:spacing w:before="0" w:after="283"/>
              <w:jc w:val="right"/>
              <w:rPr/>
            </w:pPr>
            <w:r>
              <w:rPr/>
              <w:t>4,405,590</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4" w:type="dxa"/>
            <w:tcBorders/>
            <w:shd w:fill="E5E5E5" w:val="clear"/>
            <w:vAlign w:val="center"/>
          </w:tcPr>
          <w:p>
            <w:pPr>
              <w:pStyle w:val="TableContents"/>
              <w:spacing w:before="0" w:after="283"/>
              <w:rPr/>
            </w:pPr>
            <w:r>
              <w:rPr/>
              <w:t> </w:t>
            </w:r>
          </w:p>
        </w:tc>
        <w:tc>
          <w:tcPr>
            <w:tcW w:w="856" w:type="dxa"/>
            <w:tcBorders/>
            <w:shd w:fill="E5E5E5" w:val="clear"/>
            <w:vAlign w:val="center"/>
          </w:tcPr>
          <w:p>
            <w:pPr>
              <w:pStyle w:val="TableContents"/>
              <w:spacing w:before="0" w:after="283"/>
              <w:jc w:val="right"/>
              <w:rPr/>
            </w:pPr>
            <w:r>
              <w:rPr/>
              <w:t>—</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4" w:type="dxa"/>
            <w:tcBorders/>
            <w:shd w:fill="E5E5E5" w:val="clear"/>
            <w:vAlign w:val="center"/>
          </w:tcPr>
          <w:p>
            <w:pPr>
              <w:pStyle w:val="TableContents"/>
              <w:spacing w:before="0" w:after="283"/>
              <w:rPr/>
            </w:pPr>
            <w:r>
              <w:rPr/>
              <w:t> </w:t>
            </w:r>
          </w:p>
        </w:tc>
        <w:tc>
          <w:tcPr>
            <w:tcW w:w="856" w:type="dxa"/>
            <w:tcBorders/>
            <w:shd w:fill="E5E5E5" w:val="clear"/>
            <w:vAlign w:val="center"/>
          </w:tcPr>
          <w:p>
            <w:pPr>
              <w:pStyle w:val="TableContents"/>
              <w:spacing w:before="0" w:after="283"/>
              <w:jc w:val="right"/>
              <w:rPr/>
            </w:pPr>
            <w:r>
              <w:rPr/>
              <w:t>399,850</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1100" w:type="dxa"/>
            <w:tcBorders/>
            <w:shd w:fill="E5E5E5" w:val="clear"/>
            <w:vAlign w:val="center"/>
          </w:tcPr>
          <w:p>
            <w:pPr>
              <w:pStyle w:val="TableContents"/>
              <w:spacing w:before="0" w:after="283"/>
              <w:jc w:val="right"/>
              <w:rPr/>
            </w:pPr>
            <w:r>
              <w:rPr/>
              <w:t>29,057,376</w:t>
            </w:r>
          </w:p>
        </w:tc>
        <w:tc>
          <w:tcPr>
            <w:tcW w:w="75" w:type="dxa"/>
            <w:tcBorders/>
            <w:shd w:fill="E5E5E5" w:val="clear"/>
            <w:vAlign w:val="center"/>
          </w:tcPr>
          <w:p>
            <w:pPr>
              <w:pStyle w:val="TableContents"/>
              <w:spacing w:before="0" w:after="283"/>
              <w:rPr/>
            </w:pPr>
            <w:r>
              <w:rPr/>
              <w:t> </w:t>
            </w:r>
          </w:p>
        </w:tc>
      </w:tr>
    </w:tbl>
    <w:tbl>
      <w:tblPr>
        <w:tblW w:w="10205" w:type="dxa"/>
        <w:jc w:val="left"/>
        <w:tblInd w:w="0" w:type="dxa"/>
        <w:tblCellMar>
          <w:top w:w="0" w:type="dxa"/>
          <w:left w:w="0" w:type="dxa"/>
          <w:bottom w:w="0" w:type="dxa"/>
          <w:right w:w="0" w:type="dxa"/>
        </w:tblCellMar>
      </w:tblPr>
      <w:tblGrid>
        <w:gridCol w:w="243"/>
        <w:gridCol w:w="9962"/>
      </w:tblGrid>
      <w:tr>
        <w:trPr/>
        <w:tc>
          <w:tcPr>
            <w:tcW w:w="243" w:type="dxa"/>
            <w:tcBorders/>
            <w:shd w:fill="auto" w:val="clear"/>
            <w:vAlign w:val="center"/>
          </w:tcPr>
          <w:p>
            <w:pPr>
              <w:pStyle w:val="TableContents"/>
              <w:spacing w:before="0" w:after="283"/>
              <w:jc w:val="left"/>
              <w:rPr>
                <w:i/>
              </w:rPr>
            </w:pPr>
            <w:r>
              <w:rPr>
                <w:i/>
              </w:rPr>
              <w:t>(1)</w:t>
            </w:r>
          </w:p>
        </w:tc>
        <w:tc>
          <w:tcPr>
            <w:tcW w:w="9962" w:type="dxa"/>
            <w:tcBorders/>
            <w:shd w:fill="auto" w:val="clear"/>
            <w:vAlign w:val="center"/>
          </w:tcPr>
          <w:p>
            <w:pPr>
              <w:pStyle w:val="TableContents"/>
              <w:spacing w:before="0" w:after="0"/>
              <w:jc w:val="both"/>
              <w:rPr>
                <w:rFonts w:ascii="arial" w:hAnsi="arial"/>
                <w:i/>
                <w:sz w:val="18"/>
              </w:rPr>
            </w:pPr>
            <w:r>
              <w:rPr>
                <w:rFonts w:ascii="arial" w:hAnsi="arial"/>
                <w:i/>
                <w:sz w:val="18"/>
              </w:rPr>
              <w:t xml:space="preserve">Represents the base salary actually paid to the NEO in 2022, 2021 and 2020. The 2020 amount includes the salary paid by Mylan or Upjohn, as applicable, prior to the closing of the Combination, and by Viatris after the closing of the Combination. For Mr. Coury, the amount includes the cash retainer received while serving as Mylan’s non-executive Chairman from January 1, 2020 through April 15, 2020, his base salary for serving as Mylan’s Executive Chairman from April 15, 2020 to the closing of the Combination, and his base salary for serving as Viatris’ Executive Chairman for the remainder of 2020. </w:t>
            </w:r>
          </w:p>
        </w:tc>
      </w:tr>
    </w:tbl>
    <w:tbl>
      <w:tblPr>
        <w:tblW w:w="10205" w:type="dxa"/>
        <w:jc w:val="left"/>
        <w:tblInd w:w="0" w:type="dxa"/>
        <w:tblCellMar>
          <w:top w:w="0" w:type="dxa"/>
          <w:left w:w="0" w:type="dxa"/>
          <w:bottom w:w="0" w:type="dxa"/>
          <w:right w:w="0" w:type="dxa"/>
        </w:tblCellMar>
      </w:tblPr>
      <w:tblGrid>
        <w:gridCol w:w="235"/>
        <w:gridCol w:w="9970"/>
      </w:tblGrid>
      <w:tr>
        <w:trPr/>
        <w:tc>
          <w:tcPr>
            <w:tcW w:w="235" w:type="dxa"/>
            <w:tcBorders/>
            <w:shd w:fill="auto" w:val="clear"/>
            <w:vAlign w:val="center"/>
          </w:tcPr>
          <w:p>
            <w:pPr>
              <w:pStyle w:val="TableContents"/>
              <w:spacing w:before="0" w:after="283"/>
              <w:jc w:val="left"/>
              <w:rPr>
                <w:i/>
              </w:rPr>
            </w:pPr>
            <w:r>
              <w:rPr>
                <w:i/>
              </w:rPr>
              <w:t>(2)</w:t>
            </w:r>
          </w:p>
        </w:tc>
        <w:tc>
          <w:tcPr>
            <w:tcW w:w="9970" w:type="dxa"/>
            <w:tcBorders/>
            <w:shd w:fill="auto" w:val="clear"/>
            <w:vAlign w:val="center"/>
          </w:tcPr>
          <w:p>
            <w:pPr>
              <w:pStyle w:val="TableContents"/>
              <w:spacing w:before="0" w:after="0"/>
              <w:jc w:val="both"/>
              <w:rPr>
                <w:rFonts w:ascii="arial" w:hAnsi="arial"/>
                <w:i/>
                <w:sz w:val="18"/>
              </w:rPr>
            </w:pPr>
            <w:r>
              <w:rPr>
                <w:rFonts w:ascii="arial" w:hAnsi="arial"/>
                <w:i/>
                <w:sz w:val="18"/>
              </w:rPr>
              <w:t xml:space="preserve">In connection with the Combination in 2020, Messrs. Malik and Mauro were each granted a retention bonus (equal to $10,950,000 and $6,553,800, respectively), which became payable in 2022 upon the two-year anniversary of the Combination, subject to Messrs. Malik’s and Mauro’s continued employment through such date. In connection with the Combination in 2020, Messrs. Goettler and Narula each became entitled to receive a $1 million transaction-related payment previously granted to them by Pfizer. In connection with the Combination in 2020, Mr. Malik and Mr. Mauro received cash awards equal to $2.5 million and $1 million, respectively, in recognition of their significant efforts in connection with integration planning matters related to the Combination in addition to their customary responsibilities. In connection with the Combination in 2020, Mr. Coury received a one-time cash recognition award of $10 million (which recognized and rewarded Mr. Coury for, among other things: the fact that Mr. Coury assumed an executive role with Mylan in April 2020 but did not receive an annual equity grant at that time (which, had it been awarded, would have been valued at approximately $10.8 million); his strategic leadership of Mylan; the unexpected and significantly increased efforts expended by Mr. Coury on company matters since April 2020, including during the COVID-19 pandemic; </w:t>
            </w:r>
          </w:p>
        </w:tc>
      </w:tr>
    </w:tbl>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37 </w:t>
      </w:r>
      <w:r>
        <w:br w:type="page"/>
      </w:r>
    </w:p>
    <w:p>
      <w:pPr>
        <w:pStyle w:val="HorizontalLine"/>
        <w:rPr/>
      </w:pPr>
      <w:r>
        <w:rPr/>
      </w:r>
    </w:p>
    <w:tbl>
      <w:tblPr>
        <w:tblW w:w="10205" w:type="dxa"/>
        <w:jc w:val="left"/>
        <w:tblInd w:w="0" w:type="dxa"/>
        <w:tblCellMar>
          <w:top w:w="0" w:type="dxa"/>
          <w:left w:w="0" w:type="dxa"/>
          <w:bottom w:w="0" w:type="dxa"/>
          <w:right w:w="0" w:type="dxa"/>
        </w:tblCellMar>
      </w:tblPr>
      <w:tblGrid>
        <w:gridCol w:w="75"/>
        <w:gridCol w:w="10130"/>
      </w:tblGrid>
      <w:tr>
        <w:trPr/>
        <w:tc>
          <w:tcPr>
            <w:tcW w:w="75" w:type="dxa"/>
            <w:tcBorders/>
            <w:shd w:fill="auto" w:val="clear"/>
            <w:vAlign w:val="center"/>
          </w:tcPr>
          <w:p>
            <w:pPr>
              <w:pStyle w:val="TableContents"/>
              <w:spacing w:before="0" w:after="283"/>
              <w:rPr/>
            </w:pPr>
            <w:r>
              <w:rPr/>
              <w:t> </w:t>
            </w:r>
          </w:p>
        </w:tc>
        <w:tc>
          <w:tcPr>
            <w:tcW w:w="10130" w:type="dxa"/>
            <w:tcBorders/>
            <w:shd w:fill="auto" w:val="clear"/>
            <w:vAlign w:val="center"/>
          </w:tcPr>
          <w:p>
            <w:pPr>
              <w:pStyle w:val="TableContents"/>
              <w:spacing w:before="0" w:after="0"/>
              <w:jc w:val="both"/>
              <w:rPr>
                <w:rFonts w:ascii="arial" w:hAnsi="arial"/>
                <w:i/>
                <w:sz w:val="18"/>
              </w:rPr>
            </w:pPr>
            <w:r>
              <w:rPr>
                <w:rFonts w:ascii="arial" w:hAnsi="arial"/>
                <w:i/>
                <w:sz w:val="18"/>
              </w:rPr>
              <w:t xml:space="preserve">his significant leadership in the analysis and negotiation relating to the Combination and integration planning matters with respect to the Combination; and his expected leadership, direction and efforts for the combined company so that shareholders can realize the significant opportunity and benefits that are expected from the Combination). </w:t>
            </w:r>
          </w:p>
        </w:tc>
      </w:tr>
    </w:tbl>
    <w:tbl>
      <w:tblPr>
        <w:tblW w:w="10205" w:type="dxa"/>
        <w:jc w:val="left"/>
        <w:tblInd w:w="0" w:type="dxa"/>
        <w:tblCellMar>
          <w:top w:w="0" w:type="dxa"/>
          <w:left w:w="0" w:type="dxa"/>
          <w:bottom w:w="0" w:type="dxa"/>
          <w:right w:w="0" w:type="dxa"/>
        </w:tblCellMar>
      </w:tblPr>
      <w:tblGrid>
        <w:gridCol w:w="234"/>
        <w:gridCol w:w="9971"/>
      </w:tblGrid>
      <w:tr>
        <w:trPr/>
        <w:tc>
          <w:tcPr>
            <w:tcW w:w="234" w:type="dxa"/>
            <w:tcBorders/>
            <w:shd w:fill="auto" w:val="clear"/>
            <w:vAlign w:val="center"/>
          </w:tcPr>
          <w:p>
            <w:pPr>
              <w:pStyle w:val="TableContents"/>
              <w:spacing w:before="0" w:after="283"/>
              <w:jc w:val="left"/>
              <w:rPr>
                <w:i/>
              </w:rPr>
            </w:pPr>
            <w:r>
              <w:rPr>
                <w:i/>
              </w:rPr>
              <w:t>(3)</w:t>
            </w:r>
          </w:p>
        </w:tc>
        <w:tc>
          <w:tcPr>
            <w:tcW w:w="9971" w:type="dxa"/>
            <w:tcBorders/>
            <w:shd w:fill="auto" w:val="clear"/>
            <w:vAlign w:val="center"/>
          </w:tcPr>
          <w:p>
            <w:pPr>
              <w:pStyle w:val="TableContents"/>
              <w:spacing w:before="0" w:after="0"/>
              <w:jc w:val="both"/>
              <w:rPr>
                <w:rFonts w:ascii="arial" w:hAnsi="arial"/>
                <w:i/>
                <w:sz w:val="18"/>
              </w:rPr>
            </w:pPr>
            <w:r>
              <w:rPr>
                <w:rFonts w:ascii="arial" w:hAnsi="arial"/>
                <w:i/>
                <w:sz w:val="18"/>
              </w:rPr>
              <w:t xml:space="preserve">Represents the grant date fair value of the long-term incentive awards granted to the NEO in 2022, 2021 and 2020, as applicable. The grant date fair value of PRSUs for 2022 is based on the target value and is as follows: Messrs. Goettler ($5,915,000), Narula ($2,210,003), Malik ($4,680,005), Mauro ($2,080,004) and Coury ($7,020,007). If the maximum achievement of performance goals had been assumed, the grant date fair value of the PRSUs for 2022 would have been as follows: Messrs. Goettler ($11,534,250), Narula ($4,309,506), Malik ($9,126,010), Mauro ($4,056,008) and Coury ($13,689,014). With respect to Messrs. Goettler and Narula’s 2020 award, the grant date fair value represents cash-based awards granted by Pfizer in 2020 prior to the Combination, equal to $2,400,000 and $425,000, respectively. In connection with the Combination, these and certain other Pfizer awards were canceled and forfeited and Messrs. Goettler and Narula were granted Viatris RSUs to replace such forfeited Pfizer awards. With respect to Messrs. Malik and Mauro’s 2020 award, the grant date fair value represents RSUs and PRSUs granted by Mylan in 2020 prior to the Combination. In the case of PRSUs, value is based on the target value as follows: Mr. Malik ($3,450,010) and Mr. Mauro ($1,600,014). In connection with the Combination, PRSUs were converted into an award of Viatris RSUs on a one-for-one basis assuming target level performance and RSUs were also converted into Viatris RSUs on a one-for-one basis. With respect to Mr. Coury, the grant date fair value of stock awards for 2020 represents the 1.6 million PRSUs granted by Viatris in connection with the Combination pursuant to his Value Creation Award, based on the Monte Carlo value equal to $12,451,936. For information regarding assumptions used in determining the expense of such awards, please refer to Note 14 to the Company’s Consolidated Financial Statements contained in the Form 10-K. </w:t>
            </w:r>
          </w:p>
        </w:tc>
      </w:tr>
    </w:tbl>
    <w:tbl>
      <w:tblPr>
        <w:tblW w:w="10205" w:type="dxa"/>
        <w:jc w:val="left"/>
        <w:tblInd w:w="0" w:type="dxa"/>
        <w:tblCellMar>
          <w:top w:w="0" w:type="dxa"/>
          <w:left w:w="0" w:type="dxa"/>
          <w:bottom w:w="0" w:type="dxa"/>
          <w:right w:w="0" w:type="dxa"/>
        </w:tblCellMar>
      </w:tblPr>
      <w:tblGrid>
        <w:gridCol w:w="262"/>
        <w:gridCol w:w="9943"/>
      </w:tblGrid>
      <w:tr>
        <w:trPr/>
        <w:tc>
          <w:tcPr>
            <w:tcW w:w="262" w:type="dxa"/>
            <w:tcBorders/>
            <w:shd w:fill="auto" w:val="clear"/>
            <w:vAlign w:val="center"/>
          </w:tcPr>
          <w:p>
            <w:pPr>
              <w:pStyle w:val="TableContents"/>
              <w:spacing w:before="0" w:after="283"/>
              <w:jc w:val="left"/>
              <w:rPr>
                <w:i/>
              </w:rPr>
            </w:pPr>
            <w:r>
              <w:rPr>
                <w:i/>
              </w:rPr>
              <w:t>(4)</w:t>
            </w:r>
          </w:p>
        </w:tc>
        <w:tc>
          <w:tcPr>
            <w:tcW w:w="9943" w:type="dxa"/>
            <w:tcBorders/>
            <w:shd w:fill="auto" w:val="clear"/>
            <w:vAlign w:val="center"/>
          </w:tcPr>
          <w:p>
            <w:pPr>
              <w:pStyle w:val="TableContents"/>
              <w:spacing w:before="0" w:after="0"/>
              <w:jc w:val="both"/>
              <w:rPr>
                <w:rFonts w:ascii="arial" w:hAnsi="arial"/>
                <w:i/>
                <w:sz w:val="18"/>
              </w:rPr>
            </w:pPr>
            <w:r>
              <w:rPr>
                <w:rFonts w:ascii="arial" w:hAnsi="arial"/>
                <w:i/>
                <w:sz w:val="18"/>
              </w:rPr>
              <w:t xml:space="preserve">Represents the grant date fair value of the option awards granted by Mylan in 2020 prior to the Combination. In connection with the Combination, these option awards were converted into options to purchase shares of Viatris common stock on a one-for-one basis. </w:t>
            </w:r>
          </w:p>
        </w:tc>
      </w:tr>
    </w:tbl>
    <w:tbl>
      <w:tblPr>
        <w:tblW w:w="10205" w:type="dxa"/>
        <w:jc w:val="left"/>
        <w:tblInd w:w="0" w:type="dxa"/>
        <w:tblCellMar>
          <w:top w:w="0" w:type="dxa"/>
          <w:left w:w="0" w:type="dxa"/>
          <w:bottom w:w="0" w:type="dxa"/>
          <w:right w:w="0" w:type="dxa"/>
        </w:tblCellMar>
      </w:tblPr>
      <w:tblGrid>
        <w:gridCol w:w="277"/>
        <w:gridCol w:w="9928"/>
      </w:tblGrid>
      <w:tr>
        <w:trPr/>
        <w:tc>
          <w:tcPr>
            <w:tcW w:w="277" w:type="dxa"/>
            <w:tcBorders/>
            <w:shd w:fill="auto" w:val="clear"/>
            <w:vAlign w:val="center"/>
          </w:tcPr>
          <w:p>
            <w:pPr>
              <w:pStyle w:val="TableContents"/>
              <w:spacing w:before="0" w:after="283"/>
              <w:jc w:val="left"/>
              <w:rPr>
                <w:i/>
              </w:rPr>
            </w:pPr>
            <w:r>
              <w:rPr>
                <w:i/>
              </w:rPr>
              <w:t>(5)</w:t>
            </w:r>
          </w:p>
        </w:tc>
        <w:tc>
          <w:tcPr>
            <w:tcW w:w="9928" w:type="dxa"/>
            <w:tcBorders/>
            <w:shd w:fill="auto" w:val="clear"/>
            <w:vAlign w:val="center"/>
          </w:tcPr>
          <w:p>
            <w:pPr>
              <w:pStyle w:val="TableContents"/>
              <w:spacing w:before="0" w:after="0"/>
              <w:jc w:val="both"/>
              <w:rPr>
                <w:rFonts w:ascii="arial" w:hAnsi="arial"/>
                <w:i/>
                <w:sz w:val="18"/>
              </w:rPr>
            </w:pPr>
            <w:r>
              <w:rPr>
                <w:rFonts w:ascii="arial" w:hAnsi="arial"/>
                <w:i/>
                <w:sz w:val="18"/>
              </w:rPr>
              <w:t xml:space="preserve">Represents amounts paid under the Company’s annual short-term incentive plan. For a discussion of this plan, see “2022 Annual Incentive Compensation Program” on pages 29 to 30. </w:t>
            </w:r>
          </w:p>
        </w:tc>
      </w:tr>
    </w:tbl>
    <w:tbl>
      <w:tblPr>
        <w:tblW w:w="10205" w:type="dxa"/>
        <w:jc w:val="left"/>
        <w:tblInd w:w="0" w:type="dxa"/>
        <w:tblCellMar>
          <w:top w:w="0" w:type="dxa"/>
          <w:left w:w="0" w:type="dxa"/>
          <w:bottom w:w="0" w:type="dxa"/>
          <w:right w:w="0" w:type="dxa"/>
        </w:tblCellMar>
      </w:tblPr>
      <w:tblGrid>
        <w:gridCol w:w="239"/>
        <w:gridCol w:w="9966"/>
      </w:tblGrid>
      <w:tr>
        <w:trPr/>
        <w:tc>
          <w:tcPr>
            <w:tcW w:w="239" w:type="dxa"/>
            <w:tcBorders/>
            <w:shd w:fill="auto" w:val="clear"/>
            <w:vAlign w:val="center"/>
          </w:tcPr>
          <w:p>
            <w:pPr>
              <w:pStyle w:val="TableContents"/>
              <w:spacing w:before="0" w:after="283"/>
              <w:jc w:val="left"/>
              <w:rPr>
                <w:i/>
              </w:rPr>
            </w:pPr>
            <w:r>
              <w:rPr>
                <w:i/>
              </w:rPr>
              <w:t>(6)</w:t>
            </w:r>
          </w:p>
        </w:tc>
        <w:tc>
          <w:tcPr>
            <w:tcW w:w="9966" w:type="dxa"/>
            <w:tcBorders/>
            <w:shd w:fill="auto" w:val="clear"/>
            <w:vAlign w:val="center"/>
          </w:tcPr>
          <w:p>
            <w:pPr>
              <w:pStyle w:val="TableContents"/>
              <w:spacing w:before="0" w:after="0"/>
              <w:jc w:val="both"/>
              <w:rPr>
                <w:rFonts w:ascii="arial" w:hAnsi="arial"/>
                <w:i/>
                <w:sz w:val="18"/>
              </w:rPr>
            </w:pPr>
            <w:r>
              <w:rPr>
                <w:rFonts w:ascii="arial" w:hAnsi="arial"/>
                <w:i/>
                <w:sz w:val="18"/>
              </w:rPr>
              <w:t xml:space="preserve">Represents the aggregate change in present value of Mr. Malik’s accumulated benefit under Mr. Malik’s Retirement Benefit Agreement. Mr. Malik’s Retirement Benefit Agreement was frozen as of the Combination and Mr. Malik no longer accrues additional benefits under the agreement. In computing this amount, we used the same assumptions that were used to determine the expense amounts recognized in our 2020 financial statements. In 2020, the impact of a decrease in the applicable discount rates led to an increase in the present value of accumulated benefits of $336,290 for Mr. Malik. For further information concerning Mr. Malik’s Retirement Benefit Agreement, see the Pension Benefits for 2022 Table on page 44. Messrs. Goettler and Narula participated in pension plans of Pfizer prior to the Combination, and Pfizer retained all liabilities with respect to such plans. </w:t>
            </w:r>
          </w:p>
        </w:tc>
      </w:tr>
    </w:tbl>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38 </w:t>
      </w:r>
      <w:r>
        <w:br w:type="page"/>
      </w:r>
    </w:p>
    <w:p>
      <w:pPr>
        <w:pStyle w:val="HorizontalLine"/>
        <w:rPr/>
      </w:pPr>
      <w:r>
        <w:rPr/>
      </w:r>
    </w:p>
    <w:tbl>
      <w:tblPr>
        <w:tblW w:w="5650" w:type="dxa"/>
        <w:jc w:val="left"/>
        <w:tblInd w:w="0" w:type="dxa"/>
        <w:tblCellMar>
          <w:top w:w="0" w:type="dxa"/>
          <w:left w:w="0" w:type="dxa"/>
          <w:bottom w:w="0" w:type="dxa"/>
          <w:right w:w="0" w:type="dxa"/>
        </w:tblCellMar>
      </w:tblPr>
      <w:tblGrid>
        <w:gridCol w:w="305"/>
        <w:gridCol w:w="5345"/>
      </w:tblGrid>
      <w:tr>
        <w:trPr/>
        <w:tc>
          <w:tcPr>
            <w:tcW w:w="305" w:type="dxa"/>
            <w:tcBorders/>
            <w:shd w:fill="auto" w:val="clear"/>
            <w:vAlign w:val="center"/>
          </w:tcPr>
          <w:p>
            <w:pPr>
              <w:pStyle w:val="TableContents"/>
              <w:spacing w:before="0" w:after="283"/>
              <w:jc w:val="left"/>
              <w:rPr>
                <w:i/>
              </w:rPr>
            </w:pPr>
            <w:r>
              <w:rPr>
                <w:i/>
              </w:rPr>
              <w:t>(7)</w:t>
            </w:r>
          </w:p>
        </w:tc>
        <w:tc>
          <w:tcPr>
            <w:tcW w:w="5345" w:type="dxa"/>
            <w:tcBorders/>
            <w:shd w:fill="auto" w:val="clear"/>
            <w:vAlign w:val="center"/>
          </w:tcPr>
          <w:p>
            <w:pPr>
              <w:pStyle w:val="TableContents"/>
              <w:spacing w:before="0" w:after="0"/>
              <w:jc w:val="both"/>
              <w:rPr>
                <w:rFonts w:ascii="arial" w:hAnsi="arial"/>
                <w:i/>
                <w:sz w:val="18"/>
              </w:rPr>
            </w:pPr>
            <w:r>
              <w:rPr>
                <w:rFonts w:ascii="arial" w:hAnsi="arial"/>
                <w:i/>
                <w:sz w:val="18"/>
              </w:rPr>
              <w:t xml:space="preserve">Amounts shown in this column are detailed in the following chart. </w:t>
            </w:r>
          </w:p>
        </w:tc>
      </w:tr>
    </w:tbl>
    <w:p>
      <w:pPr>
        <w:pStyle w:val="TextBody"/>
        <w:spacing w:before="0" w:after="0"/>
        <w:jc w:val="left"/>
        <w:rPr/>
      </w:pPr>
      <w:r>
        <w:rPr/>
        <w:t> </w:t>
      </w:r>
    </w:p>
    <w:tbl>
      <w:tblPr>
        <w:tblW w:w="8505" w:type="dxa"/>
        <w:jc w:val="left"/>
        <w:tblInd w:w="0" w:type="dxa"/>
        <w:tblCellMar>
          <w:top w:w="0" w:type="dxa"/>
          <w:left w:w="0" w:type="dxa"/>
          <w:bottom w:w="0" w:type="dxa"/>
          <w:right w:w="0" w:type="dxa"/>
        </w:tblCellMar>
      </w:tblPr>
      <w:tblGrid>
        <w:gridCol w:w="1370"/>
        <w:gridCol w:w="60"/>
        <w:gridCol w:w="60"/>
        <w:gridCol w:w="500"/>
        <w:gridCol w:w="60"/>
        <w:gridCol w:w="60"/>
        <w:gridCol w:w="60"/>
        <w:gridCol w:w="680"/>
        <w:gridCol w:w="60"/>
        <w:gridCol w:w="60"/>
        <w:gridCol w:w="60"/>
        <w:gridCol w:w="680"/>
        <w:gridCol w:w="60"/>
        <w:gridCol w:w="60"/>
        <w:gridCol w:w="60"/>
        <w:gridCol w:w="800"/>
        <w:gridCol w:w="60"/>
        <w:gridCol w:w="60"/>
        <w:gridCol w:w="64"/>
        <w:gridCol w:w="736"/>
        <w:gridCol w:w="60"/>
        <w:gridCol w:w="60"/>
        <w:gridCol w:w="60"/>
        <w:gridCol w:w="800"/>
        <w:gridCol w:w="60"/>
        <w:gridCol w:w="60"/>
        <w:gridCol w:w="60"/>
        <w:gridCol w:w="680"/>
        <w:gridCol w:w="60"/>
        <w:gridCol w:w="60"/>
        <w:gridCol w:w="60"/>
        <w:gridCol w:w="800"/>
        <w:gridCol w:w="75"/>
      </w:tblGrid>
      <w:tr>
        <w:trPr/>
        <w:tc>
          <w:tcPr>
            <w:tcW w:w="13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370" w:type="dxa"/>
            <w:tcBorders/>
            <w:shd w:fill="444444" w:val="clear"/>
            <w:vAlign w:val="center"/>
          </w:tcPr>
          <w:p>
            <w:pPr>
              <w:pStyle w:val="TableContents"/>
              <w:spacing w:before="0" w:after="283"/>
              <w:rPr>
                <w:sz w:val="4"/>
                <w:szCs w:val="4"/>
              </w:rPr>
            </w:pPr>
            <w:r>
              <w:rPr>
                <w:sz w:val="4"/>
                <w:szCs w:val="4"/>
              </w:rPr>
            </w:r>
          </w:p>
        </w:tc>
        <w:tc>
          <w:tcPr>
            <w:tcW w:w="680" w:type="dxa"/>
            <w:gridSpan w:val="4"/>
            <w:tcBorders/>
            <w:shd w:fill="444444" w:val="clear"/>
            <w:vAlign w:val="center"/>
          </w:tcPr>
          <w:p>
            <w:pPr>
              <w:pStyle w:val="TableContents"/>
              <w:spacing w:before="0" w:after="283"/>
              <w:rPr>
                <w:sz w:val="4"/>
                <w:szCs w:val="4"/>
              </w:rPr>
            </w:pPr>
            <w:r>
              <w:rPr>
                <w:sz w:val="4"/>
                <w:szCs w:val="4"/>
              </w:rPr>
            </w:r>
          </w:p>
        </w:tc>
        <w:tc>
          <w:tcPr>
            <w:tcW w:w="860" w:type="dxa"/>
            <w:gridSpan w:val="4"/>
            <w:tcBorders/>
            <w:shd w:fill="444444" w:val="clear"/>
            <w:vAlign w:val="center"/>
          </w:tcPr>
          <w:p>
            <w:pPr>
              <w:pStyle w:val="TableContents"/>
              <w:spacing w:before="0" w:after="283"/>
              <w:rPr>
                <w:sz w:val="4"/>
                <w:szCs w:val="4"/>
              </w:rPr>
            </w:pPr>
            <w:r>
              <w:rPr>
                <w:sz w:val="4"/>
                <w:szCs w:val="4"/>
              </w:rPr>
            </w:r>
          </w:p>
        </w:tc>
        <w:tc>
          <w:tcPr>
            <w:tcW w:w="860" w:type="dxa"/>
            <w:gridSpan w:val="4"/>
            <w:tcBorders/>
            <w:shd w:fill="444444" w:val="clear"/>
            <w:vAlign w:val="center"/>
          </w:tcPr>
          <w:p>
            <w:pPr>
              <w:pStyle w:val="TableContents"/>
              <w:spacing w:before="0" w:after="283"/>
              <w:rPr>
                <w:sz w:val="4"/>
                <w:szCs w:val="4"/>
              </w:rPr>
            </w:pPr>
            <w:r>
              <w:rPr>
                <w:sz w:val="4"/>
                <w:szCs w:val="4"/>
              </w:rPr>
            </w:r>
          </w:p>
        </w:tc>
        <w:tc>
          <w:tcPr>
            <w:tcW w:w="980" w:type="dxa"/>
            <w:gridSpan w:val="4"/>
            <w:tcBorders/>
            <w:shd w:fill="444444" w:val="clear"/>
            <w:vAlign w:val="center"/>
          </w:tcPr>
          <w:p>
            <w:pPr>
              <w:pStyle w:val="TableContents"/>
              <w:spacing w:before="0" w:after="283"/>
              <w:rPr>
                <w:sz w:val="4"/>
                <w:szCs w:val="4"/>
              </w:rPr>
            </w:pPr>
            <w:r>
              <w:rPr>
                <w:sz w:val="4"/>
                <w:szCs w:val="4"/>
              </w:rPr>
            </w:r>
          </w:p>
        </w:tc>
        <w:tc>
          <w:tcPr>
            <w:tcW w:w="920" w:type="dxa"/>
            <w:gridSpan w:val="4"/>
            <w:tcBorders/>
            <w:shd w:fill="444444" w:val="clear"/>
            <w:vAlign w:val="center"/>
          </w:tcPr>
          <w:p>
            <w:pPr>
              <w:pStyle w:val="TableContents"/>
              <w:spacing w:before="0" w:after="283"/>
              <w:rPr>
                <w:sz w:val="4"/>
                <w:szCs w:val="4"/>
              </w:rPr>
            </w:pPr>
            <w:r>
              <w:rPr>
                <w:sz w:val="4"/>
                <w:szCs w:val="4"/>
              </w:rPr>
            </w:r>
          </w:p>
        </w:tc>
        <w:tc>
          <w:tcPr>
            <w:tcW w:w="980" w:type="dxa"/>
            <w:gridSpan w:val="4"/>
            <w:tcBorders/>
            <w:shd w:fill="444444" w:val="clear"/>
            <w:vAlign w:val="center"/>
          </w:tcPr>
          <w:p>
            <w:pPr>
              <w:pStyle w:val="TableContents"/>
              <w:spacing w:before="0" w:after="283"/>
              <w:rPr>
                <w:sz w:val="4"/>
                <w:szCs w:val="4"/>
              </w:rPr>
            </w:pPr>
            <w:r>
              <w:rPr>
                <w:sz w:val="4"/>
                <w:szCs w:val="4"/>
              </w:rPr>
            </w:r>
          </w:p>
        </w:tc>
        <w:tc>
          <w:tcPr>
            <w:tcW w:w="860" w:type="dxa"/>
            <w:gridSpan w:val="4"/>
            <w:tcBorders/>
            <w:shd w:fill="444444" w:val="clear"/>
            <w:vAlign w:val="center"/>
          </w:tcPr>
          <w:p>
            <w:pPr>
              <w:pStyle w:val="TableContents"/>
              <w:spacing w:before="0" w:after="283"/>
              <w:rPr>
                <w:sz w:val="4"/>
                <w:szCs w:val="4"/>
              </w:rPr>
            </w:pPr>
            <w:r>
              <w:rPr>
                <w:sz w:val="4"/>
                <w:szCs w:val="4"/>
              </w:rPr>
            </w:r>
          </w:p>
        </w:tc>
        <w:tc>
          <w:tcPr>
            <w:tcW w:w="995" w:type="dxa"/>
            <w:gridSpan w:val="4"/>
            <w:tcBorders/>
            <w:shd w:fill="444444" w:val="clear"/>
            <w:vAlign w:val="center"/>
          </w:tcPr>
          <w:p>
            <w:pPr>
              <w:pStyle w:val="TableContents"/>
              <w:spacing w:before="0" w:after="283"/>
              <w:rPr>
                <w:sz w:val="4"/>
                <w:szCs w:val="4"/>
              </w:rPr>
            </w:pPr>
            <w:r>
              <w:rPr>
                <w:sz w:val="4"/>
                <w:szCs w:val="4"/>
              </w:rPr>
            </w:r>
          </w:p>
        </w:tc>
      </w:tr>
      <w:tr>
        <w:trPr/>
        <w:tc>
          <w:tcPr>
            <w:tcW w:w="1370" w:type="dxa"/>
            <w:tcBorders/>
            <w:shd w:fill="444444" w:val="clear"/>
            <w:vAlign w:val="center"/>
          </w:tcPr>
          <w:p>
            <w:pPr>
              <w:pStyle w:val="TableContents"/>
              <w:spacing w:before="0" w:after="283"/>
              <w:rPr>
                <w:b/>
                <w:color w:val="FFFFFF"/>
              </w:rPr>
            </w:pPr>
            <w:r>
              <w:rPr>
                <w:b/>
                <w:color w:val="FFFFFF"/>
              </w:rPr>
              <w:t>Name</w:t>
            </w:r>
          </w:p>
        </w:tc>
        <w:tc>
          <w:tcPr>
            <w:tcW w:w="60" w:type="dxa"/>
            <w:tcBorders/>
            <w:shd w:fill="444444" w:val="clear"/>
            <w:vAlign w:val="center"/>
          </w:tcPr>
          <w:p>
            <w:pPr>
              <w:pStyle w:val="TableContents"/>
              <w:spacing w:before="0" w:after="283"/>
              <w:rPr/>
            </w:pPr>
            <w:r>
              <w:rPr/>
              <w:t> </w:t>
            </w:r>
          </w:p>
        </w:tc>
        <w:tc>
          <w:tcPr>
            <w:tcW w:w="560" w:type="dxa"/>
            <w:gridSpan w:val="2"/>
            <w:tcBorders/>
            <w:shd w:fill="444444" w:val="clear"/>
            <w:vAlign w:val="center"/>
          </w:tcPr>
          <w:p>
            <w:pPr>
              <w:pStyle w:val="TableContents"/>
              <w:spacing w:before="0" w:after="0"/>
              <w:rPr>
                <w:rFonts w:ascii="arial" w:hAnsi="arial"/>
                <w:b/>
                <w:color w:val="FFFFFF"/>
                <w:sz w:val="14"/>
              </w:rPr>
            </w:pPr>
            <w:r>
              <w:rPr>
                <w:rFonts w:ascii="arial" w:hAnsi="arial"/>
                <w:b/>
                <w:color w:val="FFFFFF"/>
                <w:sz w:val="14"/>
              </w:rPr>
              <w:t>Fiscal</w:t>
            </w:r>
          </w:p>
          <w:p>
            <w:pPr>
              <w:pStyle w:val="TableContents"/>
              <w:spacing w:before="0" w:after="20"/>
              <w:rPr>
                <w:rFonts w:ascii="arial" w:hAnsi="arial"/>
                <w:b/>
                <w:color w:val="FFFFFF"/>
                <w:sz w:val="14"/>
              </w:rPr>
            </w:pPr>
            <w:r>
              <w:rPr>
                <w:rFonts w:ascii="arial" w:hAnsi="arial"/>
                <w:b/>
                <w:color w:val="FFFFFF"/>
                <w:sz w:val="14"/>
              </w:rPr>
              <w:t>Year</w:t>
            </w:r>
          </w:p>
        </w:tc>
        <w:tc>
          <w:tcPr>
            <w:tcW w:w="60" w:type="dxa"/>
            <w:tcBorders/>
            <w:shd w:fill="444444" w:val="clear"/>
            <w:vAlign w:val="center"/>
          </w:tcPr>
          <w:p>
            <w:pPr>
              <w:pStyle w:val="TableContents"/>
              <w:spacing w:before="0" w:after="283"/>
              <w:rPr/>
            </w:pPr>
            <w:r>
              <w:rPr/>
              <w:t> </w:t>
            </w:r>
          </w:p>
        </w:tc>
        <w:tc>
          <w:tcPr>
            <w:tcW w:w="60" w:type="dxa"/>
            <w:tcBorders/>
            <w:shd w:fill="444444" w:val="clear"/>
            <w:vAlign w:val="center"/>
          </w:tcPr>
          <w:p>
            <w:pPr>
              <w:pStyle w:val="TableContents"/>
              <w:spacing w:before="0" w:after="283"/>
              <w:rPr/>
            </w:pPr>
            <w:r>
              <w:rPr/>
              <w:t> </w:t>
            </w:r>
          </w:p>
        </w:tc>
        <w:tc>
          <w:tcPr>
            <w:tcW w:w="740" w:type="dxa"/>
            <w:gridSpan w:val="2"/>
            <w:tcBorders/>
            <w:shd w:fill="444444" w:val="clear"/>
            <w:vAlign w:val="center"/>
          </w:tcPr>
          <w:p>
            <w:pPr>
              <w:pStyle w:val="TableContents"/>
              <w:spacing w:before="0" w:after="0"/>
              <w:jc w:val="right"/>
              <w:rPr>
                <w:rFonts w:ascii="arial" w:hAnsi="arial"/>
                <w:b/>
                <w:color w:val="FFFFFF"/>
                <w:sz w:val="14"/>
              </w:rPr>
            </w:pPr>
            <w:r>
              <w:rPr>
                <w:rFonts w:ascii="arial" w:hAnsi="arial"/>
                <w:b/>
                <w:color w:val="FFFFFF"/>
                <w:sz w:val="14"/>
              </w:rPr>
              <w:t>Use of</w:t>
            </w:r>
          </w:p>
          <w:p>
            <w:pPr>
              <w:pStyle w:val="TableContents"/>
              <w:spacing w:before="0" w:after="0"/>
              <w:jc w:val="right"/>
              <w:rPr>
                <w:rFonts w:ascii="arial" w:hAnsi="arial"/>
                <w:b/>
                <w:color w:val="FFFFFF"/>
                <w:sz w:val="14"/>
              </w:rPr>
            </w:pPr>
            <w:r>
              <w:rPr>
                <w:rFonts w:ascii="arial" w:hAnsi="arial"/>
                <w:b/>
                <w:color w:val="FFFFFF"/>
                <w:sz w:val="14"/>
              </w:rPr>
              <w:t>Company</w:t>
            </w:r>
          </w:p>
          <w:p>
            <w:pPr>
              <w:pStyle w:val="TableContents"/>
              <w:spacing w:before="0" w:after="0"/>
              <w:jc w:val="right"/>
              <w:rPr>
                <w:rFonts w:ascii="arial" w:hAnsi="arial"/>
                <w:b/>
                <w:color w:val="FFFFFF"/>
                <w:sz w:val="14"/>
              </w:rPr>
            </w:pPr>
            <w:r>
              <w:rPr>
                <w:rFonts w:ascii="arial" w:hAnsi="arial"/>
                <w:b/>
                <w:color w:val="FFFFFF"/>
                <w:sz w:val="14"/>
              </w:rPr>
              <w:t>Provided</w:t>
            </w:r>
          </w:p>
          <w:p>
            <w:pPr>
              <w:pStyle w:val="TableContents"/>
              <w:spacing w:before="0" w:after="0"/>
              <w:jc w:val="right"/>
              <w:rPr>
                <w:rFonts w:ascii="arial" w:hAnsi="arial"/>
                <w:b/>
                <w:color w:val="FFFFFF"/>
                <w:sz w:val="14"/>
              </w:rPr>
            </w:pPr>
            <w:r>
              <w:rPr>
                <w:rFonts w:ascii="arial" w:hAnsi="arial"/>
                <w:b/>
                <w:color w:val="FFFFFF"/>
                <w:sz w:val="14"/>
              </w:rPr>
              <w:t>Automobile</w:t>
            </w:r>
          </w:p>
          <w:p>
            <w:pPr>
              <w:pStyle w:val="TableContents"/>
              <w:spacing w:before="0" w:after="20"/>
              <w:jc w:val="right"/>
              <w:rPr>
                <w:rFonts w:ascii="arial" w:hAnsi="arial"/>
                <w:b/>
                <w:color w:val="FFFFFF"/>
                <w:sz w:val="14"/>
              </w:rPr>
            </w:pPr>
            <w:r>
              <w:rPr>
                <w:rFonts w:ascii="arial" w:hAnsi="arial"/>
                <w:b/>
                <w:color w:val="FFFFFF"/>
                <w:sz w:val="14"/>
              </w:rPr>
              <w:t>($)(a)</w:t>
            </w:r>
          </w:p>
        </w:tc>
        <w:tc>
          <w:tcPr>
            <w:tcW w:w="60" w:type="dxa"/>
            <w:tcBorders/>
            <w:shd w:fill="444444" w:val="clear"/>
            <w:vAlign w:val="center"/>
          </w:tcPr>
          <w:p>
            <w:pPr>
              <w:pStyle w:val="TableContents"/>
              <w:spacing w:before="0" w:after="283"/>
              <w:rPr/>
            </w:pPr>
            <w:r>
              <w:rPr/>
              <w:t> </w:t>
            </w:r>
          </w:p>
        </w:tc>
        <w:tc>
          <w:tcPr>
            <w:tcW w:w="60" w:type="dxa"/>
            <w:tcBorders/>
            <w:shd w:fill="444444" w:val="clear"/>
            <w:vAlign w:val="center"/>
          </w:tcPr>
          <w:p>
            <w:pPr>
              <w:pStyle w:val="TableContents"/>
              <w:spacing w:before="0" w:after="283"/>
              <w:rPr/>
            </w:pPr>
            <w:r>
              <w:rPr/>
              <w:t> </w:t>
            </w:r>
          </w:p>
        </w:tc>
        <w:tc>
          <w:tcPr>
            <w:tcW w:w="740" w:type="dxa"/>
            <w:gridSpan w:val="2"/>
            <w:tcBorders/>
            <w:shd w:fill="444444" w:val="clear"/>
            <w:vAlign w:val="center"/>
          </w:tcPr>
          <w:p>
            <w:pPr>
              <w:pStyle w:val="TableContents"/>
              <w:spacing w:before="0" w:after="0"/>
              <w:jc w:val="right"/>
              <w:rPr>
                <w:rFonts w:ascii="arial" w:hAnsi="arial"/>
                <w:b/>
                <w:color w:val="FFFFFF"/>
                <w:sz w:val="14"/>
              </w:rPr>
            </w:pPr>
            <w:r>
              <w:rPr>
                <w:rFonts w:ascii="arial" w:hAnsi="arial"/>
                <w:b/>
                <w:color w:val="FFFFFF"/>
                <w:sz w:val="14"/>
              </w:rPr>
              <w:t>Personal</w:t>
            </w:r>
          </w:p>
          <w:p>
            <w:pPr>
              <w:pStyle w:val="TableContents"/>
              <w:spacing w:before="0" w:after="0"/>
              <w:jc w:val="right"/>
              <w:rPr>
                <w:rFonts w:ascii="arial" w:hAnsi="arial"/>
                <w:b/>
                <w:color w:val="FFFFFF"/>
                <w:sz w:val="14"/>
              </w:rPr>
            </w:pPr>
            <w:r>
              <w:rPr>
                <w:rFonts w:ascii="arial" w:hAnsi="arial"/>
                <w:b/>
                <w:color w:val="FFFFFF"/>
                <w:sz w:val="14"/>
              </w:rPr>
              <w:t>Use of</w:t>
            </w:r>
          </w:p>
          <w:p>
            <w:pPr>
              <w:pStyle w:val="TableContents"/>
              <w:spacing w:before="0" w:after="0"/>
              <w:jc w:val="right"/>
              <w:rPr>
                <w:rFonts w:ascii="arial" w:hAnsi="arial"/>
                <w:b/>
                <w:color w:val="FFFFFF"/>
                <w:sz w:val="14"/>
              </w:rPr>
            </w:pPr>
            <w:r>
              <w:rPr>
                <w:rFonts w:ascii="arial" w:hAnsi="arial"/>
                <w:b/>
                <w:color w:val="FFFFFF"/>
                <w:sz w:val="14"/>
              </w:rPr>
              <w:t>Company</w:t>
            </w:r>
          </w:p>
          <w:p>
            <w:pPr>
              <w:pStyle w:val="TableContents"/>
              <w:spacing w:before="0" w:after="0"/>
              <w:jc w:val="right"/>
              <w:rPr>
                <w:rFonts w:ascii="arial" w:hAnsi="arial"/>
                <w:b/>
                <w:color w:val="FFFFFF"/>
                <w:sz w:val="14"/>
              </w:rPr>
            </w:pPr>
            <w:r>
              <w:rPr>
                <w:rFonts w:ascii="arial" w:hAnsi="arial"/>
                <w:b/>
                <w:color w:val="FFFFFF"/>
                <w:sz w:val="14"/>
              </w:rPr>
              <w:t>Aircraft</w:t>
            </w:r>
          </w:p>
          <w:p>
            <w:pPr>
              <w:pStyle w:val="TableContents"/>
              <w:spacing w:before="0" w:after="20"/>
              <w:jc w:val="right"/>
              <w:rPr>
                <w:rFonts w:ascii="arial" w:hAnsi="arial"/>
                <w:b/>
                <w:color w:val="FFFFFF"/>
                <w:sz w:val="14"/>
              </w:rPr>
            </w:pPr>
            <w:r>
              <w:rPr>
                <w:rFonts w:ascii="arial" w:hAnsi="arial"/>
                <w:b/>
                <w:color w:val="FFFFFF"/>
                <w:sz w:val="14"/>
              </w:rPr>
              <w:t>($)(b)</w:t>
            </w:r>
          </w:p>
        </w:tc>
        <w:tc>
          <w:tcPr>
            <w:tcW w:w="60" w:type="dxa"/>
            <w:tcBorders/>
            <w:shd w:fill="444444" w:val="clear"/>
            <w:vAlign w:val="center"/>
          </w:tcPr>
          <w:p>
            <w:pPr>
              <w:pStyle w:val="TableContents"/>
              <w:spacing w:before="0" w:after="283"/>
              <w:rPr/>
            </w:pPr>
            <w:r>
              <w:rPr/>
              <w:t> </w:t>
            </w:r>
          </w:p>
        </w:tc>
        <w:tc>
          <w:tcPr>
            <w:tcW w:w="60" w:type="dxa"/>
            <w:tcBorders/>
            <w:shd w:fill="444444" w:val="clear"/>
            <w:vAlign w:val="center"/>
          </w:tcPr>
          <w:p>
            <w:pPr>
              <w:pStyle w:val="TableContents"/>
              <w:spacing w:before="0" w:after="283"/>
              <w:rPr/>
            </w:pPr>
            <w:r>
              <w:rPr/>
              <w:t> </w:t>
            </w:r>
          </w:p>
        </w:tc>
        <w:tc>
          <w:tcPr>
            <w:tcW w:w="860" w:type="dxa"/>
            <w:gridSpan w:val="2"/>
            <w:tcBorders/>
            <w:shd w:fill="444444" w:val="clear"/>
            <w:vAlign w:val="center"/>
          </w:tcPr>
          <w:p>
            <w:pPr>
              <w:pStyle w:val="TableContents"/>
              <w:spacing w:before="0" w:after="0"/>
              <w:jc w:val="right"/>
              <w:rPr>
                <w:rFonts w:ascii="arial" w:hAnsi="arial"/>
                <w:b/>
                <w:color w:val="FFFFFF"/>
                <w:sz w:val="14"/>
              </w:rPr>
            </w:pPr>
            <w:r>
              <w:rPr>
                <w:rFonts w:ascii="arial" w:hAnsi="arial"/>
                <w:b/>
                <w:color w:val="FFFFFF"/>
                <w:sz w:val="14"/>
              </w:rPr>
              <w:t>Expatriate</w:t>
            </w:r>
          </w:p>
          <w:p>
            <w:pPr>
              <w:pStyle w:val="TableContents"/>
              <w:spacing w:before="0" w:after="0"/>
              <w:jc w:val="right"/>
              <w:rPr>
                <w:rFonts w:ascii="arial" w:hAnsi="arial"/>
                <w:b/>
                <w:color w:val="FFFFFF"/>
                <w:sz w:val="14"/>
              </w:rPr>
            </w:pPr>
            <w:r>
              <w:rPr>
                <w:rFonts w:ascii="arial" w:hAnsi="arial"/>
                <w:b/>
                <w:color w:val="FFFFFF"/>
                <w:sz w:val="14"/>
              </w:rPr>
              <w:t>Benefits</w:t>
            </w:r>
          </w:p>
          <w:p>
            <w:pPr>
              <w:pStyle w:val="TableContents"/>
              <w:spacing w:before="0" w:after="20"/>
              <w:jc w:val="right"/>
              <w:rPr>
                <w:rFonts w:ascii="arial" w:hAnsi="arial"/>
                <w:b/>
                <w:color w:val="FFFFFF"/>
                <w:sz w:val="14"/>
              </w:rPr>
            </w:pPr>
            <w:r>
              <w:rPr>
                <w:rFonts w:ascii="arial" w:hAnsi="arial"/>
                <w:b/>
                <w:color w:val="FFFFFF"/>
                <w:sz w:val="14"/>
              </w:rPr>
              <w:t>($)(c)</w:t>
            </w:r>
          </w:p>
        </w:tc>
        <w:tc>
          <w:tcPr>
            <w:tcW w:w="60" w:type="dxa"/>
            <w:tcBorders/>
            <w:shd w:fill="444444" w:val="clear"/>
            <w:vAlign w:val="center"/>
          </w:tcPr>
          <w:p>
            <w:pPr>
              <w:pStyle w:val="TableContents"/>
              <w:spacing w:before="0" w:after="283"/>
              <w:rPr/>
            </w:pPr>
            <w:r>
              <w:rPr/>
              <w:t> </w:t>
            </w:r>
          </w:p>
        </w:tc>
        <w:tc>
          <w:tcPr>
            <w:tcW w:w="60" w:type="dxa"/>
            <w:tcBorders/>
            <w:shd w:fill="444444" w:val="clear"/>
            <w:vAlign w:val="center"/>
          </w:tcPr>
          <w:p>
            <w:pPr>
              <w:pStyle w:val="TableContents"/>
              <w:spacing w:before="0" w:after="283"/>
              <w:rPr/>
            </w:pPr>
            <w:r>
              <w:rPr/>
              <w:t> </w:t>
            </w:r>
          </w:p>
        </w:tc>
        <w:tc>
          <w:tcPr>
            <w:tcW w:w="800" w:type="dxa"/>
            <w:gridSpan w:val="2"/>
            <w:tcBorders/>
            <w:shd w:fill="444444" w:val="clear"/>
            <w:vAlign w:val="center"/>
          </w:tcPr>
          <w:p>
            <w:pPr>
              <w:pStyle w:val="TableContents"/>
              <w:spacing w:before="0" w:after="0"/>
              <w:jc w:val="right"/>
              <w:rPr>
                <w:rFonts w:ascii="arial" w:hAnsi="arial"/>
                <w:b/>
                <w:color w:val="FFFFFF"/>
                <w:sz w:val="14"/>
              </w:rPr>
            </w:pPr>
            <w:r>
              <w:rPr>
                <w:rFonts w:ascii="arial" w:hAnsi="arial"/>
                <w:b/>
                <w:color w:val="FFFFFF"/>
                <w:sz w:val="14"/>
              </w:rPr>
              <w:t>401(k) and</w:t>
            </w:r>
          </w:p>
          <w:p>
            <w:pPr>
              <w:pStyle w:val="TableContents"/>
              <w:spacing w:before="0" w:after="0"/>
              <w:jc w:val="right"/>
              <w:rPr>
                <w:rFonts w:ascii="arial" w:hAnsi="arial"/>
                <w:b/>
                <w:color w:val="FFFFFF"/>
                <w:sz w:val="14"/>
              </w:rPr>
            </w:pPr>
            <w:r>
              <w:rPr>
                <w:rFonts w:ascii="arial" w:hAnsi="arial"/>
                <w:b/>
                <w:color w:val="FFFFFF"/>
                <w:sz w:val="14"/>
              </w:rPr>
              <w:t>Profit</w:t>
            </w:r>
          </w:p>
          <w:p>
            <w:pPr>
              <w:pStyle w:val="TableContents"/>
              <w:spacing w:before="0" w:after="0"/>
              <w:jc w:val="right"/>
              <w:rPr>
                <w:rFonts w:ascii="arial" w:hAnsi="arial"/>
                <w:b/>
                <w:color w:val="FFFFFF"/>
                <w:sz w:val="14"/>
              </w:rPr>
            </w:pPr>
            <w:r>
              <w:rPr>
                <w:rFonts w:ascii="arial" w:hAnsi="arial"/>
                <w:b/>
                <w:color w:val="FFFFFF"/>
                <w:sz w:val="14"/>
              </w:rPr>
              <w:t>Sharing</w:t>
            </w:r>
          </w:p>
          <w:p>
            <w:pPr>
              <w:pStyle w:val="TableContents"/>
              <w:spacing w:before="0" w:after="0"/>
              <w:jc w:val="right"/>
              <w:rPr>
                <w:rFonts w:ascii="arial" w:hAnsi="arial"/>
                <w:b/>
                <w:color w:val="FFFFFF"/>
                <w:sz w:val="14"/>
              </w:rPr>
            </w:pPr>
            <w:r>
              <w:rPr>
                <w:rFonts w:ascii="arial" w:hAnsi="arial"/>
                <w:b/>
                <w:color w:val="FFFFFF"/>
                <w:sz w:val="14"/>
              </w:rPr>
              <w:t>Plan</w:t>
            </w:r>
          </w:p>
          <w:p>
            <w:pPr>
              <w:pStyle w:val="TableContents"/>
              <w:spacing w:before="0" w:after="0"/>
              <w:jc w:val="right"/>
              <w:rPr>
                <w:rFonts w:ascii="arial" w:hAnsi="arial"/>
                <w:b/>
                <w:color w:val="FFFFFF"/>
                <w:sz w:val="14"/>
              </w:rPr>
            </w:pPr>
            <w:r>
              <w:rPr>
                <w:rFonts w:ascii="arial" w:hAnsi="arial"/>
                <w:b/>
                <w:color w:val="FFFFFF"/>
                <w:sz w:val="14"/>
              </w:rPr>
              <w:t>Matching</w:t>
            </w:r>
          </w:p>
          <w:p>
            <w:pPr>
              <w:pStyle w:val="TableContents"/>
              <w:spacing w:before="0" w:after="0"/>
              <w:jc w:val="right"/>
              <w:rPr>
                <w:rFonts w:ascii="arial" w:hAnsi="arial"/>
                <w:b/>
                <w:color w:val="FFFFFF"/>
                <w:sz w:val="14"/>
              </w:rPr>
            </w:pPr>
            <w:r>
              <w:rPr>
                <w:rFonts w:ascii="arial" w:hAnsi="arial"/>
                <w:b/>
                <w:color w:val="FFFFFF"/>
                <w:sz w:val="14"/>
              </w:rPr>
              <w:t>and Profit</w:t>
            </w:r>
          </w:p>
          <w:p>
            <w:pPr>
              <w:pStyle w:val="TableContents"/>
              <w:spacing w:before="0" w:after="0"/>
              <w:jc w:val="right"/>
              <w:rPr>
                <w:rFonts w:ascii="arial" w:hAnsi="arial"/>
                <w:b/>
                <w:color w:val="FFFFFF"/>
                <w:sz w:val="14"/>
              </w:rPr>
            </w:pPr>
            <w:r>
              <w:rPr>
                <w:rFonts w:ascii="arial" w:hAnsi="arial"/>
                <w:b/>
                <w:color w:val="FFFFFF"/>
                <w:sz w:val="14"/>
              </w:rPr>
              <w:t>Sharing</w:t>
            </w:r>
          </w:p>
          <w:p>
            <w:pPr>
              <w:pStyle w:val="TableContents"/>
              <w:spacing w:before="0" w:after="0"/>
              <w:jc w:val="right"/>
              <w:rPr>
                <w:rFonts w:ascii="arial" w:hAnsi="arial"/>
                <w:b/>
                <w:color w:val="FFFFFF"/>
                <w:sz w:val="14"/>
              </w:rPr>
            </w:pPr>
            <w:r>
              <w:rPr>
                <w:rFonts w:ascii="arial" w:hAnsi="arial"/>
                <w:b/>
                <w:color w:val="FFFFFF"/>
                <w:sz w:val="14"/>
              </w:rPr>
              <w:t>Contribution</w:t>
            </w:r>
          </w:p>
          <w:p>
            <w:pPr>
              <w:pStyle w:val="TableContents"/>
              <w:spacing w:before="0" w:after="20"/>
              <w:jc w:val="right"/>
              <w:rPr>
                <w:rFonts w:ascii="arial" w:hAnsi="arial"/>
                <w:b/>
                <w:color w:val="FFFFFF"/>
                <w:sz w:val="14"/>
              </w:rPr>
            </w:pPr>
            <w:r>
              <w:rPr>
                <w:rFonts w:ascii="arial" w:hAnsi="arial"/>
                <w:b/>
                <w:color w:val="FFFFFF"/>
                <w:sz w:val="14"/>
              </w:rPr>
              <w:t>($)(d)</w:t>
            </w:r>
          </w:p>
        </w:tc>
        <w:tc>
          <w:tcPr>
            <w:tcW w:w="60" w:type="dxa"/>
            <w:tcBorders/>
            <w:shd w:fill="444444" w:val="clear"/>
            <w:vAlign w:val="center"/>
          </w:tcPr>
          <w:p>
            <w:pPr>
              <w:pStyle w:val="TableContents"/>
              <w:spacing w:before="0" w:after="283"/>
              <w:rPr/>
            </w:pPr>
            <w:r>
              <w:rPr/>
              <w:t> </w:t>
            </w:r>
          </w:p>
        </w:tc>
        <w:tc>
          <w:tcPr>
            <w:tcW w:w="60" w:type="dxa"/>
            <w:tcBorders/>
            <w:shd w:fill="444444" w:val="clear"/>
            <w:vAlign w:val="center"/>
          </w:tcPr>
          <w:p>
            <w:pPr>
              <w:pStyle w:val="TableContents"/>
              <w:spacing w:before="0" w:after="283"/>
              <w:rPr/>
            </w:pPr>
            <w:r>
              <w:rPr/>
              <w:t> </w:t>
            </w:r>
          </w:p>
        </w:tc>
        <w:tc>
          <w:tcPr>
            <w:tcW w:w="860" w:type="dxa"/>
            <w:gridSpan w:val="2"/>
            <w:tcBorders/>
            <w:shd w:fill="444444" w:val="clear"/>
            <w:vAlign w:val="center"/>
          </w:tcPr>
          <w:p>
            <w:pPr>
              <w:pStyle w:val="TableContents"/>
              <w:spacing w:before="0" w:after="0"/>
              <w:jc w:val="right"/>
              <w:rPr>
                <w:rFonts w:ascii="arial" w:hAnsi="arial"/>
                <w:b/>
                <w:color w:val="FFFFFF"/>
                <w:sz w:val="14"/>
              </w:rPr>
            </w:pPr>
            <w:r>
              <w:rPr>
                <w:rFonts w:ascii="arial" w:hAnsi="arial"/>
                <w:b/>
                <w:color w:val="FFFFFF"/>
                <w:sz w:val="14"/>
              </w:rPr>
              <w:t>Restoration</w:t>
            </w:r>
          </w:p>
          <w:p>
            <w:pPr>
              <w:pStyle w:val="TableContents"/>
              <w:spacing w:before="0" w:after="0"/>
              <w:jc w:val="right"/>
              <w:rPr>
                <w:rFonts w:ascii="arial" w:hAnsi="arial"/>
                <w:b/>
                <w:color w:val="FFFFFF"/>
                <w:sz w:val="14"/>
              </w:rPr>
            </w:pPr>
            <w:r>
              <w:rPr>
                <w:rFonts w:ascii="arial" w:hAnsi="arial"/>
                <w:b/>
                <w:color w:val="FFFFFF"/>
                <w:sz w:val="14"/>
              </w:rPr>
              <w:t>Plan</w:t>
            </w:r>
          </w:p>
          <w:p>
            <w:pPr>
              <w:pStyle w:val="TableContents"/>
              <w:spacing w:before="0" w:after="0"/>
              <w:jc w:val="right"/>
              <w:rPr>
                <w:rFonts w:ascii="arial" w:hAnsi="arial"/>
                <w:b/>
                <w:color w:val="FFFFFF"/>
                <w:sz w:val="14"/>
              </w:rPr>
            </w:pPr>
            <w:r>
              <w:rPr>
                <w:rFonts w:ascii="arial" w:hAnsi="arial"/>
                <w:b/>
                <w:color w:val="FFFFFF"/>
                <w:sz w:val="14"/>
              </w:rPr>
              <w:t>Contribution</w:t>
            </w:r>
          </w:p>
          <w:p>
            <w:pPr>
              <w:pStyle w:val="TableContents"/>
              <w:spacing w:before="0" w:after="20"/>
              <w:jc w:val="right"/>
              <w:rPr>
                <w:rFonts w:ascii="arial" w:hAnsi="arial"/>
                <w:b/>
                <w:color w:val="FFFFFF"/>
                <w:sz w:val="14"/>
              </w:rPr>
            </w:pPr>
            <w:r>
              <w:rPr>
                <w:rFonts w:ascii="arial" w:hAnsi="arial"/>
                <w:b/>
                <w:color w:val="FFFFFF"/>
                <w:sz w:val="14"/>
              </w:rPr>
              <w:t>($)(e)</w:t>
            </w:r>
          </w:p>
        </w:tc>
        <w:tc>
          <w:tcPr>
            <w:tcW w:w="60" w:type="dxa"/>
            <w:tcBorders/>
            <w:shd w:fill="444444" w:val="clear"/>
            <w:vAlign w:val="center"/>
          </w:tcPr>
          <w:p>
            <w:pPr>
              <w:pStyle w:val="TableContents"/>
              <w:spacing w:before="0" w:after="283"/>
              <w:rPr/>
            </w:pPr>
            <w:r>
              <w:rPr/>
              <w:t> </w:t>
            </w:r>
          </w:p>
        </w:tc>
        <w:tc>
          <w:tcPr>
            <w:tcW w:w="60" w:type="dxa"/>
            <w:tcBorders/>
            <w:shd w:fill="444444" w:val="clear"/>
            <w:vAlign w:val="center"/>
          </w:tcPr>
          <w:p>
            <w:pPr>
              <w:pStyle w:val="TableContents"/>
              <w:spacing w:before="0" w:after="283"/>
              <w:rPr/>
            </w:pPr>
            <w:r>
              <w:rPr/>
              <w:t> </w:t>
            </w:r>
          </w:p>
        </w:tc>
        <w:tc>
          <w:tcPr>
            <w:tcW w:w="740" w:type="dxa"/>
            <w:gridSpan w:val="2"/>
            <w:tcBorders/>
            <w:shd w:fill="444444" w:val="clear"/>
            <w:vAlign w:val="center"/>
          </w:tcPr>
          <w:p>
            <w:pPr>
              <w:pStyle w:val="TableContents"/>
              <w:spacing w:before="0" w:after="0"/>
              <w:jc w:val="right"/>
              <w:rPr>
                <w:rFonts w:ascii="arial" w:hAnsi="arial"/>
                <w:b/>
                <w:color w:val="FFFFFF"/>
                <w:sz w:val="14"/>
              </w:rPr>
            </w:pPr>
            <w:r>
              <w:rPr>
                <w:rFonts w:ascii="arial" w:hAnsi="arial"/>
                <w:b/>
                <w:color w:val="FFFFFF"/>
                <w:sz w:val="14"/>
              </w:rPr>
              <w:t>Other</w:t>
            </w:r>
          </w:p>
          <w:p>
            <w:pPr>
              <w:pStyle w:val="TableContents"/>
              <w:spacing w:before="0" w:after="20"/>
              <w:jc w:val="right"/>
              <w:rPr>
                <w:rFonts w:ascii="arial" w:hAnsi="arial"/>
                <w:b/>
                <w:color w:val="FFFFFF"/>
                <w:sz w:val="14"/>
              </w:rPr>
            </w:pPr>
            <w:r>
              <w:rPr>
                <w:rFonts w:ascii="arial" w:hAnsi="arial"/>
                <w:b/>
                <w:color w:val="FFFFFF"/>
                <w:sz w:val="14"/>
              </w:rPr>
              <w:t>($)(f)</w:t>
            </w:r>
          </w:p>
        </w:tc>
        <w:tc>
          <w:tcPr>
            <w:tcW w:w="60" w:type="dxa"/>
            <w:tcBorders/>
            <w:shd w:fill="444444" w:val="clear"/>
            <w:vAlign w:val="center"/>
          </w:tcPr>
          <w:p>
            <w:pPr>
              <w:pStyle w:val="TableContents"/>
              <w:spacing w:before="0" w:after="283"/>
              <w:rPr/>
            </w:pPr>
            <w:r>
              <w:rPr/>
              <w:t> </w:t>
            </w:r>
          </w:p>
        </w:tc>
        <w:tc>
          <w:tcPr>
            <w:tcW w:w="60" w:type="dxa"/>
            <w:tcBorders/>
            <w:shd w:fill="444444" w:val="clear"/>
            <w:vAlign w:val="center"/>
          </w:tcPr>
          <w:p>
            <w:pPr>
              <w:pStyle w:val="TableContents"/>
              <w:spacing w:before="0" w:after="283"/>
              <w:rPr/>
            </w:pPr>
            <w:r>
              <w:rPr/>
              <w:t> </w:t>
            </w:r>
          </w:p>
        </w:tc>
        <w:tc>
          <w:tcPr>
            <w:tcW w:w="860" w:type="dxa"/>
            <w:gridSpan w:val="2"/>
            <w:tcBorders/>
            <w:shd w:fill="444444" w:val="clear"/>
            <w:vAlign w:val="center"/>
          </w:tcPr>
          <w:p>
            <w:pPr>
              <w:pStyle w:val="TableContents"/>
              <w:spacing w:before="0" w:after="0"/>
              <w:jc w:val="right"/>
              <w:rPr>
                <w:rFonts w:ascii="arial" w:hAnsi="arial"/>
                <w:b/>
                <w:color w:val="FFFFFF"/>
                <w:sz w:val="14"/>
              </w:rPr>
            </w:pPr>
            <w:r>
              <w:rPr>
                <w:rFonts w:ascii="arial" w:hAnsi="arial"/>
                <w:b/>
                <w:color w:val="FFFFFF"/>
                <w:sz w:val="14"/>
              </w:rPr>
              <w:t>Total</w:t>
            </w:r>
          </w:p>
          <w:p>
            <w:pPr>
              <w:pStyle w:val="TableContents"/>
              <w:spacing w:before="0" w:after="20"/>
              <w:jc w:val="right"/>
              <w:rPr>
                <w:rFonts w:ascii="arial" w:hAnsi="arial"/>
                <w:b/>
                <w:color w:val="FFFFFF"/>
                <w:sz w:val="14"/>
              </w:rPr>
            </w:pPr>
            <w:r>
              <w:rPr>
                <w:rFonts w:ascii="arial" w:hAnsi="arial"/>
                <w:b/>
                <w:color w:val="FFFFFF"/>
                <w:sz w:val="14"/>
              </w:rPr>
              <w:t>($)</w:t>
            </w:r>
          </w:p>
        </w:tc>
        <w:tc>
          <w:tcPr>
            <w:tcW w:w="75" w:type="dxa"/>
            <w:tcBorders/>
            <w:shd w:fill="444444" w:val="clear"/>
            <w:vAlign w:val="center"/>
          </w:tcPr>
          <w:p>
            <w:pPr>
              <w:pStyle w:val="TableContents"/>
              <w:spacing w:before="0" w:after="283"/>
              <w:rPr/>
            </w:pPr>
            <w:r>
              <w:rPr/>
              <w:t> </w:t>
            </w:r>
          </w:p>
        </w:tc>
      </w:tr>
      <w:tr>
        <w:trPr/>
        <w:tc>
          <w:tcPr>
            <w:tcW w:w="1370" w:type="dxa"/>
            <w:tcBorders/>
            <w:shd w:fill="E5E5E5" w:val="clear"/>
            <w:vAlign w:val="center"/>
          </w:tcPr>
          <w:p>
            <w:pPr>
              <w:pStyle w:val="TableContents"/>
              <w:spacing w:before="0" w:after="0"/>
              <w:rPr>
                <w:rFonts w:ascii="arial" w:hAnsi="arial"/>
                <w:sz w:val="18"/>
              </w:rPr>
            </w:pPr>
            <w:r>
              <w:rPr>
                <w:rFonts w:ascii="arial" w:hAnsi="arial"/>
                <w:sz w:val="18"/>
              </w:rPr>
              <w:t>Michael Goettler</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500" w:type="dxa"/>
            <w:tcBorders/>
            <w:shd w:fill="E5E5E5" w:val="clear"/>
            <w:vAlign w:val="center"/>
          </w:tcPr>
          <w:p>
            <w:pPr>
              <w:pStyle w:val="TableContents"/>
              <w:spacing w:before="0" w:after="283"/>
              <w:jc w:val="right"/>
              <w:rPr/>
            </w:pPr>
            <w:r>
              <w:rPr/>
              <w:t>2022</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80" w:type="dxa"/>
            <w:tcBorders/>
            <w:shd w:fill="E5E5E5" w:val="clear"/>
            <w:vAlign w:val="center"/>
          </w:tcPr>
          <w:p>
            <w:pPr>
              <w:pStyle w:val="TableContents"/>
              <w:spacing w:before="0" w:after="283"/>
              <w:jc w:val="right"/>
              <w:rPr/>
            </w:pPr>
            <w:r>
              <w:rPr/>
              <w:t>21,162</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80" w:type="dxa"/>
            <w:tcBorders/>
            <w:shd w:fill="E5E5E5" w:val="clear"/>
            <w:vAlign w:val="center"/>
          </w:tcPr>
          <w:p>
            <w:pPr>
              <w:pStyle w:val="TableContents"/>
              <w:spacing w:before="0" w:after="283"/>
              <w:jc w:val="right"/>
              <w:rPr/>
            </w:pPr>
            <w:r>
              <w:rPr/>
              <w:t>68,081</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800" w:type="dxa"/>
            <w:tcBorders/>
            <w:shd w:fill="E5E5E5" w:val="clear"/>
            <w:vAlign w:val="center"/>
          </w:tcPr>
          <w:p>
            <w:pPr>
              <w:pStyle w:val="TableContents"/>
              <w:spacing w:before="0" w:after="283"/>
              <w:jc w:val="right"/>
              <w:rPr/>
            </w:pPr>
            <w:r>
              <w:rPr/>
              <w:t>95,554</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4" w:type="dxa"/>
            <w:tcBorders/>
            <w:shd w:fill="E5E5E5" w:val="clear"/>
            <w:vAlign w:val="center"/>
          </w:tcPr>
          <w:p>
            <w:pPr>
              <w:pStyle w:val="TableContents"/>
              <w:spacing w:before="0" w:after="283"/>
              <w:rPr/>
            </w:pPr>
            <w:r>
              <w:rPr/>
              <w:t> </w:t>
            </w:r>
          </w:p>
        </w:tc>
        <w:tc>
          <w:tcPr>
            <w:tcW w:w="736" w:type="dxa"/>
            <w:tcBorders/>
            <w:shd w:fill="E5E5E5" w:val="clear"/>
            <w:vAlign w:val="center"/>
          </w:tcPr>
          <w:p>
            <w:pPr>
              <w:pStyle w:val="TableContents"/>
              <w:spacing w:before="0" w:after="283"/>
              <w:jc w:val="right"/>
              <w:rPr/>
            </w:pPr>
            <w:r>
              <w:rPr/>
              <w:t>31,350</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800" w:type="dxa"/>
            <w:tcBorders/>
            <w:shd w:fill="E5E5E5" w:val="clear"/>
            <w:vAlign w:val="center"/>
          </w:tcPr>
          <w:p>
            <w:pPr>
              <w:pStyle w:val="TableContents"/>
              <w:spacing w:before="0" w:after="283"/>
              <w:jc w:val="right"/>
              <w:rPr/>
            </w:pPr>
            <w:r>
              <w:rPr/>
              <w:t>514,149</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80" w:type="dxa"/>
            <w:tcBorders/>
            <w:shd w:fill="E5E5E5" w:val="clear"/>
            <w:vAlign w:val="center"/>
          </w:tcPr>
          <w:p>
            <w:pPr>
              <w:pStyle w:val="TableContents"/>
              <w:spacing w:before="0" w:after="283"/>
              <w:jc w:val="right"/>
              <w:rPr/>
            </w:pPr>
            <w:r>
              <w:rPr/>
              <w:t>1,688</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800" w:type="dxa"/>
            <w:tcBorders/>
            <w:shd w:fill="E5E5E5" w:val="clear"/>
            <w:vAlign w:val="center"/>
          </w:tcPr>
          <w:p>
            <w:pPr>
              <w:pStyle w:val="TableContents"/>
              <w:spacing w:before="0" w:after="283"/>
              <w:jc w:val="right"/>
              <w:rPr/>
            </w:pPr>
            <w:r>
              <w:rPr/>
              <w:t>731,984</w:t>
            </w:r>
          </w:p>
        </w:tc>
        <w:tc>
          <w:tcPr>
            <w:tcW w:w="75" w:type="dxa"/>
            <w:tcBorders/>
            <w:shd w:fill="E5E5E5" w:val="clear"/>
            <w:vAlign w:val="center"/>
          </w:tcPr>
          <w:p>
            <w:pPr>
              <w:pStyle w:val="TableContents"/>
              <w:spacing w:before="0" w:after="283"/>
              <w:rPr/>
            </w:pPr>
            <w:r>
              <w:rPr/>
              <w:t> </w:t>
            </w:r>
          </w:p>
        </w:tc>
      </w:tr>
      <w:tr>
        <w:trPr/>
        <w:tc>
          <w:tcPr>
            <w:tcW w:w="1370" w:type="dxa"/>
            <w:tcBorders/>
            <w:shd w:fill="E5E5E5" w:val="clear"/>
            <w:vAlign w:val="center"/>
          </w:tcPr>
          <w:p>
            <w:pPr>
              <w:pStyle w:val="TableContents"/>
              <w:spacing w:before="0" w:after="283"/>
              <w:rPr>
                <w:sz w:val="4"/>
                <w:szCs w:val="4"/>
              </w:rPr>
            </w:pPr>
            <w:r>
              <w:rPr>
                <w:sz w:val="4"/>
                <w:szCs w:val="4"/>
              </w:rPr>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500" w:type="dxa"/>
            <w:tcBorders/>
            <w:shd w:fill="E5E5E5" w:val="clear"/>
            <w:vAlign w:val="center"/>
          </w:tcPr>
          <w:p>
            <w:pPr>
              <w:pStyle w:val="TableContents"/>
              <w:spacing w:before="0" w:after="283"/>
              <w:jc w:val="right"/>
              <w:rPr/>
            </w:pPr>
            <w:r>
              <w:rPr/>
              <w:t>2021</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80" w:type="dxa"/>
            <w:tcBorders/>
            <w:shd w:fill="E5E5E5" w:val="clear"/>
            <w:vAlign w:val="center"/>
          </w:tcPr>
          <w:p>
            <w:pPr>
              <w:pStyle w:val="TableContents"/>
              <w:spacing w:before="0" w:after="283"/>
              <w:jc w:val="right"/>
              <w:rPr/>
            </w:pPr>
            <w:r>
              <w:rPr/>
              <w:t>19,451</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80" w:type="dxa"/>
            <w:tcBorders/>
            <w:shd w:fill="E5E5E5" w:val="clear"/>
            <w:vAlign w:val="center"/>
          </w:tcPr>
          <w:p>
            <w:pPr>
              <w:pStyle w:val="TableContents"/>
              <w:spacing w:before="0" w:after="283"/>
              <w:jc w:val="right"/>
              <w:rPr/>
            </w:pPr>
            <w:r>
              <w:rPr/>
              <w:t>58,797</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800" w:type="dxa"/>
            <w:tcBorders/>
            <w:shd w:fill="E5E5E5" w:val="clear"/>
            <w:vAlign w:val="center"/>
          </w:tcPr>
          <w:p>
            <w:pPr>
              <w:pStyle w:val="TableContents"/>
              <w:spacing w:before="0" w:after="283"/>
              <w:jc w:val="right"/>
              <w:rPr/>
            </w:pPr>
            <w:r>
              <w:rPr/>
              <w:t>227,481</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4" w:type="dxa"/>
            <w:tcBorders/>
            <w:shd w:fill="E5E5E5" w:val="clear"/>
            <w:vAlign w:val="center"/>
          </w:tcPr>
          <w:p>
            <w:pPr>
              <w:pStyle w:val="TableContents"/>
              <w:spacing w:before="0" w:after="283"/>
              <w:rPr/>
            </w:pPr>
            <w:r>
              <w:rPr/>
              <w:t> </w:t>
            </w:r>
          </w:p>
        </w:tc>
        <w:tc>
          <w:tcPr>
            <w:tcW w:w="736" w:type="dxa"/>
            <w:tcBorders/>
            <w:shd w:fill="E5E5E5" w:val="clear"/>
            <w:vAlign w:val="center"/>
          </w:tcPr>
          <w:p>
            <w:pPr>
              <w:pStyle w:val="TableContents"/>
              <w:spacing w:before="0" w:after="283"/>
              <w:jc w:val="right"/>
              <w:rPr/>
            </w:pPr>
            <w:r>
              <w:rPr/>
              <w:t>30,300</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800" w:type="dxa"/>
            <w:tcBorders/>
            <w:shd w:fill="E5E5E5" w:val="clear"/>
            <w:vAlign w:val="center"/>
          </w:tcPr>
          <w:p>
            <w:pPr>
              <w:pStyle w:val="TableContents"/>
              <w:spacing w:before="0" w:after="283"/>
              <w:jc w:val="right"/>
              <w:rPr/>
            </w:pPr>
            <w:r>
              <w:rPr/>
              <w:t>325,762</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80" w:type="dxa"/>
            <w:tcBorders/>
            <w:shd w:fill="E5E5E5" w:val="clear"/>
            <w:vAlign w:val="center"/>
          </w:tcPr>
          <w:p>
            <w:pPr>
              <w:pStyle w:val="TableContents"/>
              <w:spacing w:before="0" w:after="283"/>
              <w:jc w:val="right"/>
              <w:rPr/>
            </w:pPr>
            <w:r>
              <w:rPr/>
              <w:t>1,649</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800" w:type="dxa"/>
            <w:tcBorders/>
            <w:shd w:fill="E5E5E5" w:val="clear"/>
            <w:vAlign w:val="center"/>
          </w:tcPr>
          <w:p>
            <w:pPr>
              <w:pStyle w:val="TableContents"/>
              <w:spacing w:before="0" w:after="283"/>
              <w:jc w:val="right"/>
              <w:rPr/>
            </w:pPr>
            <w:r>
              <w:rPr/>
              <w:t>663,440</w:t>
            </w:r>
          </w:p>
        </w:tc>
        <w:tc>
          <w:tcPr>
            <w:tcW w:w="75" w:type="dxa"/>
            <w:tcBorders/>
            <w:shd w:fill="E5E5E5" w:val="clear"/>
            <w:vAlign w:val="center"/>
          </w:tcPr>
          <w:p>
            <w:pPr>
              <w:pStyle w:val="TableContents"/>
              <w:spacing w:before="0" w:after="283"/>
              <w:rPr/>
            </w:pPr>
            <w:r>
              <w:rPr/>
              <w:t> </w:t>
            </w:r>
          </w:p>
        </w:tc>
      </w:tr>
      <w:tr>
        <w:trPr/>
        <w:tc>
          <w:tcPr>
            <w:tcW w:w="1370" w:type="dxa"/>
            <w:tcBorders/>
            <w:shd w:fill="E5E5E5" w:val="clear"/>
            <w:vAlign w:val="center"/>
          </w:tcPr>
          <w:p>
            <w:pPr>
              <w:pStyle w:val="TableContents"/>
              <w:spacing w:before="0" w:after="283"/>
              <w:rPr>
                <w:sz w:val="4"/>
                <w:szCs w:val="4"/>
              </w:rPr>
            </w:pPr>
            <w:r>
              <w:rPr>
                <w:sz w:val="4"/>
                <w:szCs w:val="4"/>
              </w:rPr>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500" w:type="dxa"/>
            <w:tcBorders/>
            <w:shd w:fill="E5E5E5" w:val="clear"/>
            <w:vAlign w:val="center"/>
          </w:tcPr>
          <w:p>
            <w:pPr>
              <w:pStyle w:val="TableContents"/>
              <w:spacing w:before="0" w:after="283"/>
              <w:jc w:val="right"/>
              <w:rPr/>
            </w:pPr>
            <w:r>
              <w:rPr/>
              <w:t>2020</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80" w:type="dxa"/>
            <w:tcBorders/>
            <w:shd w:fill="E5E5E5" w:val="clear"/>
            <w:vAlign w:val="center"/>
          </w:tcPr>
          <w:p>
            <w:pPr>
              <w:pStyle w:val="TableContents"/>
              <w:spacing w:before="0" w:after="283"/>
              <w:jc w:val="right"/>
              <w:rPr/>
            </w:pPr>
            <w:r>
              <w:rPr/>
              <w:t>2,400</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80" w:type="dxa"/>
            <w:tcBorders/>
            <w:shd w:fill="E5E5E5" w:val="clear"/>
            <w:vAlign w:val="center"/>
          </w:tcPr>
          <w:p>
            <w:pPr>
              <w:pStyle w:val="TableContents"/>
              <w:spacing w:before="0" w:after="283"/>
              <w:jc w:val="right"/>
              <w:rPr/>
            </w:pPr>
            <w:r>
              <w:rPr/>
              <w:t>—</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800" w:type="dxa"/>
            <w:tcBorders/>
            <w:shd w:fill="E5E5E5" w:val="clear"/>
            <w:vAlign w:val="center"/>
          </w:tcPr>
          <w:p>
            <w:pPr>
              <w:pStyle w:val="TableContents"/>
              <w:spacing w:before="0" w:after="283"/>
              <w:jc w:val="right"/>
              <w:rPr/>
            </w:pPr>
            <w:r>
              <w:rPr/>
              <w:t>43,863</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4" w:type="dxa"/>
            <w:tcBorders/>
            <w:shd w:fill="E5E5E5" w:val="clear"/>
            <w:vAlign w:val="center"/>
          </w:tcPr>
          <w:p>
            <w:pPr>
              <w:pStyle w:val="TableContents"/>
              <w:spacing w:before="0" w:after="283"/>
              <w:rPr/>
            </w:pPr>
            <w:r>
              <w:rPr/>
              <w:t> </w:t>
            </w:r>
          </w:p>
        </w:tc>
        <w:tc>
          <w:tcPr>
            <w:tcW w:w="736" w:type="dxa"/>
            <w:tcBorders/>
            <w:shd w:fill="E5E5E5" w:val="clear"/>
            <w:vAlign w:val="center"/>
          </w:tcPr>
          <w:p>
            <w:pPr>
              <w:pStyle w:val="TableContents"/>
              <w:spacing w:before="0" w:after="283"/>
              <w:jc w:val="right"/>
              <w:rPr/>
            </w:pPr>
            <w:r>
              <w:rPr/>
              <w:t>9,750</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800" w:type="dxa"/>
            <w:tcBorders/>
            <w:shd w:fill="E5E5E5" w:val="clear"/>
            <w:vAlign w:val="center"/>
          </w:tcPr>
          <w:p>
            <w:pPr>
              <w:pStyle w:val="TableContents"/>
              <w:spacing w:before="0" w:after="283"/>
              <w:jc w:val="right"/>
              <w:rPr/>
            </w:pPr>
            <w:r>
              <w:rPr/>
              <w:t>193,199</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80" w:type="dxa"/>
            <w:tcBorders/>
            <w:shd w:fill="E5E5E5" w:val="clear"/>
            <w:vAlign w:val="center"/>
          </w:tcPr>
          <w:p>
            <w:pPr>
              <w:pStyle w:val="TableContents"/>
              <w:spacing w:before="0" w:after="283"/>
              <w:jc w:val="right"/>
              <w:rPr/>
            </w:pPr>
            <w:r>
              <w:rPr/>
              <w:t>143</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800" w:type="dxa"/>
            <w:tcBorders/>
            <w:shd w:fill="E5E5E5" w:val="clear"/>
            <w:vAlign w:val="center"/>
          </w:tcPr>
          <w:p>
            <w:pPr>
              <w:pStyle w:val="TableContents"/>
              <w:spacing w:before="0" w:after="283"/>
              <w:jc w:val="right"/>
              <w:rPr/>
            </w:pPr>
            <w:r>
              <w:rPr/>
              <w:t>249,355</w:t>
            </w:r>
          </w:p>
        </w:tc>
        <w:tc>
          <w:tcPr>
            <w:tcW w:w="75" w:type="dxa"/>
            <w:tcBorders/>
            <w:shd w:fill="E5E5E5" w:val="clear"/>
            <w:vAlign w:val="center"/>
          </w:tcPr>
          <w:p>
            <w:pPr>
              <w:pStyle w:val="TableContents"/>
              <w:spacing w:before="0" w:after="283"/>
              <w:rPr/>
            </w:pPr>
            <w:r>
              <w:rPr/>
              <w:t> </w:t>
            </w:r>
          </w:p>
        </w:tc>
      </w:tr>
      <w:tr>
        <w:trPr/>
        <w:tc>
          <w:tcPr>
            <w:tcW w:w="1370" w:type="dxa"/>
            <w:tcBorders/>
            <w:shd w:fill="auto" w:val="clear"/>
            <w:vAlign w:val="center"/>
          </w:tcPr>
          <w:p>
            <w:pPr>
              <w:pStyle w:val="TableContents"/>
              <w:spacing w:before="0" w:after="0"/>
              <w:rPr>
                <w:rFonts w:ascii="arial" w:hAnsi="arial"/>
                <w:sz w:val="18"/>
              </w:rPr>
            </w:pPr>
            <w:r>
              <w:rPr>
                <w:rFonts w:ascii="arial" w:hAnsi="arial"/>
                <w:sz w:val="18"/>
              </w:rPr>
              <w:t>Sanjeev Narula</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0" w:type="dxa"/>
            <w:tcBorders/>
            <w:shd w:fill="auto" w:val="clear"/>
            <w:vAlign w:val="center"/>
          </w:tcPr>
          <w:p>
            <w:pPr>
              <w:pStyle w:val="TableContents"/>
              <w:spacing w:before="0" w:after="283"/>
              <w:jc w:val="right"/>
              <w:rPr/>
            </w:pPr>
            <w:r>
              <w:rPr/>
              <w:t>2022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19,262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4,756</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736" w:type="dxa"/>
            <w:tcBorders/>
            <w:shd w:fill="auto" w:val="clear"/>
            <w:vAlign w:val="center"/>
          </w:tcPr>
          <w:p>
            <w:pPr>
              <w:pStyle w:val="TableContents"/>
              <w:spacing w:before="0" w:after="283"/>
              <w:jc w:val="right"/>
              <w:rPr/>
            </w:pPr>
            <w:r>
              <w:rPr/>
              <w:t>27,504</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228,450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1,688</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281,660</w:t>
            </w:r>
          </w:p>
        </w:tc>
        <w:tc>
          <w:tcPr>
            <w:tcW w:w="75" w:type="dxa"/>
            <w:tcBorders/>
            <w:shd w:fill="auto" w:val="clear"/>
            <w:vAlign w:val="center"/>
          </w:tcPr>
          <w:p>
            <w:pPr>
              <w:pStyle w:val="TableContents"/>
              <w:spacing w:before="0" w:after="283"/>
              <w:rPr/>
            </w:pPr>
            <w:r>
              <w:rPr/>
              <w:t> </w:t>
            </w:r>
          </w:p>
        </w:tc>
      </w:tr>
      <w:tr>
        <w:trPr/>
        <w:tc>
          <w:tcPr>
            <w:tcW w:w="13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0" w:type="dxa"/>
            <w:tcBorders/>
            <w:shd w:fill="auto" w:val="clear"/>
            <w:vAlign w:val="center"/>
          </w:tcPr>
          <w:p>
            <w:pPr>
              <w:pStyle w:val="TableContents"/>
              <w:spacing w:before="0" w:after="283"/>
              <w:jc w:val="right"/>
              <w:rPr/>
            </w:pPr>
            <w:r>
              <w:rPr/>
              <w:t>2021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19,200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336,440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736" w:type="dxa"/>
            <w:tcBorders/>
            <w:shd w:fill="auto" w:val="clear"/>
            <w:vAlign w:val="center"/>
          </w:tcPr>
          <w:p>
            <w:pPr>
              <w:pStyle w:val="TableContents"/>
              <w:spacing w:before="0" w:after="283"/>
              <w:jc w:val="right"/>
              <w:rPr/>
            </w:pPr>
            <w:r>
              <w:rPr/>
              <w:t>26,454</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139,419</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4,601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526,114</w:t>
            </w:r>
          </w:p>
        </w:tc>
        <w:tc>
          <w:tcPr>
            <w:tcW w:w="75" w:type="dxa"/>
            <w:tcBorders/>
            <w:shd w:fill="auto" w:val="clear"/>
            <w:vAlign w:val="center"/>
          </w:tcPr>
          <w:p>
            <w:pPr>
              <w:pStyle w:val="TableContents"/>
              <w:spacing w:before="0" w:after="283"/>
              <w:rPr/>
            </w:pPr>
            <w:r>
              <w:rPr/>
              <w:t> </w:t>
            </w:r>
          </w:p>
        </w:tc>
      </w:tr>
      <w:tr>
        <w:trPr/>
        <w:tc>
          <w:tcPr>
            <w:tcW w:w="13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0" w:type="dxa"/>
            <w:tcBorders/>
            <w:shd w:fill="auto" w:val="clear"/>
            <w:vAlign w:val="center"/>
          </w:tcPr>
          <w:p>
            <w:pPr>
              <w:pStyle w:val="TableContents"/>
              <w:spacing w:before="0" w:after="283"/>
              <w:jc w:val="right"/>
              <w:rPr/>
            </w:pPr>
            <w:r>
              <w:rPr/>
              <w:t>2020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2,400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631,856</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736" w:type="dxa"/>
            <w:tcBorders/>
            <w:shd w:fill="auto" w:val="clear"/>
            <w:vAlign w:val="center"/>
          </w:tcPr>
          <w:p>
            <w:pPr>
              <w:pStyle w:val="TableContents"/>
              <w:spacing w:before="0" w:after="283"/>
              <w:jc w:val="right"/>
              <w:rPr/>
            </w:pPr>
            <w:r>
              <w:rPr/>
              <w:t>7,231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20,089</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143</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661,719</w:t>
            </w:r>
          </w:p>
        </w:tc>
        <w:tc>
          <w:tcPr>
            <w:tcW w:w="75" w:type="dxa"/>
            <w:tcBorders/>
            <w:shd w:fill="auto" w:val="clear"/>
            <w:vAlign w:val="center"/>
          </w:tcPr>
          <w:p>
            <w:pPr>
              <w:pStyle w:val="TableContents"/>
              <w:spacing w:before="0" w:after="283"/>
              <w:rPr/>
            </w:pPr>
            <w:r>
              <w:rPr/>
              <w:t> </w:t>
            </w:r>
          </w:p>
        </w:tc>
      </w:tr>
      <w:tr>
        <w:trPr/>
        <w:tc>
          <w:tcPr>
            <w:tcW w:w="1370" w:type="dxa"/>
            <w:tcBorders/>
            <w:shd w:fill="E5E5E5" w:val="clear"/>
            <w:vAlign w:val="center"/>
          </w:tcPr>
          <w:p>
            <w:pPr>
              <w:pStyle w:val="TableContents"/>
              <w:spacing w:before="0" w:after="0"/>
              <w:rPr>
                <w:rFonts w:ascii="arial" w:hAnsi="arial"/>
                <w:sz w:val="18"/>
              </w:rPr>
            </w:pPr>
            <w:r>
              <w:rPr>
                <w:rFonts w:ascii="arial" w:hAnsi="arial"/>
                <w:sz w:val="18"/>
              </w:rPr>
              <w:t>Rajiv Malik</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500" w:type="dxa"/>
            <w:tcBorders/>
            <w:shd w:fill="E5E5E5" w:val="clear"/>
            <w:vAlign w:val="center"/>
          </w:tcPr>
          <w:p>
            <w:pPr>
              <w:pStyle w:val="TableContents"/>
              <w:spacing w:before="0" w:after="283"/>
              <w:jc w:val="right"/>
              <w:rPr/>
            </w:pPr>
            <w:r>
              <w:rPr/>
              <w:t>2022</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80" w:type="dxa"/>
            <w:tcBorders/>
            <w:shd w:fill="E5E5E5" w:val="clear"/>
            <w:vAlign w:val="center"/>
          </w:tcPr>
          <w:p>
            <w:pPr>
              <w:pStyle w:val="TableContents"/>
              <w:spacing w:before="0" w:after="283"/>
              <w:jc w:val="right"/>
              <w:rPr/>
            </w:pPr>
            <w:r>
              <w:rPr/>
              <w:t>30,998</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80" w:type="dxa"/>
            <w:tcBorders/>
            <w:shd w:fill="E5E5E5" w:val="clear"/>
            <w:vAlign w:val="center"/>
          </w:tcPr>
          <w:p>
            <w:pPr>
              <w:pStyle w:val="TableContents"/>
              <w:spacing w:before="0" w:after="283"/>
              <w:jc w:val="right"/>
              <w:rPr/>
            </w:pPr>
            <w:r>
              <w:rPr/>
              <w:t>71,273</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800" w:type="dxa"/>
            <w:tcBorders/>
            <w:shd w:fill="E5E5E5" w:val="clear"/>
            <w:vAlign w:val="center"/>
          </w:tcPr>
          <w:p>
            <w:pPr>
              <w:pStyle w:val="TableContents"/>
              <w:spacing w:before="0" w:after="283"/>
              <w:jc w:val="right"/>
              <w:rPr/>
            </w:pPr>
            <w:r>
              <w:rPr/>
              <w:t>—</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4" w:type="dxa"/>
            <w:tcBorders/>
            <w:shd w:fill="E5E5E5" w:val="clear"/>
            <w:vAlign w:val="center"/>
          </w:tcPr>
          <w:p>
            <w:pPr>
              <w:pStyle w:val="TableContents"/>
              <w:spacing w:before="0" w:after="283"/>
              <w:rPr/>
            </w:pPr>
            <w:r>
              <w:rPr/>
              <w:t> </w:t>
            </w:r>
          </w:p>
        </w:tc>
        <w:tc>
          <w:tcPr>
            <w:tcW w:w="736" w:type="dxa"/>
            <w:tcBorders/>
            <w:shd w:fill="E5E5E5" w:val="clear"/>
            <w:vAlign w:val="center"/>
          </w:tcPr>
          <w:p>
            <w:pPr>
              <w:pStyle w:val="TableContents"/>
              <w:spacing w:before="0" w:after="283"/>
              <w:jc w:val="right"/>
              <w:rPr/>
            </w:pPr>
            <w:r>
              <w:rPr/>
              <w:t>37,519</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800" w:type="dxa"/>
            <w:tcBorders/>
            <w:shd w:fill="E5E5E5" w:val="clear"/>
            <w:vAlign w:val="center"/>
          </w:tcPr>
          <w:p>
            <w:pPr>
              <w:pStyle w:val="TableContents"/>
              <w:spacing w:before="0" w:after="283"/>
              <w:jc w:val="right"/>
              <w:rPr/>
            </w:pPr>
            <w:r>
              <w:rPr/>
              <w:t>262,749</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80" w:type="dxa"/>
            <w:tcBorders/>
            <w:shd w:fill="E5E5E5" w:val="clear"/>
            <w:vAlign w:val="center"/>
          </w:tcPr>
          <w:p>
            <w:pPr>
              <w:pStyle w:val="TableContents"/>
              <w:spacing w:before="0" w:after="283"/>
              <w:jc w:val="right"/>
              <w:rPr/>
            </w:pPr>
            <w:r>
              <w:rPr/>
              <w:t>2,895</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800" w:type="dxa"/>
            <w:tcBorders/>
            <w:shd w:fill="E5E5E5" w:val="clear"/>
            <w:vAlign w:val="center"/>
          </w:tcPr>
          <w:p>
            <w:pPr>
              <w:pStyle w:val="TableContents"/>
              <w:spacing w:before="0" w:after="283"/>
              <w:jc w:val="right"/>
              <w:rPr/>
            </w:pPr>
            <w:r>
              <w:rPr/>
              <w:t>405,434</w:t>
            </w:r>
          </w:p>
        </w:tc>
        <w:tc>
          <w:tcPr>
            <w:tcW w:w="75" w:type="dxa"/>
            <w:tcBorders/>
            <w:shd w:fill="E5E5E5" w:val="clear"/>
            <w:vAlign w:val="center"/>
          </w:tcPr>
          <w:p>
            <w:pPr>
              <w:pStyle w:val="TableContents"/>
              <w:spacing w:before="0" w:after="283"/>
              <w:rPr/>
            </w:pPr>
            <w:r>
              <w:rPr/>
              <w:t> </w:t>
            </w:r>
          </w:p>
        </w:tc>
      </w:tr>
      <w:tr>
        <w:trPr/>
        <w:tc>
          <w:tcPr>
            <w:tcW w:w="1370" w:type="dxa"/>
            <w:tcBorders/>
            <w:shd w:fill="E5E5E5" w:val="clear"/>
            <w:vAlign w:val="center"/>
          </w:tcPr>
          <w:p>
            <w:pPr>
              <w:pStyle w:val="TableContents"/>
              <w:spacing w:before="0" w:after="283"/>
              <w:rPr>
                <w:sz w:val="4"/>
                <w:szCs w:val="4"/>
              </w:rPr>
            </w:pPr>
            <w:r>
              <w:rPr>
                <w:sz w:val="4"/>
                <w:szCs w:val="4"/>
              </w:rPr>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500" w:type="dxa"/>
            <w:tcBorders/>
            <w:shd w:fill="E5E5E5" w:val="clear"/>
            <w:vAlign w:val="center"/>
          </w:tcPr>
          <w:p>
            <w:pPr>
              <w:pStyle w:val="TableContents"/>
              <w:spacing w:before="0" w:after="283"/>
              <w:jc w:val="right"/>
              <w:rPr/>
            </w:pPr>
            <w:r>
              <w:rPr/>
              <w:t>2021</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80" w:type="dxa"/>
            <w:tcBorders/>
            <w:shd w:fill="E5E5E5" w:val="clear"/>
            <w:vAlign w:val="center"/>
          </w:tcPr>
          <w:p>
            <w:pPr>
              <w:pStyle w:val="TableContents"/>
              <w:spacing w:before="0" w:after="283"/>
              <w:jc w:val="right"/>
              <w:rPr/>
            </w:pPr>
            <w:r>
              <w:rPr/>
              <w:t>6,847</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80" w:type="dxa"/>
            <w:tcBorders/>
            <w:shd w:fill="E5E5E5" w:val="clear"/>
            <w:vAlign w:val="center"/>
          </w:tcPr>
          <w:p>
            <w:pPr>
              <w:pStyle w:val="TableContents"/>
              <w:spacing w:before="0" w:after="283"/>
              <w:jc w:val="right"/>
              <w:rPr/>
            </w:pPr>
            <w:r>
              <w:rPr/>
              <w:t>62,141</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800" w:type="dxa"/>
            <w:tcBorders/>
            <w:shd w:fill="E5E5E5" w:val="clear"/>
            <w:vAlign w:val="center"/>
          </w:tcPr>
          <w:p>
            <w:pPr>
              <w:pStyle w:val="TableContents"/>
              <w:spacing w:before="0" w:after="283"/>
              <w:jc w:val="right"/>
              <w:rPr/>
            </w:pPr>
            <w:r>
              <w:rPr/>
              <w:t>26,036</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4" w:type="dxa"/>
            <w:tcBorders/>
            <w:shd w:fill="E5E5E5" w:val="clear"/>
            <w:vAlign w:val="center"/>
          </w:tcPr>
          <w:p>
            <w:pPr>
              <w:pStyle w:val="TableContents"/>
              <w:spacing w:before="0" w:after="283"/>
              <w:rPr/>
            </w:pPr>
            <w:r>
              <w:rPr/>
              <w:t> </w:t>
            </w:r>
          </w:p>
        </w:tc>
        <w:tc>
          <w:tcPr>
            <w:tcW w:w="736" w:type="dxa"/>
            <w:tcBorders/>
            <w:shd w:fill="E5E5E5" w:val="clear"/>
            <w:vAlign w:val="center"/>
          </w:tcPr>
          <w:p>
            <w:pPr>
              <w:pStyle w:val="TableContents"/>
              <w:spacing w:before="0" w:after="283"/>
              <w:jc w:val="right"/>
              <w:rPr/>
            </w:pPr>
            <w:r>
              <w:rPr/>
              <w:t>32,700</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800" w:type="dxa"/>
            <w:tcBorders/>
            <w:shd w:fill="E5E5E5" w:val="clear"/>
            <w:vAlign w:val="center"/>
          </w:tcPr>
          <w:p>
            <w:pPr>
              <w:pStyle w:val="TableContents"/>
              <w:spacing w:before="0" w:after="283"/>
              <w:jc w:val="right"/>
              <w:rPr/>
            </w:pPr>
            <w:r>
              <w:rPr/>
              <w:t>228,787</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80" w:type="dxa"/>
            <w:tcBorders/>
            <w:shd w:fill="E5E5E5" w:val="clear"/>
            <w:vAlign w:val="center"/>
          </w:tcPr>
          <w:p>
            <w:pPr>
              <w:pStyle w:val="TableContents"/>
              <w:spacing w:before="0" w:after="283"/>
              <w:jc w:val="right"/>
              <w:rPr/>
            </w:pPr>
            <w:r>
              <w:rPr/>
              <w:t>7,172</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800" w:type="dxa"/>
            <w:tcBorders/>
            <w:shd w:fill="E5E5E5" w:val="clear"/>
            <w:vAlign w:val="center"/>
          </w:tcPr>
          <w:p>
            <w:pPr>
              <w:pStyle w:val="TableContents"/>
              <w:spacing w:before="0" w:after="283"/>
              <w:jc w:val="right"/>
              <w:rPr/>
            </w:pPr>
            <w:r>
              <w:rPr/>
              <w:t>363,683</w:t>
            </w:r>
          </w:p>
        </w:tc>
        <w:tc>
          <w:tcPr>
            <w:tcW w:w="75" w:type="dxa"/>
            <w:tcBorders/>
            <w:shd w:fill="E5E5E5" w:val="clear"/>
            <w:vAlign w:val="center"/>
          </w:tcPr>
          <w:p>
            <w:pPr>
              <w:pStyle w:val="TableContents"/>
              <w:spacing w:before="0" w:after="283"/>
              <w:rPr/>
            </w:pPr>
            <w:r>
              <w:rPr/>
              <w:t> </w:t>
            </w:r>
          </w:p>
        </w:tc>
      </w:tr>
      <w:tr>
        <w:trPr/>
        <w:tc>
          <w:tcPr>
            <w:tcW w:w="1370" w:type="dxa"/>
            <w:tcBorders/>
            <w:shd w:fill="E5E5E5" w:val="clear"/>
            <w:vAlign w:val="center"/>
          </w:tcPr>
          <w:p>
            <w:pPr>
              <w:pStyle w:val="TableContents"/>
              <w:spacing w:before="0" w:after="283"/>
              <w:rPr>
                <w:sz w:val="4"/>
                <w:szCs w:val="4"/>
              </w:rPr>
            </w:pPr>
            <w:r>
              <w:rPr>
                <w:sz w:val="4"/>
                <w:szCs w:val="4"/>
              </w:rPr>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500" w:type="dxa"/>
            <w:tcBorders/>
            <w:shd w:fill="E5E5E5" w:val="clear"/>
            <w:vAlign w:val="center"/>
          </w:tcPr>
          <w:p>
            <w:pPr>
              <w:pStyle w:val="TableContents"/>
              <w:spacing w:before="0" w:after="283"/>
              <w:jc w:val="right"/>
              <w:rPr/>
            </w:pPr>
            <w:r>
              <w:rPr/>
              <w:t>2020</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80" w:type="dxa"/>
            <w:tcBorders/>
            <w:shd w:fill="E5E5E5" w:val="clear"/>
            <w:vAlign w:val="center"/>
          </w:tcPr>
          <w:p>
            <w:pPr>
              <w:pStyle w:val="TableContents"/>
              <w:spacing w:before="0" w:after="283"/>
              <w:jc w:val="right"/>
              <w:rPr/>
            </w:pPr>
            <w:r>
              <w:rPr/>
              <w:t>2,204</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80" w:type="dxa"/>
            <w:tcBorders/>
            <w:shd w:fill="E5E5E5" w:val="clear"/>
            <w:vAlign w:val="center"/>
          </w:tcPr>
          <w:p>
            <w:pPr>
              <w:pStyle w:val="TableContents"/>
              <w:spacing w:before="0" w:after="283"/>
              <w:jc w:val="right"/>
              <w:rPr/>
            </w:pPr>
            <w:r>
              <w:rPr/>
              <w:t>9,482</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800" w:type="dxa"/>
            <w:tcBorders/>
            <w:shd w:fill="E5E5E5" w:val="clear"/>
            <w:vAlign w:val="center"/>
          </w:tcPr>
          <w:p>
            <w:pPr>
              <w:pStyle w:val="TableContents"/>
              <w:spacing w:before="0" w:after="283"/>
              <w:jc w:val="right"/>
              <w:rPr/>
            </w:pPr>
            <w:r>
              <w:rPr/>
              <w:t>606,221</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4" w:type="dxa"/>
            <w:tcBorders/>
            <w:shd w:fill="E5E5E5" w:val="clear"/>
            <w:vAlign w:val="center"/>
          </w:tcPr>
          <w:p>
            <w:pPr>
              <w:pStyle w:val="TableContents"/>
              <w:spacing w:before="0" w:after="283"/>
              <w:rPr/>
            </w:pPr>
            <w:r>
              <w:rPr/>
              <w:t> </w:t>
            </w:r>
          </w:p>
        </w:tc>
        <w:tc>
          <w:tcPr>
            <w:tcW w:w="736" w:type="dxa"/>
            <w:tcBorders/>
            <w:shd w:fill="E5E5E5" w:val="clear"/>
            <w:vAlign w:val="center"/>
          </w:tcPr>
          <w:p>
            <w:pPr>
              <w:pStyle w:val="TableContents"/>
              <w:spacing w:before="0" w:after="283"/>
              <w:jc w:val="right"/>
              <w:rPr/>
            </w:pPr>
            <w:r>
              <w:rPr/>
              <w:t>31,222</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800" w:type="dxa"/>
            <w:tcBorders/>
            <w:shd w:fill="E5E5E5" w:val="clear"/>
            <w:vAlign w:val="center"/>
          </w:tcPr>
          <w:p>
            <w:pPr>
              <w:pStyle w:val="TableContents"/>
              <w:spacing w:before="0" w:after="283"/>
              <w:jc w:val="right"/>
              <w:rPr/>
            </w:pPr>
            <w:r>
              <w:rPr/>
              <w:t>182,052</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80" w:type="dxa"/>
            <w:tcBorders/>
            <w:shd w:fill="E5E5E5" w:val="clear"/>
            <w:vAlign w:val="center"/>
          </w:tcPr>
          <w:p>
            <w:pPr>
              <w:pStyle w:val="TableContents"/>
              <w:spacing w:before="0" w:after="283"/>
              <w:jc w:val="right"/>
              <w:rPr/>
            </w:pPr>
            <w:r>
              <w:rPr/>
              <w:t>20,341</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800" w:type="dxa"/>
            <w:tcBorders/>
            <w:shd w:fill="E5E5E5" w:val="clear"/>
            <w:vAlign w:val="center"/>
          </w:tcPr>
          <w:p>
            <w:pPr>
              <w:pStyle w:val="TableContents"/>
              <w:spacing w:before="0" w:after="283"/>
              <w:jc w:val="right"/>
              <w:rPr/>
            </w:pPr>
            <w:r>
              <w:rPr/>
              <w:t>851,522</w:t>
            </w:r>
          </w:p>
        </w:tc>
        <w:tc>
          <w:tcPr>
            <w:tcW w:w="75" w:type="dxa"/>
            <w:tcBorders/>
            <w:shd w:fill="E5E5E5" w:val="clear"/>
            <w:vAlign w:val="center"/>
          </w:tcPr>
          <w:p>
            <w:pPr>
              <w:pStyle w:val="TableContents"/>
              <w:spacing w:before="0" w:after="283"/>
              <w:rPr/>
            </w:pPr>
            <w:r>
              <w:rPr/>
              <w:t> </w:t>
            </w:r>
          </w:p>
        </w:tc>
      </w:tr>
      <w:tr>
        <w:trPr/>
        <w:tc>
          <w:tcPr>
            <w:tcW w:w="1370" w:type="dxa"/>
            <w:tcBorders/>
            <w:shd w:fill="auto" w:val="clear"/>
            <w:vAlign w:val="center"/>
          </w:tcPr>
          <w:p>
            <w:pPr>
              <w:pStyle w:val="TableContents"/>
              <w:spacing w:before="0" w:after="0"/>
              <w:rPr>
                <w:rFonts w:ascii="arial" w:hAnsi="arial"/>
                <w:sz w:val="18"/>
              </w:rPr>
            </w:pPr>
            <w:r>
              <w:rPr>
                <w:rFonts w:ascii="arial" w:hAnsi="arial"/>
                <w:sz w:val="18"/>
              </w:rPr>
              <w:t>Anthony Mauro</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0" w:type="dxa"/>
            <w:tcBorders/>
            <w:shd w:fill="auto" w:val="clear"/>
            <w:vAlign w:val="center"/>
          </w:tcPr>
          <w:p>
            <w:pPr>
              <w:pStyle w:val="TableContents"/>
              <w:spacing w:before="0" w:after="283"/>
              <w:jc w:val="right"/>
              <w:rPr/>
            </w:pPr>
            <w:r>
              <w:rPr/>
              <w:t>2022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19,200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736" w:type="dxa"/>
            <w:tcBorders/>
            <w:shd w:fill="auto" w:val="clear"/>
            <w:vAlign w:val="center"/>
          </w:tcPr>
          <w:p>
            <w:pPr>
              <w:pStyle w:val="TableContents"/>
              <w:spacing w:before="0" w:after="283"/>
              <w:jc w:val="right"/>
              <w:rPr/>
            </w:pPr>
            <w:r>
              <w:rPr/>
              <w:t>39,666</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244,857</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14,245</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317,968</w:t>
            </w:r>
          </w:p>
        </w:tc>
        <w:tc>
          <w:tcPr>
            <w:tcW w:w="75" w:type="dxa"/>
            <w:tcBorders/>
            <w:shd w:fill="auto" w:val="clear"/>
            <w:vAlign w:val="center"/>
          </w:tcPr>
          <w:p>
            <w:pPr>
              <w:pStyle w:val="TableContents"/>
              <w:spacing w:before="0" w:after="283"/>
              <w:rPr/>
            </w:pPr>
            <w:r>
              <w:rPr/>
              <w:t> </w:t>
            </w:r>
          </w:p>
        </w:tc>
      </w:tr>
      <w:tr>
        <w:trPr/>
        <w:tc>
          <w:tcPr>
            <w:tcW w:w="13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0" w:type="dxa"/>
            <w:tcBorders/>
            <w:shd w:fill="auto" w:val="clear"/>
            <w:vAlign w:val="center"/>
          </w:tcPr>
          <w:p>
            <w:pPr>
              <w:pStyle w:val="TableContents"/>
              <w:spacing w:before="0" w:after="283"/>
              <w:jc w:val="right"/>
              <w:rPr/>
            </w:pPr>
            <w:r>
              <w:rPr/>
              <w:t>2021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19,200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9,150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736" w:type="dxa"/>
            <w:tcBorders/>
            <w:shd w:fill="auto" w:val="clear"/>
            <w:vAlign w:val="center"/>
          </w:tcPr>
          <w:p>
            <w:pPr>
              <w:pStyle w:val="TableContents"/>
              <w:spacing w:before="0" w:after="283"/>
              <w:jc w:val="right"/>
              <w:rPr/>
            </w:pPr>
            <w:r>
              <w:rPr/>
              <w:t>31,570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230,711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6,023</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296,654</w:t>
            </w:r>
          </w:p>
        </w:tc>
        <w:tc>
          <w:tcPr>
            <w:tcW w:w="75" w:type="dxa"/>
            <w:tcBorders/>
            <w:shd w:fill="auto" w:val="clear"/>
            <w:vAlign w:val="center"/>
          </w:tcPr>
          <w:p>
            <w:pPr>
              <w:pStyle w:val="TableContents"/>
              <w:spacing w:before="0" w:after="283"/>
              <w:rPr/>
            </w:pPr>
            <w:r>
              <w:rPr/>
              <w:t> </w:t>
            </w:r>
          </w:p>
        </w:tc>
      </w:tr>
      <w:tr>
        <w:trPr/>
        <w:tc>
          <w:tcPr>
            <w:tcW w:w="13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00" w:type="dxa"/>
            <w:tcBorders/>
            <w:shd w:fill="auto" w:val="clear"/>
            <w:vAlign w:val="center"/>
          </w:tcPr>
          <w:p>
            <w:pPr>
              <w:pStyle w:val="TableContents"/>
              <w:spacing w:before="0" w:after="283"/>
              <w:jc w:val="right"/>
              <w:rPr/>
            </w:pPr>
            <w:r>
              <w:rPr/>
              <w:t>2020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19,200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4" w:type="dxa"/>
            <w:tcBorders/>
            <w:shd w:fill="auto" w:val="clear"/>
            <w:vAlign w:val="center"/>
          </w:tcPr>
          <w:p>
            <w:pPr>
              <w:pStyle w:val="TableContents"/>
              <w:spacing w:before="0" w:after="283"/>
              <w:rPr/>
            </w:pPr>
            <w:r>
              <w:rPr/>
              <w:t> </w:t>
            </w:r>
          </w:p>
        </w:tc>
        <w:tc>
          <w:tcPr>
            <w:tcW w:w="736" w:type="dxa"/>
            <w:tcBorders/>
            <w:shd w:fill="auto" w:val="clear"/>
            <w:vAlign w:val="center"/>
          </w:tcPr>
          <w:p>
            <w:pPr>
              <w:pStyle w:val="TableContents"/>
              <w:spacing w:before="0" w:after="283"/>
              <w:jc w:val="right"/>
              <w:rPr/>
            </w:pPr>
            <w:r>
              <w:rPr/>
              <w:t>31,484</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189,360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80" w:type="dxa"/>
            <w:tcBorders/>
            <w:shd w:fill="auto" w:val="clear"/>
            <w:vAlign w:val="center"/>
          </w:tcPr>
          <w:p>
            <w:pPr>
              <w:pStyle w:val="TableContents"/>
              <w:spacing w:before="0" w:after="283"/>
              <w:jc w:val="right"/>
              <w:rPr/>
            </w:pPr>
            <w:r>
              <w:rPr/>
              <w:t>3,402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243,446</w:t>
            </w:r>
          </w:p>
        </w:tc>
        <w:tc>
          <w:tcPr>
            <w:tcW w:w="75" w:type="dxa"/>
            <w:tcBorders/>
            <w:shd w:fill="auto" w:val="clear"/>
            <w:vAlign w:val="center"/>
          </w:tcPr>
          <w:p>
            <w:pPr>
              <w:pStyle w:val="TableContents"/>
              <w:spacing w:before="0" w:after="283"/>
              <w:rPr/>
            </w:pPr>
            <w:r>
              <w:rPr/>
              <w:t> </w:t>
            </w:r>
          </w:p>
        </w:tc>
      </w:tr>
      <w:tr>
        <w:trPr/>
        <w:tc>
          <w:tcPr>
            <w:tcW w:w="1370" w:type="dxa"/>
            <w:tcBorders/>
            <w:shd w:fill="E5E5E5" w:val="clear"/>
            <w:vAlign w:val="center"/>
          </w:tcPr>
          <w:p>
            <w:pPr>
              <w:pStyle w:val="TableContents"/>
              <w:spacing w:before="0" w:after="0"/>
              <w:rPr>
                <w:rFonts w:ascii="arial" w:hAnsi="arial"/>
                <w:sz w:val="18"/>
              </w:rPr>
            </w:pPr>
            <w:r>
              <w:rPr>
                <w:rFonts w:ascii="arial" w:hAnsi="arial"/>
                <w:sz w:val="18"/>
              </w:rPr>
              <w:t>Robert J. Coury</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500" w:type="dxa"/>
            <w:tcBorders/>
            <w:shd w:fill="E5E5E5" w:val="clear"/>
            <w:vAlign w:val="center"/>
          </w:tcPr>
          <w:p>
            <w:pPr>
              <w:pStyle w:val="TableContents"/>
              <w:spacing w:before="0" w:after="283"/>
              <w:jc w:val="right"/>
              <w:rPr/>
            </w:pPr>
            <w:r>
              <w:rPr/>
              <w:t>2022</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80" w:type="dxa"/>
            <w:tcBorders/>
            <w:shd w:fill="E5E5E5" w:val="clear"/>
            <w:vAlign w:val="center"/>
          </w:tcPr>
          <w:p>
            <w:pPr>
              <w:pStyle w:val="TableContents"/>
              <w:spacing w:before="0" w:after="283"/>
              <w:jc w:val="right"/>
              <w:rPr/>
            </w:pPr>
            <w:r>
              <w:rPr/>
              <w:t>22,680</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80" w:type="dxa"/>
            <w:tcBorders/>
            <w:shd w:fill="E5E5E5" w:val="clear"/>
            <w:vAlign w:val="center"/>
          </w:tcPr>
          <w:p>
            <w:pPr>
              <w:pStyle w:val="TableContents"/>
              <w:spacing w:before="0" w:after="283"/>
              <w:jc w:val="right"/>
              <w:rPr/>
            </w:pPr>
            <w:r>
              <w:rPr/>
              <w:t>5,926</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800" w:type="dxa"/>
            <w:tcBorders/>
            <w:shd w:fill="E5E5E5" w:val="clear"/>
            <w:vAlign w:val="center"/>
          </w:tcPr>
          <w:p>
            <w:pPr>
              <w:pStyle w:val="TableContents"/>
              <w:spacing w:before="0" w:after="283"/>
              <w:jc w:val="right"/>
              <w:rPr/>
            </w:pPr>
            <w:r>
              <w:rPr/>
              <w:t>—</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4" w:type="dxa"/>
            <w:tcBorders/>
            <w:shd w:fill="E5E5E5" w:val="clear"/>
            <w:vAlign w:val="center"/>
          </w:tcPr>
          <w:p>
            <w:pPr>
              <w:pStyle w:val="TableContents"/>
              <w:spacing w:before="0" w:after="283"/>
              <w:rPr/>
            </w:pPr>
            <w:r>
              <w:rPr/>
              <w:t> </w:t>
            </w:r>
          </w:p>
        </w:tc>
        <w:tc>
          <w:tcPr>
            <w:tcW w:w="736" w:type="dxa"/>
            <w:tcBorders/>
            <w:shd w:fill="E5E5E5" w:val="clear"/>
            <w:vAlign w:val="center"/>
          </w:tcPr>
          <w:p>
            <w:pPr>
              <w:pStyle w:val="TableContents"/>
              <w:spacing w:before="0" w:after="283"/>
              <w:jc w:val="right"/>
              <w:rPr/>
            </w:pPr>
            <w:r>
              <w:rPr/>
              <w:t>32,427</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800" w:type="dxa"/>
            <w:tcBorders/>
            <w:shd w:fill="E5E5E5" w:val="clear"/>
            <w:vAlign w:val="center"/>
          </w:tcPr>
          <w:p>
            <w:pPr>
              <w:pStyle w:val="TableContents"/>
              <w:spacing w:before="0" w:after="283"/>
              <w:jc w:val="right"/>
              <w:rPr/>
            </w:pPr>
            <w:r>
              <w:rPr/>
              <w:t>726,188</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80" w:type="dxa"/>
            <w:tcBorders/>
            <w:shd w:fill="E5E5E5" w:val="clear"/>
            <w:vAlign w:val="center"/>
          </w:tcPr>
          <w:p>
            <w:pPr>
              <w:pStyle w:val="TableContents"/>
              <w:spacing w:before="0" w:after="283"/>
              <w:jc w:val="right"/>
              <w:rPr/>
            </w:pPr>
            <w:r>
              <w:rPr/>
              <w:t>72,399</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800" w:type="dxa"/>
            <w:tcBorders/>
            <w:shd w:fill="E5E5E5" w:val="clear"/>
            <w:vAlign w:val="center"/>
          </w:tcPr>
          <w:p>
            <w:pPr>
              <w:pStyle w:val="TableContents"/>
              <w:spacing w:before="0" w:after="283"/>
              <w:jc w:val="right"/>
              <w:rPr/>
            </w:pPr>
            <w:r>
              <w:rPr/>
              <w:t>859,620</w:t>
            </w:r>
          </w:p>
        </w:tc>
        <w:tc>
          <w:tcPr>
            <w:tcW w:w="75" w:type="dxa"/>
            <w:tcBorders/>
            <w:shd w:fill="E5E5E5" w:val="clear"/>
            <w:vAlign w:val="center"/>
          </w:tcPr>
          <w:p>
            <w:pPr>
              <w:pStyle w:val="TableContents"/>
              <w:spacing w:before="0" w:after="283"/>
              <w:rPr/>
            </w:pPr>
            <w:r>
              <w:rPr/>
              <w:t> </w:t>
            </w:r>
          </w:p>
        </w:tc>
      </w:tr>
      <w:tr>
        <w:trPr/>
        <w:tc>
          <w:tcPr>
            <w:tcW w:w="1370" w:type="dxa"/>
            <w:tcBorders/>
            <w:shd w:fill="E5E5E5" w:val="clear"/>
            <w:vAlign w:val="center"/>
          </w:tcPr>
          <w:p>
            <w:pPr>
              <w:pStyle w:val="TableContents"/>
              <w:spacing w:before="0" w:after="283"/>
              <w:rPr>
                <w:sz w:val="4"/>
                <w:szCs w:val="4"/>
              </w:rPr>
            </w:pPr>
            <w:r>
              <w:rPr>
                <w:sz w:val="4"/>
                <w:szCs w:val="4"/>
              </w:rPr>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500" w:type="dxa"/>
            <w:tcBorders/>
            <w:shd w:fill="E5E5E5" w:val="clear"/>
            <w:vAlign w:val="center"/>
          </w:tcPr>
          <w:p>
            <w:pPr>
              <w:pStyle w:val="TableContents"/>
              <w:spacing w:before="0" w:after="283"/>
              <w:jc w:val="right"/>
              <w:rPr/>
            </w:pPr>
            <w:r>
              <w:rPr/>
              <w:t>2021</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80" w:type="dxa"/>
            <w:tcBorders/>
            <w:shd w:fill="E5E5E5" w:val="clear"/>
            <w:vAlign w:val="center"/>
          </w:tcPr>
          <w:p>
            <w:pPr>
              <w:pStyle w:val="TableContents"/>
              <w:spacing w:before="0" w:after="283"/>
              <w:jc w:val="right"/>
              <w:rPr/>
            </w:pPr>
            <w:r>
              <w:rPr/>
              <w:t>24,563</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80" w:type="dxa"/>
            <w:tcBorders/>
            <w:shd w:fill="E5E5E5" w:val="clear"/>
            <w:vAlign w:val="center"/>
          </w:tcPr>
          <w:p>
            <w:pPr>
              <w:pStyle w:val="TableContents"/>
              <w:spacing w:before="0" w:after="283"/>
              <w:jc w:val="right"/>
              <w:rPr/>
            </w:pPr>
            <w:r>
              <w:rPr/>
              <w:t>29,184</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800" w:type="dxa"/>
            <w:tcBorders/>
            <w:shd w:fill="E5E5E5" w:val="clear"/>
            <w:vAlign w:val="center"/>
          </w:tcPr>
          <w:p>
            <w:pPr>
              <w:pStyle w:val="TableContents"/>
              <w:spacing w:before="0" w:after="283"/>
              <w:jc w:val="right"/>
              <w:rPr/>
            </w:pPr>
            <w:r>
              <w:rPr/>
              <w:t>—</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4" w:type="dxa"/>
            <w:tcBorders/>
            <w:shd w:fill="E5E5E5" w:val="clear"/>
            <w:vAlign w:val="center"/>
          </w:tcPr>
          <w:p>
            <w:pPr>
              <w:pStyle w:val="TableContents"/>
              <w:spacing w:before="0" w:after="283"/>
              <w:rPr/>
            </w:pPr>
            <w:r>
              <w:rPr/>
              <w:t> </w:t>
            </w:r>
          </w:p>
        </w:tc>
        <w:tc>
          <w:tcPr>
            <w:tcW w:w="736" w:type="dxa"/>
            <w:tcBorders/>
            <w:shd w:fill="E5E5E5" w:val="clear"/>
            <w:vAlign w:val="center"/>
          </w:tcPr>
          <w:p>
            <w:pPr>
              <w:pStyle w:val="TableContents"/>
              <w:spacing w:before="0" w:after="283"/>
              <w:jc w:val="right"/>
              <w:rPr/>
            </w:pPr>
            <w:r>
              <w:rPr/>
              <w:t>31,377</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800" w:type="dxa"/>
            <w:tcBorders/>
            <w:shd w:fill="E5E5E5" w:val="clear"/>
            <w:vAlign w:val="center"/>
          </w:tcPr>
          <w:p>
            <w:pPr>
              <w:pStyle w:val="TableContents"/>
              <w:spacing w:before="0" w:after="283"/>
              <w:jc w:val="right"/>
              <w:rPr/>
            </w:pPr>
            <w:r>
              <w:rPr/>
              <w:t>680,312</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80" w:type="dxa"/>
            <w:tcBorders/>
            <w:shd w:fill="E5E5E5" w:val="clear"/>
            <w:vAlign w:val="center"/>
          </w:tcPr>
          <w:p>
            <w:pPr>
              <w:pStyle w:val="TableContents"/>
              <w:spacing w:before="0" w:after="283"/>
              <w:jc w:val="right"/>
              <w:rPr/>
            </w:pPr>
            <w:r>
              <w:rPr/>
              <w:t>41,242</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800" w:type="dxa"/>
            <w:tcBorders/>
            <w:shd w:fill="E5E5E5" w:val="clear"/>
            <w:vAlign w:val="center"/>
          </w:tcPr>
          <w:p>
            <w:pPr>
              <w:pStyle w:val="TableContents"/>
              <w:spacing w:before="0" w:after="283"/>
              <w:jc w:val="right"/>
              <w:rPr/>
            </w:pPr>
            <w:r>
              <w:rPr/>
              <w:t>806,678</w:t>
            </w:r>
          </w:p>
        </w:tc>
        <w:tc>
          <w:tcPr>
            <w:tcW w:w="75" w:type="dxa"/>
            <w:tcBorders/>
            <w:shd w:fill="E5E5E5" w:val="clear"/>
            <w:vAlign w:val="center"/>
          </w:tcPr>
          <w:p>
            <w:pPr>
              <w:pStyle w:val="TableContents"/>
              <w:spacing w:before="0" w:after="283"/>
              <w:rPr/>
            </w:pPr>
            <w:r>
              <w:rPr/>
              <w:t> </w:t>
            </w:r>
          </w:p>
        </w:tc>
      </w:tr>
      <w:tr>
        <w:trPr/>
        <w:tc>
          <w:tcPr>
            <w:tcW w:w="1370" w:type="dxa"/>
            <w:tcBorders/>
            <w:shd w:fill="E5E5E5" w:val="clear"/>
            <w:vAlign w:val="center"/>
          </w:tcPr>
          <w:p>
            <w:pPr>
              <w:pStyle w:val="TableContents"/>
              <w:spacing w:before="0" w:after="283"/>
              <w:rPr>
                <w:sz w:val="4"/>
                <w:szCs w:val="4"/>
              </w:rPr>
            </w:pPr>
            <w:r>
              <w:rPr>
                <w:sz w:val="4"/>
                <w:szCs w:val="4"/>
              </w:rPr>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500" w:type="dxa"/>
            <w:tcBorders/>
            <w:shd w:fill="E5E5E5" w:val="clear"/>
            <w:vAlign w:val="center"/>
          </w:tcPr>
          <w:p>
            <w:pPr>
              <w:pStyle w:val="TableContents"/>
              <w:spacing w:before="0" w:after="283"/>
              <w:jc w:val="right"/>
              <w:rPr/>
            </w:pPr>
            <w:r>
              <w:rPr/>
              <w:t>2020</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80" w:type="dxa"/>
            <w:tcBorders/>
            <w:shd w:fill="E5E5E5" w:val="clear"/>
            <w:vAlign w:val="center"/>
          </w:tcPr>
          <w:p>
            <w:pPr>
              <w:pStyle w:val="TableContents"/>
              <w:spacing w:before="0" w:after="283"/>
              <w:jc w:val="right"/>
              <w:rPr/>
            </w:pPr>
            <w:r>
              <w:rPr/>
              <w:t>25,111</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80" w:type="dxa"/>
            <w:tcBorders/>
            <w:shd w:fill="E5E5E5" w:val="clear"/>
            <w:vAlign w:val="center"/>
          </w:tcPr>
          <w:p>
            <w:pPr>
              <w:pStyle w:val="TableContents"/>
              <w:spacing w:before="0" w:after="283"/>
              <w:jc w:val="right"/>
              <w:rPr/>
            </w:pPr>
            <w:r>
              <w:rPr/>
              <w:t>30,363</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800" w:type="dxa"/>
            <w:tcBorders/>
            <w:shd w:fill="E5E5E5" w:val="clear"/>
            <w:vAlign w:val="center"/>
          </w:tcPr>
          <w:p>
            <w:pPr>
              <w:pStyle w:val="TableContents"/>
              <w:spacing w:before="0" w:after="283"/>
              <w:jc w:val="right"/>
              <w:rPr/>
            </w:pPr>
            <w:r>
              <w:rPr/>
              <w:t>—</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4" w:type="dxa"/>
            <w:tcBorders/>
            <w:shd w:fill="E5E5E5" w:val="clear"/>
            <w:vAlign w:val="center"/>
          </w:tcPr>
          <w:p>
            <w:pPr>
              <w:pStyle w:val="TableContents"/>
              <w:spacing w:before="0" w:after="283"/>
              <w:rPr/>
            </w:pPr>
            <w:r>
              <w:rPr/>
              <w:t> </w:t>
            </w:r>
          </w:p>
        </w:tc>
        <w:tc>
          <w:tcPr>
            <w:tcW w:w="736" w:type="dxa"/>
            <w:tcBorders/>
            <w:shd w:fill="E5E5E5" w:val="clear"/>
            <w:vAlign w:val="center"/>
          </w:tcPr>
          <w:p>
            <w:pPr>
              <w:pStyle w:val="TableContents"/>
              <w:spacing w:before="0" w:after="283"/>
              <w:jc w:val="right"/>
              <w:rPr/>
            </w:pPr>
            <w:r>
              <w:rPr/>
              <w:t>28,300</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800" w:type="dxa"/>
            <w:tcBorders/>
            <w:shd w:fill="E5E5E5" w:val="clear"/>
            <w:vAlign w:val="center"/>
          </w:tcPr>
          <w:p>
            <w:pPr>
              <w:pStyle w:val="TableContents"/>
              <w:spacing w:before="0" w:after="283"/>
              <w:jc w:val="right"/>
              <w:rPr/>
            </w:pPr>
            <w:r>
              <w:rPr/>
              <w:t>275,306</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80" w:type="dxa"/>
            <w:tcBorders/>
            <w:shd w:fill="E5E5E5" w:val="clear"/>
            <w:vAlign w:val="center"/>
          </w:tcPr>
          <w:p>
            <w:pPr>
              <w:pStyle w:val="TableContents"/>
              <w:spacing w:before="0" w:after="283"/>
              <w:jc w:val="right"/>
              <w:rPr/>
            </w:pPr>
            <w:r>
              <w:rPr/>
              <w:t>40,770</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800" w:type="dxa"/>
            <w:tcBorders/>
            <w:shd w:fill="E5E5E5" w:val="clear"/>
            <w:vAlign w:val="center"/>
          </w:tcPr>
          <w:p>
            <w:pPr>
              <w:pStyle w:val="TableContents"/>
              <w:spacing w:before="0" w:after="283"/>
              <w:jc w:val="right"/>
              <w:rPr/>
            </w:pPr>
            <w:r>
              <w:rPr/>
              <w:t>399,850</w:t>
            </w:r>
          </w:p>
        </w:tc>
        <w:tc>
          <w:tcPr>
            <w:tcW w:w="75" w:type="dxa"/>
            <w:tcBorders/>
            <w:shd w:fill="E5E5E5" w:val="clear"/>
            <w:vAlign w:val="center"/>
          </w:tcPr>
          <w:p>
            <w:pPr>
              <w:pStyle w:val="TableContents"/>
              <w:spacing w:before="0" w:after="283"/>
              <w:rPr/>
            </w:pPr>
            <w:r>
              <w:rPr/>
              <w:t> </w:t>
            </w:r>
          </w:p>
        </w:tc>
      </w:tr>
    </w:tbl>
    <w:tbl>
      <w:tblPr>
        <w:tblW w:w="10205" w:type="dxa"/>
        <w:jc w:val="left"/>
        <w:tblInd w:w="0" w:type="dxa"/>
        <w:tblCellMar>
          <w:top w:w="0" w:type="dxa"/>
          <w:left w:w="0" w:type="dxa"/>
          <w:bottom w:w="0" w:type="dxa"/>
          <w:right w:w="0" w:type="dxa"/>
        </w:tblCellMar>
      </w:tblPr>
      <w:tblGrid>
        <w:gridCol w:w="257"/>
        <w:gridCol w:w="9948"/>
      </w:tblGrid>
      <w:tr>
        <w:trPr/>
        <w:tc>
          <w:tcPr>
            <w:tcW w:w="257" w:type="dxa"/>
            <w:tcBorders/>
            <w:shd w:fill="auto" w:val="clear"/>
            <w:vAlign w:val="center"/>
          </w:tcPr>
          <w:p>
            <w:pPr>
              <w:pStyle w:val="TableContents"/>
              <w:spacing w:before="0" w:after="283"/>
              <w:jc w:val="left"/>
              <w:rPr>
                <w:i/>
              </w:rPr>
            </w:pPr>
            <w:r>
              <w:rPr>
                <w:i/>
              </w:rPr>
              <w:t>(a)</w:t>
            </w:r>
          </w:p>
        </w:tc>
        <w:tc>
          <w:tcPr>
            <w:tcW w:w="9948" w:type="dxa"/>
            <w:tcBorders/>
            <w:shd w:fill="auto" w:val="clear"/>
            <w:vAlign w:val="center"/>
          </w:tcPr>
          <w:p>
            <w:pPr>
              <w:pStyle w:val="TableContents"/>
              <w:spacing w:before="0" w:after="0"/>
              <w:jc w:val="both"/>
              <w:rPr>
                <w:rFonts w:ascii="arial" w:hAnsi="arial"/>
                <w:i/>
                <w:sz w:val="18"/>
              </w:rPr>
            </w:pPr>
            <w:r>
              <w:rPr>
                <w:rFonts w:ascii="arial" w:hAnsi="arial"/>
                <w:i/>
                <w:sz w:val="18"/>
              </w:rPr>
              <w:t xml:space="preserve">In the case of Messrs. Goettler, Narula, Mauro, and Coury, these costs represent a vehicle allowance and ancillary expenses associated with such vehicle. In the case of Mr. Malik, this number represents the cost of a vehicle (based on lease value), insurance and ancillary expenses associated with such vehicle. </w:t>
            </w:r>
          </w:p>
        </w:tc>
      </w:tr>
    </w:tbl>
    <w:tbl>
      <w:tblPr>
        <w:tblW w:w="10205" w:type="dxa"/>
        <w:jc w:val="left"/>
        <w:tblInd w:w="0" w:type="dxa"/>
        <w:tblCellMar>
          <w:top w:w="0" w:type="dxa"/>
          <w:left w:w="0" w:type="dxa"/>
          <w:bottom w:w="0" w:type="dxa"/>
          <w:right w:w="0" w:type="dxa"/>
        </w:tblCellMar>
      </w:tblPr>
      <w:tblGrid>
        <w:gridCol w:w="239"/>
        <w:gridCol w:w="9966"/>
      </w:tblGrid>
      <w:tr>
        <w:trPr/>
        <w:tc>
          <w:tcPr>
            <w:tcW w:w="239" w:type="dxa"/>
            <w:tcBorders/>
            <w:shd w:fill="auto" w:val="clear"/>
            <w:vAlign w:val="center"/>
          </w:tcPr>
          <w:p>
            <w:pPr>
              <w:pStyle w:val="TableContents"/>
              <w:spacing w:before="0" w:after="283"/>
              <w:jc w:val="left"/>
              <w:rPr>
                <w:i/>
              </w:rPr>
            </w:pPr>
            <w:r>
              <w:rPr>
                <w:i/>
              </w:rPr>
              <w:t>(b)</w:t>
            </w:r>
          </w:p>
        </w:tc>
        <w:tc>
          <w:tcPr>
            <w:tcW w:w="9966" w:type="dxa"/>
            <w:tcBorders/>
            <w:shd w:fill="auto" w:val="clear"/>
            <w:vAlign w:val="center"/>
          </w:tcPr>
          <w:p>
            <w:pPr>
              <w:pStyle w:val="TableContents"/>
              <w:spacing w:before="0" w:after="0"/>
              <w:jc w:val="both"/>
              <w:rPr>
                <w:rFonts w:ascii="arial" w:hAnsi="arial"/>
                <w:i/>
                <w:sz w:val="18"/>
              </w:rPr>
            </w:pPr>
            <w:r>
              <w:rPr>
                <w:rFonts w:ascii="arial" w:hAnsi="arial"/>
                <w:i/>
                <w:sz w:val="18"/>
              </w:rPr>
              <w:t xml:space="preserve">Amounts disclosed represent the actual aggregate incremental costs associated with the personal use of corporate aircraft. Incremental costs include annual average hourly fuel and maintenance costs, landing and parking fees, customs and handling charges, passenger catering and ground transportation, crew travel expenses, away from home hanger fees, and other trip-related variable costs. Because the aircrafts are used primarily for business travel, incremental costs exclude fixed costs that do not change based on usage, such as pilots’ salaries, aircraft purchase or lease costs, home-base hangar costs, and certain maintenance fees. Aggregate incremental cost as so determined with respect to personal deadhead flights is allocable to the NEO. In certain instances where there are both business and personal passengers, the incremental costs per hour are pro-rated. </w:t>
            </w:r>
          </w:p>
        </w:tc>
      </w:tr>
    </w:tbl>
    <w:tbl>
      <w:tblPr>
        <w:tblW w:w="10205" w:type="dxa"/>
        <w:jc w:val="left"/>
        <w:tblInd w:w="0" w:type="dxa"/>
        <w:tblCellMar>
          <w:top w:w="0" w:type="dxa"/>
          <w:left w:w="0" w:type="dxa"/>
          <w:bottom w:w="0" w:type="dxa"/>
          <w:right w:w="0" w:type="dxa"/>
        </w:tblCellMar>
      </w:tblPr>
      <w:tblGrid>
        <w:gridCol w:w="221"/>
        <w:gridCol w:w="9984"/>
      </w:tblGrid>
      <w:tr>
        <w:trPr/>
        <w:tc>
          <w:tcPr>
            <w:tcW w:w="221" w:type="dxa"/>
            <w:tcBorders/>
            <w:shd w:fill="auto" w:val="clear"/>
            <w:vAlign w:val="center"/>
          </w:tcPr>
          <w:p>
            <w:pPr>
              <w:pStyle w:val="TableContents"/>
              <w:spacing w:before="0" w:after="283"/>
              <w:jc w:val="left"/>
              <w:rPr>
                <w:i/>
              </w:rPr>
            </w:pPr>
            <w:r>
              <w:rPr>
                <w:i/>
              </w:rPr>
              <w:t>(c)</w:t>
            </w:r>
          </w:p>
        </w:tc>
        <w:tc>
          <w:tcPr>
            <w:tcW w:w="9984" w:type="dxa"/>
            <w:tcBorders/>
            <w:shd w:fill="auto" w:val="clear"/>
            <w:vAlign w:val="center"/>
          </w:tcPr>
          <w:p>
            <w:pPr>
              <w:pStyle w:val="TableContents"/>
              <w:spacing w:before="0" w:after="0"/>
              <w:jc w:val="both"/>
              <w:rPr>
                <w:rFonts w:ascii="arial" w:hAnsi="arial"/>
                <w:i/>
                <w:sz w:val="18"/>
              </w:rPr>
            </w:pPr>
            <w:r>
              <w:rPr>
                <w:rFonts w:ascii="arial" w:hAnsi="arial"/>
                <w:i/>
                <w:sz w:val="18"/>
              </w:rPr>
              <w:t xml:space="preserve">For 2022, amounts disclosed for Messrs. Goettler and Narula include the value of certain one-time, non-recurring expatriate, repatriation and relocation benefits of $95,554 and $4,756, respectively. For 2021, amounts disclosed include for Messrs. Goettler and Narula the value of certain one-time, non-recurring expatriate, repatriation and relocation benefits of $227,481 and $336,440, respectively. For 2020, amounts for Messrs. Goettler and Narula include the value of certain one-time, non-recurring expatriate, repatriation and relocation benefits of $43,863 and $631,856, respectively, paid by Pfizer and/or Viatris in 2020. Repatriation for Messrs. Goettler and Narula occurred on September 30, 2020. For 2021, the amount disclosed for Mr. Malik represents one-time, non-recurring immigration expenses of $26,036. For 2020, the amount disclosed reflects expatriate benefits for Mr. Malik that represent income taxes paid by Mylan in connection with Mr. Malik’s expatriate assignment to the United States from India effective January 1, 2012. Specifically, Mr. Malik was responsible for, and continued to pay taxes equal to those he would have been obligated to pay had he maintained his principal work location and residence in India rather than having transferred, at </w:t>
            </w:r>
          </w:p>
        </w:tc>
      </w:tr>
    </w:tbl>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39 </w:t>
      </w:r>
      <w:r>
        <w:br w:type="page"/>
      </w:r>
    </w:p>
    <w:p>
      <w:pPr>
        <w:pStyle w:val="HorizontalLine"/>
        <w:rPr/>
      </w:pPr>
      <w:r>
        <w:rPr/>
      </w:r>
    </w:p>
    <w:tbl>
      <w:tblPr>
        <w:tblW w:w="10205" w:type="dxa"/>
        <w:jc w:val="left"/>
        <w:tblInd w:w="0" w:type="dxa"/>
        <w:tblCellMar>
          <w:top w:w="0" w:type="dxa"/>
          <w:left w:w="0" w:type="dxa"/>
          <w:bottom w:w="0" w:type="dxa"/>
          <w:right w:w="0" w:type="dxa"/>
        </w:tblCellMar>
      </w:tblPr>
      <w:tblGrid>
        <w:gridCol w:w="75"/>
        <w:gridCol w:w="10130"/>
      </w:tblGrid>
      <w:tr>
        <w:trPr/>
        <w:tc>
          <w:tcPr>
            <w:tcW w:w="75" w:type="dxa"/>
            <w:tcBorders/>
            <w:shd w:fill="auto" w:val="clear"/>
            <w:vAlign w:val="center"/>
          </w:tcPr>
          <w:p>
            <w:pPr>
              <w:pStyle w:val="TableContents"/>
              <w:spacing w:before="0" w:after="283"/>
              <w:rPr/>
            </w:pPr>
            <w:r>
              <w:rPr/>
              <w:t> </w:t>
            </w:r>
          </w:p>
        </w:tc>
        <w:tc>
          <w:tcPr>
            <w:tcW w:w="10130" w:type="dxa"/>
            <w:tcBorders/>
            <w:shd w:fill="auto" w:val="clear"/>
            <w:vAlign w:val="center"/>
          </w:tcPr>
          <w:p>
            <w:pPr>
              <w:pStyle w:val="TableContents"/>
              <w:spacing w:before="0" w:after="0"/>
              <w:jc w:val="both"/>
              <w:rPr>
                <w:rFonts w:ascii="arial" w:hAnsi="arial"/>
                <w:i/>
                <w:sz w:val="18"/>
              </w:rPr>
            </w:pPr>
            <w:r>
              <w:rPr>
                <w:rFonts w:ascii="arial" w:hAnsi="arial"/>
                <w:i/>
                <w:sz w:val="18"/>
              </w:rPr>
              <w:t xml:space="preserve">Mylan’s request, to the United States, while Mylan generally paid for all additional taxes, including Mr. Malik’s tax obligations on the imputed income associated with Mylan’s payment of taxes on his behalf. This amount for Mr. Malik is net of Mylan’s estimated tax refunds for each year. The estimated refund was $274,822 for 2020. Mr. Malik is no longer eligible for these legacy tax equalization benefits. </w:t>
            </w:r>
          </w:p>
        </w:tc>
      </w:tr>
    </w:tbl>
    <w:tbl>
      <w:tblPr>
        <w:tblW w:w="10205" w:type="dxa"/>
        <w:jc w:val="left"/>
        <w:tblInd w:w="0" w:type="dxa"/>
        <w:tblCellMar>
          <w:top w:w="0" w:type="dxa"/>
          <w:left w:w="0" w:type="dxa"/>
          <w:bottom w:w="0" w:type="dxa"/>
          <w:right w:w="0" w:type="dxa"/>
        </w:tblCellMar>
      </w:tblPr>
      <w:tblGrid>
        <w:gridCol w:w="238"/>
        <w:gridCol w:w="9967"/>
      </w:tblGrid>
      <w:tr>
        <w:trPr/>
        <w:tc>
          <w:tcPr>
            <w:tcW w:w="238" w:type="dxa"/>
            <w:tcBorders/>
            <w:shd w:fill="auto" w:val="clear"/>
            <w:vAlign w:val="center"/>
          </w:tcPr>
          <w:p>
            <w:pPr>
              <w:pStyle w:val="TableContents"/>
              <w:spacing w:before="0" w:after="283"/>
              <w:jc w:val="left"/>
              <w:rPr>
                <w:i/>
              </w:rPr>
            </w:pPr>
            <w:r>
              <w:rPr>
                <w:i/>
              </w:rPr>
              <w:t>(d)</w:t>
            </w:r>
          </w:p>
        </w:tc>
        <w:tc>
          <w:tcPr>
            <w:tcW w:w="9967" w:type="dxa"/>
            <w:tcBorders/>
            <w:shd w:fill="auto" w:val="clear"/>
            <w:vAlign w:val="center"/>
          </w:tcPr>
          <w:p>
            <w:pPr>
              <w:pStyle w:val="TableContents"/>
              <w:spacing w:before="0" w:after="0"/>
              <w:jc w:val="both"/>
              <w:rPr>
                <w:rFonts w:ascii="arial" w:hAnsi="arial"/>
                <w:i/>
                <w:sz w:val="18"/>
              </w:rPr>
            </w:pPr>
            <w:r>
              <w:rPr>
                <w:rFonts w:ascii="arial" w:hAnsi="arial"/>
                <w:i/>
                <w:sz w:val="18"/>
              </w:rPr>
              <w:t xml:space="preserve">For 2022, amounts for each NEO include a matching contribution for Messrs. Goettler ($10,000), Narula ($6,154), Malik ($16,169), Mauro ($18,316), and Coury ($11,077) and a profit sharing contribution received in March 2023 in respect of fiscal year 2022 to each of Messrs. Goettler, Narula, Malik, Mauro, and Coury ($21,350). For 2021, amounts for each NEO include a matching contribution for Messrs. Goettler ($10,000), Narula ($6,154), Malik ($12,400), Mauro ($11,270), and Coury ($11,077) and a profit sharing contribution received in March 2022 in respect of fiscal year 2021 to each of Messrs. Goettler, Narula, Malik, Mauro, and Coury ($20,300). For 2020, amounts disclosed for each NEO include a matching contribution for Messrs. Narula ($1,231), Malik ($14,122), Mauro ($14,384), and Coury ($11,200) and a profit sharing contribution received in March 2021 in respect of fiscal year 2020 for Messrs. Goettler ($9,750) and Narula ($6,000) and to each of Messrs. Malik, Mauro, and Coury ($17,100). </w:t>
            </w:r>
          </w:p>
        </w:tc>
      </w:tr>
    </w:tbl>
    <w:tbl>
      <w:tblPr>
        <w:tblW w:w="10205" w:type="dxa"/>
        <w:jc w:val="left"/>
        <w:tblInd w:w="0" w:type="dxa"/>
        <w:tblCellMar>
          <w:top w:w="0" w:type="dxa"/>
          <w:left w:w="0" w:type="dxa"/>
          <w:bottom w:w="0" w:type="dxa"/>
          <w:right w:w="0" w:type="dxa"/>
        </w:tblCellMar>
      </w:tblPr>
      <w:tblGrid>
        <w:gridCol w:w="220"/>
        <w:gridCol w:w="9985"/>
      </w:tblGrid>
      <w:tr>
        <w:trPr/>
        <w:tc>
          <w:tcPr>
            <w:tcW w:w="220" w:type="dxa"/>
            <w:tcBorders/>
            <w:shd w:fill="auto" w:val="clear"/>
            <w:vAlign w:val="center"/>
          </w:tcPr>
          <w:p>
            <w:pPr>
              <w:pStyle w:val="TableContents"/>
              <w:spacing w:before="0" w:after="283"/>
              <w:jc w:val="left"/>
              <w:rPr>
                <w:i/>
              </w:rPr>
            </w:pPr>
            <w:r>
              <w:rPr>
                <w:i/>
              </w:rPr>
              <w:t>(e)</w:t>
            </w:r>
          </w:p>
        </w:tc>
        <w:tc>
          <w:tcPr>
            <w:tcW w:w="9985" w:type="dxa"/>
            <w:tcBorders/>
            <w:shd w:fill="auto" w:val="clear"/>
            <w:vAlign w:val="center"/>
          </w:tcPr>
          <w:p>
            <w:pPr>
              <w:pStyle w:val="TableContents"/>
              <w:spacing w:before="0" w:after="0"/>
              <w:jc w:val="both"/>
              <w:rPr>
                <w:rFonts w:ascii="arial" w:hAnsi="arial"/>
                <w:i/>
                <w:sz w:val="18"/>
              </w:rPr>
            </w:pPr>
            <w:r>
              <w:rPr>
                <w:rFonts w:ascii="arial" w:hAnsi="arial"/>
                <w:i/>
                <w:sz w:val="18"/>
              </w:rPr>
              <w:t xml:space="preserve">For 2022, amounts disclosed include a matching contribution under the Restoration Plan for Messrs. Goettler ($184,371), Narula ($82,254), Mauro ($87,480), and Coury ($261,360), and a profit sharing contribution under the Restoration Plan received in March 2023 in respect of fiscal year 2022 for Messrs. Goettler ($329,778), Narula ($144,196), Malik ($262,749), Mauro ($157,377), and Coury ($464,827). For 2021, amounts disclosed include a matching contribution under the Restoration Plan for Messrs. Goettler ($188,445), Narula ($80,782), Mauro ($89,930), and Coury ($266,221), and a profit sharing contribution under the Restoration Plan received in March 2022 in respect of fiscal year 2021 for Messrs. Goettler ($137,315), Narula ($58,637), Malik ($228,787), Mauro ($140,781), and Coury ($414,091). Last year’s proxy statement reported that Mr. Goettler received Restoration Plan contributions totaling $215,784; the updated value for 2021 is reflected above, with corresponding adjustments to the total amount of All Other Compensation for such year. For 2020, amounts disclosed include, for Messrs. Goettler, Mauro and Coury a matching contribution under the Restoration Plan of $36,467, $130,584, and $215,857, respectively, and a profit sharing contribution under the Restoration Plan received in March 2021 in respect of fiscal year 2020 for each of Messrs. Malik, Mauro, and Coury equal to $182,052, $58,776, and $59,449, respectively. Amounts disclosed for Messrs. Goettler and Narula include Retirement Savings Contributions under Pfizer’s plans in the amount of $156,732 and $20,089, respectively. </w:t>
            </w:r>
          </w:p>
        </w:tc>
      </w:tr>
    </w:tbl>
    <w:tbl>
      <w:tblPr>
        <w:tblW w:w="10205" w:type="dxa"/>
        <w:jc w:val="left"/>
        <w:tblInd w:w="0" w:type="dxa"/>
        <w:tblCellMar>
          <w:top w:w="0" w:type="dxa"/>
          <w:left w:w="0" w:type="dxa"/>
          <w:bottom w:w="0" w:type="dxa"/>
          <w:right w:w="0" w:type="dxa"/>
        </w:tblCellMar>
      </w:tblPr>
      <w:tblGrid>
        <w:gridCol w:w="176"/>
        <w:gridCol w:w="10029"/>
      </w:tblGrid>
      <w:tr>
        <w:trPr/>
        <w:tc>
          <w:tcPr>
            <w:tcW w:w="176" w:type="dxa"/>
            <w:tcBorders/>
            <w:shd w:fill="auto" w:val="clear"/>
            <w:vAlign w:val="center"/>
          </w:tcPr>
          <w:p>
            <w:pPr>
              <w:pStyle w:val="TableContents"/>
              <w:spacing w:before="0" w:after="283"/>
              <w:jc w:val="left"/>
              <w:rPr>
                <w:i/>
              </w:rPr>
            </w:pPr>
            <w:r>
              <w:rPr>
                <w:i/>
              </w:rPr>
              <w:t>(f)</w:t>
            </w:r>
          </w:p>
        </w:tc>
        <w:tc>
          <w:tcPr>
            <w:tcW w:w="10029" w:type="dxa"/>
            <w:tcBorders/>
            <w:shd w:fill="auto" w:val="clear"/>
            <w:vAlign w:val="center"/>
          </w:tcPr>
          <w:p>
            <w:pPr>
              <w:pStyle w:val="TableContents"/>
              <w:spacing w:before="0" w:after="0"/>
              <w:jc w:val="both"/>
              <w:rPr>
                <w:rFonts w:ascii="arial" w:hAnsi="arial"/>
                <w:i/>
                <w:sz w:val="18"/>
              </w:rPr>
            </w:pPr>
            <w:r>
              <w:rPr>
                <w:rFonts w:ascii="arial" w:hAnsi="arial"/>
                <w:i/>
                <w:sz w:val="18"/>
              </w:rPr>
              <w:t xml:space="preserve">For 2022, amounts disclosed represent health insurance for Messrs. Malik and Coury ($30,699); certain personal security services for Mr. Coury ($38,447); international travel assistance premiums for each of the NEOs; events for Mr. Mauro ($10,788); tax preparation services related to U.K. tax returns for Messrs. Mauro and Coury; and long-term disability premiums for Messrs. Goettler, Narula, Malik, Mauro and Coury. For 2021, amounts disclosed represent health insurance for Messrs. Malik and Coury ($11,601); certain personal security services for Mr. Coury ($29,233); international travel assistance premiums for each of the NEOs; events for Messrs. Narula, Malik, and Mauro; tax preparation services related to U.K. tax returns for Messrs. Malik and Mauro; and long-term disability premiums for Messrs. Goettler, Narula, Malik, and Mauro. For 2020, amounts disclosed represent health insurance for Messrs. Malik and Coury ($29,102); certain personal security services for Messrs. Malik and Coury; events for Mr. Malik; tax preparation services related to U.K. tax returns for Messrs. Mauro and Coury; long-term disability premiums for Messrs. Goettler, Narula, Malik, Mauro, and Coury; and international travel assistance premiums for Messrs. Malik, Mauro, and Coury. </w:t>
            </w:r>
          </w:p>
        </w:tc>
      </w:tr>
    </w:tbl>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40 </w:t>
      </w:r>
      <w:r>
        <w:br w:type="page"/>
      </w:r>
    </w:p>
    <w:p>
      <w:pPr>
        <w:pStyle w:val="HorizontalLine"/>
        <w:rPr/>
      </w:pPr>
      <w:r>
        <w:rPr/>
      </w:r>
    </w:p>
    <w:p>
      <w:pPr>
        <w:pStyle w:val="TextBody"/>
        <w:spacing w:before="0" w:after="0"/>
        <w:jc w:val="left"/>
        <w:rPr>
          <w:rFonts w:ascii="arial" w:hAnsi="arial"/>
          <w:b/>
          <w:color w:val="732282"/>
          <w:sz w:val="20"/>
        </w:rPr>
      </w:pPr>
      <w:r>
        <w:rPr>
          <w:rFonts w:ascii="arial" w:hAnsi="arial"/>
          <w:b/>
          <w:color w:val="732282"/>
          <w:sz w:val="20"/>
        </w:rPr>
        <w:t xml:space="preserve">Grants of Plan-Based Awards for 2022 </w:t>
      </w:r>
    </w:p>
    <w:p>
      <w:pPr>
        <w:pStyle w:val="TextBody"/>
        <w:spacing w:before="120" w:after="0"/>
        <w:jc w:val="both"/>
        <w:rPr>
          <w:rFonts w:ascii="arial" w:hAnsi="arial"/>
          <w:sz w:val="18"/>
        </w:rPr>
      </w:pPr>
      <w:r>
        <w:rPr>
          <w:rFonts w:ascii="arial" w:hAnsi="arial"/>
          <w:sz w:val="18"/>
        </w:rPr>
        <w:t xml:space="preserve">The following table summarizes grants of plan-based awards made to each NEO during 2022. </w:t>
      </w:r>
    </w:p>
    <w:p>
      <w:pPr>
        <w:pStyle w:val="TextBody"/>
        <w:spacing w:before="0" w:after="0"/>
        <w:jc w:val="left"/>
        <w:rPr/>
      </w:pPr>
      <w:r>
        <w:rPr/>
        <w:t> </w:t>
      </w:r>
    </w:p>
    <w:tbl>
      <w:tblPr>
        <w:tblW w:w="13985" w:type="dxa"/>
        <w:jc w:val="left"/>
        <w:tblInd w:w="0" w:type="dxa"/>
        <w:tblCellMar>
          <w:top w:w="0" w:type="dxa"/>
          <w:left w:w="0" w:type="dxa"/>
          <w:bottom w:w="0" w:type="dxa"/>
          <w:right w:w="0" w:type="dxa"/>
        </w:tblCellMar>
      </w:tblPr>
      <w:tblGrid>
        <w:gridCol w:w="1235"/>
        <w:gridCol w:w="60"/>
        <w:gridCol w:w="60"/>
        <w:gridCol w:w="575"/>
        <w:gridCol w:w="60"/>
        <w:gridCol w:w="60"/>
        <w:gridCol w:w="106"/>
        <w:gridCol w:w="889"/>
        <w:gridCol w:w="60"/>
        <w:gridCol w:w="60"/>
        <w:gridCol w:w="61"/>
        <w:gridCol w:w="1009"/>
        <w:gridCol w:w="60"/>
        <w:gridCol w:w="60"/>
        <w:gridCol w:w="60"/>
        <w:gridCol w:w="980"/>
        <w:gridCol w:w="60"/>
        <w:gridCol w:w="60"/>
        <w:gridCol w:w="61"/>
        <w:gridCol w:w="1009"/>
        <w:gridCol w:w="60"/>
        <w:gridCol w:w="60"/>
        <w:gridCol w:w="60"/>
        <w:gridCol w:w="60"/>
        <w:gridCol w:w="60"/>
        <w:gridCol w:w="60"/>
        <w:gridCol w:w="60"/>
        <w:gridCol w:w="60"/>
        <w:gridCol w:w="60"/>
        <w:gridCol w:w="60"/>
        <w:gridCol w:w="74"/>
        <w:gridCol w:w="996"/>
        <w:gridCol w:w="60"/>
        <w:gridCol w:w="60"/>
        <w:gridCol w:w="60"/>
        <w:gridCol w:w="800"/>
        <w:gridCol w:w="60"/>
        <w:gridCol w:w="60"/>
        <w:gridCol w:w="61"/>
        <w:gridCol w:w="1009"/>
        <w:gridCol w:w="60"/>
        <w:gridCol w:w="60"/>
        <w:gridCol w:w="60"/>
        <w:gridCol w:w="800"/>
        <w:gridCol w:w="60"/>
        <w:gridCol w:w="60"/>
        <w:gridCol w:w="119"/>
        <w:gridCol w:w="516"/>
        <w:gridCol w:w="60"/>
        <w:gridCol w:w="60"/>
        <w:gridCol w:w="88"/>
        <w:gridCol w:w="382"/>
        <w:gridCol w:w="60"/>
        <w:gridCol w:w="60"/>
        <w:gridCol w:w="60"/>
        <w:gridCol w:w="980"/>
        <w:gridCol w:w="75"/>
      </w:tblGrid>
      <w:tr>
        <w:trPr/>
        <w:tc>
          <w:tcPr>
            <w:tcW w:w="12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center"/>
          </w:tcPr>
          <w:p>
            <w:pPr>
              <w:pStyle w:val="TableContents"/>
              <w:spacing w:before="0" w:after="283"/>
              <w:rPr>
                <w:sz w:val="4"/>
                <w:szCs w:val="4"/>
              </w:rPr>
            </w:pPr>
            <w:r>
              <w:rPr>
                <w:sz w:val="4"/>
                <w:szCs w:val="4"/>
              </w:rPr>
            </w:r>
          </w:p>
        </w:tc>
        <w:tc>
          <w:tcPr>
            <w:tcW w:w="88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sz w:val="4"/>
                <w:szCs w:val="4"/>
              </w:rPr>
            </w:pPr>
            <w:r>
              <w:rPr>
                <w:sz w:val="4"/>
                <w:szCs w:val="4"/>
              </w:rPr>
            </w:r>
          </w:p>
        </w:tc>
        <w:tc>
          <w:tcPr>
            <w:tcW w:w="100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sz w:val="4"/>
                <w:szCs w:val="4"/>
              </w:rPr>
            </w:pPr>
            <w:r>
              <w:rPr>
                <w:sz w:val="4"/>
                <w:szCs w:val="4"/>
              </w:rPr>
            </w:r>
          </w:p>
        </w:tc>
        <w:tc>
          <w:tcPr>
            <w:tcW w:w="100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4" w:type="dxa"/>
            <w:tcBorders/>
            <w:shd w:fill="auto" w:val="clear"/>
            <w:vAlign w:val="center"/>
          </w:tcPr>
          <w:p>
            <w:pPr>
              <w:pStyle w:val="TableContents"/>
              <w:spacing w:before="0" w:after="283"/>
              <w:rPr>
                <w:sz w:val="4"/>
                <w:szCs w:val="4"/>
              </w:rPr>
            </w:pPr>
            <w:r>
              <w:rPr>
                <w:sz w:val="4"/>
                <w:szCs w:val="4"/>
              </w:rPr>
            </w:r>
          </w:p>
        </w:tc>
        <w:tc>
          <w:tcPr>
            <w:tcW w:w="99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sz w:val="4"/>
                <w:szCs w:val="4"/>
              </w:rPr>
            </w:pPr>
            <w:r>
              <w:rPr>
                <w:sz w:val="4"/>
                <w:szCs w:val="4"/>
              </w:rPr>
            </w:r>
          </w:p>
        </w:tc>
        <w:tc>
          <w:tcPr>
            <w:tcW w:w="100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8"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23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35"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95"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231161" w:val="clear"/>
            <w:vAlign w:val="center"/>
          </w:tcPr>
          <w:p>
            <w:pPr>
              <w:pStyle w:val="TableContents"/>
              <w:spacing w:before="0" w:after="283"/>
              <w:rPr/>
            </w:pPr>
            <w:r>
              <w:rPr/>
              <w:t> </w:t>
            </w:r>
          </w:p>
        </w:tc>
        <w:tc>
          <w:tcPr>
            <w:tcW w:w="3420" w:type="dxa"/>
            <w:gridSpan w:val="10"/>
            <w:tcBorders/>
            <w:shd w:fill="231161" w:val="clear"/>
            <w:vAlign w:val="center"/>
          </w:tcPr>
          <w:p>
            <w:pPr>
              <w:pStyle w:val="TableContents"/>
              <w:spacing w:before="0" w:after="0"/>
              <w:jc w:val="center"/>
              <w:rPr>
                <w:rFonts w:ascii="arial" w:hAnsi="arial"/>
                <w:b/>
                <w:color w:val="FFFFFF"/>
                <w:sz w:val="12"/>
              </w:rPr>
            </w:pPr>
            <w:r>
              <w:rPr>
                <w:rFonts w:ascii="arial" w:hAnsi="arial"/>
                <w:b/>
                <w:color w:val="FFFFFF"/>
                <w:sz w:val="12"/>
              </w:rPr>
              <w:t>Estimated Future Payments</w:t>
            </w:r>
          </w:p>
          <w:p>
            <w:pPr>
              <w:pStyle w:val="TableContents"/>
              <w:spacing w:before="0" w:after="0"/>
              <w:jc w:val="center"/>
              <w:rPr>
                <w:rFonts w:ascii="arial" w:hAnsi="arial"/>
                <w:b/>
                <w:color w:val="FFFFFF"/>
                <w:sz w:val="12"/>
              </w:rPr>
            </w:pPr>
            <w:r>
              <w:rPr>
                <w:rFonts w:ascii="arial" w:hAnsi="arial"/>
                <w:b/>
                <w:color w:val="FFFFFF"/>
                <w:sz w:val="12"/>
              </w:rPr>
              <w:t>Under</w:t>
            </w:r>
          </w:p>
          <w:p>
            <w:pPr>
              <w:pStyle w:val="TableContents"/>
              <w:spacing w:before="0" w:after="20"/>
              <w:jc w:val="center"/>
              <w:rPr>
                <w:rFonts w:ascii="arial" w:hAnsi="arial"/>
                <w:b/>
                <w:color w:val="FFFFFF"/>
                <w:sz w:val="12"/>
              </w:rPr>
            </w:pPr>
            <w:r>
              <w:rPr>
                <w:rFonts w:ascii="arial" w:hAnsi="arial"/>
                <w:b/>
                <w:color w:val="FFFFFF"/>
                <w:sz w:val="12"/>
              </w:rPr>
              <w:t>Non-Equity Incentive Plan Awards(1)</w:t>
            </w:r>
          </w:p>
        </w:tc>
        <w:tc>
          <w:tcPr>
            <w:tcW w:w="60" w:type="dxa"/>
            <w:tcBorders/>
            <w:shd w:fill="231161"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231161" w:val="clear"/>
            <w:vAlign w:val="center"/>
          </w:tcPr>
          <w:p>
            <w:pPr>
              <w:pStyle w:val="TableContents"/>
              <w:spacing w:before="0" w:after="283"/>
              <w:rPr/>
            </w:pPr>
            <w:r>
              <w:rPr/>
              <w:t> </w:t>
            </w:r>
          </w:p>
        </w:tc>
        <w:tc>
          <w:tcPr>
            <w:tcW w:w="3240" w:type="dxa"/>
            <w:gridSpan w:val="10"/>
            <w:tcBorders/>
            <w:shd w:fill="231161" w:val="clear"/>
            <w:vAlign w:val="center"/>
          </w:tcPr>
          <w:p>
            <w:pPr>
              <w:pStyle w:val="TableContents"/>
              <w:spacing w:before="0" w:after="0"/>
              <w:jc w:val="center"/>
              <w:rPr>
                <w:rFonts w:ascii="arial" w:hAnsi="arial"/>
                <w:b/>
                <w:color w:val="FFFFFF"/>
                <w:sz w:val="12"/>
              </w:rPr>
            </w:pPr>
            <w:r>
              <w:rPr>
                <w:rFonts w:ascii="arial" w:hAnsi="arial"/>
                <w:b/>
                <w:color w:val="FFFFFF"/>
                <w:sz w:val="12"/>
              </w:rPr>
              <w:t>Estimated Future Payments</w:t>
            </w:r>
          </w:p>
          <w:p>
            <w:pPr>
              <w:pStyle w:val="TableContents"/>
              <w:spacing w:before="0" w:after="0"/>
              <w:jc w:val="center"/>
              <w:rPr>
                <w:rFonts w:ascii="arial" w:hAnsi="arial"/>
                <w:b/>
                <w:color w:val="FFFFFF"/>
                <w:sz w:val="12"/>
              </w:rPr>
            </w:pPr>
            <w:r>
              <w:rPr>
                <w:rFonts w:ascii="arial" w:hAnsi="arial"/>
                <w:b/>
                <w:color w:val="FFFFFF"/>
                <w:sz w:val="12"/>
              </w:rPr>
              <w:t>Under</w:t>
            </w:r>
          </w:p>
          <w:p>
            <w:pPr>
              <w:pStyle w:val="TableContents"/>
              <w:spacing w:before="0" w:after="20"/>
              <w:jc w:val="center"/>
              <w:rPr>
                <w:rFonts w:ascii="arial" w:hAnsi="arial"/>
                <w:b/>
                <w:color w:val="FFFFFF"/>
                <w:sz w:val="12"/>
              </w:rPr>
            </w:pPr>
            <w:r>
              <w:rPr>
                <w:rFonts w:ascii="arial" w:hAnsi="arial"/>
                <w:b/>
                <w:color w:val="FFFFFF"/>
                <w:sz w:val="12"/>
              </w:rPr>
              <w:t>Equity Incentive Plan Awards(2)</w:t>
            </w:r>
          </w:p>
        </w:tc>
        <w:tc>
          <w:tcPr>
            <w:tcW w:w="60" w:type="dxa"/>
            <w:tcBorders/>
            <w:shd w:fill="231161"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60"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35"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470"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40" w:type="dxa"/>
            <w:gridSpan w:val="2"/>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1235" w:type="dxa"/>
            <w:tcBorders/>
            <w:shd w:fill="444444" w:val="clear"/>
            <w:vAlign w:val="center"/>
          </w:tcPr>
          <w:p>
            <w:pPr>
              <w:pStyle w:val="TableContents"/>
              <w:spacing w:before="0" w:after="283"/>
              <w:rPr>
                <w:b/>
                <w:color w:val="FFFFFF"/>
              </w:rPr>
            </w:pPr>
            <w:r>
              <w:rPr>
                <w:b/>
                <w:color w:val="FFFFFF"/>
              </w:rPr>
              <w:t>Name</w:t>
            </w:r>
          </w:p>
        </w:tc>
        <w:tc>
          <w:tcPr>
            <w:tcW w:w="60" w:type="dxa"/>
            <w:tcBorders/>
            <w:shd w:fill="444444" w:val="clear"/>
            <w:vAlign w:val="center"/>
          </w:tcPr>
          <w:p>
            <w:pPr>
              <w:pStyle w:val="TableContents"/>
              <w:spacing w:before="0" w:after="283"/>
              <w:rPr/>
            </w:pPr>
            <w:r>
              <w:rPr/>
              <w:t> </w:t>
            </w:r>
          </w:p>
        </w:tc>
        <w:tc>
          <w:tcPr>
            <w:tcW w:w="635" w:type="dxa"/>
            <w:gridSpan w:val="2"/>
            <w:tcBorders/>
            <w:shd w:fill="444444" w:val="clear"/>
            <w:vAlign w:val="center"/>
          </w:tcPr>
          <w:p>
            <w:pPr>
              <w:pStyle w:val="TableContents"/>
              <w:spacing w:before="0" w:after="283"/>
              <w:jc w:val="right"/>
              <w:rPr>
                <w:b/>
                <w:color w:val="FFFFFF"/>
              </w:rPr>
            </w:pPr>
            <w:r>
              <w:rPr>
                <w:b/>
                <w:color w:val="FFFFFF"/>
              </w:rPr>
              <w:t>Grant</w:t>
              <w:br/>
              <w:t>Date</w:t>
            </w:r>
          </w:p>
        </w:tc>
        <w:tc>
          <w:tcPr>
            <w:tcW w:w="60" w:type="dxa"/>
            <w:tcBorders/>
            <w:shd w:fill="444444" w:val="clear"/>
            <w:vAlign w:val="center"/>
          </w:tcPr>
          <w:p>
            <w:pPr>
              <w:pStyle w:val="TableContents"/>
              <w:spacing w:before="0" w:after="283"/>
              <w:rPr/>
            </w:pPr>
            <w:r>
              <w:rPr/>
              <w:t> </w:t>
            </w:r>
          </w:p>
        </w:tc>
        <w:tc>
          <w:tcPr>
            <w:tcW w:w="60" w:type="dxa"/>
            <w:tcBorders/>
            <w:shd w:fill="444444" w:val="clear"/>
            <w:vAlign w:val="center"/>
          </w:tcPr>
          <w:p>
            <w:pPr>
              <w:pStyle w:val="TableContents"/>
              <w:spacing w:before="0" w:after="283"/>
              <w:rPr/>
            </w:pPr>
            <w:r>
              <w:rPr/>
              <w:t> </w:t>
            </w:r>
          </w:p>
        </w:tc>
        <w:tc>
          <w:tcPr>
            <w:tcW w:w="995" w:type="dxa"/>
            <w:gridSpan w:val="2"/>
            <w:tcBorders/>
            <w:shd w:fill="444444" w:val="clear"/>
            <w:vAlign w:val="center"/>
          </w:tcPr>
          <w:p>
            <w:pPr>
              <w:pStyle w:val="TableContents"/>
              <w:spacing w:before="0" w:after="283"/>
              <w:jc w:val="right"/>
              <w:rPr>
                <w:b/>
                <w:color w:val="FFFFFF"/>
              </w:rPr>
            </w:pPr>
            <w:r>
              <w:rPr>
                <w:b/>
                <w:color w:val="FFFFFF"/>
              </w:rPr>
              <w:t>Approval</w:t>
              <w:br/>
              <w:t>Date</w:t>
            </w:r>
          </w:p>
        </w:tc>
        <w:tc>
          <w:tcPr>
            <w:tcW w:w="60" w:type="dxa"/>
            <w:tcBorders/>
            <w:shd w:fill="444444" w:val="clear"/>
            <w:vAlign w:val="center"/>
          </w:tcPr>
          <w:p>
            <w:pPr>
              <w:pStyle w:val="TableContents"/>
              <w:spacing w:before="0" w:after="283"/>
              <w:rPr/>
            </w:pPr>
            <w:r>
              <w:rPr/>
              <w:t> </w:t>
            </w:r>
          </w:p>
        </w:tc>
        <w:tc>
          <w:tcPr>
            <w:tcW w:w="60" w:type="dxa"/>
            <w:tcBorders/>
            <w:shd w:fill="444444" w:val="clear"/>
            <w:vAlign w:val="center"/>
          </w:tcPr>
          <w:p>
            <w:pPr>
              <w:pStyle w:val="TableContents"/>
              <w:spacing w:before="0" w:after="283"/>
              <w:rPr/>
            </w:pPr>
            <w:r>
              <w:rPr/>
              <w:t> </w:t>
            </w:r>
          </w:p>
        </w:tc>
        <w:tc>
          <w:tcPr>
            <w:tcW w:w="1070" w:type="dxa"/>
            <w:gridSpan w:val="2"/>
            <w:tcBorders/>
            <w:shd w:fill="444444" w:val="clear"/>
            <w:vAlign w:val="center"/>
          </w:tcPr>
          <w:p>
            <w:pPr>
              <w:pStyle w:val="TableContents"/>
              <w:spacing w:before="0" w:after="283"/>
              <w:jc w:val="right"/>
              <w:rPr>
                <w:b/>
                <w:color w:val="FFFFFF"/>
              </w:rPr>
            </w:pPr>
            <w:r>
              <w:rPr>
                <w:b/>
                <w:color w:val="FFFFFF"/>
              </w:rPr>
              <w:t>Threshold</w:t>
              <w:br/>
              <w:t>($)</w:t>
            </w:r>
          </w:p>
        </w:tc>
        <w:tc>
          <w:tcPr>
            <w:tcW w:w="60" w:type="dxa"/>
            <w:tcBorders/>
            <w:shd w:fill="444444" w:val="clear"/>
            <w:vAlign w:val="center"/>
          </w:tcPr>
          <w:p>
            <w:pPr>
              <w:pStyle w:val="TableContents"/>
              <w:spacing w:before="0" w:after="283"/>
              <w:rPr/>
            </w:pPr>
            <w:r>
              <w:rPr/>
              <w:t> </w:t>
            </w:r>
          </w:p>
        </w:tc>
        <w:tc>
          <w:tcPr>
            <w:tcW w:w="60" w:type="dxa"/>
            <w:tcBorders/>
            <w:shd w:fill="444444" w:val="clear"/>
            <w:vAlign w:val="center"/>
          </w:tcPr>
          <w:p>
            <w:pPr>
              <w:pStyle w:val="TableContents"/>
              <w:spacing w:before="0" w:after="283"/>
              <w:rPr/>
            </w:pPr>
            <w:r>
              <w:rPr/>
              <w:t> </w:t>
            </w:r>
          </w:p>
        </w:tc>
        <w:tc>
          <w:tcPr>
            <w:tcW w:w="1040" w:type="dxa"/>
            <w:gridSpan w:val="2"/>
            <w:tcBorders/>
            <w:shd w:fill="444444" w:val="clear"/>
            <w:vAlign w:val="center"/>
          </w:tcPr>
          <w:p>
            <w:pPr>
              <w:pStyle w:val="TableContents"/>
              <w:spacing w:before="0" w:after="283"/>
              <w:jc w:val="right"/>
              <w:rPr>
                <w:b/>
                <w:color w:val="FFFFFF"/>
              </w:rPr>
            </w:pPr>
            <w:r>
              <w:rPr>
                <w:b/>
                <w:color w:val="FFFFFF"/>
              </w:rPr>
              <w:t>Target</w:t>
              <w:br/>
              <w:t>($)</w:t>
            </w:r>
          </w:p>
        </w:tc>
        <w:tc>
          <w:tcPr>
            <w:tcW w:w="60" w:type="dxa"/>
            <w:tcBorders/>
            <w:shd w:fill="444444" w:val="clear"/>
            <w:vAlign w:val="center"/>
          </w:tcPr>
          <w:p>
            <w:pPr>
              <w:pStyle w:val="TableContents"/>
              <w:spacing w:before="0" w:after="283"/>
              <w:rPr/>
            </w:pPr>
            <w:r>
              <w:rPr/>
              <w:t> </w:t>
            </w:r>
          </w:p>
        </w:tc>
        <w:tc>
          <w:tcPr>
            <w:tcW w:w="60" w:type="dxa"/>
            <w:tcBorders/>
            <w:shd w:fill="444444" w:val="clear"/>
            <w:vAlign w:val="center"/>
          </w:tcPr>
          <w:p>
            <w:pPr>
              <w:pStyle w:val="TableContents"/>
              <w:spacing w:before="0" w:after="283"/>
              <w:rPr/>
            </w:pPr>
            <w:r>
              <w:rPr/>
              <w:t> </w:t>
            </w:r>
          </w:p>
        </w:tc>
        <w:tc>
          <w:tcPr>
            <w:tcW w:w="1070" w:type="dxa"/>
            <w:gridSpan w:val="2"/>
            <w:tcBorders/>
            <w:shd w:fill="444444" w:val="clear"/>
            <w:vAlign w:val="center"/>
          </w:tcPr>
          <w:p>
            <w:pPr>
              <w:pStyle w:val="TableContents"/>
              <w:spacing w:before="0" w:after="283"/>
              <w:jc w:val="right"/>
              <w:rPr>
                <w:b/>
                <w:color w:val="FFFFFF"/>
              </w:rPr>
            </w:pPr>
            <w:r>
              <w:rPr>
                <w:b/>
                <w:color w:val="FFFFFF"/>
              </w:rPr>
              <w:t>Maximum</w:t>
              <w:br/>
              <w:t>($)</w:t>
            </w:r>
          </w:p>
        </w:tc>
        <w:tc>
          <w:tcPr>
            <w:tcW w:w="60" w:type="dxa"/>
            <w:tcBorders/>
            <w:shd w:fill="444444"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444444" w:val="clear"/>
            <w:vAlign w:val="center"/>
          </w:tcPr>
          <w:p>
            <w:pPr>
              <w:pStyle w:val="TableContents"/>
              <w:spacing w:before="0" w:after="283"/>
              <w:rPr/>
            </w:pPr>
            <w:r>
              <w:rPr/>
              <w:t> </w:t>
            </w:r>
          </w:p>
        </w:tc>
        <w:tc>
          <w:tcPr>
            <w:tcW w:w="1070" w:type="dxa"/>
            <w:gridSpan w:val="2"/>
            <w:tcBorders/>
            <w:shd w:fill="444444" w:val="clear"/>
            <w:vAlign w:val="center"/>
          </w:tcPr>
          <w:p>
            <w:pPr>
              <w:pStyle w:val="TableContents"/>
              <w:spacing w:before="0" w:after="283"/>
              <w:jc w:val="right"/>
              <w:rPr>
                <w:b/>
                <w:color w:val="FFFFFF"/>
              </w:rPr>
            </w:pPr>
            <w:r>
              <w:rPr>
                <w:b/>
                <w:color w:val="FFFFFF"/>
              </w:rPr>
              <w:t>Threshold</w:t>
              <w:br/>
              <w:t>(#)</w:t>
            </w:r>
          </w:p>
        </w:tc>
        <w:tc>
          <w:tcPr>
            <w:tcW w:w="60" w:type="dxa"/>
            <w:tcBorders/>
            <w:shd w:fill="444444" w:val="clear"/>
            <w:vAlign w:val="center"/>
          </w:tcPr>
          <w:p>
            <w:pPr>
              <w:pStyle w:val="TableContents"/>
              <w:spacing w:before="0" w:after="283"/>
              <w:rPr/>
            </w:pPr>
            <w:r>
              <w:rPr/>
              <w:t> </w:t>
            </w:r>
          </w:p>
        </w:tc>
        <w:tc>
          <w:tcPr>
            <w:tcW w:w="60" w:type="dxa"/>
            <w:tcBorders/>
            <w:shd w:fill="444444" w:val="clear"/>
            <w:vAlign w:val="center"/>
          </w:tcPr>
          <w:p>
            <w:pPr>
              <w:pStyle w:val="TableContents"/>
              <w:spacing w:before="0" w:after="283"/>
              <w:rPr/>
            </w:pPr>
            <w:r>
              <w:rPr/>
              <w:t> </w:t>
            </w:r>
          </w:p>
        </w:tc>
        <w:tc>
          <w:tcPr>
            <w:tcW w:w="860" w:type="dxa"/>
            <w:gridSpan w:val="2"/>
            <w:tcBorders/>
            <w:shd w:fill="444444" w:val="clear"/>
            <w:vAlign w:val="center"/>
          </w:tcPr>
          <w:p>
            <w:pPr>
              <w:pStyle w:val="TableContents"/>
              <w:spacing w:before="0" w:after="283"/>
              <w:jc w:val="right"/>
              <w:rPr>
                <w:b/>
                <w:color w:val="FFFFFF"/>
              </w:rPr>
            </w:pPr>
            <w:r>
              <w:rPr>
                <w:b/>
                <w:color w:val="FFFFFF"/>
              </w:rPr>
              <w:t>Target</w:t>
              <w:br/>
              <w:t>(#)</w:t>
            </w:r>
          </w:p>
        </w:tc>
        <w:tc>
          <w:tcPr>
            <w:tcW w:w="60" w:type="dxa"/>
            <w:tcBorders/>
            <w:shd w:fill="444444" w:val="clear"/>
            <w:vAlign w:val="center"/>
          </w:tcPr>
          <w:p>
            <w:pPr>
              <w:pStyle w:val="TableContents"/>
              <w:spacing w:before="0" w:after="283"/>
              <w:rPr/>
            </w:pPr>
            <w:r>
              <w:rPr/>
              <w:t> </w:t>
            </w:r>
          </w:p>
        </w:tc>
        <w:tc>
          <w:tcPr>
            <w:tcW w:w="60" w:type="dxa"/>
            <w:tcBorders/>
            <w:shd w:fill="444444" w:val="clear"/>
            <w:vAlign w:val="center"/>
          </w:tcPr>
          <w:p>
            <w:pPr>
              <w:pStyle w:val="TableContents"/>
              <w:spacing w:before="0" w:after="283"/>
              <w:rPr/>
            </w:pPr>
            <w:r>
              <w:rPr/>
              <w:t> </w:t>
            </w:r>
          </w:p>
        </w:tc>
        <w:tc>
          <w:tcPr>
            <w:tcW w:w="1070" w:type="dxa"/>
            <w:gridSpan w:val="2"/>
            <w:tcBorders/>
            <w:shd w:fill="444444" w:val="clear"/>
            <w:vAlign w:val="center"/>
          </w:tcPr>
          <w:p>
            <w:pPr>
              <w:pStyle w:val="TableContents"/>
              <w:spacing w:before="0" w:after="283"/>
              <w:jc w:val="right"/>
              <w:rPr>
                <w:b/>
                <w:color w:val="FFFFFF"/>
              </w:rPr>
            </w:pPr>
            <w:r>
              <w:rPr>
                <w:b/>
                <w:color w:val="FFFFFF"/>
              </w:rPr>
              <w:t>Maximum</w:t>
              <w:br/>
              <w:t>(#)</w:t>
            </w:r>
          </w:p>
        </w:tc>
        <w:tc>
          <w:tcPr>
            <w:tcW w:w="60" w:type="dxa"/>
            <w:tcBorders/>
            <w:shd w:fill="444444" w:val="clear"/>
            <w:vAlign w:val="center"/>
          </w:tcPr>
          <w:p>
            <w:pPr>
              <w:pStyle w:val="TableContents"/>
              <w:spacing w:before="0" w:after="283"/>
              <w:rPr/>
            </w:pPr>
            <w:r>
              <w:rPr/>
              <w:t> </w:t>
            </w:r>
          </w:p>
        </w:tc>
        <w:tc>
          <w:tcPr>
            <w:tcW w:w="60" w:type="dxa"/>
            <w:tcBorders/>
            <w:shd w:fill="444444" w:val="clear"/>
            <w:vAlign w:val="center"/>
          </w:tcPr>
          <w:p>
            <w:pPr>
              <w:pStyle w:val="TableContents"/>
              <w:spacing w:before="0" w:after="283"/>
              <w:rPr/>
            </w:pPr>
            <w:r>
              <w:rPr/>
              <w:t> </w:t>
            </w:r>
          </w:p>
        </w:tc>
        <w:tc>
          <w:tcPr>
            <w:tcW w:w="860" w:type="dxa"/>
            <w:gridSpan w:val="2"/>
            <w:tcBorders/>
            <w:shd w:fill="444444" w:val="clear"/>
            <w:vAlign w:val="center"/>
          </w:tcPr>
          <w:p>
            <w:pPr>
              <w:pStyle w:val="TableContents"/>
              <w:spacing w:before="0" w:after="0"/>
              <w:jc w:val="right"/>
              <w:rPr>
                <w:rFonts w:ascii="arial" w:hAnsi="arial"/>
                <w:b/>
                <w:color w:val="FFFFFF"/>
                <w:sz w:val="12"/>
              </w:rPr>
            </w:pPr>
            <w:r>
              <w:rPr>
                <w:rFonts w:ascii="arial" w:hAnsi="arial"/>
                <w:b/>
                <w:color w:val="FFFFFF"/>
                <w:sz w:val="12"/>
              </w:rPr>
              <w:t>All</w:t>
            </w:r>
          </w:p>
          <w:p>
            <w:pPr>
              <w:pStyle w:val="TableContents"/>
              <w:spacing w:before="0" w:after="0"/>
              <w:jc w:val="right"/>
              <w:rPr>
                <w:rFonts w:ascii="arial" w:hAnsi="arial"/>
                <w:b/>
                <w:color w:val="FFFFFF"/>
                <w:sz w:val="12"/>
              </w:rPr>
            </w:pPr>
            <w:r>
              <w:rPr>
                <w:rFonts w:ascii="arial" w:hAnsi="arial"/>
                <w:b/>
                <w:color w:val="FFFFFF"/>
                <w:sz w:val="12"/>
              </w:rPr>
              <w:t>Other</w:t>
            </w:r>
          </w:p>
          <w:p>
            <w:pPr>
              <w:pStyle w:val="TableContents"/>
              <w:spacing w:before="0" w:after="0"/>
              <w:jc w:val="right"/>
              <w:rPr>
                <w:rFonts w:ascii="arial" w:hAnsi="arial"/>
                <w:b/>
                <w:color w:val="FFFFFF"/>
                <w:sz w:val="12"/>
              </w:rPr>
            </w:pPr>
            <w:r>
              <w:rPr>
                <w:rFonts w:ascii="arial" w:hAnsi="arial"/>
                <w:b/>
                <w:color w:val="FFFFFF"/>
                <w:sz w:val="12"/>
              </w:rPr>
              <w:t>Stock</w:t>
            </w:r>
          </w:p>
          <w:p>
            <w:pPr>
              <w:pStyle w:val="TableContents"/>
              <w:spacing w:before="0" w:after="0"/>
              <w:jc w:val="right"/>
              <w:rPr>
                <w:rFonts w:ascii="arial" w:hAnsi="arial"/>
                <w:b/>
                <w:color w:val="FFFFFF"/>
                <w:sz w:val="12"/>
              </w:rPr>
            </w:pPr>
            <w:r>
              <w:rPr>
                <w:rFonts w:ascii="arial" w:hAnsi="arial"/>
                <w:b/>
                <w:color w:val="FFFFFF"/>
                <w:sz w:val="12"/>
              </w:rPr>
              <w:t>Awards:</w:t>
            </w:r>
          </w:p>
          <w:p>
            <w:pPr>
              <w:pStyle w:val="TableContents"/>
              <w:spacing w:before="0" w:after="0"/>
              <w:jc w:val="right"/>
              <w:rPr>
                <w:rFonts w:ascii="arial" w:hAnsi="arial"/>
                <w:b/>
                <w:color w:val="FFFFFF"/>
                <w:sz w:val="12"/>
              </w:rPr>
            </w:pPr>
            <w:r>
              <w:rPr>
                <w:rFonts w:ascii="arial" w:hAnsi="arial"/>
                <w:b/>
                <w:color w:val="FFFFFF"/>
                <w:sz w:val="12"/>
              </w:rPr>
              <w:t>Number</w:t>
            </w:r>
          </w:p>
          <w:p>
            <w:pPr>
              <w:pStyle w:val="TableContents"/>
              <w:spacing w:before="0" w:after="0"/>
              <w:jc w:val="right"/>
              <w:rPr>
                <w:rFonts w:ascii="arial" w:hAnsi="arial"/>
                <w:b/>
                <w:color w:val="FFFFFF"/>
                <w:sz w:val="12"/>
              </w:rPr>
            </w:pPr>
            <w:r>
              <w:rPr>
                <w:rFonts w:ascii="arial" w:hAnsi="arial"/>
                <w:b/>
                <w:color w:val="FFFFFF"/>
                <w:sz w:val="12"/>
              </w:rPr>
              <w:t>of</w:t>
            </w:r>
          </w:p>
          <w:p>
            <w:pPr>
              <w:pStyle w:val="TableContents"/>
              <w:spacing w:before="0" w:after="0"/>
              <w:jc w:val="right"/>
              <w:rPr>
                <w:rFonts w:ascii="arial" w:hAnsi="arial"/>
                <w:b/>
                <w:color w:val="FFFFFF"/>
                <w:sz w:val="12"/>
              </w:rPr>
            </w:pPr>
            <w:r>
              <w:rPr>
                <w:rFonts w:ascii="arial" w:hAnsi="arial"/>
                <w:b/>
                <w:color w:val="FFFFFF"/>
                <w:sz w:val="12"/>
              </w:rPr>
              <w:t>Shares</w:t>
            </w:r>
          </w:p>
          <w:p>
            <w:pPr>
              <w:pStyle w:val="TableContents"/>
              <w:spacing w:before="0" w:after="0"/>
              <w:jc w:val="right"/>
              <w:rPr>
                <w:rFonts w:ascii="arial" w:hAnsi="arial"/>
                <w:b/>
                <w:color w:val="FFFFFF"/>
                <w:sz w:val="12"/>
              </w:rPr>
            </w:pPr>
            <w:r>
              <w:rPr>
                <w:rFonts w:ascii="arial" w:hAnsi="arial"/>
                <w:b/>
                <w:color w:val="FFFFFF"/>
                <w:sz w:val="12"/>
              </w:rPr>
              <w:t>of Stock</w:t>
            </w:r>
          </w:p>
          <w:p>
            <w:pPr>
              <w:pStyle w:val="TableContents"/>
              <w:spacing w:before="0" w:after="20"/>
              <w:jc w:val="right"/>
              <w:rPr>
                <w:rFonts w:ascii="arial" w:hAnsi="arial"/>
                <w:b/>
                <w:color w:val="FFFFFF"/>
                <w:sz w:val="12"/>
              </w:rPr>
            </w:pPr>
            <w:r>
              <w:rPr>
                <w:rFonts w:ascii="arial" w:hAnsi="arial"/>
                <w:b/>
                <w:color w:val="FFFFFF"/>
                <w:sz w:val="12"/>
              </w:rPr>
              <w:t>or Units</w:t>
              <w:br/>
              <w:t>(#)(3)</w:t>
            </w:r>
          </w:p>
        </w:tc>
        <w:tc>
          <w:tcPr>
            <w:tcW w:w="60" w:type="dxa"/>
            <w:tcBorders/>
            <w:shd w:fill="444444" w:val="clear"/>
            <w:vAlign w:val="center"/>
          </w:tcPr>
          <w:p>
            <w:pPr>
              <w:pStyle w:val="TableContents"/>
              <w:spacing w:before="0" w:after="283"/>
              <w:rPr/>
            </w:pPr>
            <w:r>
              <w:rPr/>
              <w:t> </w:t>
            </w:r>
          </w:p>
        </w:tc>
        <w:tc>
          <w:tcPr>
            <w:tcW w:w="60" w:type="dxa"/>
            <w:tcBorders/>
            <w:shd w:fill="444444" w:val="clear"/>
            <w:vAlign w:val="center"/>
          </w:tcPr>
          <w:p>
            <w:pPr>
              <w:pStyle w:val="TableContents"/>
              <w:spacing w:before="0" w:after="283"/>
              <w:rPr/>
            </w:pPr>
            <w:r>
              <w:rPr/>
              <w:t> </w:t>
            </w:r>
          </w:p>
        </w:tc>
        <w:tc>
          <w:tcPr>
            <w:tcW w:w="635" w:type="dxa"/>
            <w:gridSpan w:val="2"/>
            <w:tcBorders/>
            <w:shd w:fill="444444" w:val="clear"/>
            <w:vAlign w:val="center"/>
          </w:tcPr>
          <w:p>
            <w:pPr>
              <w:pStyle w:val="TableContents"/>
              <w:spacing w:before="0" w:after="0"/>
              <w:jc w:val="right"/>
              <w:rPr>
                <w:rFonts w:ascii="arial" w:hAnsi="arial"/>
                <w:b/>
                <w:color w:val="FFFFFF"/>
                <w:sz w:val="12"/>
              </w:rPr>
            </w:pPr>
            <w:r>
              <w:rPr>
                <w:rFonts w:ascii="arial" w:hAnsi="arial"/>
                <w:b/>
                <w:color w:val="FFFFFF"/>
                <w:sz w:val="12"/>
              </w:rPr>
              <w:t>All Other</w:t>
            </w:r>
          </w:p>
          <w:p>
            <w:pPr>
              <w:pStyle w:val="TableContents"/>
              <w:spacing w:before="0" w:after="0"/>
              <w:jc w:val="right"/>
              <w:rPr>
                <w:rFonts w:ascii="arial" w:hAnsi="arial"/>
                <w:b/>
                <w:color w:val="FFFFFF"/>
                <w:sz w:val="12"/>
              </w:rPr>
            </w:pPr>
            <w:r>
              <w:rPr>
                <w:rFonts w:ascii="arial" w:hAnsi="arial"/>
                <w:b/>
                <w:color w:val="FFFFFF"/>
                <w:sz w:val="12"/>
              </w:rPr>
              <w:t>Option</w:t>
            </w:r>
          </w:p>
          <w:p>
            <w:pPr>
              <w:pStyle w:val="TableContents"/>
              <w:spacing w:before="0" w:after="0"/>
              <w:jc w:val="right"/>
              <w:rPr>
                <w:rFonts w:ascii="arial" w:hAnsi="arial"/>
                <w:b/>
                <w:color w:val="FFFFFF"/>
                <w:sz w:val="12"/>
              </w:rPr>
            </w:pPr>
            <w:r>
              <w:rPr>
                <w:rFonts w:ascii="arial" w:hAnsi="arial"/>
                <w:b/>
                <w:color w:val="FFFFFF"/>
                <w:sz w:val="12"/>
              </w:rPr>
              <w:t>Awards:</w:t>
            </w:r>
          </w:p>
          <w:p>
            <w:pPr>
              <w:pStyle w:val="TableContents"/>
              <w:spacing w:before="0" w:after="0"/>
              <w:jc w:val="right"/>
              <w:rPr>
                <w:rFonts w:ascii="arial" w:hAnsi="arial"/>
                <w:b/>
                <w:color w:val="FFFFFF"/>
                <w:sz w:val="12"/>
              </w:rPr>
            </w:pPr>
            <w:r>
              <w:rPr>
                <w:rFonts w:ascii="arial" w:hAnsi="arial"/>
                <w:b/>
                <w:color w:val="FFFFFF"/>
                <w:sz w:val="12"/>
              </w:rPr>
              <w:t>Number of</w:t>
            </w:r>
          </w:p>
          <w:p>
            <w:pPr>
              <w:pStyle w:val="TableContents"/>
              <w:spacing w:before="0" w:after="0"/>
              <w:jc w:val="right"/>
              <w:rPr>
                <w:rFonts w:ascii="arial" w:hAnsi="arial"/>
                <w:b/>
                <w:color w:val="FFFFFF"/>
                <w:sz w:val="12"/>
              </w:rPr>
            </w:pPr>
            <w:r>
              <w:rPr>
                <w:rFonts w:ascii="arial" w:hAnsi="arial"/>
                <w:b/>
                <w:color w:val="FFFFFF"/>
                <w:sz w:val="12"/>
              </w:rPr>
              <w:t>Securities</w:t>
            </w:r>
          </w:p>
          <w:p>
            <w:pPr>
              <w:pStyle w:val="TableContents"/>
              <w:spacing w:before="0" w:after="20"/>
              <w:jc w:val="right"/>
              <w:rPr>
                <w:rFonts w:ascii="arial" w:hAnsi="arial"/>
                <w:b/>
                <w:color w:val="FFFFFF"/>
                <w:sz w:val="12"/>
              </w:rPr>
            </w:pPr>
            <w:r>
              <w:rPr>
                <w:rFonts w:ascii="arial" w:hAnsi="arial"/>
                <w:b/>
                <w:color w:val="FFFFFF"/>
                <w:sz w:val="12"/>
              </w:rPr>
              <w:t>Underlying</w:t>
              <w:br/>
              <w:t>Options</w:t>
              <w:br/>
              <w:t>(#)</w:t>
            </w:r>
          </w:p>
        </w:tc>
        <w:tc>
          <w:tcPr>
            <w:tcW w:w="60" w:type="dxa"/>
            <w:tcBorders/>
            <w:shd w:fill="444444" w:val="clear"/>
            <w:vAlign w:val="center"/>
          </w:tcPr>
          <w:p>
            <w:pPr>
              <w:pStyle w:val="TableContents"/>
              <w:spacing w:before="0" w:after="283"/>
              <w:rPr/>
            </w:pPr>
            <w:r>
              <w:rPr/>
              <w:t> </w:t>
            </w:r>
          </w:p>
        </w:tc>
        <w:tc>
          <w:tcPr>
            <w:tcW w:w="60" w:type="dxa"/>
            <w:tcBorders/>
            <w:shd w:fill="444444" w:val="clear"/>
            <w:vAlign w:val="center"/>
          </w:tcPr>
          <w:p>
            <w:pPr>
              <w:pStyle w:val="TableContents"/>
              <w:spacing w:before="0" w:after="283"/>
              <w:rPr/>
            </w:pPr>
            <w:r>
              <w:rPr/>
              <w:t> </w:t>
            </w:r>
          </w:p>
        </w:tc>
        <w:tc>
          <w:tcPr>
            <w:tcW w:w="470" w:type="dxa"/>
            <w:gridSpan w:val="2"/>
            <w:tcBorders/>
            <w:shd w:fill="444444" w:val="clear"/>
            <w:vAlign w:val="center"/>
          </w:tcPr>
          <w:p>
            <w:pPr>
              <w:pStyle w:val="TableContents"/>
              <w:spacing w:before="0" w:after="0"/>
              <w:jc w:val="right"/>
              <w:rPr>
                <w:rFonts w:ascii="arial" w:hAnsi="arial"/>
                <w:b/>
                <w:color w:val="FFFFFF"/>
                <w:sz w:val="12"/>
              </w:rPr>
            </w:pPr>
            <w:r>
              <w:rPr>
                <w:rFonts w:ascii="arial" w:hAnsi="arial"/>
                <w:b/>
                <w:color w:val="FFFFFF"/>
                <w:sz w:val="12"/>
              </w:rPr>
              <w:t>Exercise</w:t>
            </w:r>
          </w:p>
          <w:p>
            <w:pPr>
              <w:pStyle w:val="TableContents"/>
              <w:spacing w:before="0" w:after="0"/>
              <w:jc w:val="right"/>
              <w:rPr>
                <w:rFonts w:ascii="arial" w:hAnsi="arial"/>
                <w:b/>
                <w:color w:val="FFFFFF"/>
                <w:sz w:val="12"/>
              </w:rPr>
            </w:pPr>
            <w:r>
              <w:rPr>
                <w:rFonts w:ascii="arial" w:hAnsi="arial"/>
                <w:b/>
                <w:color w:val="FFFFFF"/>
                <w:sz w:val="12"/>
              </w:rPr>
              <w:t>or Base</w:t>
            </w:r>
          </w:p>
          <w:p>
            <w:pPr>
              <w:pStyle w:val="TableContents"/>
              <w:spacing w:before="0" w:after="0"/>
              <w:jc w:val="right"/>
              <w:rPr>
                <w:rFonts w:ascii="arial" w:hAnsi="arial"/>
                <w:b/>
                <w:color w:val="FFFFFF"/>
                <w:sz w:val="12"/>
              </w:rPr>
            </w:pPr>
            <w:r>
              <w:rPr>
                <w:rFonts w:ascii="arial" w:hAnsi="arial"/>
                <w:b/>
                <w:color w:val="FFFFFF"/>
                <w:sz w:val="12"/>
              </w:rPr>
              <w:t>Price of</w:t>
            </w:r>
          </w:p>
          <w:p>
            <w:pPr>
              <w:pStyle w:val="TableContents"/>
              <w:spacing w:before="0" w:after="20"/>
              <w:jc w:val="right"/>
              <w:rPr>
                <w:rFonts w:ascii="arial" w:hAnsi="arial"/>
                <w:b/>
                <w:color w:val="FFFFFF"/>
                <w:sz w:val="12"/>
              </w:rPr>
            </w:pPr>
            <w:r>
              <w:rPr>
                <w:rFonts w:ascii="arial" w:hAnsi="arial"/>
                <w:b/>
                <w:color w:val="FFFFFF"/>
                <w:sz w:val="12"/>
              </w:rPr>
              <w:t>Option</w:t>
              <w:br/>
              <w:t>Awards</w:t>
              <w:br/>
              <w:t>($/Sh)</w:t>
            </w:r>
          </w:p>
        </w:tc>
        <w:tc>
          <w:tcPr>
            <w:tcW w:w="60" w:type="dxa"/>
            <w:tcBorders/>
            <w:shd w:fill="444444" w:val="clear"/>
            <w:vAlign w:val="center"/>
          </w:tcPr>
          <w:p>
            <w:pPr>
              <w:pStyle w:val="TableContents"/>
              <w:spacing w:before="0" w:after="283"/>
              <w:rPr/>
            </w:pPr>
            <w:r>
              <w:rPr/>
              <w:t> </w:t>
            </w:r>
          </w:p>
        </w:tc>
        <w:tc>
          <w:tcPr>
            <w:tcW w:w="60" w:type="dxa"/>
            <w:tcBorders/>
            <w:shd w:fill="444444" w:val="clear"/>
            <w:vAlign w:val="center"/>
          </w:tcPr>
          <w:p>
            <w:pPr>
              <w:pStyle w:val="TableContents"/>
              <w:spacing w:before="0" w:after="283"/>
              <w:rPr/>
            </w:pPr>
            <w:r>
              <w:rPr/>
              <w:t> </w:t>
            </w:r>
          </w:p>
        </w:tc>
        <w:tc>
          <w:tcPr>
            <w:tcW w:w="1040" w:type="dxa"/>
            <w:gridSpan w:val="2"/>
            <w:tcBorders/>
            <w:shd w:fill="444444" w:val="clear"/>
            <w:vAlign w:val="center"/>
          </w:tcPr>
          <w:p>
            <w:pPr>
              <w:pStyle w:val="TableContents"/>
              <w:spacing w:before="0" w:after="0"/>
              <w:jc w:val="right"/>
              <w:rPr>
                <w:rFonts w:ascii="arial" w:hAnsi="arial"/>
                <w:b/>
                <w:color w:val="FFFFFF"/>
                <w:sz w:val="12"/>
              </w:rPr>
            </w:pPr>
            <w:r>
              <w:rPr>
                <w:rFonts w:ascii="arial" w:hAnsi="arial"/>
                <w:b/>
                <w:color w:val="FFFFFF"/>
                <w:sz w:val="12"/>
              </w:rPr>
              <w:t>Grant</w:t>
            </w:r>
          </w:p>
          <w:p>
            <w:pPr>
              <w:pStyle w:val="TableContents"/>
              <w:spacing w:before="0" w:after="0"/>
              <w:jc w:val="right"/>
              <w:rPr>
                <w:rFonts w:ascii="arial" w:hAnsi="arial"/>
                <w:b/>
                <w:color w:val="FFFFFF"/>
                <w:sz w:val="12"/>
              </w:rPr>
            </w:pPr>
            <w:r>
              <w:rPr>
                <w:rFonts w:ascii="arial" w:hAnsi="arial"/>
                <w:b/>
                <w:color w:val="FFFFFF"/>
                <w:sz w:val="12"/>
              </w:rPr>
              <w:t>Date Fair</w:t>
            </w:r>
          </w:p>
          <w:p>
            <w:pPr>
              <w:pStyle w:val="TableContents"/>
              <w:spacing w:before="0" w:after="0"/>
              <w:jc w:val="right"/>
              <w:rPr>
                <w:rFonts w:ascii="arial" w:hAnsi="arial"/>
                <w:b/>
                <w:color w:val="FFFFFF"/>
                <w:sz w:val="12"/>
              </w:rPr>
            </w:pPr>
            <w:r>
              <w:rPr>
                <w:rFonts w:ascii="arial" w:hAnsi="arial"/>
                <w:b/>
                <w:color w:val="FFFFFF"/>
                <w:sz w:val="12"/>
              </w:rPr>
              <w:t>Value</w:t>
            </w:r>
          </w:p>
          <w:p>
            <w:pPr>
              <w:pStyle w:val="TableContents"/>
              <w:spacing w:before="0" w:after="0"/>
              <w:jc w:val="right"/>
              <w:rPr>
                <w:rFonts w:ascii="arial" w:hAnsi="arial"/>
                <w:b/>
                <w:color w:val="FFFFFF"/>
                <w:sz w:val="12"/>
              </w:rPr>
            </w:pPr>
            <w:r>
              <w:rPr>
                <w:rFonts w:ascii="arial" w:hAnsi="arial"/>
                <w:b/>
                <w:color w:val="FFFFFF"/>
                <w:sz w:val="12"/>
              </w:rPr>
              <w:t>of</w:t>
            </w:r>
          </w:p>
          <w:p>
            <w:pPr>
              <w:pStyle w:val="TableContents"/>
              <w:spacing w:before="0" w:after="0"/>
              <w:jc w:val="right"/>
              <w:rPr>
                <w:rFonts w:ascii="arial" w:hAnsi="arial"/>
                <w:b/>
                <w:color w:val="FFFFFF"/>
                <w:sz w:val="12"/>
              </w:rPr>
            </w:pPr>
            <w:r>
              <w:rPr>
                <w:rFonts w:ascii="arial" w:hAnsi="arial"/>
                <w:b/>
                <w:color w:val="FFFFFF"/>
                <w:sz w:val="12"/>
              </w:rPr>
              <w:t>Stock and</w:t>
            </w:r>
          </w:p>
          <w:p>
            <w:pPr>
              <w:pStyle w:val="TableContents"/>
              <w:spacing w:before="0" w:after="20"/>
              <w:jc w:val="right"/>
              <w:rPr>
                <w:rFonts w:ascii="arial" w:hAnsi="arial"/>
                <w:b/>
                <w:color w:val="FFFFFF"/>
                <w:sz w:val="12"/>
              </w:rPr>
            </w:pPr>
            <w:r>
              <w:rPr>
                <w:rFonts w:ascii="arial" w:hAnsi="arial"/>
                <w:b/>
                <w:color w:val="FFFFFF"/>
                <w:sz w:val="12"/>
              </w:rPr>
              <w:t>Option</w:t>
              <w:br/>
              <w:t>Awards</w:t>
              <w:br/>
              <w:t>($)(4)</w:t>
            </w:r>
          </w:p>
        </w:tc>
        <w:tc>
          <w:tcPr>
            <w:tcW w:w="75" w:type="dxa"/>
            <w:tcBorders/>
            <w:shd w:fill="444444" w:val="clear"/>
            <w:vAlign w:val="center"/>
          </w:tcPr>
          <w:p>
            <w:pPr>
              <w:pStyle w:val="TableContents"/>
              <w:spacing w:before="0" w:after="283"/>
              <w:rPr/>
            </w:pPr>
            <w:r>
              <w:rPr/>
              <w:t> </w:t>
            </w:r>
          </w:p>
        </w:tc>
      </w:tr>
      <w:tr>
        <w:trPr/>
        <w:tc>
          <w:tcPr>
            <w:tcW w:w="1235" w:type="dxa"/>
            <w:vMerge w:val="restart"/>
            <w:tcBorders/>
            <w:shd w:fill="auto" w:val="clear"/>
            <w:vAlign w:val="center"/>
          </w:tcPr>
          <w:p>
            <w:pPr>
              <w:pStyle w:val="TableContents"/>
              <w:spacing w:before="0" w:after="0"/>
              <w:rPr>
                <w:rFonts w:ascii="arial" w:hAnsi="arial"/>
                <w:b/>
                <w:sz w:val="15"/>
              </w:rPr>
            </w:pPr>
            <w:r>
              <w:rPr>
                <w:rFonts w:ascii="arial" w:hAnsi="arial"/>
                <w:b/>
                <w:sz w:val="15"/>
              </w:rPr>
              <w:t>Michael Goettler</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06" w:type="dxa"/>
            <w:tcBorders/>
            <w:shd w:fill="auto" w:val="clear"/>
            <w:vAlign w:val="center"/>
          </w:tcPr>
          <w:p>
            <w:pPr>
              <w:pStyle w:val="TableContents"/>
              <w:spacing w:before="0" w:after="283"/>
              <w:rPr>
                <w:sz w:val="4"/>
                <w:szCs w:val="4"/>
              </w:rPr>
            </w:pPr>
            <w:r>
              <w:rPr>
                <w:sz w:val="4"/>
                <w:szCs w:val="4"/>
              </w:rPr>
            </w:r>
          </w:p>
        </w:tc>
        <w:tc>
          <w:tcPr>
            <w:tcW w:w="88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1009" w:type="dxa"/>
            <w:tcBorders/>
            <w:shd w:fill="auto" w:val="clear"/>
            <w:vAlign w:val="center"/>
          </w:tcPr>
          <w:p>
            <w:pPr>
              <w:pStyle w:val="TableContents"/>
              <w:spacing w:before="0" w:after="283"/>
              <w:jc w:val="right"/>
              <w:rPr/>
            </w:pPr>
            <w:r>
              <w:rPr/>
              <w:t>975,000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1,950,000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1009" w:type="dxa"/>
            <w:tcBorders/>
            <w:shd w:fill="auto" w:val="clear"/>
            <w:vAlign w:val="center"/>
          </w:tcPr>
          <w:p>
            <w:pPr>
              <w:pStyle w:val="TableContents"/>
              <w:spacing w:before="0" w:after="283"/>
              <w:jc w:val="right"/>
              <w:rPr/>
            </w:pPr>
            <w:r>
              <w:rPr/>
              <w:t>3,900,000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4" w:type="dxa"/>
            <w:tcBorders/>
            <w:shd w:fill="auto" w:val="clear"/>
            <w:vAlign w:val="center"/>
          </w:tcPr>
          <w:p>
            <w:pPr>
              <w:pStyle w:val="TableContents"/>
              <w:spacing w:before="0" w:after="283"/>
              <w:rPr/>
            </w:pPr>
            <w:r>
              <w:rPr/>
              <w:t> </w:t>
            </w:r>
          </w:p>
        </w:tc>
        <w:tc>
          <w:tcPr>
            <w:tcW w:w="996"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1009"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9" w:type="dxa"/>
            <w:tcBorders/>
            <w:shd w:fill="auto" w:val="clear"/>
            <w:vAlign w:val="center"/>
          </w:tcPr>
          <w:p>
            <w:pPr>
              <w:pStyle w:val="TableContents"/>
              <w:spacing w:before="0" w:after="283"/>
              <w:rPr/>
            </w:pPr>
            <w:r>
              <w:rPr/>
              <w:t> </w:t>
            </w:r>
          </w:p>
        </w:tc>
        <w:tc>
          <w:tcPr>
            <w:tcW w:w="516"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c>
          <w:tcPr>
            <w:tcW w:w="382"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w:t>
            </w:r>
          </w:p>
        </w:tc>
        <w:tc>
          <w:tcPr>
            <w:tcW w:w="75" w:type="dxa"/>
            <w:tcBorders/>
            <w:shd w:fill="auto" w:val="clear"/>
            <w:vAlign w:val="center"/>
          </w:tcPr>
          <w:p>
            <w:pPr>
              <w:pStyle w:val="TableContents"/>
              <w:spacing w:before="0" w:after="283"/>
              <w:rPr/>
            </w:pPr>
            <w:r>
              <w:rPr/>
              <w:t> </w:t>
            </w:r>
          </w:p>
        </w:tc>
      </w:tr>
      <w:tr>
        <w:trPr/>
        <w:tc>
          <w:tcPr>
            <w:tcW w:w="1235" w:type="dxa"/>
            <w:vMerge w:val="continue"/>
            <w:tcBorders/>
            <w:shd w:fill="auto" w:val="clear"/>
            <w:vAlign w:val="center"/>
          </w:tcPr>
          <w:p>
            <w:pPr>
              <w:pStyle w:val="Normal"/>
              <w:rPr/>
            </w:pPr>
            <w:r>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75" w:type="dxa"/>
            <w:tcBorders/>
            <w:shd w:fill="auto" w:val="clear"/>
            <w:vAlign w:val="center"/>
          </w:tcPr>
          <w:p>
            <w:pPr>
              <w:pStyle w:val="TableContents"/>
              <w:spacing w:before="0" w:after="283"/>
              <w:jc w:val="right"/>
              <w:rPr/>
            </w:pPr>
            <w:r>
              <w:rPr/>
              <w:t>3/4/2022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6" w:type="dxa"/>
            <w:tcBorders/>
            <w:shd w:fill="auto" w:val="clear"/>
            <w:vAlign w:val="center"/>
          </w:tcPr>
          <w:p>
            <w:pPr>
              <w:pStyle w:val="TableContents"/>
              <w:spacing w:before="0" w:after="283"/>
              <w:rPr/>
            </w:pPr>
            <w:r>
              <w:rPr/>
              <w:t> </w:t>
            </w:r>
          </w:p>
        </w:tc>
        <w:tc>
          <w:tcPr>
            <w:tcW w:w="889" w:type="dxa"/>
            <w:tcBorders/>
            <w:shd w:fill="auto" w:val="clear"/>
            <w:vAlign w:val="center"/>
          </w:tcPr>
          <w:p>
            <w:pPr>
              <w:pStyle w:val="TableContents"/>
              <w:spacing w:before="0" w:after="283"/>
              <w:jc w:val="right"/>
              <w:rPr/>
            </w:pPr>
            <w:r>
              <w:rPr/>
              <w:t>3/4/2022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1009"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1009"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4" w:type="dxa"/>
            <w:tcBorders/>
            <w:shd w:fill="auto" w:val="clear"/>
            <w:vAlign w:val="center"/>
          </w:tcPr>
          <w:p>
            <w:pPr>
              <w:pStyle w:val="TableContents"/>
              <w:spacing w:before="0" w:after="283"/>
              <w:rPr/>
            </w:pPr>
            <w:r>
              <w:rPr/>
              <w:t> </w:t>
            </w:r>
          </w:p>
        </w:tc>
        <w:tc>
          <w:tcPr>
            <w:tcW w:w="996" w:type="dxa"/>
            <w:tcBorders/>
            <w:shd w:fill="auto" w:val="clear"/>
            <w:vAlign w:val="center"/>
          </w:tcPr>
          <w:p>
            <w:pPr>
              <w:pStyle w:val="TableContents"/>
              <w:spacing w:before="0" w:after="283"/>
              <w:jc w:val="right"/>
              <w:rPr/>
            </w:pPr>
            <w:r>
              <w:rPr/>
              <w:t>202,966</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579,902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1009" w:type="dxa"/>
            <w:tcBorders/>
            <w:shd w:fill="auto" w:val="clear"/>
            <w:vAlign w:val="center"/>
          </w:tcPr>
          <w:p>
            <w:pPr>
              <w:pStyle w:val="TableContents"/>
              <w:spacing w:before="0" w:after="283"/>
              <w:jc w:val="right"/>
              <w:rPr/>
            </w:pPr>
            <w:r>
              <w:rPr/>
              <w:t>1,130,809</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9" w:type="dxa"/>
            <w:tcBorders/>
            <w:shd w:fill="auto" w:val="clear"/>
            <w:vAlign w:val="center"/>
          </w:tcPr>
          <w:p>
            <w:pPr>
              <w:pStyle w:val="TableContents"/>
              <w:spacing w:before="0" w:after="283"/>
              <w:rPr/>
            </w:pPr>
            <w:r>
              <w:rPr/>
              <w:t> </w:t>
            </w:r>
          </w:p>
        </w:tc>
        <w:tc>
          <w:tcPr>
            <w:tcW w:w="516"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c>
          <w:tcPr>
            <w:tcW w:w="382"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5,915,000</w:t>
            </w:r>
          </w:p>
        </w:tc>
        <w:tc>
          <w:tcPr>
            <w:tcW w:w="75" w:type="dxa"/>
            <w:tcBorders/>
            <w:shd w:fill="auto" w:val="clear"/>
            <w:vAlign w:val="center"/>
          </w:tcPr>
          <w:p>
            <w:pPr>
              <w:pStyle w:val="TableContents"/>
              <w:spacing w:before="0" w:after="283"/>
              <w:rPr/>
            </w:pPr>
            <w:r>
              <w:rPr/>
              <w:t> </w:t>
            </w:r>
          </w:p>
        </w:tc>
      </w:tr>
      <w:tr>
        <w:trPr/>
        <w:tc>
          <w:tcPr>
            <w:tcW w:w="12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75" w:type="dxa"/>
            <w:tcBorders/>
            <w:shd w:fill="auto" w:val="clear"/>
            <w:vAlign w:val="center"/>
          </w:tcPr>
          <w:p>
            <w:pPr>
              <w:pStyle w:val="TableContents"/>
              <w:spacing w:before="0" w:after="283"/>
              <w:jc w:val="right"/>
              <w:rPr/>
            </w:pPr>
            <w:r>
              <w:rPr/>
              <w:t>3/4/2022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6" w:type="dxa"/>
            <w:tcBorders/>
            <w:shd w:fill="auto" w:val="clear"/>
            <w:vAlign w:val="center"/>
          </w:tcPr>
          <w:p>
            <w:pPr>
              <w:pStyle w:val="TableContents"/>
              <w:spacing w:before="0" w:after="283"/>
              <w:rPr/>
            </w:pPr>
            <w:r>
              <w:rPr/>
              <w:t> </w:t>
            </w:r>
          </w:p>
        </w:tc>
        <w:tc>
          <w:tcPr>
            <w:tcW w:w="889" w:type="dxa"/>
            <w:tcBorders/>
            <w:shd w:fill="auto" w:val="clear"/>
            <w:vAlign w:val="center"/>
          </w:tcPr>
          <w:p>
            <w:pPr>
              <w:pStyle w:val="TableContents"/>
              <w:spacing w:before="0" w:after="283"/>
              <w:jc w:val="right"/>
              <w:rPr/>
            </w:pPr>
            <w:r>
              <w:rPr/>
              <w:t>3/4/2022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1009"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1009"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4" w:type="dxa"/>
            <w:tcBorders/>
            <w:shd w:fill="auto" w:val="clear"/>
            <w:vAlign w:val="center"/>
          </w:tcPr>
          <w:p>
            <w:pPr>
              <w:pStyle w:val="TableContents"/>
              <w:spacing w:before="0" w:after="283"/>
              <w:rPr/>
            </w:pPr>
            <w:r>
              <w:rPr/>
              <w:t> </w:t>
            </w:r>
          </w:p>
        </w:tc>
        <w:tc>
          <w:tcPr>
            <w:tcW w:w="996"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1009"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312,255</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9" w:type="dxa"/>
            <w:tcBorders/>
            <w:shd w:fill="auto" w:val="clear"/>
            <w:vAlign w:val="center"/>
          </w:tcPr>
          <w:p>
            <w:pPr>
              <w:pStyle w:val="TableContents"/>
              <w:spacing w:before="0" w:after="283"/>
              <w:rPr/>
            </w:pPr>
            <w:r>
              <w:rPr/>
              <w:t> </w:t>
            </w:r>
          </w:p>
        </w:tc>
        <w:tc>
          <w:tcPr>
            <w:tcW w:w="516"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c>
          <w:tcPr>
            <w:tcW w:w="382"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3,185,001</w:t>
            </w:r>
          </w:p>
        </w:tc>
        <w:tc>
          <w:tcPr>
            <w:tcW w:w="75" w:type="dxa"/>
            <w:tcBorders/>
            <w:shd w:fill="auto" w:val="clear"/>
            <w:vAlign w:val="center"/>
          </w:tcPr>
          <w:p>
            <w:pPr>
              <w:pStyle w:val="TableContents"/>
              <w:spacing w:before="0" w:after="283"/>
              <w:rPr/>
            </w:pPr>
            <w:r>
              <w:rPr/>
              <w:t> </w:t>
            </w:r>
          </w:p>
        </w:tc>
      </w:tr>
      <w:tr>
        <w:trPr/>
        <w:tc>
          <w:tcPr>
            <w:tcW w:w="1235" w:type="dxa"/>
            <w:vMerge w:val="restart"/>
            <w:tcBorders/>
            <w:shd w:fill="EAEAEA" w:val="clear"/>
            <w:vAlign w:val="center"/>
          </w:tcPr>
          <w:p>
            <w:pPr>
              <w:pStyle w:val="TableContents"/>
              <w:spacing w:before="0" w:after="0"/>
              <w:rPr>
                <w:rFonts w:ascii="arial" w:hAnsi="arial"/>
                <w:b/>
                <w:sz w:val="15"/>
              </w:rPr>
            </w:pPr>
            <w:r>
              <w:rPr>
                <w:rFonts w:ascii="arial" w:hAnsi="arial"/>
                <w:b/>
                <w:sz w:val="15"/>
              </w:rPr>
              <w:t>Sanjeev Narula</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sz w:val="4"/>
                <w:szCs w:val="4"/>
              </w:rPr>
            </w:pPr>
            <w:r>
              <w:rPr>
                <w:sz w:val="4"/>
                <w:szCs w:val="4"/>
              </w:rPr>
            </w:r>
          </w:p>
        </w:tc>
        <w:tc>
          <w:tcPr>
            <w:tcW w:w="575" w:type="dxa"/>
            <w:tcBorders/>
            <w:shd w:fill="EAEAEA" w:val="clear"/>
            <w:vAlign w:val="center"/>
          </w:tcPr>
          <w:p>
            <w:pPr>
              <w:pStyle w:val="TableContents"/>
              <w:spacing w:before="0" w:after="283"/>
              <w:rPr>
                <w:sz w:val="4"/>
                <w:szCs w:val="4"/>
              </w:rPr>
            </w:pPr>
            <w:r>
              <w:rPr>
                <w:sz w:val="4"/>
                <w:szCs w:val="4"/>
              </w:rPr>
            </w:r>
          </w:p>
        </w:tc>
        <w:tc>
          <w:tcPr>
            <w:tcW w:w="60" w:type="dxa"/>
            <w:tcBorders/>
            <w:shd w:fill="EAEAEA" w:val="clear"/>
            <w:vAlign w:val="center"/>
          </w:tcPr>
          <w:p>
            <w:pPr>
              <w:pStyle w:val="TableContents"/>
              <w:spacing w:before="0" w:after="283"/>
              <w:rPr>
                <w:sz w:val="4"/>
                <w:szCs w:val="4"/>
              </w:rPr>
            </w:pPr>
            <w:r>
              <w:rPr>
                <w:sz w:val="4"/>
                <w:szCs w:val="4"/>
              </w:rPr>
            </w:r>
          </w:p>
        </w:tc>
        <w:tc>
          <w:tcPr>
            <w:tcW w:w="60" w:type="dxa"/>
            <w:tcBorders/>
            <w:shd w:fill="EAEAEA" w:val="clear"/>
            <w:vAlign w:val="center"/>
          </w:tcPr>
          <w:p>
            <w:pPr>
              <w:pStyle w:val="TableContents"/>
              <w:spacing w:before="0" w:after="283"/>
              <w:rPr/>
            </w:pPr>
            <w:r>
              <w:rPr/>
              <w:t> </w:t>
            </w:r>
          </w:p>
        </w:tc>
        <w:tc>
          <w:tcPr>
            <w:tcW w:w="106" w:type="dxa"/>
            <w:tcBorders/>
            <w:shd w:fill="EAEAEA" w:val="clear"/>
            <w:vAlign w:val="center"/>
          </w:tcPr>
          <w:p>
            <w:pPr>
              <w:pStyle w:val="TableContents"/>
              <w:spacing w:before="0" w:after="283"/>
              <w:rPr>
                <w:sz w:val="4"/>
                <w:szCs w:val="4"/>
              </w:rPr>
            </w:pPr>
            <w:r>
              <w:rPr>
                <w:sz w:val="4"/>
                <w:szCs w:val="4"/>
              </w:rPr>
            </w:r>
          </w:p>
        </w:tc>
        <w:tc>
          <w:tcPr>
            <w:tcW w:w="889" w:type="dxa"/>
            <w:tcBorders/>
            <w:shd w:fill="EAEAEA" w:val="clear"/>
            <w:vAlign w:val="center"/>
          </w:tcPr>
          <w:p>
            <w:pPr>
              <w:pStyle w:val="TableContents"/>
              <w:spacing w:before="0" w:after="283"/>
              <w:rPr>
                <w:sz w:val="4"/>
                <w:szCs w:val="4"/>
              </w:rPr>
            </w:pPr>
            <w:r>
              <w:rPr>
                <w:sz w:val="4"/>
                <w:szCs w:val="4"/>
              </w:rPr>
            </w:r>
          </w:p>
        </w:tc>
        <w:tc>
          <w:tcPr>
            <w:tcW w:w="60" w:type="dxa"/>
            <w:tcBorders/>
            <w:shd w:fill="EAEAEA" w:val="clear"/>
            <w:vAlign w:val="center"/>
          </w:tcPr>
          <w:p>
            <w:pPr>
              <w:pStyle w:val="TableContents"/>
              <w:spacing w:before="0" w:after="283"/>
              <w:rPr>
                <w:sz w:val="4"/>
                <w:szCs w:val="4"/>
              </w:rPr>
            </w:pPr>
            <w:r>
              <w:rPr>
                <w:sz w:val="4"/>
                <w:szCs w:val="4"/>
              </w:rPr>
            </w:r>
          </w:p>
        </w:tc>
        <w:tc>
          <w:tcPr>
            <w:tcW w:w="60" w:type="dxa"/>
            <w:tcBorders/>
            <w:shd w:fill="EAEAEA" w:val="clear"/>
            <w:vAlign w:val="center"/>
          </w:tcPr>
          <w:p>
            <w:pPr>
              <w:pStyle w:val="TableContents"/>
              <w:spacing w:before="0" w:after="283"/>
              <w:rPr/>
            </w:pPr>
            <w:r>
              <w:rPr/>
              <w:t> </w:t>
            </w:r>
          </w:p>
        </w:tc>
        <w:tc>
          <w:tcPr>
            <w:tcW w:w="61" w:type="dxa"/>
            <w:tcBorders/>
            <w:shd w:fill="EAEAEA" w:val="clear"/>
            <w:vAlign w:val="center"/>
          </w:tcPr>
          <w:p>
            <w:pPr>
              <w:pStyle w:val="TableContents"/>
              <w:spacing w:before="0" w:after="283"/>
              <w:rPr/>
            </w:pPr>
            <w:r>
              <w:rPr/>
              <w:t> </w:t>
            </w:r>
          </w:p>
        </w:tc>
        <w:tc>
          <w:tcPr>
            <w:tcW w:w="1009" w:type="dxa"/>
            <w:tcBorders/>
            <w:shd w:fill="EAEAEA" w:val="clear"/>
            <w:vAlign w:val="center"/>
          </w:tcPr>
          <w:p>
            <w:pPr>
              <w:pStyle w:val="TableContents"/>
              <w:spacing w:before="0" w:after="283"/>
              <w:jc w:val="right"/>
              <w:rPr/>
            </w:pPr>
            <w:r>
              <w:rPr/>
              <w:t>425,000</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980" w:type="dxa"/>
            <w:tcBorders/>
            <w:shd w:fill="EAEAEA" w:val="clear"/>
            <w:vAlign w:val="center"/>
          </w:tcPr>
          <w:p>
            <w:pPr>
              <w:pStyle w:val="TableContents"/>
              <w:spacing w:before="0" w:after="283"/>
              <w:jc w:val="right"/>
              <w:rPr/>
            </w:pPr>
            <w:r>
              <w:rPr/>
              <w:t>850,000</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61" w:type="dxa"/>
            <w:tcBorders/>
            <w:shd w:fill="EAEAEA" w:val="clear"/>
            <w:vAlign w:val="center"/>
          </w:tcPr>
          <w:p>
            <w:pPr>
              <w:pStyle w:val="TableContents"/>
              <w:spacing w:before="0" w:after="283"/>
              <w:rPr/>
            </w:pPr>
            <w:r>
              <w:rPr/>
              <w:t> </w:t>
            </w:r>
          </w:p>
        </w:tc>
        <w:tc>
          <w:tcPr>
            <w:tcW w:w="1009" w:type="dxa"/>
            <w:tcBorders/>
            <w:shd w:fill="EAEAEA" w:val="clear"/>
            <w:vAlign w:val="center"/>
          </w:tcPr>
          <w:p>
            <w:pPr>
              <w:pStyle w:val="TableContents"/>
              <w:spacing w:before="0" w:after="283"/>
              <w:jc w:val="right"/>
              <w:rPr/>
            </w:pPr>
            <w:r>
              <w:rPr/>
              <w:t>1,700,000</w:t>
            </w:r>
          </w:p>
        </w:tc>
        <w:tc>
          <w:tcPr>
            <w:tcW w:w="60" w:type="dxa"/>
            <w:tcBorders/>
            <w:shd w:fill="EAEAEA"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EAEAEA" w:val="clear"/>
            <w:vAlign w:val="center"/>
          </w:tcPr>
          <w:p>
            <w:pPr>
              <w:pStyle w:val="TableContents"/>
              <w:spacing w:before="0" w:after="283"/>
              <w:rPr/>
            </w:pPr>
            <w:r>
              <w:rPr/>
              <w:t> </w:t>
            </w:r>
          </w:p>
        </w:tc>
        <w:tc>
          <w:tcPr>
            <w:tcW w:w="74" w:type="dxa"/>
            <w:tcBorders/>
            <w:shd w:fill="EAEAEA" w:val="clear"/>
            <w:vAlign w:val="center"/>
          </w:tcPr>
          <w:p>
            <w:pPr>
              <w:pStyle w:val="TableContents"/>
              <w:spacing w:before="0" w:after="283"/>
              <w:rPr/>
            </w:pPr>
            <w:r>
              <w:rPr/>
              <w:t> </w:t>
            </w:r>
          </w:p>
        </w:tc>
        <w:tc>
          <w:tcPr>
            <w:tcW w:w="996" w:type="dxa"/>
            <w:tcBorders/>
            <w:shd w:fill="EAEAEA" w:val="clear"/>
            <w:vAlign w:val="center"/>
          </w:tcPr>
          <w:p>
            <w:pPr>
              <w:pStyle w:val="TableContents"/>
              <w:spacing w:before="0" w:after="283"/>
              <w:jc w:val="right"/>
              <w:rPr/>
            </w:pPr>
            <w:r>
              <w:rPr/>
              <w:t>—</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800" w:type="dxa"/>
            <w:tcBorders/>
            <w:shd w:fill="EAEAEA" w:val="clear"/>
            <w:vAlign w:val="center"/>
          </w:tcPr>
          <w:p>
            <w:pPr>
              <w:pStyle w:val="TableContents"/>
              <w:spacing w:before="0" w:after="283"/>
              <w:jc w:val="right"/>
              <w:rPr/>
            </w:pPr>
            <w:r>
              <w:rPr/>
              <w:t>—</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61" w:type="dxa"/>
            <w:tcBorders/>
            <w:shd w:fill="EAEAEA" w:val="clear"/>
            <w:vAlign w:val="center"/>
          </w:tcPr>
          <w:p>
            <w:pPr>
              <w:pStyle w:val="TableContents"/>
              <w:spacing w:before="0" w:after="283"/>
              <w:rPr/>
            </w:pPr>
            <w:r>
              <w:rPr/>
              <w:t> </w:t>
            </w:r>
          </w:p>
        </w:tc>
        <w:tc>
          <w:tcPr>
            <w:tcW w:w="1009" w:type="dxa"/>
            <w:tcBorders/>
            <w:shd w:fill="EAEAEA" w:val="clear"/>
            <w:vAlign w:val="center"/>
          </w:tcPr>
          <w:p>
            <w:pPr>
              <w:pStyle w:val="TableContents"/>
              <w:spacing w:before="0" w:after="283"/>
              <w:jc w:val="right"/>
              <w:rPr/>
            </w:pPr>
            <w:r>
              <w:rPr/>
              <w:t>—</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800" w:type="dxa"/>
            <w:tcBorders/>
            <w:shd w:fill="EAEAEA" w:val="clear"/>
            <w:vAlign w:val="center"/>
          </w:tcPr>
          <w:p>
            <w:pPr>
              <w:pStyle w:val="TableContents"/>
              <w:spacing w:before="0" w:after="283"/>
              <w:jc w:val="right"/>
              <w:rPr/>
            </w:pPr>
            <w:r>
              <w:rPr/>
              <w:t>—</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119" w:type="dxa"/>
            <w:tcBorders/>
            <w:shd w:fill="EAEAEA" w:val="clear"/>
            <w:vAlign w:val="center"/>
          </w:tcPr>
          <w:p>
            <w:pPr>
              <w:pStyle w:val="TableContents"/>
              <w:spacing w:before="0" w:after="283"/>
              <w:rPr/>
            </w:pPr>
            <w:r>
              <w:rPr/>
              <w:t> </w:t>
            </w:r>
          </w:p>
        </w:tc>
        <w:tc>
          <w:tcPr>
            <w:tcW w:w="516" w:type="dxa"/>
            <w:tcBorders/>
            <w:shd w:fill="EAEAEA" w:val="clear"/>
            <w:vAlign w:val="center"/>
          </w:tcPr>
          <w:p>
            <w:pPr>
              <w:pStyle w:val="TableContents"/>
              <w:spacing w:before="0" w:after="283"/>
              <w:jc w:val="right"/>
              <w:rPr/>
            </w:pPr>
            <w:r>
              <w:rPr/>
              <w:t>—</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88" w:type="dxa"/>
            <w:tcBorders/>
            <w:shd w:fill="EAEAEA" w:val="clear"/>
            <w:vAlign w:val="center"/>
          </w:tcPr>
          <w:p>
            <w:pPr>
              <w:pStyle w:val="TableContents"/>
              <w:spacing w:before="0" w:after="283"/>
              <w:rPr/>
            </w:pPr>
            <w:r>
              <w:rPr/>
              <w:t> </w:t>
            </w:r>
          </w:p>
        </w:tc>
        <w:tc>
          <w:tcPr>
            <w:tcW w:w="382" w:type="dxa"/>
            <w:tcBorders/>
            <w:shd w:fill="EAEAEA" w:val="clear"/>
            <w:vAlign w:val="center"/>
          </w:tcPr>
          <w:p>
            <w:pPr>
              <w:pStyle w:val="TableContents"/>
              <w:spacing w:before="0" w:after="283"/>
              <w:jc w:val="right"/>
              <w:rPr/>
            </w:pPr>
            <w:r>
              <w:rPr/>
              <w:t>—</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980" w:type="dxa"/>
            <w:tcBorders/>
            <w:shd w:fill="EAEAEA" w:val="clear"/>
            <w:vAlign w:val="center"/>
          </w:tcPr>
          <w:p>
            <w:pPr>
              <w:pStyle w:val="TableContents"/>
              <w:spacing w:before="0" w:after="283"/>
              <w:jc w:val="right"/>
              <w:rPr/>
            </w:pPr>
            <w:r>
              <w:rPr/>
              <w:t>—</w:t>
            </w:r>
          </w:p>
        </w:tc>
        <w:tc>
          <w:tcPr>
            <w:tcW w:w="75" w:type="dxa"/>
            <w:tcBorders/>
            <w:shd w:fill="EAEAEA" w:val="clear"/>
            <w:vAlign w:val="center"/>
          </w:tcPr>
          <w:p>
            <w:pPr>
              <w:pStyle w:val="TableContents"/>
              <w:spacing w:before="0" w:after="283"/>
              <w:rPr/>
            </w:pPr>
            <w:r>
              <w:rPr/>
              <w:t> </w:t>
            </w:r>
          </w:p>
        </w:tc>
      </w:tr>
      <w:tr>
        <w:trPr/>
        <w:tc>
          <w:tcPr>
            <w:tcW w:w="1235" w:type="dxa"/>
            <w:vMerge w:val="continue"/>
            <w:tcBorders/>
            <w:shd w:fill="EAEAEA" w:val="clear"/>
            <w:vAlign w:val="center"/>
          </w:tcPr>
          <w:p>
            <w:pPr>
              <w:pStyle w:val="Normal"/>
              <w:rPr/>
            </w:pPr>
            <w:r>
              <w:rPr/>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575" w:type="dxa"/>
            <w:tcBorders/>
            <w:shd w:fill="EAEAEA" w:val="clear"/>
            <w:vAlign w:val="center"/>
          </w:tcPr>
          <w:p>
            <w:pPr>
              <w:pStyle w:val="TableContents"/>
              <w:spacing w:before="0" w:after="283"/>
              <w:jc w:val="right"/>
              <w:rPr/>
            </w:pPr>
            <w:r>
              <w:rPr/>
              <w:t>3/4/2022</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106" w:type="dxa"/>
            <w:tcBorders/>
            <w:shd w:fill="EAEAEA" w:val="clear"/>
            <w:vAlign w:val="center"/>
          </w:tcPr>
          <w:p>
            <w:pPr>
              <w:pStyle w:val="TableContents"/>
              <w:spacing w:before="0" w:after="283"/>
              <w:rPr/>
            </w:pPr>
            <w:r>
              <w:rPr/>
              <w:t> </w:t>
            </w:r>
          </w:p>
        </w:tc>
        <w:tc>
          <w:tcPr>
            <w:tcW w:w="889" w:type="dxa"/>
            <w:tcBorders/>
            <w:shd w:fill="EAEAEA" w:val="clear"/>
            <w:vAlign w:val="center"/>
          </w:tcPr>
          <w:p>
            <w:pPr>
              <w:pStyle w:val="TableContents"/>
              <w:spacing w:before="0" w:after="283"/>
              <w:jc w:val="right"/>
              <w:rPr/>
            </w:pPr>
            <w:r>
              <w:rPr/>
              <w:t>3/4/2022</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61" w:type="dxa"/>
            <w:tcBorders/>
            <w:shd w:fill="EAEAEA" w:val="clear"/>
            <w:vAlign w:val="center"/>
          </w:tcPr>
          <w:p>
            <w:pPr>
              <w:pStyle w:val="TableContents"/>
              <w:spacing w:before="0" w:after="283"/>
              <w:rPr/>
            </w:pPr>
            <w:r>
              <w:rPr/>
              <w:t> </w:t>
            </w:r>
          </w:p>
        </w:tc>
        <w:tc>
          <w:tcPr>
            <w:tcW w:w="1009" w:type="dxa"/>
            <w:tcBorders/>
            <w:shd w:fill="EAEAEA" w:val="clear"/>
            <w:vAlign w:val="center"/>
          </w:tcPr>
          <w:p>
            <w:pPr>
              <w:pStyle w:val="TableContents"/>
              <w:spacing w:before="0" w:after="283"/>
              <w:jc w:val="right"/>
              <w:rPr/>
            </w:pPr>
            <w:r>
              <w:rPr/>
              <w:t>—</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980" w:type="dxa"/>
            <w:tcBorders/>
            <w:shd w:fill="EAEAEA" w:val="clear"/>
            <w:vAlign w:val="center"/>
          </w:tcPr>
          <w:p>
            <w:pPr>
              <w:pStyle w:val="TableContents"/>
              <w:spacing w:before="0" w:after="283"/>
              <w:jc w:val="right"/>
              <w:rPr/>
            </w:pPr>
            <w:r>
              <w:rPr/>
              <w:t>—</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61" w:type="dxa"/>
            <w:tcBorders/>
            <w:shd w:fill="EAEAEA" w:val="clear"/>
            <w:vAlign w:val="center"/>
          </w:tcPr>
          <w:p>
            <w:pPr>
              <w:pStyle w:val="TableContents"/>
              <w:spacing w:before="0" w:after="283"/>
              <w:rPr/>
            </w:pPr>
            <w:r>
              <w:rPr/>
              <w:t> </w:t>
            </w:r>
          </w:p>
        </w:tc>
        <w:tc>
          <w:tcPr>
            <w:tcW w:w="1009" w:type="dxa"/>
            <w:tcBorders/>
            <w:shd w:fill="EAEAEA" w:val="clear"/>
            <w:vAlign w:val="center"/>
          </w:tcPr>
          <w:p>
            <w:pPr>
              <w:pStyle w:val="TableContents"/>
              <w:spacing w:before="0" w:after="283"/>
              <w:jc w:val="right"/>
              <w:rPr/>
            </w:pPr>
            <w:r>
              <w:rPr/>
              <w:t>—</w:t>
            </w:r>
          </w:p>
        </w:tc>
        <w:tc>
          <w:tcPr>
            <w:tcW w:w="60" w:type="dxa"/>
            <w:tcBorders/>
            <w:shd w:fill="EAEAEA"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EAEAEA" w:val="clear"/>
            <w:vAlign w:val="center"/>
          </w:tcPr>
          <w:p>
            <w:pPr>
              <w:pStyle w:val="TableContents"/>
              <w:spacing w:before="0" w:after="283"/>
              <w:rPr/>
            </w:pPr>
            <w:r>
              <w:rPr/>
              <w:t> </w:t>
            </w:r>
          </w:p>
        </w:tc>
        <w:tc>
          <w:tcPr>
            <w:tcW w:w="74" w:type="dxa"/>
            <w:tcBorders/>
            <w:shd w:fill="EAEAEA" w:val="clear"/>
            <w:vAlign w:val="center"/>
          </w:tcPr>
          <w:p>
            <w:pPr>
              <w:pStyle w:val="TableContents"/>
              <w:spacing w:before="0" w:after="283"/>
              <w:rPr/>
            </w:pPr>
            <w:r>
              <w:rPr/>
              <w:t> </w:t>
            </w:r>
          </w:p>
        </w:tc>
        <w:tc>
          <w:tcPr>
            <w:tcW w:w="996" w:type="dxa"/>
            <w:tcBorders/>
            <w:shd w:fill="EAEAEA" w:val="clear"/>
            <w:vAlign w:val="center"/>
          </w:tcPr>
          <w:p>
            <w:pPr>
              <w:pStyle w:val="TableContents"/>
              <w:spacing w:before="0" w:after="283"/>
              <w:jc w:val="right"/>
              <w:rPr/>
            </w:pPr>
            <w:r>
              <w:rPr/>
              <w:t>75,834</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800" w:type="dxa"/>
            <w:tcBorders/>
            <w:shd w:fill="EAEAEA" w:val="clear"/>
            <w:vAlign w:val="center"/>
          </w:tcPr>
          <w:p>
            <w:pPr>
              <w:pStyle w:val="TableContents"/>
              <w:spacing w:before="0" w:after="283"/>
              <w:jc w:val="right"/>
              <w:rPr/>
            </w:pPr>
            <w:r>
              <w:rPr/>
              <w:t>216,667</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61" w:type="dxa"/>
            <w:tcBorders/>
            <w:shd w:fill="EAEAEA" w:val="clear"/>
            <w:vAlign w:val="center"/>
          </w:tcPr>
          <w:p>
            <w:pPr>
              <w:pStyle w:val="TableContents"/>
              <w:spacing w:before="0" w:after="283"/>
              <w:rPr/>
            </w:pPr>
            <w:r>
              <w:rPr/>
              <w:t> </w:t>
            </w:r>
          </w:p>
        </w:tc>
        <w:tc>
          <w:tcPr>
            <w:tcW w:w="1009" w:type="dxa"/>
            <w:tcBorders/>
            <w:shd w:fill="EAEAEA" w:val="clear"/>
            <w:vAlign w:val="center"/>
          </w:tcPr>
          <w:p>
            <w:pPr>
              <w:pStyle w:val="TableContents"/>
              <w:spacing w:before="0" w:after="283"/>
              <w:jc w:val="right"/>
              <w:rPr/>
            </w:pPr>
            <w:r>
              <w:rPr/>
              <w:t>422,501</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800" w:type="dxa"/>
            <w:tcBorders/>
            <w:shd w:fill="EAEAEA" w:val="clear"/>
            <w:vAlign w:val="center"/>
          </w:tcPr>
          <w:p>
            <w:pPr>
              <w:pStyle w:val="TableContents"/>
              <w:spacing w:before="0" w:after="283"/>
              <w:jc w:val="right"/>
              <w:rPr/>
            </w:pPr>
            <w:r>
              <w:rPr/>
              <w:t>—</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119" w:type="dxa"/>
            <w:tcBorders/>
            <w:shd w:fill="EAEAEA" w:val="clear"/>
            <w:vAlign w:val="center"/>
          </w:tcPr>
          <w:p>
            <w:pPr>
              <w:pStyle w:val="TableContents"/>
              <w:spacing w:before="0" w:after="283"/>
              <w:rPr/>
            </w:pPr>
            <w:r>
              <w:rPr/>
              <w:t> </w:t>
            </w:r>
          </w:p>
        </w:tc>
        <w:tc>
          <w:tcPr>
            <w:tcW w:w="516" w:type="dxa"/>
            <w:tcBorders/>
            <w:shd w:fill="EAEAEA" w:val="clear"/>
            <w:vAlign w:val="center"/>
          </w:tcPr>
          <w:p>
            <w:pPr>
              <w:pStyle w:val="TableContents"/>
              <w:spacing w:before="0" w:after="283"/>
              <w:jc w:val="right"/>
              <w:rPr/>
            </w:pPr>
            <w:r>
              <w:rPr/>
              <w:t>—</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88" w:type="dxa"/>
            <w:tcBorders/>
            <w:shd w:fill="EAEAEA" w:val="clear"/>
            <w:vAlign w:val="center"/>
          </w:tcPr>
          <w:p>
            <w:pPr>
              <w:pStyle w:val="TableContents"/>
              <w:spacing w:before="0" w:after="283"/>
              <w:rPr/>
            </w:pPr>
            <w:r>
              <w:rPr/>
              <w:t> </w:t>
            </w:r>
          </w:p>
        </w:tc>
        <w:tc>
          <w:tcPr>
            <w:tcW w:w="382" w:type="dxa"/>
            <w:tcBorders/>
            <w:shd w:fill="EAEAEA" w:val="clear"/>
            <w:vAlign w:val="center"/>
          </w:tcPr>
          <w:p>
            <w:pPr>
              <w:pStyle w:val="TableContents"/>
              <w:spacing w:before="0" w:after="283"/>
              <w:jc w:val="right"/>
              <w:rPr/>
            </w:pPr>
            <w:r>
              <w:rPr/>
              <w:t>—</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980" w:type="dxa"/>
            <w:tcBorders/>
            <w:shd w:fill="EAEAEA" w:val="clear"/>
            <w:vAlign w:val="center"/>
          </w:tcPr>
          <w:p>
            <w:pPr>
              <w:pStyle w:val="TableContents"/>
              <w:spacing w:before="0" w:after="283"/>
              <w:jc w:val="right"/>
              <w:rPr/>
            </w:pPr>
            <w:r>
              <w:rPr/>
              <w:t>2,210,003</w:t>
            </w:r>
          </w:p>
        </w:tc>
        <w:tc>
          <w:tcPr>
            <w:tcW w:w="75" w:type="dxa"/>
            <w:tcBorders/>
            <w:shd w:fill="EAEAEA" w:val="clear"/>
            <w:vAlign w:val="center"/>
          </w:tcPr>
          <w:p>
            <w:pPr>
              <w:pStyle w:val="TableContents"/>
              <w:spacing w:before="0" w:after="283"/>
              <w:rPr/>
            </w:pPr>
            <w:r>
              <w:rPr/>
              <w:t> </w:t>
            </w:r>
          </w:p>
        </w:tc>
      </w:tr>
      <w:tr>
        <w:trPr/>
        <w:tc>
          <w:tcPr>
            <w:tcW w:w="1235" w:type="dxa"/>
            <w:tcBorders/>
            <w:shd w:fill="EAEAEA" w:val="clear"/>
            <w:vAlign w:val="center"/>
          </w:tcPr>
          <w:p>
            <w:pPr>
              <w:pStyle w:val="TableContents"/>
              <w:spacing w:before="0" w:after="283"/>
              <w:rPr>
                <w:sz w:val="4"/>
                <w:szCs w:val="4"/>
              </w:rPr>
            </w:pPr>
            <w:r>
              <w:rPr>
                <w:sz w:val="4"/>
                <w:szCs w:val="4"/>
              </w:rPr>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575" w:type="dxa"/>
            <w:tcBorders/>
            <w:shd w:fill="EAEAEA" w:val="clear"/>
            <w:vAlign w:val="center"/>
          </w:tcPr>
          <w:p>
            <w:pPr>
              <w:pStyle w:val="TableContents"/>
              <w:spacing w:before="0" w:after="283"/>
              <w:jc w:val="right"/>
              <w:rPr/>
            </w:pPr>
            <w:r>
              <w:rPr/>
              <w:t>3/4/2022</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106" w:type="dxa"/>
            <w:tcBorders/>
            <w:shd w:fill="EAEAEA" w:val="clear"/>
            <w:vAlign w:val="center"/>
          </w:tcPr>
          <w:p>
            <w:pPr>
              <w:pStyle w:val="TableContents"/>
              <w:spacing w:before="0" w:after="283"/>
              <w:rPr/>
            </w:pPr>
            <w:r>
              <w:rPr/>
              <w:t> </w:t>
            </w:r>
          </w:p>
        </w:tc>
        <w:tc>
          <w:tcPr>
            <w:tcW w:w="889" w:type="dxa"/>
            <w:tcBorders/>
            <w:shd w:fill="EAEAEA" w:val="clear"/>
            <w:vAlign w:val="center"/>
          </w:tcPr>
          <w:p>
            <w:pPr>
              <w:pStyle w:val="TableContents"/>
              <w:spacing w:before="0" w:after="283"/>
              <w:jc w:val="right"/>
              <w:rPr/>
            </w:pPr>
            <w:r>
              <w:rPr/>
              <w:t>3/4/2022</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61" w:type="dxa"/>
            <w:tcBorders/>
            <w:shd w:fill="EAEAEA" w:val="clear"/>
            <w:vAlign w:val="center"/>
          </w:tcPr>
          <w:p>
            <w:pPr>
              <w:pStyle w:val="TableContents"/>
              <w:spacing w:before="0" w:after="283"/>
              <w:rPr/>
            </w:pPr>
            <w:r>
              <w:rPr/>
              <w:t> </w:t>
            </w:r>
          </w:p>
        </w:tc>
        <w:tc>
          <w:tcPr>
            <w:tcW w:w="1009" w:type="dxa"/>
            <w:tcBorders/>
            <w:shd w:fill="EAEAEA" w:val="clear"/>
            <w:vAlign w:val="center"/>
          </w:tcPr>
          <w:p>
            <w:pPr>
              <w:pStyle w:val="TableContents"/>
              <w:spacing w:before="0" w:after="283"/>
              <w:jc w:val="right"/>
              <w:rPr/>
            </w:pPr>
            <w:r>
              <w:rPr/>
              <w:t>—</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980" w:type="dxa"/>
            <w:tcBorders/>
            <w:shd w:fill="EAEAEA" w:val="clear"/>
            <w:vAlign w:val="center"/>
          </w:tcPr>
          <w:p>
            <w:pPr>
              <w:pStyle w:val="TableContents"/>
              <w:spacing w:before="0" w:after="283"/>
              <w:jc w:val="right"/>
              <w:rPr/>
            </w:pPr>
            <w:r>
              <w:rPr/>
              <w:t>—</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61" w:type="dxa"/>
            <w:tcBorders/>
            <w:shd w:fill="EAEAEA" w:val="clear"/>
            <w:vAlign w:val="center"/>
          </w:tcPr>
          <w:p>
            <w:pPr>
              <w:pStyle w:val="TableContents"/>
              <w:spacing w:before="0" w:after="283"/>
              <w:rPr/>
            </w:pPr>
            <w:r>
              <w:rPr/>
              <w:t> </w:t>
            </w:r>
          </w:p>
        </w:tc>
        <w:tc>
          <w:tcPr>
            <w:tcW w:w="1009" w:type="dxa"/>
            <w:tcBorders/>
            <w:shd w:fill="EAEAEA" w:val="clear"/>
            <w:vAlign w:val="center"/>
          </w:tcPr>
          <w:p>
            <w:pPr>
              <w:pStyle w:val="TableContents"/>
              <w:spacing w:before="0" w:after="283"/>
              <w:jc w:val="right"/>
              <w:rPr/>
            </w:pPr>
            <w:r>
              <w:rPr/>
              <w:t>—</w:t>
            </w:r>
          </w:p>
        </w:tc>
        <w:tc>
          <w:tcPr>
            <w:tcW w:w="60" w:type="dxa"/>
            <w:tcBorders/>
            <w:shd w:fill="EAEAEA"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EAEAEA" w:val="clear"/>
            <w:vAlign w:val="center"/>
          </w:tcPr>
          <w:p>
            <w:pPr>
              <w:pStyle w:val="TableContents"/>
              <w:spacing w:before="0" w:after="283"/>
              <w:rPr/>
            </w:pPr>
            <w:r>
              <w:rPr/>
              <w:t> </w:t>
            </w:r>
          </w:p>
        </w:tc>
        <w:tc>
          <w:tcPr>
            <w:tcW w:w="74" w:type="dxa"/>
            <w:tcBorders/>
            <w:shd w:fill="EAEAEA" w:val="clear"/>
            <w:vAlign w:val="center"/>
          </w:tcPr>
          <w:p>
            <w:pPr>
              <w:pStyle w:val="TableContents"/>
              <w:spacing w:before="0" w:after="283"/>
              <w:rPr/>
            </w:pPr>
            <w:r>
              <w:rPr/>
              <w:t> </w:t>
            </w:r>
          </w:p>
        </w:tc>
        <w:tc>
          <w:tcPr>
            <w:tcW w:w="996" w:type="dxa"/>
            <w:tcBorders/>
            <w:shd w:fill="EAEAEA" w:val="clear"/>
            <w:vAlign w:val="center"/>
          </w:tcPr>
          <w:p>
            <w:pPr>
              <w:pStyle w:val="TableContents"/>
              <w:spacing w:before="0" w:after="283"/>
              <w:jc w:val="right"/>
              <w:rPr/>
            </w:pPr>
            <w:r>
              <w:rPr/>
              <w:t>—</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800" w:type="dxa"/>
            <w:tcBorders/>
            <w:shd w:fill="EAEAEA" w:val="clear"/>
            <w:vAlign w:val="center"/>
          </w:tcPr>
          <w:p>
            <w:pPr>
              <w:pStyle w:val="TableContents"/>
              <w:spacing w:before="0" w:after="283"/>
              <w:jc w:val="right"/>
              <w:rPr/>
            </w:pPr>
            <w:r>
              <w:rPr/>
              <w:t>—</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61" w:type="dxa"/>
            <w:tcBorders/>
            <w:shd w:fill="EAEAEA" w:val="clear"/>
            <w:vAlign w:val="center"/>
          </w:tcPr>
          <w:p>
            <w:pPr>
              <w:pStyle w:val="TableContents"/>
              <w:spacing w:before="0" w:after="283"/>
              <w:rPr/>
            </w:pPr>
            <w:r>
              <w:rPr/>
              <w:t> </w:t>
            </w:r>
          </w:p>
        </w:tc>
        <w:tc>
          <w:tcPr>
            <w:tcW w:w="1009" w:type="dxa"/>
            <w:tcBorders/>
            <w:shd w:fill="EAEAEA" w:val="clear"/>
            <w:vAlign w:val="center"/>
          </w:tcPr>
          <w:p>
            <w:pPr>
              <w:pStyle w:val="TableContents"/>
              <w:spacing w:before="0" w:after="283"/>
              <w:jc w:val="right"/>
              <w:rPr/>
            </w:pPr>
            <w:r>
              <w:rPr/>
              <w:t>—</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800" w:type="dxa"/>
            <w:tcBorders/>
            <w:shd w:fill="EAEAEA" w:val="clear"/>
            <w:vAlign w:val="center"/>
          </w:tcPr>
          <w:p>
            <w:pPr>
              <w:pStyle w:val="TableContents"/>
              <w:spacing w:before="0" w:after="283"/>
              <w:jc w:val="right"/>
              <w:rPr/>
            </w:pPr>
            <w:r>
              <w:rPr/>
              <w:t>116,667</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119" w:type="dxa"/>
            <w:tcBorders/>
            <w:shd w:fill="EAEAEA" w:val="clear"/>
            <w:vAlign w:val="center"/>
          </w:tcPr>
          <w:p>
            <w:pPr>
              <w:pStyle w:val="TableContents"/>
              <w:spacing w:before="0" w:after="283"/>
              <w:rPr/>
            </w:pPr>
            <w:r>
              <w:rPr/>
              <w:t> </w:t>
            </w:r>
          </w:p>
        </w:tc>
        <w:tc>
          <w:tcPr>
            <w:tcW w:w="516" w:type="dxa"/>
            <w:tcBorders/>
            <w:shd w:fill="EAEAEA" w:val="clear"/>
            <w:vAlign w:val="center"/>
          </w:tcPr>
          <w:p>
            <w:pPr>
              <w:pStyle w:val="TableContents"/>
              <w:spacing w:before="0" w:after="283"/>
              <w:jc w:val="right"/>
              <w:rPr/>
            </w:pPr>
            <w:r>
              <w:rPr/>
              <w:t>—</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88" w:type="dxa"/>
            <w:tcBorders/>
            <w:shd w:fill="EAEAEA" w:val="clear"/>
            <w:vAlign w:val="center"/>
          </w:tcPr>
          <w:p>
            <w:pPr>
              <w:pStyle w:val="TableContents"/>
              <w:spacing w:before="0" w:after="283"/>
              <w:rPr/>
            </w:pPr>
            <w:r>
              <w:rPr/>
              <w:t> </w:t>
            </w:r>
          </w:p>
        </w:tc>
        <w:tc>
          <w:tcPr>
            <w:tcW w:w="382" w:type="dxa"/>
            <w:tcBorders/>
            <w:shd w:fill="EAEAEA" w:val="clear"/>
            <w:vAlign w:val="center"/>
          </w:tcPr>
          <w:p>
            <w:pPr>
              <w:pStyle w:val="TableContents"/>
              <w:spacing w:before="0" w:after="283"/>
              <w:jc w:val="right"/>
              <w:rPr/>
            </w:pPr>
            <w:r>
              <w:rPr/>
              <w:t>—</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980" w:type="dxa"/>
            <w:tcBorders/>
            <w:shd w:fill="EAEAEA" w:val="clear"/>
            <w:vAlign w:val="center"/>
          </w:tcPr>
          <w:p>
            <w:pPr>
              <w:pStyle w:val="TableContents"/>
              <w:spacing w:before="0" w:after="283"/>
              <w:jc w:val="right"/>
              <w:rPr/>
            </w:pPr>
            <w:r>
              <w:rPr/>
              <w:t>1,190,003</w:t>
            </w:r>
          </w:p>
        </w:tc>
        <w:tc>
          <w:tcPr>
            <w:tcW w:w="75" w:type="dxa"/>
            <w:tcBorders/>
            <w:shd w:fill="EAEAEA" w:val="clear"/>
            <w:vAlign w:val="center"/>
          </w:tcPr>
          <w:p>
            <w:pPr>
              <w:pStyle w:val="TableContents"/>
              <w:spacing w:before="0" w:after="283"/>
              <w:rPr/>
            </w:pPr>
            <w:r>
              <w:rPr/>
              <w:t> </w:t>
            </w:r>
          </w:p>
        </w:tc>
      </w:tr>
      <w:tr>
        <w:trPr/>
        <w:tc>
          <w:tcPr>
            <w:tcW w:w="1235" w:type="dxa"/>
            <w:vMerge w:val="restart"/>
            <w:tcBorders/>
            <w:shd w:fill="auto" w:val="clear"/>
            <w:vAlign w:val="center"/>
          </w:tcPr>
          <w:p>
            <w:pPr>
              <w:pStyle w:val="TableContents"/>
              <w:spacing w:before="0" w:after="0"/>
              <w:rPr>
                <w:rFonts w:ascii="arial" w:hAnsi="arial"/>
                <w:b/>
                <w:sz w:val="15"/>
              </w:rPr>
            </w:pPr>
            <w:r>
              <w:rPr>
                <w:rFonts w:ascii="arial" w:hAnsi="arial"/>
                <w:b/>
                <w:sz w:val="15"/>
              </w:rPr>
              <w:t>Rajiv Malik</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06" w:type="dxa"/>
            <w:tcBorders/>
            <w:shd w:fill="auto" w:val="clear"/>
            <w:vAlign w:val="center"/>
          </w:tcPr>
          <w:p>
            <w:pPr>
              <w:pStyle w:val="TableContents"/>
              <w:spacing w:before="0" w:after="283"/>
              <w:rPr>
                <w:sz w:val="4"/>
                <w:szCs w:val="4"/>
              </w:rPr>
            </w:pPr>
            <w:r>
              <w:rPr>
                <w:sz w:val="4"/>
                <w:szCs w:val="4"/>
              </w:rPr>
            </w:r>
          </w:p>
        </w:tc>
        <w:tc>
          <w:tcPr>
            <w:tcW w:w="88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1009" w:type="dxa"/>
            <w:tcBorders/>
            <w:shd w:fill="auto" w:val="clear"/>
            <w:vAlign w:val="center"/>
          </w:tcPr>
          <w:p>
            <w:pPr>
              <w:pStyle w:val="TableContents"/>
              <w:spacing w:before="0" w:after="283"/>
              <w:jc w:val="right"/>
              <w:rPr/>
            </w:pPr>
            <w:r>
              <w:rPr/>
              <w:t>750,000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1,500,000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1009" w:type="dxa"/>
            <w:tcBorders/>
            <w:shd w:fill="auto" w:val="clear"/>
            <w:vAlign w:val="center"/>
          </w:tcPr>
          <w:p>
            <w:pPr>
              <w:pStyle w:val="TableContents"/>
              <w:spacing w:before="0" w:after="283"/>
              <w:jc w:val="right"/>
              <w:rPr/>
            </w:pPr>
            <w:r>
              <w:rPr/>
              <w:t>3,000,000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4" w:type="dxa"/>
            <w:tcBorders/>
            <w:shd w:fill="auto" w:val="clear"/>
            <w:vAlign w:val="center"/>
          </w:tcPr>
          <w:p>
            <w:pPr>
              <w:pStyle w:val="TableContents"/>
              <w:spacing w:before="0" w:after="283"/>
              <w:rPr/>
            </w:pPr>
            <w:r>
              <w:rPr/>
              <w:t> </w:t>
            </w:r>
          </w:p>
        </w:tc>
        <w:tc>
          <w:tcPr>
            <w:tcW w:w="996"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1009"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9" w:type="dxa"/>
            <w:tcBorders/>
            <w:shd w:fill="auto" w:val="clear"/>
            <w:vAlign w:val="center"/>
          </w:tcPr>
          <w:p>
            <w:pPr>
              <w:pStyle w:val="TableContents"/>
              <w:spacing w:before="0" w:after="283"/>
              <w:rPr/>
            </w:pPr>
            <w:r>
              <w:rPr/>
              <w:t> </w:t>
            </w:r>
          </w:p>
        </w:tc>
        <w:tc>
          <w:tcPr>
            <w:tcW w:w="516"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c>
          <w:tcPr>
            <w:tcW w:w="382"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w:t>
            </w:r>
          </w:p>
        </w:tc>
        <w:tc>
          <w:tcPr>
            <w:tcW w:w="75" w:type="dxa"/>
            <w:tcBorders/>
            <w:shd w:fill="auto" w:val="clear"/>
            <w:vAlign w:val="center"/>
          </w:tcPr>
          <w:p>
            <w:pPr>
              <w:pStyle w:val="TableContents"/>
              <w:spacing w:before="0" w:after="283"/>
              <w:rPr/>
            </w:pPr>
            <w:r>
              <w:rPr/>
              <w:t> </w:t>
            </w:r>
          </w:p>
        </w:tc>
      </w:tr>
      <w:tr>
        <w:trPr/>
        <w:tc>
          <w:tcPr>
            <w:tcW w:w="1235" w:type="dxa"/>
            <w:vMerge w:val="continue"/>
            <w:tcBorders/>
            <w:shd w:fill="auto" w:val="clear"/>
            <w:vAlign w:val="center"/>
          </w:tcPr>
          <w:p>
            <w:pPr>
              <w:pStyle w:val="Normal"/>
              <w:rPr/>
            </w:pPr>
            <w:r>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75" w:type="dxa"/>
            <w:tcBorders/>
            <w:shd w:fill="auto" w:val="clear"/>
            <w:vAlign w:val="center"/>
          </w:tcPr>
          <w:p>
            <w:pPr>
              <w:pStyle w:val="TableContents"/>
              <w:spacing w:before="0" w:after="283"/>
              <w:jc w:val="right"/>
              <w:rPr/>
            </w:pPr>
            <w:r>
              <w:rPr/>
              <w:t>3/4/2022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6" w:type="dxa"/>
            <w:tcBorders/>
            <w:shd w:fill="auto" w:val="clear"/>
            <w:vAlign w:val="center"/>
          </w:tcPr>
          <w:p>
            <w:pPr>
              <w:pStyle w:val="TableContents"/>
              <w:spacing w:before="0" w:after="283"/>
              <w:rPr/>
            </w:pPr>
            <w:r>
              <w:rPr/>
              <w:t> </w:t>
            </w:r>
          </w:p>
        </w:tc>
        <w:tc>
          <w:tcPr>
            <w:tcW w:w="889" w:type="dxa"/>
            <w:tcBorders/>
            <w:shd w:fill="auto" w:val="clear"/>
            <w:vAlign w:val="center"/>
          </w:tcPr>
          <w:p>
            <w:pPr>
              <w:pStyle w:val="TableContents"/>
              <w:spacing w:before="0" w:after="283"/>
              <w:jc w:val="right"/>
              <w:rPr/>
            </w:pPr>
            <w:r>
              <w:rPr/>
              <w:t>3/4/2022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1009"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1009"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4" w:type="dxa"/>
            <w:tcBorders/>
            <w:shd w:fill="auto" w:val="clear"/>
            <w:vAlign w:val="center"/>
          </w:tcPr>
          <w:p>
            <w:pPr>
              <w:pStyle w:val="TableContents"/>
              <w:spacing w:before="0" w:after="283"/>
              <w:rPr/>
            </w:pPr>
            <w:r>
              <w:rPr/>
              <w:t> </w:t>
            </w:r>
          </w:p>
        </w:tc>
        <w:tc>
          <w:tcPr>
            <w:tcW w:w="996" w:type="dxa"/>
            <w:tcBorders/>
            <w:shd w:fill="auto" w:val="clear"/>
            <w:vAlign w:val="center"/>
          </w:tcPr>
          <w:p>
            <w:pPr>
              <w:pStyle w:val="TableContents"/>
              <w:spacing w:before="0" w:after="283"/>
              <w:jc w:val="right"/>
              <w:rPr/>
            </w:pPr>
            <w:r>
              <w:rPr/>
              <w:t>160,589</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458,824</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1009" w:type="dxa"/>
            <w:tcBorders/>
            <w:shd w:fill="auto" w:val="clear"/>
            <w:vAlign w:val="center"/>
          </w:tcPr>
          <w:p>
            <w:pPr>
              <w:pStyle w:val="TableContents"/>
              <w:spacing w:before="0" w:after="283"/>
              <w:jc w:val="right"/>
              <w:rPr/>
            </w:pPr>
            <w:r>
              <w:rPr/>
              <w:t>894,707</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9" w:type="dxa"/>
            <w:tcBorders/>
            <w:shd w:fill="auto" w:val="clear"/>
            <w:vAlign w:val="center"/>
          </w:tcPr>
          <w:p>
            <w:pPr>
              <w:pStyle w:val="TableContents"/>
              <w:spacing w:before="0" w:after="283"/>
              <w:rPr/>
            </w:pPr>
            <w:r>
              <w:rPr/>
              <w:t> </w:t>
            </w:r>
          </w:p>
        </w:tc>
        <w:tc>
          <w:tcPr>
            <w:tcW w:w="516"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c>
          <w:tcPr>
            <w:tcW w:w="382"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4,680,005</w:t>
            </w:r>
          </w:p>
        </w:tc>
        <w:tc>
          <w:tcPr>
            <w:tcW w:w="75" w:type="dxa"/>
            <w:tcBorders/>
            <w:shd w:fill="auto" w:val="clear"/>
            <w:vAlign w:val="center"/>
          </w:tcPr>
          <w:p>
            <w:pPr>
              <w:pStyle w:val="TableContents"/>
              <w:spacing w:before="0" w:after="283"/>
              <w:rPr/>
            </w:pPr>
            <w:r>
              <w:rPr/>
              <w:t> </w:t>
            </w:r>
          </w:p>
        </w:tc>
      </w:tr>
      <w:tr>
        <w:trPr/>
        <w:tc>
          <w:tcPr>
            <w:tcW w:w="12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75" w:type="dxa"/>
            <w:tcBorders/>
            <w:shd w:fill="auto" w:val="clear"/>
            <w:vAlign w:val="center"/>
          </w:tcPr>
          <w:p>
            <w:pPr>
              <w:pStyle w:val="TableContents"/>
              <w:spacing w:before="0" w:after="283"/>
              <w:jc w:val="right"/>
              <w:rPr/>
            </w:pPr>
            <w:r>
              <w:rPr/>
              <w:t>3/4/2022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6" w:type="dxa"/>
            <w:tcBorders/>
            <w:shd w:fill="auto" w:val="clear"/>
            <w:vAlign w:val="center"/>
          </w:tcPr>
          <w:p>
            <w:pPr>
              <w:pStyle w:val="TableContents"/>
              <w:spacing w:before="0" w:after="283"/>
              <w:rPr/>
            </w:pPr>
            <w:r>
              <w:rPr/>
              <w:t> </w:t>
            </w:r>
          </w:p>
        </w:tc>
        <w:tc>
          <w:tcPr>
            <w:tcW w:w="889" w:type="dxa"/>
            <w:tcBorders/>
            <w:shd w:fill="auto" w:val="clear"/>
            <w:vAlign w:val="center"/>
          </w:tcPr>
          <w:p>
            <w:pPr>
              <w:pStyle w:val="TableContents"/>
              <w:spacing w:before="0" w:after="283"/>
              <w:jc w:val="right"/>
              <w:rPr/>
            </w:pPr>
            <w:r>
              <w:rPr/>
              <w:t>3/4/2022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1009"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1009"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4" w:type="dxa"/>
            <w:tcBorders/>
            <w:shd w:fill="auto" w:val="clear"/>
            <w:vAlign w:val="center"/>
          </w:tcPr>
          <w:p>
            <w:pPr>
              <w:pStyle w:val="TableContents"/>
              <w:spacing w:before="0" w:after="283"/>
              <w:rPr/>
            </w:pPr>
            <w:r>
              <w:rPr/>
              <w:t> </w:t>
            </w:r>
          </w:p>
        </w:tc>
        <w:tc>
          <w:tcPr>
            <w:tcW w:w="996"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1009"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247,059</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9" w:type="dxa"/>
            <w:tcBorders/>
            <w:shd w:fill="auto" w:val="clear"/>
            <w:vAlign w:val="center"/>
          </w:tcPr>
          <w:p>
            <w:pPr>
              <w:pStyle w:val="TableContents"/>
              <w:spacing w:before="0" w:after="283"/>
              <w:rPr/>
            </w:pPr>
            <w:r>
              <w:rPr/>
              <w:t> </w:t>
            </w:r>
          </w:p>
        </w:tc>
        <w:tc>
          <w:tcPr>
            <w:tcW w:w="516"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c>
          <w:tcPr>
            <w:tcW w:w="382"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2,520,002</w:t>
            </w:r>
          </w:p>
        </w:tc>
        <w:tc>
          <w:tcPr>
            <w:tcW w:w="75" w:type="dxa"/>
            <w:tcBorders/>
            <w:shd w:fill="auto" w:val="clear"/>
            <w:vAlign w:val="center"/>
          </w:tcPr>
          <w:p>
            <w:pPr>
              <w:pStyle w:val="TableContents"/>
              <w:spacing w:before="0" w:after="283"/>
              <w:rPr/>
            </w:pPr>
            <w:r>
              <w:rPr/>
              <w:t> </w:t>
            </w:r>
          </w:p>
        </w:tc>
      </w:tr>
      <w:tr>
        <w:trPr/>
        <w:tc>
          <w:tcPr>
            <w:tcW w:w="1235" w:type="dxa"/>
            <w:vMerge w:val="restart"/>
            <w:tcBorders/>
            <w:shd w:fill="EAEAEA" w:val="clear"/>
            <w:vAlign w:val="center"/>
          </w:tcPr>
          <w:p>
            <w:pPr>
              <w:pStyle w:val="TableContents"/>
              <w:spacing w:before="0" w:after="0"/>
              <w:rPr>
                <w:rFonts w:ascii="arial" w:hAnsi="arial"/>
                <w:b/>
                <w:sz w:val="15"/>
              </w:rPr>
            </w:pPr>
            <w:r>
              <w:rPr>
                <w:rFonts w:ascii="arial" w:hAnsi="arial"/>
                <w:b/>
                <w:sz w:val="15"/>
              </w:rPr>
              <w:t>Anthony Mauro</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sz w:val="4"/>
                <w:szCs w:val="4"/>
              </w:rPr>
            </w:pPr>
            <w:r>
              <w:rPr>
                <w:sz w:val="4"/>
                <w:szCs w:val="4"/>
              </w:rPr>
            </w:r>
          </w:p>
        </w:tc>
        <w:tc>
          <w:tcPr>
            <w:tcW w:w="575" w:type="dxa"/>
            <w:tcBorders/>
            <w:shd w:fill="EAEAEA" w:val="clear"/>
            <w:vAlign w:val="center"/>
          </w:tcPr>
          <w:p>
            <w:pPr>
              <w:pStyle w:val="TableContents"/>
              <w:spacing w:before="0" w:after="283"/>
              <w:rPr>
                <w:sz w:val="4"/>
                <w:szCs w:val="4"/>
              </w:rPr>
            </w:pPr>
            <w:r>
              <w:rPr>
                <w:sz w:val="4"/>
                <w:szCs w:val="4"/>
              </w:rPr>
            </w:r>
          </w:p>
        </w:tc>
        <w:tc>
          <w:tcPr>
            <w:tcW w:w="60" w:type="dxa"/>
            <w:tcBorders/>
            <w:shd w:fill="EAEAEA" w:val="clear"/>
            <w:vAlign w:val="center"/>
          </w:tcPr>
          <w:p>
            <w:pPr>
              <w:pStyle w:val="TableContents"/>
              <w:spacing w:before="0" w:after="283"/>
              <w:rPr>
                <w:sz w:val="4"/>
                <w:szCs w:val="4"/>
              </w:rPr>
            </w:pPr>
            <w:r>
              <w:rPr>
                <w:sz w:val="4"/>
                <w:szCs w:val="4"/>
              </w:rPr>
            </w:r>
          </w:p>
        </w:tc>
        <w:tc>
          <w:tcPr>
            <w:tcW w:w="60" w:type="dxa"/>
            <w:tcBorders/>
            <w:shd w:fill="EAEAEA" w:val="clear"/>
            <w:vAlign w:val="center"/>
          </w:tcPr>
          <w:p>
            <w:pPr>
              <w:pStyle w:val="TableContents"/>
              <w:spacing w:before="0" w:after="283"/>
              <w:rPr/>
            </w:pPr>
            <w:r>
              <w:rPr/>
              <w:t> </w:t>
            </w:r>
          </w:p>
        </w:tc>
        <w:tc>
          <w:tcPr>
            <w:tcW w:w="106" w:type="dxa"/>
            <w:tcBorders/>
            <w:shd w:fill="EAEAEA" w:val="clear"/>
            <w:vAlign w:val="center"/>
          </w:tcPr>
          <w:p>
            <w:pPr>
              <w:pStyle w:val="TableContents"/>
              <w:spacing w:before="0" w:after="283"/>
              <w:rPr>
                <w:sz w:val="4"/>
                <w:szCs w:val="4"/>
              </w:rPr>
            </w:pPr>
            <w:r>
              <w:rPr>
                <w:sz w:val="4"/>
                <w:szCs w:val="4"/>
              </w:rPr>
            </w:r>
          </w:p>
        </w:tc>
        <w:tc>
          <w:tcPr>
            <w:tcW w:w="889" w:type="dxa"/>
            <w:tcBorders/>
            <w:shd w:fill="EAEAEA" w:val="clear"/>
            <w:vAlign w:val="center"/>
          </w:tcPr>
          <w:p>
            <w:pPr>
              <w:pStyle w:val="TableContents"/>
              <w:spacing w:before="0" w:after="283"/>
              <w:rPr>
                <w:sz w:val="4"/>
                <w:szCs w:val="4"/>
              </w:rPr>
            </w:pPr>
            <w:r>
              <w:rPr>
                <w:sz w:val="4"/>
                <w:szCs w:val="4"/>
              </w:rPr>
            </w:r>
          </w:p>
        </w:tc>
        <w:tc>
          <w:tcPr>
            <w:tcW w:w="60" w:type="dxa"/>
            <w:tcBorders/>
            <w:shd w:fill="EAEAEA" w:val="clear"/>
            <w:vAlign w:val="center"/>
          </w:tcPr>
          <w:p>
            <w:pPr>
              <w:pStyle w:val="TableContents"/>
              <w:spacing w:before="0" w:after="283"/>
              <w:rPr>
                <w:sz w:val="4"/>
                <w:szCs w:val="4"/>
              </w:rPr>
            </w:pPr>
            <w:r>
              <w:rPr>
                <w:sz w:val="4"/>
                <w:szCs w:val="4"/>
              </w:rPr>
            </w:r>
          </w:p>
        </w:tc>
        <w:tc>
          <w:tcPr>
            <w:tcW w:w="60" w:type="dxa"/>
            <w:tcBorders/>
            <w:shd w:fill="EAEAEA" w:val="clear"/>
            <w:vAlign w:val="center"/>
          </w:tcPr>
          <w:p>
            <w:pPr>
              <w:pStyle w:val="TableContents"/>
              <w:spacing w:before="0" w:after="283"/>
              <w:rPr/>
            </w:pPr>
            <w:r>
              <w:rPr/>
              <w:t> </w:t>
            </w:r>
          </w:p>
        </w:tc>
        <w:tc>
          <w:tcPr>
            <w:tcW w:w="61" w:type="dxa"/>
            <w:tcBorders/>
            <w:shd w:fill="EAEAEA" w:val="clear"/>
            <w:vAlign w:val="center"/>
          </w:tcPr>
          <w:p>
            <w:pPr>
              <w:pStyle w:val="TableContents"/>
              <w:spacing w:before="0" w:after="283"/>
              <w:rPr/>
            </w:pPr>
            <w:r>
              <w:rPr/>
              <w:t> </w:t>
            </w:r>
          </w:p>
        </w:tc>
        <w:tc>
          <w:tcPr>
            <w:tcW w:w="1009" w:type="dxa"/>
            <w:tcBorders/>
            <w:shd w:fill="EAEAEA" w:val="clear"/>
            <w:vAlign w:val="center"/>
          </w:tcPr>
          <w:p>
            <w:pPr>
              <w:pStyle w:val="TableContents"/>
              <w:spacing w:before="0" w:after="283"/>
              <w:jc w:val="right"/>
              <w:rPr/>
            </w:pPr>
            <w:r>
              <w:rPr/>
              <w:t>460,000</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980" w:type="dxa"/>
            <w:tcBorders/>
            <w:shd w:fill="EAEAEA" w:val="clear"/>
            <w:vAlign w:val="center"/>
          </w:tcPr>
          <w:p>
            <w:pPr>
              <w:pStyle w:val="TableContents"/>
              <w:spacing w:before="0" w:after="283"/>
              <w:jc w:val="right"/>
              <w:rPr/>
            </w:pPr>
            <w:r>
              <w:rPr/>
              <w:t>920,000</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61" w:type="dxa"/>
            <w:tcBorders/>
            <w:shd w:fill="EAEAEA" w:val="clear"/>
            <w:vAlign w:val="center"/>
          </w:tcPr>
          <w:p>
            <w:pPr>
              <w:pStyle w:val="TableContents"/>
              <w:spacing w:before="0" w:after="283"/>
              <w:rPr/>
            </w:pPr>
            <w:r>
              <w:rPr/>
              <w:t> </w:t>
            </w:r>
          </w:p>
        </w:tc>
        <w:tc>
          <w:tcPr>
            <w:tcW w:w="1009" w:type="dxa"/>
            <w:tcBorders/>
            <w:shd w:fill="EAEAEA" w:val="clear"/>
            <w:vAlign w:val="center"/>
          </w:tcPr>
          <w:p>
            <w:pPr>
              <w:pStyle w:val="TableContents"/>
              <w:spacing w:before="0" w:after="283"/>
              <w:jc w:val="right"/>
              <w:rPr/>
            </w:pPr>
            <w:r>
              <w:rPr/>
              <w:t>1,840,000</w:t>
            </w:r>
          </w:p>
        </w:tc>
        <w:tc>
          <w:tcPr>
            <w:tcW w:w="60" w:type="dxa"/>
            <w:tcBorders/>
            <w:shd w:fill="EAEAEA"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EAEAEA" w:val="clear"/>
            <w:vAlign w:val="center"/>
          </w:tcPr>
          <w:p>
            <w:pPr>
              <w:pStyle w:val="TableContents"/>
              <w:spacing w:before="0" w:after="283"/>
              <w:rPr/>
            </w:pPr>
            <w:r>
              <w:rPr/>
              <w:t> </w:t>
            </w:r>
          </w:p>
        </w:tc>
        <w:tc>
          <w:tcPr>
            <w:tcW w:w="74" w:type="dxa"/>
            <w:tcBorders/>
            <w:shd w:fill="EAEAEA" w:val="clear"/>
            <w:vAlign w:val="center"/>
          </w:tcPr>
          <w:p>
            <w:pPr>
              <w:pStyle w:val="TableContents"/>
              <w:spacing w:before="0" w:after="283"/>
              <w:rPr/>
            </w:pPr>
            <w:r>
              <w:rPr/>
              <w:t> </w:t>
            </w:r>
          </w:p>
        </w:tc>
        <w:tc>
          <w:tcPr>
            <w:tcW w:w="996" w:type="dxa"/>
            <w:tcBorders/>
            <w:shd w:fill="EAEAEA" w:val="clear"/>
            <w:vAlign w:val="center"/>
          </w:tcPr>
          <w:p>
            <w:pPr>
              <w:pStyle w:val="TableContents"/>
              <w:spacing w:before="0" w:after="283"/>
              <w:jc w:val="right"/>
              <w:rPr/>
            </w:pPr>
            <w:r>
              <w:rPr/>
              <w:t>—</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800" w:type="dxa"/>
            <w:tcBorders/>
            <w:shd w:fill="EAEAEA" w:val="clear"/>
            <w:vAlign w:val="center"/>
          </w:tcPr>
          <w:p>
            <w:pPr>
              <w:pStyle w:val="TableContents"/>
              <w:spacing w:before="0" w:after="283"/>
              <w:jc w:val="right"/>
              <w:rPr/>
            </w:pPr>
            <w:r>
              <w:rPr/>
              <w:t>—</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61" w:type="dxa"/>
            <w:tcBorders/>
            <w:shd w:fill="EAEAEA" w:val="clear"/>
            <w:vAlign w:val="center"/>
          </w:tcPr>
          <w:p>
            <w:pPr>
              <w:pStyle w:val="TableContents"/>
              <w:spacing w:before="0" w:after="283"/>
              <w:rPr/>
            </w:pPr>
            <w:r>
              <w:rPr/>
              <w:t> </w:t>
            </w:r>
          </w:p>
        </w:tc>
        <w:tc>
          <w:tcPr>
            <w:tcW w:w="1009" w:type="dxa"/>
            <w:tcBorders/>
            <w:shd w:fill="EAEAEA" w:val="clear"/>
            <w:vAlign w:val="center"/>
          </w:tcPr>
          <w:p>
            <w:pPr>
              <w:pStyle w:val="TableContents"/>
              <w:spacing w:before="0" w:after="283"/>
              <w:jc w:val="right"/>
              <w:rPr/>
            </w:pPr>
            <w:r>
              <w:rPr/>
              <w:t>—</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800" w:type="dxa"/>
            <w:tcBorders/>
            <w:shd w:fill="EAEAEA" w:val="clear"/>
            <w:vAlign w:val="center"/>
          </w:tcPr>
          <w:p>
            <w:pPr>
              <w:pStyle w:val="TableContents"/>
              <w:spacing w:before="0" w:after="283"/>
              <w:jc w:val="right"/>
              <w:rPr/>
            </w:pPr>
            <w:r>
              <w:rPr/>
              <w:t>—</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119" w:type="dxa"/>
            <w:tcBorders/>
            <w:shd w:fill="EAEAEA" w:val="clear"/>
            <w:vAlign w:val="center"/>
          </w:tcPr>
          <w:p>
            <w:pPr>
              <w:pStyle w:val="TableContents"/>
              <w:spacing w:before="0" w:after="283"/>
              <w:rPr/>
            </w:pPr>
            <w:r>
              <w:rPr/>
              <w:t> </w:t>
            </w:r>
          </w:p>
        </w:tc>
        <w:tc>
          <w:tcPr>
            <w:tcW w:w="516" w:type="dxa"/>
            <w:tcBorders/>
            <w:shd w:fill="EAEAEA" w:val="clear"/>
            <w:vAlign w:val="center"/>
          </w:tcPr>
          <w:p>
            <w:pPr>
              <w:pStyle w:val="TableContents"/>
              <w:spacing w:before="0" w:after="283"/>
              <w:jc w:val="right"/>
              <w:rPr/>
            </w:pPr>
            <w:r>
              <w:rPr/>
              <w:t>—</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88" w:type="dxa"/>
            <w:tcBorders/>
            <w:shd w:fill="EAEAEA" w:val="clear"/>
            <w:vAlign w:val="center"/>
          </w:tcPr>
          <w:p>
            <w:pPr>
              <w:pStyle w:val="TableContents"/>
              <w:spacing w:before="0" w:after="283"/>
              <w:rPr/>
            </w:pPr>
            <w:r>
              <w:rPr/>
              <w:t> </w:t>
            </w:r>
          </w:p>
        </w:tc>
        <w:tc>
          <w:tcPr>
            <w:tcW w:w="382" w:type="dxa"/>
            <w:tcBorders/>
            <w:shd w:fill="EAEAEA" w:val="clear"/>
            <w:vAlign w:val="center"/>
          </w:tcPr>
          <w:p>
            <w:pPr>
              <w:pStyle w:val="TableContents"/>
              <w:spacing w:before="0" w:after="283"/>
              <w:jc w:val="right"/>
              <w:rPr/>
            </w:pPr>
            <w:r>
              <w:rPr/>
              <w:t>—</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980" w:type="dxa"/>
            <w:tcBorders/>
            <w:shd w:fill="EAEAEA" w:val="clear"/>
            <w:vAlign w:val="center"/>
          </w:tcPr>
          <w:p>
            <w:pPr>
              <w:pStyle w:val="TableContents"/>
              <w:spacing w:before="0" w:after="283"/>
              <w:jc w:val="right"/>
              <w:rPr/>
            </w:pPr>
            <w:r>
              <w:rPr/>
              <w:t>—</w:t>
            </w:r>
          </w:p>
        </w:tc>
        <w:tc>
          <w:tcPr>
            <w:tcW w:w="75" w:type="dxa"/>
            <w:tcBorders/>
            <w:shd w:fill="EAEAEA" w:val="clear"/>
            <w:vAlign w:val="center"/>
          </w:tcPr>
          <w:p>
            <w:pPr>
              <w:pStyle w:val="TableContents"/>
              <w:spacing w:before="0" w:after="283"/>
              <w:rPr/>
            </w:pPr>
            <w:r>
              <w:rPr/>
              <w:t> </w:t>
            </w:r>
          </w:p>
        </w:tc>
      </w:tr>
      <w:tr>
        <w:trPr/>
        <w:tc>
          <w:tcPr>
            <w:tcW w:w="1235" w:type="dxa"/>
            <w:vMerge w:val="continue"/>
            <w:tcBorders/>
            <w:shd w:fill="EAEAEA" w:val="clear"/>
            <w:vAlign w:val="center"/>
          </w:tcPr>
          <w:p>
            <w:pPr>
              <w:pStyle w:val="Normal"/>
              <w:rPr/>
            </w:pPr>
            <w:r>
              <w:rPr/>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575" w:type="dxa"/>
            <w:tcBorders/>
            <w:shd w:fill="EAEAEA" w:val="clear"/>
            <w:vAlign w:val="center"/>
          </w:tcPr>
          <w:p>
            <w:pPr>
              <w:pStyle w:val="TableContents"/>
              <w:spacing w:before="0" w:after="283"/>
              <w:jc w:val="right"/>
              <w:rPr/>
            </w:pPr>
            <w:r>
              <w:rPr/>
              <w:t>3/4/2022</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106" w:type="dxa"/>
            <w:tcBorders/>
            <w:shd w:fill="EAEAEA" w:val="clear"/>
            <w:vAlign w:val="center"/>
          </w:tcPr>
          <w:p>
            <w:pPr>
              <w:pStyle w:val="TableContents"/>
              <w:spacing w:before="0" w:after="283"/>
              <w:rPr/>
            </w:pPr>
            <w:r>
              <w:rPr/>
              <w:t> </w:t>
            </w:r>
          </w:p>
        </w:tc>
        <w:tc>
          <w:tcPr>
            <w:tcW w:w="889" w:type="dxa"/>
            <w:tcBorders/>
            <w:shd w:fill="EAEAEA" w:val="clear"/>
            <w:vAlign w:val="center"/>
          </w:tcPr>
          <w:p>
            <w:pPr>
              <w:pStyle w:val="TableContents"/>
              <w:spacing w:before="0" w:after="283"/>
              <w:jc w:val="right"/>
              <w:rPr/>
            </w:pPr>
            <w:r>
              <w:rPr/>
              <w:t>3/4/2022</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61" w:type="dxa"/>
            <w:tcBorders/>
            <w:shd w:fill="EAEAEA" w:val="clear"/>
            <w:vAlign w:val="center"/>
          </w:tcPr>
          <w:p>
            <w:pPr>
              <w:pStyle w:val="TableContents"/>
              <w:spacing w:before="0" w:after="283"/>
              <w:rPr/>
            </w:pPr>
            <w:r>
              <w:rPr/>
              <w:t> </w:t>
            </w:r>
          </w:p>
        </w:tc>
        <w:tc>
          <w:tcPr>
            <w:tcW w:w="1009" w:type="dxa"/>
            <w:tcBorders/>
            <w:shd w:fill="EAEAEA" w:val="clear"/>
            <w:vAlign w:val="center"/>
          </w:tcPr>
          <w:p>
            <w:pPr>
              <w:pStyle w:val="TableContents"/>
              <w:spacing w:before="0" w:after="283"/>
              <w:jc w:val="right"/>
              <w:rPr/>
            </w:pPr>
            <w:r>
              <w:rPr/>
              <w:t>—</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980" w:type="dxa"/>
            <w:tcBorders/>
            <w:shd w:fill="EAEAEA" w:val="clear"/>
            <w:vAlign w:val="center"/>
          </w:tcPr>
          <w:p>
            <w:pPr>
              <w:pStyle w:val="TableContents"/>
              <w:spacing w:before="0" w:after="283"/>
              <w:jc w:val="right"/>
              <w:rPr/>
            </w:pPr>
            <w:r>
              <w:rPr/>
              <w:t>—</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61" w:type="dxa"/>
            <w:tcBorders/>
            <w:shd w:fill="EAEAEA" w:val="clear"/>
            <w:vAlign w:val="center"/>
          </w:tcPr>
          <w:p>
            <w:pPr>
              <w:pStyle w:val="TableContents"/>
              <w:spacing w:before="0" w:after="283"/>
              <w:rPr/>
            </w:pPr>
            <w:r>
              <w:rPr/>
              <w:t> </w:t>
            </w:r>
          </w:p>
        </w:tc>
        <w:tc>
          <w:tcPr>
            <w:tcW w:w="1009" w:type="dxa"/>
            <w:tcBorders/>
            <w:shd w:fill="EAEAEA" w:val="clear"/>
            <w:vAlign w:val="center"/>
          </w:tcPr>
          <w:p>
            <w:pPr>
              <w:pStyle w:val="TableContents"/>
              <w:spacing w:before="0" w:after="283"/>
              <w:jc w:val="right"/>
              <w:rPr/>
            </w:pPr>
            <w:r>
              <w:rPr/>
              <w:t>—</w:t>
            </w:r>
          </w:p>
        </w:tc>
        <w:tc>
          <w:tcPr>
            <w:tcW w:w="60" w:type="dxa"/>
            <w:tcBorders/>
            <w:shd w:fill="EAEAEA"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EAEAEA" w:val="clear"/>
            <w:vAlign w:val="center"/>
          </w:tcPr>
          <w:p>
            <w:pPr>
              <w:pStyle w:val="TableContents"/>
              <w:spacing w:before="0" w:after="283"/>
              <w:rPr/>
            </w:pPr>
            <w:r>
              <w:rPr/>
              <w:t> </w:t>
            </w:r>
          </w:p>
        </w:tc>
        <w:tc>
          <w:tcPr>
            <w:tcW w:w="74" w:type="dxa"/>
            <w:tcBorders/>
            <w:shd w:fill="EAEAEA" w:val="clear"/>
            <w:vAlign w:val="center"/>
          </w:tcPr>
          <w:p>
            <w:pPr>
              <w:pStyle w:val="TableContents"/>
              <w:spacing w:before="0" w:after="283"/>
              <w:rPr/>
            </w:pPr>
            <w:r>
              <w:rPr/>
              <w:t> </w:t>
            </w:r>
          </w:p>
        </w:tc>
        <w:tc>
          <w:tcPr>
            <w:tcW w:w="996" w:type="dxa"/>
            <w:tcBorders/>
            <w:shd w:fill="EAEAEA" w:val="clear"/>
            <w:vAlign w:val="center"/>
          </w:tcPr>
          <w:p>
            <w:pPr>
              <w:pStyle w:val="TableContents"/>
              <w:spacing w:before="0" w:after="283"/>
              <w:jc w:val="right"/>
              <w:rPr/>
            </w:pPr>
            <w:r>
              <w:rPr/>
              <w:t>71,373</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800" w:type="dxa"/>
            <w:tcBorders/>
            <w:shd w:fill="EAEAEA" w:val="clear"/>
            <w:vAlign w:val="center"/>
          </w:tcPr>
          <w:p>
            <w:pPr>
              <w:pStyle w:val="TableContents"/>
              <w:spacing w:before="0" w:after="283"/>
              <w:jc w:val="right"/>
              <w:rPr/>
            </w:pPr>
            <w:r>
              <w:rPr/>
              <w:t>203,922</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61" w:type="dxa"/>
            <w:tcBorders/>
            <w:shd w:fill="EAEAEA" w:val="clear"/>
            <w:vAlign w:val="center"/>
          </w:tcPr>
          <w:p>
            <w:pPr>
              <w:pStyle w:val="TableContents"/>
              <w:spacing w:before="0" w:after="283"/>
              <w:rPr/>
            </w:pPr>
            <w:r>
              <w:rPr/>
              <w:t> </w:t>
            </w:r>
          </w:p>
        </w:tc>
        <w:tc>
          <w:tcPr>
            <w:tcW w:w="1009" w:type="dxa"/>
            <w:tcBorders/>
            <w:shd w:fill="EAEAEA" w:val="clear"/>
            <w:vAlign w:val="center"/>
          </w:tcPr>
          <w:p>
            <w:pPr>
              <w:pStyle w:val="TableContents"/>
              <w:spacing w:before="0" w:after="283"/>
              <w:jc w:val="right"/>
              <w:rPr/>
            </w:pPr>
            <w:r>
              <w:rPr/>
              <w:t>397,648</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800" w:type="dxa"/>
            <w:tcBorders/>
            <w:shd w:fill="EAEAEA" w:val="clear"/>
            <w:vAlign w:val="center"/>
          </w:tcPr>
          <w:p>
            <w:pPr>
              <w:pStyle w:val="TableContents"/>
              <w:spacing w:before="0" w:after="283"/>
              <w:jc w:val="right"/>
              <w:rPr/>
            </w:pPr>
            <w:r>
              <w:rPr/>
              <w:t>—</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119" w:type="dxa"/>
            <w:tcBorders/>
            <w:shd w:fill="EAEAEA" w:val="clear"/>
            <w:vAlign w:val="center"/>
          </w:tcPr>
          <w:p>
            <w:pPr>
              <w:pStyle w:val="TableContents"/>
              <w:spacing w:before="0" w:after="283"/>
              <w:rPr/>
            </w:pPr>
            <w:r>
              <w:rPr/>
              <w:t> </w:t>
            </w:r>
          </w:p>
        </w:tc>
        <w:tc>
          <w:tcPr>
            <w:tcW w:w="516" w:type="dxa"/>
            <w:tcBorders/>
            <w:shd w:fill="EAEAEA" w:val="clear"/>
            <w:vAlign w:val="center"/>
          </w:tcPr>
          <w:p>
            <w:pPr>
              <w:pStyle w:val="TableContents"/>
              <w:spacing w:before="0" w:after="283"/>
              <w:jc w:val="right"/>
              <w:rPr/>
            </w:pPr>
            <w:r>
              <w:rPr/>
              <w:t>—</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88" w:type="dxa"/>
            <w:tcBorders/>
            <w:shd w:fill="EAEAEA" w:val="clear"/>
            <w:vAlign w:val="center"/>
          </w:tcPr>
          <w:p>
            <w:pPr>
              <w:pStyle w:val="TableContents"/>
              <w:spacing w:before="0" w:after="283"/>
              <w:rPr/>
            </w:pPr>
            <w:r>
              <w:rPr/>
              <w:t> </w:t>
            </w:r>
          </w:p>
        </w:tc>
        <w:tc>
          <w:tcPr>
            <w:tcW w:w="382" w:type="dxa"/>
            <w:tcBorders/>
            <w:shd w:fill="EAEAEA" w:val="clear"/>
            <w:vAlign w:val="center"/>
          </w:tcPr>
          <w:p>
            <w:pPr>
              <w:pStyle w:val="TableContents"/>
              <w:spacing w:before="0" w:after="283"/>
              <w:jc w:val="right"/>
              <w:rPr/>
            </w:pPr>
            <w:r>
              <w:rPr/>
              <w:t>—</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980" w:type="dxa"/>
            <w:tcBorders/>
            <w:shd w:fill="EAEAEA" w:val="clear"/>
            <w:vAlign w:val="center"/>
          </w:tcPr>
          <w:p>
            <w:pPr>
              <w:pStyle w:val="TableContents"/>
              <w:spacing w:before="0" w:after="283"/>
              <w:jc w:val="right"/>
              <w:rPr/>
            </w:pPr>
            <w:r>
              <w:rPr/>
              <w:t>2,080,004</w:t>
            </w:r>
          </w:p>
        </w:tc>
        <w:tc>
          <w:tcPr>
            <w:tcW w:w="75" w:type="dxa"/>
            <w:tcBorders/>
            <w:shd w:fill="EAEAEA" w:val="clear"/>
            <w:vAlign w:val="center"/>
          </w:tcPr>
          <w:p>
            <w:pPr>
              <w:pStyle w:val="TableContents"/>
              <w:spacing w:before="0" w:after="283"/>
              <w:rPr/>
            </w:pPr>
            <w:r>
              <w:rPr/>
              <w:t> </w:t>
            </w:r>
          </w:p>
        </w:tc>
      </w:tr>
      <w:tr>
        <w:trPr/>
        <w:tc>
          <w:tcPr>
            <w:tcW w:w="1235" w:type="dxa"/>
            <w:tcBorders/>
            <w:shd w:fill="EAEAEA" w:val="clear"/>
            <w:vAlign w:val="center"/>
          </w:tcPr>
          <w:p>
            <w:pPr>
              <w:pStyle w:val="TableContents"/>
              <w:spacing w:before="0" w:after="283"/>
              <w:rPr>
                <w:sz w:val="4"/>
                <w:szCs w:val="4"/>
              </w:rPr>
            </w:pPr>
            <w:r>
              <w:rPr>
                <w:sz w:val="4"/>
                <w:szCs w:val="4"/>
              </w:rPr>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575" w:type="dxa"/>
            <w:tcBorders/>
            <w:shd w:fill="EAEAEA" w:val="clear"/>
            <w:vAlign w:val="center"/>
          </w:tcPr>
          <w:p>
            <w:pPr>
              <w:pStyle w:val="TableContents"/>
              <w:spacing w:before="0" w:after="283"/>
              <w:jc w:val="right"/>
              <w:rPr/>
            </w:pPr>
            <w:r>
              <w:rPr/>
              <w:t>3/4/2022</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106" w:type="dxa"/>
            <w:tcBorders/>
            <w:shd w:fill="EAEAEA" w:val="clear"/>
            <w:vAlign w:val="center"/>
          </w:tcPr>
          <w:p>
            <w:pPr>
              <w:pStyle w:val="TableContents"/>
              <w:spacing w:before="0" w:after="283"/>
              <w:rPr/>
            </w:pPr>
            <w:r>
              <w:rPr/>
              <w:t> </w:t>
            </w:r>
          </w:p>
        </w:tc>
        <w:tc>
          <w:tcPr>
            <w:tcW w:w="889" w:type="dxa"/>
            <w:tcBorders/>
            <w:shd w:fill="EAEAEA" w:val="clear"/>
            <w:vAlign w:val="center"/>
          </w:tcPr>
          <w:p>
            <w:pPr>
              <w:pStyle w:val="TableContents"/>
              <w:spacing w:before="0" w:after="283"/>
              <w:jc w:val="right"/>
              <w:rPr/>
            </w:pPr>
            <w:r>
              <w:rPr/>
              <w:t>3/4/2022</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61" w:type="dxa"/>
            <w:tcBorders/>
            <w:shd w:fill="EAEAEA" w:val="clear"/>
            <w:vAlign w:val="center"/>
          </w:tcPr>
          <w:p>
            <w:pPr>
              <w:pStyle w:val="TableContents"/>
              <w:spacing w:before="0" w:after="283"/>
              <w:rPr/>
            </w:pPr>
            <w:r>
              <w:rPr/>
              <w:t> </w:t>
            </w:r>
          </w:p>
        </w:tc>
        <w:tc>
          <w:tcPr>
            <w:tcW w:w="1009" w:type="dxa"/>
            <w:tcBorders/>
            <w:shd w:fill="EAEAEA" w:val="clear"/>
            <w:vAlign w:val="center"/>
          </w:tcPr>
          <w:p>
            <w:pPr>
              <w:pStyle w:val="TableContents"/>
              <w:spacing w:before="0" w:after="283"/>
              <w:jc w:val="right"/>
              <w:rPr/>
            </w:pPr>
            <w:r>
              <w:rPr/>
              <w:t>—</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980" w:type="dxa"/>
            <w:tcBorders/>
            <w:shd w:fill="EAEAEA" w:val="clear"/>
            <w:vAlign w:val="center"/>
          </w:tcPr>
          <w:p>
            <w:pPr>
              <w:pStyle w:val="TableContents"/>
              <w:spacing w:before="0" w:after="283"/>
              <w:jc w:val="right"/>
              <w:rPr/>
            </w:pPr>
            <w:r>
              <w:rPr/>
              <w:t>—</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61" w:type="dxa"/>
            <w:tcBorders/>
            <w:shd w:fill="EAEAEA" w:val="clear"/>
            <w:vAlign w:val="center"/>
          </w:tcPr>
          <w:p>
            <w:pPr>
              <w:pStyle w:val="TableContents"/>
              <w:spacing w:before="0" w:after="283"/>
              <w:rPr/>
            </w:pPr>
            <w:r>
              <w:rPr/>
              <w:t> </w:t>
            </w:r>
          </w:p>
        </w:tc>
        <w:tc>
          <w:tcPr>
            <w:tcW w:w="1009" w:type="dxa"/>
            <w:tcBorders/>
            <w:shd w:fill="EAEAEA" w:val="clear"/>
            <w:vAlign w:val="center"/>
          </w:tcPr>
          <w:p>
            <w:pPr>
              <w:pStyle w:val="TableContents"/>
              <w:spacing w:before="0" w:after="283"/>
              <w:jc w:val="right"/>
              <w:rPr/>
            </w:pPr>
            <w:r>
              <w:rPr/>
              <w:t>—</w:t>
            </w:r>
          </w:p>
        </w:tc>
        <w:tc>
          <w:tcPr>
            <w:tcW w:w="60" w:type="dxa"/>
            <w:tcBorders/>
            <w:shd w:fill="EAEAEA"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EAEAEA" w:val="clear"/>
            <w:vAlign w:val="center"/>
          </w:tcPr>
          <w:p>
            <w:pPr>
              <w:pStyle w:val="TableContents"/>
              <w:spacing w:before="0" w:after="283"/>
              <w:rPr/>
            </w:pPr>
            <w:r>
              <w:rPr/>
              <w:t> </w:t>
            </w:r>
          </w:p>
        </w:tc>
        <w:tc>
          <w:tcPr>
            <w:tcW w:w="74" w:type="dxa"/>
            <w:tcBorders/>
            <w:shd w:fill="EAEAEA" w:val="clear"/>
            <w:vAlign w:val="center"/>
          </w:tcPr>
          <w:p>
            <w:pPr>
              <w:pStyle w:val="TableContents"/>
              <w:spacing w:before="0" w:after="283"/>
              <w:rPr/>
            </w:pPr>
            <w:r>
              <w:rPr/>
              <w:t> </w:t>
            </w:r>
          </w:p>
        </w:tc>
        <w:tc>
          <w:tcPr>
            <w:tcW w:w="996" w:type="dxa"/>
            <w:tcBorders/>
            <w:shd w:fill="EAEAEA" w:val="clear"/>
            <w:vAlign w:val="center"/>
          </w:tcPr>
          <w:p>
            <w:pPr>
              <w:pStyle w:val="TableContents"/>
              <w:spacing w:before="0" w:after="283"/>
              <w:jc w:val="right"/>
              <w:rPr/>
            </w:pPr>
            <w:r>
              <w:rPr/>
              <w:t>—</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800" w:type="dxa"/>
            <w:tcBorders/>
            <w:shd w:fill="EAEAEA" w:val="clear"/>
            <w:vAlign w:val="center"/>
          </w:tcPr>
          <w:p>
            <w:pPr>
              <w:pStyle w:val="TableContents"/>
              <w:spacing w:before="0" w:after="283"/>
              <w:jc w:val="right"/>
              <w:rPr/>
            </w:pPr>
            <w:r>
              <w:rPr/>
              <w:t>—</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61" w:type="dxa"/>
            <w:tcBorders/>
            <w:shd w:fill="EAEAEA" w:val="clear"/>
            <w:vAlign w:val="center"/>
          </w:tcPr>
          <w:p>
            <w:pPr>
              <w:pStyle w:val="TableContents"/>
              <w:spacing w:before="0" w:after="283"/>
              <w:rPr/>
            </w:pPr>
            <w:r>
              <w:rPr/>
              <w:t> </w:t>
            </w:r>
          </w:p>
        </w:tc>
        <w:tc>
          <w:tcPr>
            <w:tcW w:w="1009" w:type="dxa"/>
            <w:tcBorders/>
            <w:shd w:fill="EAEAEA" w:val="clear"/>
            <w:vAlign w:val="center"/>
          </w:tcPr>
          <w:p>
            <w:pPr>
              <w:pStyle w:val="TableContents"/>
              <w:spacing w:before="0" w:after="283"/>
              <w:jc w:val="right"/>
              <w:rPr/>
            </w:pPr>
            <w:r>
              <w:rPr/>
              <w:t>—</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800" w:type="dxa"/>
            <w:tcBorders/>
            <w:shd w:fill="EAEAEA" w:val="clear"/>
            <w:vAlign w:val="center"/>
          </w:tcPr>
          <w:p>
            <w:pPr>
              <w:pStyle w:val="TableContents"/>
              <w:spacing w:before="0" w:after="283"/>
              <w:jc w:val="right"/>
              <w:rPr/>
            </w:pPr>
            <w:r>
              <w:rPr/>
              <w:t>109,804</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119" w:type="dxa"/>
            <w:tcBorders/>
            <w:shd w:fill="EAEAEA" w:val="clear"/>
            <w:vAlign w:val="center"/>
          </w:tcPr>
          <w:p>
            <w:pPr>
              <w:pStyle w:val="TableContents"/>
              <w:spacing w:before="0" w:after="283"/>
              <w:rPr/>
            </w:pPr>
            <w:r>
              <w:rPr/>
              <w:t> </w:t>
            </w:r>
          </w:p>
        </w:tc>
        <w:tc>
          <w:tcPr>
            <w:tcW w:w="516" w:type="dxa"/>
            <w:tcBorders/>
            <w:shd w:fill="EAEAEA" w:val="clear"/>
            <w:vAlign w:val="center"/>
          </w:tcPr>
          <w:p>
            <w:pPr>
              <w:pStyle w:val="TableContents"/>
              <w:spacing w:before="0" w:after="283"/>
              <w:jc w:val="right"/>
              <w:rPr/>
            </w:pPr>
            <w:r>
              <w:rPr/>
              <w:t>—</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88" w:type="dxa"/>
            <w:tcBorders/>
            <w:shd w:fill="EAEAEA" w:val="clear"/>
            <w:vAlign w:val="center"/>
          </w:tcPr>
          <w:p>
            <w:pPr>
              <w:pStyle w:val="TableContents"/>
              <w:spacing w:before="0" w:after="283"/>
              <w:rPr/>
            </w:pPr>
            <w:r>
              <w:rPr/>
              <w:t> </w:t>
            </w:r>
          </w:p>
        </w:tc>
        <w:tc>
          <w:tcPr>
            <w:tcW w:w="382" w:type="dxa"/>
            <w:tcBorders/>
            <w:shd w:fill="EAEAEA" w:val="clear"/>
            <w:vAlign w:val="center"/>
          </w:tcPr>
          <w:p>
            <w:pPr>
              <w:pStyle w:val="TableContents"/>
              <w:spacing w:before="0" w:after="283"/>
              <w:jc w:val="right"/>
              <w:rPr/>
            </w:pPr>
            <w:r>
              <w:rPr/>
              <w:t>—</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980" w:type="dxa"/>
            <w:tcBorders/>
            <w:shd w:fill="EAEAEA" w:val="clear"/>
            <w:vAlign w:val="center"/>
          </w:tcPr>
          <w:p>
            <w:pPr>
              <w:pStyle w:val="TableContents"/>
              <w:spacing w:before="0" w:after="283"/>
              <w:jc w:val="right"/>
              <w:rPr/>
            </w:pPr>
            <w:r>
              <w:rPr/>
              <w:t>1,120,001</w:t>
            </w:r>
          </w:p>
        </w:tc>
        <w:tc>
          <w:tcPr>
            <w:tcW w:w="75" w:type="dxa"/>
            <w:tcBorders/>
            <w:shd w:fill="EAEAEA" w:val="clear"/>
            <w:vAlign w:val="center"/>
          </w:tcPr>
          <w:p>
            <w:pPr>
              <w:pStyle w:val="TableContents"/>
              <w:spacing w:before="0" w:after="283"/>
              <w:rPr/>
            </w:pPr>
            <w:r>
              <w:rPr/>
              <w:t> </w:t>
            </w:r>
          </w:p>
        </w:tc>
      </w:tr>
      <w:tr>
        <w:trPr/>
        <w:tc>
          <w:tcPr>
            <w:tcW w:w="1235" w:type="dxa"/>
            <w:vMerge w:val="restart"/>
            <w:tcBorders/>
            <w:shd w:fill="auto" w:val="clear"/>
            <w:vAlign w:val="center"/>
          </w:tcPr>
          <w:p>
            <w:pPr>
              <w:pStyle w:val="TableContents"/>
              <w:spacing w:before="0" w:after="0"/>
              <w:rPr>
                <w:rFonts w:ascii="arial" w:hAnsi="arial"/>
                <w:b/>
                <w:sz w:val="15"/>
              </w:rPr>
            </w:pPr>
            <w:r>
              <w:rPr>
                <w:rFonts w:ascii="arial" w:hAnsi="arial"/>
                <w:b/>
                <w:sz w:val="15"/>
              </w:rPr>
              <w:t>Robert J. Coury</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06" w:type="dxa"/>
            <w:tcBorders/>
            <w:shd w:fill="auto" w:val="clear"/>
            <w:vAlign w:val="center"/>
          </w:tcPr>
          <w:p>
            <w:pPr>
              <w:pStyle w:val="TableContents"/>
              <w:spacing w:before="0" w:after="283"/>
              <w:rPr>
                <w:sz w:val="4"/>
                <w:szCs w:val="4"/>
              </w:rPr>
            </w:pPr>
            <w:r>
              <w:rPr>
                <w:sz w:val="4"/>
                <w:szCs w:val="4"/>
              </w:rPr>
            </w:r>
          </w:p>
        </w:tc>
        <w:tc>
          <w:tcPr>
            <w:tcW w:w="88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1009" w:type="dxa"/>
            <w:tcBorders/>
            <w:shd w:fill="auto" w:val="clear"/>
            <w:vAlign w:val="center"/>
          </w:tcPr>
          <w:p>
            <w:pPr>
              <w:pStyle w:val="TableContents"/>
              <w:spacing w:before="0" w:after="283"/>
              <w:jc w:val="right"/>
              <w:rPr/>
            </w:pPr>
            <w:r>
              <w:rPr/>
              <w:t>1,350,000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2,700,000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1009" w:type="dxa"/>
            <w:tcBorders/>
            <w:shd w:fill="auto" w:val="clear"/>
            <w:vAlign w:val="center"/>
          </w:tcPr>
          <w:p>
            <w:pPr>
              <w:pStyle w:val="TableContents"/>
              <w:spacing w:before="0" w:after="283"/>
              <w:jc w:val="right"/>
              <w:rPr/>
            </w:pPr>
            <w:r>
              <w:rPr/>
              <w:t>5,400,000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4" w:type="dxa"/>
            <w:tcBorders/>
            <w:shd w:fill="auto" w:val="clear"/>
            <w:vAlign w:val="center"/>
          </w:tcPr>
          <w:p>
            <w:pPr>
              <w:pStyle w:val="TableContents"/>
              <w:spacing w:before="0" w:after="283"/>
              <w:rPr/>
            </w:pPr>
            <w:r>
              <w:rPr/>
              <w:t> </w:t>
            </w:r>
          </w:p>
        </w:tc>
        <w:tc>
          <w:tcPr>
            <w:tcW w:w="996"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1009"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9" w:type="dxa"/>
            <w:tcBorders/>
            <w:shd w:fill="auto" w:val="clear"/>
            <w:vAlign w:val="center"/>
          </w:tcPr>
          <w:p>
            <w:pPr>
              <w:pStyle w:val="TableContents"/>
              <w:spacing w:before="0" w:after="283"/>
              <w:rPr/>
            </w:pPr>
            <w:r>
              <w:rPr/>
              <w:t> </w:t>
            </w:r>
          </w:p>
        </w:tc>
        <w:tc>
          <w:tcPr>
            <w:tcW w:w="516"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c>
          <w:tcPr>
            <w:tcW w:w="382"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w:t>
            </w:r>
          </w:p>
        </w:tc>
        <w:tc>
          <w:tcPr>
            <w:tcW w:w="75" w:type="dxa"/>
            <w:tcBorders/>
            <w:shd w:fill="auto" w:val="clear"/>
            <w:vAlign w:val="center"/>
          </w:tcPr>
          <w:p>
            <w:pPr>
              <w:pStyle w:val="TableContents"/>
              <w:spacing w:before="0" w:after="283"/>
              <w:rPr/>
            </w:pPr>
            <w:r>
              <w:rPr/>
              <w:t> </w:t>
            </w:r>
          </w:p>
        </w:tc>
      </w:tr>
      <w:tr>
        <w:trPr/>
        <w:tc>
          <w:tcPr>
            <w:tcW w:w="1235" w:type="dxa"/>
            <w:vMerge w:val="continue"/>
            <w:tcBorders/>
            <w:shd w:fill="auto" w:val="clear"/>
            <w:vAlign w:val="center"/>
          </w:tcPr>
          <w:p>
            <w:pPr>
              <w:pStyle w:val="Normal"/>
              <w:rPr/>
            </w:pPr>
            <w:r>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75" w:type="dxa"/>
            <w:tcBorders/>
            <w:shd w:fill="auto" w:val="clear"/>
            <w:vAlign w:val="center"/>
          </w:tcPr>
          <w:p>
            <w:pPr>
              <w:pStyle w:val="TableContents"/>
              <w:spacing w:before="0" w:after="283"/>
              <w:jc w:val="right"/>
              <w:rPr/>
            </w:pPr>
            <w:r>
              <w:rPr/>
              <w:t>3/4/2022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6" w:type="dxa"/>
            <w:tcBorders/>
            <w:shd w:fill="auto" w:val="clear"/>
            <w:vAlign w:val="center"/>
          </w:tcPr>
          <w:p>
            <w:pPr>
              <w:pStyle w:val="TableContents"/>
              <w:spacing w:before="0" w:after="283"/>
              <w:rPr/>
            </w:pPr>
            <w:r>
              <w:rPr/>
              <w:t> </w:t>
            </w:r>
          </w:p>
        </w:tc>
        <w:tc>
          <w:tcPr>
            <w:tcW w:w="889" w:type="dxa"/>
            <w:tcBorders/>
            <w:shd w:fill="auto" w:val="clear"/>
            <w:vAlign w:val="center"/>
          </w:tcPr>
          <w:p>
            <w:pPr>
              <w:pStyle w:val="TableContents"/>
              <w:spacing w:before="0" w:after="283"/>
              <w:jc w:val="right"/>
              <w:rPr/>
            </w:pPr>
            <w:r>
              <w:rPr/>
              <w:t>3/4/2022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1009"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1009"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4" w:type="dxa"/>
            <w:tcBorders/>
            <w:shd w:fill="auto" w:val="clear"/>
            <w:vAlign w:val="center"/>
          </w:tcPr>
          <w:p>
            <w:pPr>
              <w:pStyle w:val="TableContents"/>
              <w:spacing w:before="0" w:after="283"/>
              <w:rPr/>
            </w:pPr>
            <w:r>
              <w:rPr/>
              <w:t> </w:t>
            </w:r>
          </w:p>
        </w:tc>
        <w:tc>
          <w:tcPr>
            <w:tcW w:w="996" w:type="dxa"/>
            <w:tcBorders/>
            <w:shd w:fill="auto" w:val="clear"/>
            <w:vAlign w:val="center"/>
          </w:tcPr>
          <w:p>
            <w:pPr>
              <w:pStyle w:val="TableContents"/>
              <w:spacing w:before="0" w:after="283"/>
              <w:jc w:val="right"/>
              <w:rPr/>
            </w:pPr>
            <w:r>
              <w:rPr/>
              <w:t>240,883</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688,236</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1009" w:type="dxa"/>
            <w:tcBorders/>
            <w:shd w:fill="auto" w:val="clear"/>
            <w:vAlign w:val="center"/>
          </w:tcPr>
          <w:p>
            <w:pPr>
              <w:pStyle w:val="TableContents"/>
              <w:spacing w:before="0" w:after="283"/>
              <w:jc w:val="right"/>
              <w:rPr/>
            </w:pPr>
            <w:r>
              <w:rPr/>
              <w:t>1,342,061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9" w:type="dxa"/>
            <w:tcBorders/>
            <w:shd w:fill="auto" w:val="clear"/>
            <w:vAlign w:val="center"/>
          </w:tcPr>
          <w:p>
            <w:pPr>
              <w:pStyle w:val="TableContents"/>
              <w:spacing w:before="0" w:after="283"/>
              <w:rPr/>
            </w:pPr>
            <w:r>
              <w:rPr/>
              <w:t> </w:t>
            </w:r>
          </w:p>
        </w:tc>
        <w:tc>
          <w:tcPr>
            <w:tcW w:w="516"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8" w:type="dxa"/>
            <w:tcBorders/>
            <w:shd w:fill="auto" w:val="clear"/>
            <w:vAlign w:val="center"/>
          </w:tcPr>
          <w:p>
            <w:pPr>
              <w:pStyle w:val="TableContents"/>
              <w:spacing w:before="0" w:after="283"/>
              <w:rPr/>
            </w:pPr>
            <w:r>
              <w:rPr/>
              <w:t> </w:t>
            </w:r>
          </w:p>
        </w:tc>
        <w:tc>
          <w:tcPr>
            <w:tcW w:w="382"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7,020,007</w:t>
            </w:r>
          </w:p>
        </w:tc>
        <w:tc>
          <w:tcPr>
            <w:tcW w:w="75" w:type="dxa"/>
            <w:tcBorders/>
            <w:shd w:fill="auto" w:val="clear"/>
            <w:vAlign w:val="center"/>
          </w:tcPr>
          <w:p>
            <w:pPr>
              <w:pStyle w:val="TableContents"/>
              <w:spacing w:before="0" w:after="283"/>
              <w:rPr/>
            </w:pPr>
            <w:r>
              <w:rPr/>
              <w:t> </w:t>
            </w:r>
          </w:p>
        </w:tc>
      </w:tr>
      <w:tr>
        <w:trPr/>
        <w:tc>
          <w:tcPr>
            <w:tcW w:w="1235" w:type="dxa"/>
            <w:tcBorders>
              <w:bottom w:val="single" w:sz="6" w:space="0" w:color="732282"/>
            </w:tcBorders>
            <w:shd w:fill="auto" w:val="clear"/>
            <w:tcMar>
              <w:bottom w:w="28" w:type="dxa"/>
            </w:tcMar>
            <w:vAlign w:val="center"/>
          </w:tcPr>
          <w:p>
            <w:pPr>
              <w:pStyle w:val="TableContents"/>
              <w:spacing w:before="0" w:after="283"/>
              <w:rPr/>
            </w:pPr>
            <w:r>
              <w:rPr/>
              <w:t> </w:t>
            </w:r>
          </w:p>
        </w:tc>
        <w:tc>
          <w:tcPr>
            <w:tcW w:w="60" w:type="dxa"/>
            <w:tcBorders>
              <w:bottom w:val="single" w:sz="6" w:space="0" w:color="732282"/>
            </w:tcBorders>
            <w:shd w:fill="auto" w:val="clear"/>
            <w:tcMar>
              <w:bottom w:w="28" w:type="dxa"/>
            </w:tcMar>
            <w:vAlign w:val="center"/>
          </w:tcPr>
          <w:p>
            <w:pPr>
              <w:pStyle w:val="TableContents"/>
              <w:spacing w:before="0" w:after="283"/>
              <w:rPr/>
            </w:pPr>
            <w:r>
              <w:rPr/>
              <w:t> </w:t>
            </w:r>
          </w:p>
        </w:tc>
        <w:tc>
          <w:tcPr>
            <w:tcW w:w="60" w:type="dxa"/>
            <w:tcBorders>
              <w:bottom w:val="single" w:sz="6" w:space="0" w:color="732282"/>
            </w:tcBorders>
            <w:shd w:fill="auto" w:val="clear"/>
            <w:tcMar>
              <w:bottom w:w="28" w:type="dxa"/>
            </w:tcMar>
            <w:vAlign w:val="center"/>
          </w:tcPr>
          <w:p>
            <w:pPr>
              <w:pStyle w:val="TableContents"/>
              <w:spacing w:before="0" w:after="283"/>
              <w:rPr/>
            </w:pPr>
            <w:r>
              <w:rPr/>
              <w:t> </w:t>
            </w:r>
          </w:p>
        </w:tc>
        <w:tc>
          <w:tcPr>
            <w:tcW w:w="575" w:type="dxa"/>
            <w:tcBorders>
              <w:bottom w:val="single" w:sz="6" w:space="0" w:color="732282"/>
            </w:tcBorders>
            <w:shd w:fill="auto" w:val="clear"/>
            <w:tcMar>
              <w:bottom w:w="28" w:type="dxa"/>
            </w:tcMar>
            <w:vAlign w:val="center"/>
          </w:tcPr>
          <w:p>
            <w:pPr>
              <w:pStyle w:val="TableContents"/>
              <w:spacing w:before="0" w:after="283"/>
              <w:jc w:val="right"/>
              <w:rPr/>
            </w:pPr>
            <w:r>
              <w:rPr/>
              <w:t>3/4/2022</w:t>
            </w:r>
          </w:p>
        </w:tc>
        <w:tc>
          <w:tcPr>
            <w:tcW w:w="60" w:type="dxa"/>
            <w:tcBorders>
              <w:bottom w:val="single" w:sz="6" w:space="0" w:color="732282"/>
            </w:tcBorders>
            <w:shd w:fill="auto" w:val="clear"/>
            <w:tcMar>
              <w:bottom w:w="28" w:type="dxa"/>
            </w:tcMar>
            <w:vAlign w:val="center"/>
          </w:tcPr>
          <w:p>
            <w:pPr>
              <w:pStyle w:val="TableContents"/>
              <w:spacing w:before="0" w:after="283"/>
              <w:rPr/>
            </w:pPr>
            <w:r>
              <w:rPr/>
              <w:t> </w:t>
            </w:r>
          </w:p>
        </w:tc>
        <w:tc>
          <w:tcPr>
            <w:tcW w:w="60" w:type="dxa"/>
            <w:tcBorders>
              <w:bottom w:val="single" w:sz="6" w:space="0" w:color="732282"/>
            </w:tcBorders>
            <w:shd w:fill="auto" w:val="clear"/>
            <w:tcMar>
              <w:bottom w:w="28" w:type="dxa"/>
            </w:tcMar>
            <w:vAlign w:val="center"/>
          </w:tcPr>
          <w:p>
            <w:pPr>
              <w:pStyle w:val="TableContents"/>
              <w:spacing w:before="0" w:after="283"/>
              <w:rPr/>
            </w:pPr>
            <w:r>
              <w:rPr/>
              <w:t> </w:t>
            </w:r>
          </w:p>
        </w:tc>
        <w:tc>
          <w:tcPr>
            <w:tcW w:w="106" w:type="dxa"/>
            <w:tcBorders>
              <w:bottom w:val="single" w:sz="6" w:space="0" w:color="732282"/>
            </w:tcBorders>
            <w:shd w:fill="auto" w:val="clear"/>
            <w:tcMar>
              <w:bottom w:w="28" w:type="dxa"/>
            </w:tcMar>
            <w:vAlign w:val="center"/>
          </w:tcPr>
          <w:p>
            <w:pPr>
              <w:pStyle w:val="TableContents"/>
              <w:spacing w:before="0" w:after="283"/>
              <w:rPr/>
            </w:pPr>
            <w:r>
              <w:rPr/>
              <w:t> </w:t>
            </w:r>
          </w:p>
        </w:tc>
        <w:tc>
          <w:tcPr>
            <w:tcW w:w="889" w:type="dxa"/>
            <w:tcBorders>
              <w:bottom w:val="single" w:sz="6" w:space="0" w:color="732282"/>
            </w:tcBorders>
            <w:shd w:fill="auto" w:val="clear"/>
            <w:tcMar>
              <w:bottom w:w="28" w:type="dxa"/>
            </w:tcMar>
            <w:vAlign w:val="center"/>
          </w:tcPr>
          <w:p>
            <w:pPr>
              <w:pStyle w:val="TableContents"/>
              <w:spacing w:before="0" w:after="283"/>
              <w:jc w:val="right"/>
              <w:rPr/>
            </w:pPr>
            <w:r>
              <w:rPr/>
              <w:t>3/4/2022</w:t>
            </w:r>
          </w:p>
        </w:tc>
        <w:tc>
          <w:tcPr>
            <w:tcW w:w="60" w:type="dxa"/>
            <w:tcBorders>
              <w:bottom w:val="single" w:sz="6" w:space="0" w:color="732282"/>
            </w:tcBorders>
            <w:shd w:fill="auto" w:val="clear"/>
            <w:tcMar>
              <w:bottom w:w="28" w:type="dxa"/>
            </w:tcMar>
            <w:vAlign w:val="center"/>
          </w:tcPr>
          <w:p>
            <w:pPr>
              <w:pStyle w:val="TableContents"/>
              <w:spacing w:before="0" w:after="283"/>
              <w:rPr/>
            </w:pPr>
            <w:r>
              <w:rPr/>
              <w:t> </w:t>
            </w:r>
          </w:p>
        </w:tc>
        <w:tc>
          <w:tcPr>
            <w:tcW w:w="60" w:type="dxa"/>
            <w:tcBorders>
              <w:bottom w:val="single" w:sz="6" w:space="0" w:color="732282"/>
            </w:tcBorders>
            <w:shd w:fill="auto" w:val="clear"/>
            <w:tcMar>
              <w:bottom w:w="28" w:type="dxa"/>
            </w:tcMar>
            <w:vAlign w:val="center"/>
          </w:tcPr>
          <w:p>
            <w:pPr>
              <w:pStyle w:val="TableContents"/>
              <w:spacing w:before="0" w:after="283"/>
              <w:rPr/>
            </w:pPr>
            <w:r>
              <w:rPr/>
              <w:t> </w:t>
            </w:r>
          </w:p>
        </w:tc>
        <w:tc>
          <w:tcPr>
            <w:tcW w:w="61" w:type="dxa"/>
            <w:tcBorders>
              <w:bottom w:val="single" w:sz="6" w:space="0" w:color="732282"/>
            </w:tcBorders>
            <w:shd w:fill="auto" w:val="clear"/>
            <w:tcMar>
              <w:bottom w:w="28" w:type="dxa"/>
            </w:tcMar>
            <w:vAlign w:val="center"/>
          </w:tcPr>
          <w:p>
            <w:pPr>
              <w:pStyle w:val="TableContents"/>
              <w:spacing w:before="0" w:after="283"/>
              <w:rPr/>
            </w:pPr>
            <w:r>
              <w:rPr/>
              <w:t> </w:t>
            </w:r>
          </w:p>
        </w:tc>
        <w:tc>
          <w:tcPr>
            <w:tcW w:w="1009" w:type="dxa"/>
            <w:tcBorders>
              <w:bottom w:val="single" w:sz="6" w:space="0" w:color="732282"/>
            </w:tcBorders>
            <w:shd w:fill="auto" w:val="clear"/>
            <w:tcMar>
              <w:bottom w:w="28" w:type="dxa"/>
            </w:tcMar>
            <w:vAlign w:val="center"/>
          </w:tcPr>
          <w:p>
            <w:pPr>
              <w:pStyle w:val="TableContents"/>
              <w:spacing w:before="0" w:after="283"/>
              <w:jc w:val="right"/>
              <w:rPr/>
            </w:pPr>
            <w:r>
              <w:rPr/>
              <w:t>—</w:t>
            </w:r>
          </w:p>
        </w:tc>
        <w:tc>
          <w:tcPr>
            <w:tcW w:w="60" w:type="dxa"/>
            <w:tcBorders>
              <w:bottom w:val="single" w:sz="6" w:space="0" w:color="732282"/>
            </w:tcBorders>
            <w:shd w:fill="auto" w:val="clear"/>
            <w:tcMar>
              <w:bottom w:w="28" w:type="dxa"/>
            </w:tcMar>
            <w:vAlign w:val="center"/>
          </w:tcPr>
          <w:p>
            <w:pPr>
              <w:pStyle w:val="TableContents"/>
              <w:spacing w:before="0" w:after="283"/>
              <w:rPr/>
            </w:pPr>
            <w:r>
              <w:rPr/>
              <w:t> </w:t>
            </w:r>
          </w:p>
        </w:tc>
        <w:tc>
          <w:tcPr>
            <w:tcW w:w="60" w:type="dxa"/>
            <w:tcBorders>
              <w:bottom w:val="single" w:sz="6" w:space="0" w:color="732282"/>
            </w:tcBorders>
            <w:shd w:fill="auto" w:val="clear"/>
            <w:tcMar>
              <w:bottom w:w="28" w:type="dxa"/>
            </w:tcMar>
            <w:vAlign w:val="center"/>
          </w:tcPr>
          <w:p>
            <w:pPr>
              <w:pStyle w:val="TableContents"/>
              <w:spacing w:before="0" w:after="283"/>
              <w:rPr/>
            </w:pPr>
            <w:r>
              <w:rPr/>
              <w:t> </w:t>
            </w:r>
          </w:p>
        </w:tc>
        <w:tc>
          <w:tcPr>
            <w:tcW w:w="60" w:type="dxa"/>
            <w:tcBorders>
              <w:bottom w:val="single" w:sz="6" w:space="0" w:color="732282"/>
            </w:tcBorders>
            <w:shd w:fill="auto" w:val="clear"/>
            <w:tcMar>
              <w:bottom w:w="28" w:type="dxa"/>
            </w:tcMar>
            <w:vAlign w:val="center"/>
          </w:tcPr>
          <w:p>
            <w:pPr>
              <w:pStyle w:val="TableContents"/>
              <w:spacing w:before="0" w:after="283"/>
              <w:rPr/>
            </w:pPr>
            <w:r>
              <w:rPr/>
              <w:t> </w:t>
            </w:r>
          </w:p>
        </w:tc>
        <w:tc>
          <w:tcPr>
            <w:tcW w:w="980" w:type="dxa"/>
            <w:tcBorders>
              <w:bottom w:val="single" w:sz="6" w:space="0" w:color="732282"/>
            </w:tcBorders>
            <w:shd w:fill="auto" w:val="clear"/>
            <w:tcMar>
              <w:bottom w:w="28" w:type="dxa"/>
            </w:tcMar>
            <w:vAlign w:val="center"/>
          </w:tcPr>
          <w:p>
            <w:pPr>
              <w:pStyle w:val="TableContents"/>
              <w:spacing w:before="0" w:after="283"/>
              <w:jc w:val="right"/>
              <w:rPr/>
            </w:pPr>
            <w:r>
              <w:rPr/>
              <w:t>—</w:t>
            </w:r>
          </w:p>
        </w:tc>
        <w:tc>
          <w:tcPr>
            <w:tcW w:w="60" w:type="dxa"/>
            <w:tcBorders>
              <w:bottom w:val="single" w:sz="6" w:space="0" w:color="732282"/>
            </w:tcBorders>
            <w:shd w:fill="auto" w:val="clear"/>
            <w:tcMar>
              <w:bottom w:w="28" w:type="dxa"/>
            </w:tcMar>
            <w:vAlign w:val="center"/>
          </w:tcPr>
          <w:p>
            <w:pPr>
              <w:pStyle w:val="TableContents"/>
              <w:spacing w:before="0" w:after="283"/>
              <w:rPr/>
            </w:pPr>
            <w:r>
              <w:rPr/>
              <w:t> </w:t>
            </w:r>
          </w:p>
        </w:tc>
        <w:tc>
          <w:tcPr>
            <w:tcW w:w="60" w:type="dxa"/>
            <w:tcBorders>
              <w:bottom w:val="single" w:sz="6" w:space="0" w:color="732282"/>
            </w:tcBorders>
            <w:shd w:fill="auto" w:val="clear"/>
            <w:tcMar>
              <w:bottom w:w="28" w:type="dxa"/>
            </w:tcMar>
            <w:vAlign w:val="center"/>
          </w:tcPr>
          <w:p>
            <w:pPr>
              <w:pStyle w:val="TableContents"/>
              <w:spacing w:before="0" w:after="283"/>
              <w:rPr/>
            </w:pPr>
            <w:r>
              <w:rPr/>
              <w:t> </w:t>
            </w:r>
          </w:p>
        </w:tc>
        <w:tc>
          <w:tcPr>
            <w:tcW w:w="61" w:type="dxa"/>
            <w:tcBorders>
              <w:bottom w:val="single" w:sz="6" w:space="0" w:color="732282"/>
            </w:tcBorders>
            <w:shd w:fill="auto" w:val="clear"/>
            <w:tcMar>
              <w:bottom w:w="28" w:type="dxa"/>
            </w:tcMar>
            <w:vAlign w:val="center"/>
          </w:tcPr>
          <w:p>
            <w:pPr>
              <w:pStyle w:val="TableContents"/>
              <w:spacing w:before="0" w:after="283"/>
              <w:rPr/>
            </w:pPr>
            <w:r>
              <w:rPr/>
              <w:t> </w:t>
            </w:r>
          </w:p>
        </w:tc>
        <w:tc>
          <w:tcPr>
            <w:tcW w:w="1009" w:type="dxa"/>
            <w:tcBorders>
              <w:bottom w:val="single" w:sz="6" w:space="0" w:color="732282"/>
            </w:tcBorders>
            <w:shd w:fill="auto" w:val="clear"/>
            <w:tcMar>
              <w:bottom w:w="28" w:type="dxa"/>
            </w:tcMar>
            <w:vAlign w:val="center"/>
          </w:tcPr>
          <w:p>
            <w:pPr>
              <w:pStyle w:val="TableContents"/>
              <w:spacing w:before="0" w:after="283"/>
              <w:jc w:val="right"/>
              <w:rPr/>
            </w:pPr>
            <w:r>
              <w:rPr/>
              <w:t>—</w:t>
            </w:r>
          </w:p>
        </w:tc>
        <w:tc>
          <w:tcPr>
            <w:tcW w:w="60" w:type="dxa"/>
            <w:tcBorders>
              <w:bottom w:val="single" w:sz="6" w:space="0" w:color="732282"/>
            </w:tcBorders>
            <w:shd w:fill="auto" w:val="clear"/>
            <w:tcMar>
              <w:bottom w:w="28" w:type="dxa"/>
            </w:tcMar>
            <w:vAlign w:val="center"/>
          </w:tcPr>
          <w:p>
            <w:pPr>
              <w:pStyle w:val="TableContents"/>
              <w:spacing w:before="0" w:after="283"/>
              <w:rPr/>
            </w:pPr>
            <w:r>
              <w:rPr/>
              <w:t> </w:t>
            </w:r>
          </w:p>
        </w:tc>
        <w:tc>
          <w:tcPr>
            <w:tcW w:w="60" w:type="dxa"/>
            <w:tcBorders>
              <w:bottom w:val="single" w:sz="6" w:space="0" w:color="732282"/>
            </w:tcBorders>
            <w:shd w:fill="auto" w:val="clear"/>
            <w:tcMar>
              <w:bottom w:w="28" w:type="dxa"/>
            </w:tcMar>
            <w:vAlign w:val="center"/>
          </w:tcPr>
          <w:p>
            <w:pPr>
              <w:pStyle w:val="TableContents"/>
              <w:spacing w:before="0" w:after="283"/>
              <w:rPr/>
            </w:pPr>
            <w:r>
              <w:rPr/>
              <w:t> </w:t>
            </w:r>
          </w:p>
        </w:tc>
        <w:tc>
          <w:tcPr>
            <w:tcW w:w="60" w:type="dxa"/>
            <w:tcBorders>
              <w:bottom w:val="single" w:sz="6" w:space="0" w:color="732282"/>
            </w:tcBorders>
            <w:shd w:fill="auto" w:val="clear"/>
            <w:tcMar>
              <w:bottom w:w="28" w:type="dxa"/>
            </w:tcMar>
            <w:vAlign w:val="center"/>
          </w:tcPr>
          <w:p>
            <w:pPr>
              <w:pStyle w:val="TableContents"/>
              <w:spacing w:before="0" w:after="283"/>
              <w:rPr/>
            </w:pPr>
            <w:r>
              <w:rPr/>
              <w:t> </w:t>
            </w:r>
          </w:p>
        </w:tc>
        <w:tc>
          <w:tcPr>
            <w:tcW w:w="60" w:type="dxa"/>
            <w:tcBorders>
              <w:bottom w:val="single" w:sz="6" w:space="0" w:color="732282"/>
            </w:tcBorders>
            <w:shd w:fill="auto" w:val="clear"/>
            <w:tcMar>
              <w:bottom w:w="28" w:type="dxa"/>
            </w:tcMar>
            <w:vAlign w:val="center"/>
          </w:tcPr>
          <w:p>
            <w:pPr>
              <w:pStyle w:val="TableContents"/>
              <w:spacing w:before="0" w:after="283"/>
              <w:rPr/>
            </w:pPr>
            <w:r>
              <w:rPr/>
              <w:t> </w:t>
            </w:r>
          </w:p>
        </w:tc>
        <w:tc>
          <w:tcPr>
            <w:tcW w:w="60" w:type="dxa"/>
            <w:tcBorders>
              <w:bottom w:val="single" w:sz="6" w:space="0" w:color="732282"/>
            </w:tcBorders>
            <w:shd w:fill="auto" w:val="clear"/>
            <w:tcMar>
              <w:bottom w:w="28" w:type="dxa"/>
            </w:tcMar>
            <w:vAlign w:val="center"/>
          </w:tcPr>
          <w:p>
            <w:pPr>
              <w:pStyle w:val="TableContents"/>
              <w:spacing w:before="0" w:after="283"/>
              <w:rPr/>
            </w:pPr>
            <w:r>
              <w:rPr/>
              <w:t> </w:t>
            </w:r>
          </w:p>
        </w:tc>
        <w:tc>
          <w:tcPr>
            <w:tcW w:w="60" w:type="dxa"/>
            <w:tcBorders>
              <w:bottom w:val="single" w:sz="6" w:space="0" w:color="732282"/>
            </w:tcBorders>
            <w:shd w:fill="auto" w:val="clear"/>
            <w:tcMar>
              <w:bottom w:w="28" w:type="dxa"/>
            </w:tcMar>
            <w:vAlign w:val="center"/>
          </w:tcPr>
          <w:p>
            <w:pPr>
              <w:pStyle w:val="TableContents"/>
              <w:spacing w:before="0" w:after="283"/>
              <w:rPr/>
            </w:pPr>
            <w:r>
              <w:rPr/>
              <w:t> </w:t>
            </w:r>
          </w:p>
        </w:tc>
        <w:tc>
          <w:tcPr>
            <w:tcW w:w="60" w:type="dxa"/>
            <w:tcBorders>
              <w:bottom w:val="single" w:sz="6" w:space="0" w:color="732282"/>
            </w:tcBorders>
            <w:shd w:fill="auto" w:val="clear"/>
            <w:tcMar>
              <w:bottom w:w="28" w:type="dxa"/>
            </w:tcMar>
            <w:vAlign w:val="center"/>
          </w:tcPr>
          <w:p>
            <w:pPr>
              <w:pStyle w:val="TableContents"/>
              <w:spacing w:before="0" w:after="283"/>
              <w:rPr/>
            </w:pPr>
            <w:r>
              <w:rPr/>
              <w:t> </w:t>
            </w:r>
          </w:p>
        </w:tc>
        <w:tc>
          <w:tcPr>
            <w:tcW w:w="60" w:type="dxa"/>
            <w:tcBorders>
              <w:bottom w:val="single" w:sz="6" w:space="0" w:color="732282"/>
            </w:tcBorders>
            <w:shd w:fill="auto" w:val="clear"/>
            <w:tcMar>
              <w:bottom w:w="28" w:type="dxa"/>
            </w:tcMar>
            <w:vAlign w:val="center"/>
          </w:tcPr>
          <w:p>
            <w:pPr>
              <w:pStyle w:val="TableContents"/>
              <w:spacing w:before="0" w:after="283"/>
              <w:rPr/>
            </w:pPr>
            <w:r>
              <w:rPr/>
              <w:t> </w:t>
            </w:r>
          </w:p>
        </w:tc>
        <w:tc>
          <w:tcPr>
            <w:tcW w:w="60" w:type="dxa"/>
            <w:tcBorders>
              <w:bottom w:val="single" w:sz="6" w:space="0" w:color="732282"/>
            </w:tcBorders>
            <w:shd w:fill="auto" w:val="clear"/>
            <w:tcMar>
              <w:bottom w:w="28" w:type="dxa"/>
            </w:tcMar>
            <w:vAlign w:val="center"/>
          </w:tcPr>
          <w:p>
            <w:pPr>
              <w:pStyle w:val="TableContents"/>
              <w:spacing w:before="0" w:after="283"/>
              <w:rPr/>
            </w:pPr>
            <w:r>
              <w:rPr/>
              <w:t> </w:t>
            </w:r>
          </w:p>
        </w:tc>
        <w:tc>
          <w:tcPr>
            <w:tcW w:w="60" w:type="dxa"/>
            <w:tcBorders>
              <w:bottom w:val="single" w:sz="6" w:space="0" w:color="732282"/>
            </w:tcBorders>
            <w:shd w:fill="auto" w:val="clear"/>
            <w:tcMar>
              <w:bottom w:w="28" w:type="dxa"/>
            </w:tcMar>
            <w:vAlign w:val="center"/>
          </w:tcPr>
          <w:p>
            <w:pPr>
              <w:pStyle w:val="TableContents"/>
              <w:spacing w:before="0" w:after="283"/>
              <w:rPr/>
            </w:pPr>
            <w:r>
              <w:rPr/>
              <w:t> </w:t>
            </w:r>
          </w:p>
        </w:tc>
        <w:tc>
          <w:tcPr>
            <w:tcW w:w="74" w:type="dxa"/>
            <w:tcBorders>
              <w:bottom w:val="single" w:sz="6" w:space="0" w:color="732282"/>
            </w:tcBorders>
            <w:shd w:fill="auto" w:val="clear"/>
            <w:tcMar>
              <w:bottom w:w="28" w:type="dxa"/>
            </w:tcMar>
            <w:vAlign w:val="center"/>
          </w:tcPr>
          <w:p>
            <w:pPr>
              <w:pStyle w:val="TableContents"/>
              <w:spacing w:before="0" w:after="283"/>
              <w:rPr/>
            </w:pPr>
            <w:r>
              <w:rPr/>
              <w:t> </w:t>
            </w:r>
          </w:p>
        </w:tc>
        <w:tc>
          <w:tcPr>
            <w:tcW w:w="996" w:type="dxa"/>
            <w:tcBorders>
              <w:bottom w:val="single" w:sz="6" w:space="0" w:color="732282"/>
            </w:tcBorders>
            <w:shd w:fill="auto" w:val="clear"/>
            <w:tcMar>
              <w:bottom w:w="28" w:type="dxa"/>
            </w:tcMar>
            <w:vAlign w:val="center"/>
          </w:tcPr>
          <w:p>
            <w:pPr>
              <w:pStyle w:val="TableContents"/>
              <w:spacing w:before="0" w:after="283"/>
              <w:jc w:val="right"/>
              <w:rPr/>
            </w:pPr>
            <w:r>
              <w:rPr/>
              <w:t>—</w:t>
            </w:r>
          </w:p>
        </w:tc>
        <w:tc>
          <w:tcPr>
            <w:tcW w:w="60" w:type="dxa"/>
            <w:tcBorders>
              <w:bottom w:val="single" w:sz="6" w:space="0" w:color="732282"/>
            </w:tcBorders>
            <w:shd w:fill="auto" w:val="clear"/>
            <w:tcMar>
              <w:bottom w:w="28" w:type="dxa"/>
            </w:tcMar>
            <w:vAlign w:val="center"/>
          </w:tcPr>
          <w:p>
            <w:pPr>
              <w:pStyle w:val="TableContents"/>
              <w:spacing w:before="0" w:after="283"/>
              <w:rPr/>
            </w:pPr>
            <w:r>
              <w:rPr/>
              <w:t> </w:t>
            </w:r>
          </w:p>
        </w:tc>
        <w:tc>
          <w:tcPr>
            <w:tcW w:w="60" w:type="dxa"/>
            <w:tcBorders>
              <w:bottom w:val="single" w:sz="6" w:space="0" w:color="732282"/>
            </w:tcBorders>
            <w:shd w:fill="auto" w:val="clear"/>
            <w:tcMar>
              <w:bottom w:w="28" w:type="dxa"/>
            </w:tcMar>
            <w:vAlign w:val="center"/>
          </w:tcPr>
          <w:p>
            <w:pPr>
              <w:pStyle w:val="TableContents"/>
              <w:spacing w:before="0" w:after="283"/>
              <w:rPr/>
            </w:pPr>
            <w:r>
              <w:rPr/>
              <w:t> </w:t>
            </w:r>
          </w:p>
        </w:tc>
        <w:tc>
          <w:tcPr>
            <w:tcW w:w="60" w:type="dxa"/>
            <w:tcBorders>
              <w:bottom w:val="single" w:sz="6" w:space="0" w:color="732282"/>
            </w:tcBorders>
            <w:shd w:fill="auto" w:val="clear"/>
            <w:tcMar>
              <w:bottom w:w="28" w:type="dxa"/>
            </w:tcMar>
            <w:vAlign w:val="center"/>
          </w:tcPr>
          <w:p>
            <w:pPr>
              <w:pStyle w:val="TableContents"/>
              <w:spacing w:before="0" w:after="283"/>
              <w:rPr/>
            </w:pPr>
            <w:r>
              <w:rPr/>
              <w:t> </w:t>
            </w:r>
          </w:p>
        </w:tc>
        <w:tc>
          <w:tcPr>
            <w:tcW w:w="800" w:type="dxa"/>
            <w:tcBorders>
              <w:bottom w:val="single" w:sz="6" w:space="0" w:color="732282"/>
            </w:tcBorders>
            <w:shd w:fill="auto" w:val="clear"/>
            <w:tcMar>
              <w:bottom w:w="28" w:type="dxa"/>
            </w:tcMar>
            <w:vAlign w:val="center"/>
          </w:tcPr>
          <w:p>
            <w:pPr>
              <w:pStyle w:val="TableContents"/>
              <w:spacing w:before="0" w:after="283"/>
              <w:jc w:val="right"/>
              <w:rPr/>
            </w:pPr>
            <w:r>
              <w:rPr/>
              <w:t>—</w:t>
            </w:r>
          </w:p>
        </w:tc>
        <w:tc>
          <w:tcPr>
            <w:tcW w:w="60" w:type="dxa"/>
            <w:tcBorders>
              <w:bottom w:val="single" w:sz="6" w:space="0" w:color="732282"/>
            </w:tcBorders>
            <w:shd w:fill="auto" w:val="clear"/>
            <w:tcMar>
              <w:bottom w:w="28" w:type="dxa"/>
            </w:tcMar>
            <w:vAlign w:val="center"/>
          </w:tcPr>
          <w:p>
            <w:pPr>
              <w:pStyle w:val="TableContents"/>
              <w:spacing w:before="0" w:after="283"/>
              <w:rPr/>
            </w:pPr>
            <w:r>
              <w:rPr/>
              <w:t> </w:t>
            </w:r>
          </w:p>
        </w:tc>
        <w:tc>
          <w:tcPr>
            <w:tcW w:w="60" w:type="dxa"/>
            <w:tcBorders>
              <w:bottom w:val="single" w:sz="6" w:space="0" w:color="732282"/>
            </w:tcBorders>
            <w:shd w:fill="auto" w:val="clear"/>
            <w:tcMar>
              <w:bottom w:w="28" w:type="dxa"/>
            </w:tcMar>
            <w:vAlign w:val="center"/>
          </w:tcPr>
          <w:p>
            <w:pPr>
              <w:pStyle w:val="TableContents"/>
              <w:spacing w:before="0" w:after="283"/>
              <w:rPr/>
            </w:pPr>
            <w:r>
              <w:rPr/>
              <w:t> </w:t>
            </w:r>
          </w:p>
        </w:tc>
        <w:tc>
          <w:tcPr>
            <w:tcW w:w="61" w:type="dxa"/>
            <w:tcBorders>
              <w:bottom w:val="single" w:sz="6" w:space="0" w:color="732282"/>
            </w:tcBorders>
            <w:shd w:fill="auto" w:val="clear"/>
            <w:tcMar>
              <w:bottom w:w="28" w:type="dxa"/>
            </w:tcMar>
            <w:vAlign w:val="center"/>
          </w:tcPr>
          <w:p>
            <w:pPr>
              <w:pStyle w:val="TableContents"/>
              <w:spacing w:before="0" w:after="283"/>
              <w:rPr/>
            </w:pPr>
            <w:r>
              <w:rPr/>
              <w:t> </w:t>
            </w:r>
          </w:p>
        </w:tc>
        <w:tc>
          <w:tcPr>
            <w:tcW w:w="1009" w:type="dxa"/>
            <w:tcBorders>
              <w:bottom w:val="single" w:sz="6" w:space="0" w:color="732282"/>
            </w:tcBorders>
            <w:shd w:fill="auto" w:val="clear"/>
            <w:tcMar>
              <w:bottom w:w="28" w:type="dxa"/>
            </w:tcMar>
            <w:vAlign w:val="center"/>
          </w:tcPr>
          <w:p>
            <w:pPr>
              <w:pStyle w:val="TableContents"/>
              <w:spacing w:before="0" w:after="283"/>
              <w:jc w:val="right"/>
              <w:rPr/>
            </w:pPr>
            <w:r>
              <w:rPr/>
              <w:t>—</w:t>
            </w:r>
          </w:p>
        </w:tc>
        <w:tc>
          <w:tcPr>
            <w:tcW w:w="60" w:type="dxa"/>
            <w:tcBorders>
              <w:bottom w:val="single" w:sz="6" w:space="0" w:color="732282"/>
            </w:tcBorders>
            <w:shd w:fill="auto" w:val="clear"/>
            <w:tcMar>
              <w:bottom w:w="28" w:type="dxa"/>
            </w:tcMar>
            <w:vAlign w:val="center"/>
          </w:tcPr>
          <w:p>
            <w:pPr>
              <w:pStyle w:val="TableContents"/>
              <w:spacing w:before="0" w:after="283"/>
              <w:rPr/>
            </w:pPr>
            <w:r>
              <w:rPr/>
              <w:t> </w:t>
            </w:r>
          </w:p>
        </w:tc>
        <w:tc>
          <w:tcPr>
            <w:tcW w:w="60" w:type="dxa"/>
            <w:tcBorders>
              <w:bottom w:val="single" w:sz="6" w:space="0" w:color="732282"/>
            </w:tcBorders>
            <w:shd w:fill="auto" w:val="clear"/>
            <w:tcMar>
              <w:bottom w:w="28" w:type="dxa"/>
            </w:tcMar>
            <w:vAlign w:val="center"/>
          </w:tcPr>
          <w:p>
            <w:pPr>
              <w:pStyle w:val="TableContents"/>
              <w:spacing w:before="0" w:after="283"/>
              <w:rPr/>
            </w:pPr>
            <w:r>
              <w:rPr/>
              <w:t> </w:t>
            </w:r>
          </w:p>
        </w:tc>
        <w:tc>
          <w:tcPr>
            <w:tcW w:w="60" w:type="dxa"/>
            <w:tcBorders>
              <w:bottom w:val="single" w:sz="6" w:space="0" w:color="732282"/>
            </w:tcBorders>
            <w:shd w:fill="auto" w:val="clear"/>
            <w:tcMar>
              <w:bottom w:w="28" w:type="dxa"/>
            </w:tcMar>
            <w:vAlign w:val="center"/>
          </w:tcPr>
          <w:p>
            <w:pPr>
              <w:pStyle w:val="TableContents"/>
              <w:spacing w:before="0" w:after="283"/>
              <w:rPr/>
            </w:pPr>
            <w:r>
              <w:rPr/>
              <w:t> </w:t>
            </w:r>
          </w:p>
        </w:tc>
        <w:tc>
          <w:tcPr>
            <w:tcW w:w="800" w:type="dxa"/>
            <w:tcBorders>
              <w:bottom w:val="single" w:sz="6" w:space="0" w:color="732282"/>
            </w:tcBorders>
            <w:shd w:fill="auto" w:val="clear"/>
            <w:tcMar>
              <w:bottom w:w="28" w:type="dxa"/>
            </w:tcMar>
            <w:vAlign w:val="center"/>
          </w:tcPr>
          <w:p>
            <w:pPr>
              <w:pStyle w:val="TableContents"/>
              <w:spacing w:before="0" w:after="283"/>
              <w:jc w:val="right"/>
              <w:rPr/>
            </w:pPr>
            <w:r>
              <w:rPr/>
              <w:t>370,589</w:t>
            </w:r>
          </w:p>
        </w:tc>
        <w:tc>
          <w:tcPr>
            <w:tcW w:w="60" w:type="dxa"/>
            <w:tcBorders>
              <w:bottom w:val="single" w:sz="6" w:space="0" w:color="732282"/>
            </w:tcBorders>
            <w:shd w:fill="auto" w:val="clear"/>
            <w:tcMar>
              <w:bottom w:w="28" w:type="dxa"/>
            </w:tcMar>
            <w:vAlign w:val="center"/>
          </w:tcPr>
          <w:p>
            <w:pPr>
              <w:pStyle w:val="TableContents"/>
              <w:spacing w:before="0" w:after="283"/>
              <w:rPr/>
            </w:pPr>
            <w:r>
              <w:rPr/>
              <w:t> </w:t>
            </w:r>
          </w:p>
        </w:tc>
        <w:tc>
          <w:tcPr>
            <w:tcW w:w="60" w:type="dxa"/>
            <w:tcBorders>
              <w:bottom w:val="single" w:sz="6" w:space="0" w:color="732282"/>
            </w:tcBorders>
            <w:shd w:fill="auto" w:val="clear"/>
            <w:tcMar>
              <w:bottom w:w="28" w:type="dxa"/>
            </w:tcMar>
            <w:vAlign w:val="center"/>
          </w:tcPr>
          <w:p>
            <w:pPr>
              <w:pStyle w:val="TableContents"/>
              <w:spacing w:before="0" w:after="283"/>
              <w:rPr/>
            </w:pPr>
            <w:r>
              <w:rPr/>
              <w:t> </w:t>
            </w:r>
          </w:p>
        </w:tc>
        <w:tc>
          <w:tcPr>
            <w:tcW w:w="119" w:type="dxa"/>
            <w:tcBorders>
              <w:bottom w:val="single" w:sz="6" w:space="0" w:color="732282"/>
            </w:tcBorders>
            <w:shd w:fill="auto" w:val="clear"/>
            <w:tcMar>
              <w:bottom w:w="28" w:type="dxa"/>
            </w:tcMar>
            <w:vAlign w:val="center"/>
          </w:tcPr>
          <w:p>
            <w:pPr>
              <w:pStyle w:val="TableContents"/>
              <w:spacing w:before="0" w:after="283"/>
              <w:rPr/>
            </w:pPr>
            <w:r>
              <w:rPr/>
              <w:t> </w:t>
            </w:r>
          </w:p>
        </w:tc>
        <w:tc>
          <w:tcPr>
            <w:tcW w:w="516" w:type="dxa"/>
            <w:tcBorders>
              <w:bottom w:val="single" w:sz="6" w:space="0" w:color="732282"/>
            </w:tcBorders>
            <w:shd w:fill="auto" w:val="clear"/>
            <w:tcMar>
              <w:bottom w:w="28" w:type="dxa"/>
            </w:tcMar>
            <w:vAlign w:val="center"/>
          </w:tcPr>
          <w:p>
            <w:pPr>
              <w:pStyle w:val="TableContents"/>
              <w:spacing w:before="0" w:after="283"/>
              <w:jc w:val="right"/>
              <w:rPr/>
            </w:pPr>
            <w:r>
              <w:rPr/>
              <w:t>—</w:t>
            </w:r>
          </w:p>
        </w:tc>
        <w:tc>
          <w:tcPr>
            <w:tcW w:w="60" w:type="dxa"/>
            <w:tcBorders>
              <w:bottom w:val="single" w:sz="6" w:space="0" w:color="732282"/>
            </w:tcBorders>
            <w:shd w:fill="auto" w:val="clear"/>
            <w:tcMar>
              <w:bottom w:w="28" w:type="dxa"/>
            </w:tcMar>
            <w:vAlign w:val="center"/>
          </w:tcPr>
          <w:p>
            <w:pPr>
              <w:pStyle w:val="TableContents"/>
              <w:spacing w:before="0" w:after="283"/>
              <w:rPr/>
            </w:pPr>
            <w:r>
              <w:rPr/>
              <w:t> </w:t>
            </w:r>
          </w:p>
        </w:tc>
        <w:tc>
          <w:tcPr>
            <w:tcW w:w="60" w:type="dxa"/>
            <w:tcBorders>
              <w:bottom w:val="single" w:sz="6" w:space="0" w:color="732282"/>
            </w:tcBorders>
            <w:shd w:fill="auto" w:val="clear"/>
            <w:tcMar>
              <w:bottom w:w="28" w:type="dxa"/>
            </w:tcMar>
            <w:vAlign w:val="center"/>
          </w:tcPr>
          <w:p>
            <w:pPr>
              <w:pStyle w:val="TableContents"/>
              <w:spacing w:before="0" w:after="283"/>
              <w:rPr/>
            </w:pPr>
            <w:r>
              <w:rPr/>
              <w:t> </w:t>
            </w:r>
          </w:p>
        </w:tc>
        <w:tc>
          <w:tcPr>
            <w:tcW w:w="88" w:type="dxa"/>
            <w:tcBorders>
              <w:bottom w:val="single" w:sz="6" w:space="0" w:color="732282"/>
            </w:tcBorders>
            <w:shd w:fill="auto" w:val="clear"/>
            <w:tcMar>
              <w:bottom w:w="28" w:type="dxa"/>
            </w:tcMar>
            <w:vAlign w:val="center"/>
          </w:tcPr>
          <w:p>
            <w:pPr>
              <w:pStyle w:val="TableContents"/>
              <w:spacing w:before="0" w:after="283"/>
              <w:rPr/>
            </w:pPr>
            <w:r>
              <w:rPr/>
              <w:t> </w:t>
            </w:r>
          </w:p>
        </w:tc>
        <w:tc>
          <w:tcPr>
            <w:tcW w:w="382" w:type="dxa"/>
            <w:tcBorders>
              <w:bottom w:val="single" w:sz="6" w:space="0" w:color="732282"/>
            </w:tcBorders>
            <w:shd w:fill="auto" w:val="clear"/>
            <w:tcMar>
              <w:bottom w:w="28" w:type="dxa"/>
            </w:tcMar>
            <w:vAlign w:val="center"/>
          </w:tcPr>
          <w:p>
            <w:pPr>
              <w:pStyle w:val="TableContents"/>
              <w:spacing w:before="0" w:after="283"/>
              <w:jc w:val="right"/>
              <w:rPr/>
            </w:pPr>
            <w:r>
              <w:rPr/>
              <w:t>—</w:t>
            </w:r>
          </w:p>
        </w:tc>
        <w:tc>
          <w:tcPr>
            <w:tcW w:w="60" w:type="dxa"/>
            <w:tcBorders>
              <w:bottom w:val="single" w:sz="6" w:space="0" w:color="732282"/>
            </w:tcBorders>
            <w:shd w:fill="auto" w:val="clear"/>
            <w:tcMar>
              <w:bottom w:w="28" w:type="dxa"/>
            </w:tcMar>
            <w:vAlign w:val="center"/>
          </w:tcPr>
          <w:p>
            <w:pPr>
              <w:pStyle w:val="TableContents"/>
              <w:spacing w:before="0" w:after="283"/>
              <w:rPr/>
            </w:pPr>
            <w:r>
              <w:rPr/>
              <w:t> </w:t>
            </w:r>
          </w:p>
        </w:tc>
        <w:tc>
          <w:tcPr>
            <w:tcW w:w="60" w:type="dxa"/>
            <w:tcBorders>
              <w:bottom w:val="single" w:sz="6" w:space="0" w:color="732282"/>
            </w:tcBorders>
            <w:shd w:fill="auto" w:val="clear"/>
            <w:tcMar>
              <w:bottom w:w="28" w:type="dxa"/>
            </w:tcMar>
            <w:vAlign w:val="center"/>
          </w:tcPr>
          <w:p>
            <w:pPr>
              <w:pStyle w:val="TableContents"/>
              <w:spacing w:before="0" w:after="283"/>
              <w:rPr/>
            </w:pPr>
            <w:r>
              <w:rPr/>
              <w:t> </w:t>
            </w:r>
          </w:p>
        </w:tc>
        <w:tc>
          <w:tcPr>
            <w:tcW w:w="60" w:type="dxa"/>
            <w:tcBorders>
              <w:bottom w:val="single" w:sz="6" w:space="0" w:color="732282"/>
            </w:tcBorders>
            <w:shd w:fill="auto" w:val="clear"/>
            <w:tcMar>
              <w:bottom w:w="28" w:type="dxa"/>
            </w:tcMar>
            <w:vAlign w:val="center"/>
          </w:tcPr>
          <w:p>
            <w:pPr>
              <w:pStyle w:val="TableContents"/>
              <w:spacing w:before="0" w:after="283"/>
              <w:rPr/>
            </w:pPr>
            <w:r>
              <w:rPr/>
              <w:t> </w:t>
            </w:r>
          </w:p>
        </w:tc>
        <w:tc>
          <w:tcPr>
            <w:tcW w:w="980" w:type="dxa"/>
            <w:tcBorders>
              <w:bottom w:val="single" w:sz="6" w:space="0" w:color="732282"/>
            </w:tcBorders>
            <w:shd w:fill="auto" w:val="clear"/>
            <w:tcMar>
              <w:bottom w:w="28" w:type="dxa"/>
            </w:tcMar>
            <w:vAlign w:val="center"/>
          </w:tcPr>
          <w:p>
            <w:pPr>
              <w:pStyle w:val="TableContents"/>
              <w:spacing w:before="0" w:after="283"/>
              <w:jc w:val="right"/>
              <w:rPr/>
            </w:pPr>
            <w:r>
              <w:rPr/>
              <w:t>3,780,008</w:t>
            </w:r>
          </w:p>
        </w:tc>
        <w:tc>
          <w:tcPr>
            <w:tcW w:w="75" w:type="dxa"/>
            <w:tcBorders>
              <w:bottom w:val="single" w:sz="6" w:space="0" w:color="732282"/>
            </w:tcBorders>
            <w:shd w:fill="auto" w:val="clear"/>
            <w:tcMar>
              <w:bottom w:w="28" w:type="dxa"/>
            </w:tcMar>
            <w:vAlign w:val="center"/>
          </w:tcPr>
          <w:p>
            <w:pPr>
              <w:pStyle w:val="TableContents"/>
              <w:spacing w:before="0" w:after="283"/>
              <w:rPr/>
            </w:pPr>
            <w:r>
              <w:rPr/>
              <w:t> </w:t>
            </w:r>
          </w:p>
        </w:tc>
      </w:tr>
    </w:tbl>
    <w:tbl>
      <w:tblPr>
        <w:tblW w:w="10205" w:type="dxa"/>
        <w:jc w:val="left"/>
        <w:tblInd w:w="0" w:type="dxa"/>
        <w:tblCellMar>
          <w:top w:w="0" w:type="dxa"/>
          <w:left w:w="0" w:type="dxa"/>
          <w:bottom w:w="0" w:type="dxa"/>
          <w:right w:w="0" w:type="dxa"/>
        </w:tblCellMar>
      </w:tblPr>
      <w:tblGrid>
        <w:gridCol w:w="261"/>
        <w:gridCol w:w="9944"/>
      </w:tblGrid>
      <w:tr>
        <w:trPr/>
        <w:tc>
          <w:tcPr>
            <w:tcW w:w="261" w:type="dxa"/>
            <w:tcBorders/>
            <w:shd w:fill="auto" w:val="clear"/>
            <w:vAlign w:val="center"/>
          </w:tcPr>
          <w:p>
            <w:pPr>
              <w:pStyle w:val="TableContents"/>
              <w:spacing w:before="0" w:after="283"/>
              <w:jc w:val="left"/>
              <w:rPr>
                <w:i/>
              </w:rPr>
            </w:pPr>
            <w:r>
              <w:rPr>
                <w:i/>
              </w:rPr>
              <w:t>(1)</w:t>
            </w:r>
          </w:p>
        </w:tc>
        <w:tc>
          <w:tcPr>
            <w:tcW w:w="9944" w:type="dxa"/>
            <w:tcBorders/>
            <w:shd w:fill="auto" w:val="clear"/>
            <w:vAlign w:val="center"/>
          </w:tcPr>
          <w:p>
            <w:pPr>
              <w:pStyle w:val="TableContents"/>
              <w:spacing w:before="0" w:after="0"/>
              <w:jc w:val="both"/>
              <w:rPr>
                <w:rFonts w:ascii="arial" w:hAnsi="arial"/>
                <w:i/>
                <w:sz w:val="18"/>
              </w:rPr>
            </w:pPr>
            <w:r>
              <w:rPr>
                <w:rFonts w:ascii="arial" w:hAnsi="arial"/>
                <w:i/>
                <w:sz w:val="18"/>
              </w:rPr>
              <w:t xml:space="preserve">The performance goals under the annual incentive compensation program applicable to the NEOs during 2022 are described above in the CD&amp;A. For a discussion of these awards, see “2022 Annual Incentive Compensation Program” on pages 29 to 30 of this Amendment. </w:t>
            </w:r>
          </w:p>
        </w:tc>
      </w:tr>
    </w:tbl>
    <w:tbl>
      <w:tblPr>
        <w:tblW w:w="10205" w:type="dxa"/>
        <w:jc w:val="left"/>
        <w:tblInd w:w="0" w:type="dxa"/>
        <w:tblCellMar>
          <w:top w:w="0" w:type="dxa"/>
          <w:left w:w="0" w:type="dxa"/>
          <w:bottom w:w="0" w:type="dxa"/>
          <w:right w:w="0" w:type="dxa"/>
        </w:tblCellMar>
      </w:tblPr>
      <w:tblGrid>
        <w:gridCol w:w="269"/>
        <w:gridCol w:w="9936"/>
      </w:tblGrid>
      <w:tr>
        <w:trPr/>
        <w:tc>
          <w:tcPr>
            <w:tcW w:w="269" w:type="dxa"/>
            <w:tcBorders/>
            <w:shd w:fill="auto" w:val="clear"/>
            <w:vAlign w:val="center"/>
          </w:tcPr>
          <w:p>
            <w:pPr>
              <w:pStyle w:val="TableContents"/>
              <w:spacing w:before="0" w:after="283"/>
              <w:jc w:val="left"/>
              <w:rPr>
                <w:i/>
              </w:rPr>
            </w:pPr>
            <w:r>
              <w:rPr>
                <w:i/>
              </w:rPr>
              <w:t>(2)</w:t>
            </w:r>
          </w:p>
        </w:tc>
        <w:tc>
          <w:tcPr>
            <w:tcW w:w="9936" w:type="dxa"/>
            <w:tcBorders/>
            <w:shd w:fill="auto" w:val="clear"/>
            <w:vAlign w:val="center"/>
          </w:tcPr>
          <w:p>
            <w:pPr>
              <w:pStyle w:val="TableContents"/>
              <w:spacing w:before="0" w:after="0"/>
              <w:jc w:val="both"/>
              <w:rPr>
                <w:rFonts w:ascii="arial" w:hAnsi="arial"/>
                <w:i/>
                <w:sz w:val="18"/>
              </w:rPr>
            </w:pPr>
            <w:r>
              <w:rPr>
                <w:rFonts w:ascii="arial" w:hAnsi="arial"/>
                <w:i/>
                <w:sz w:val="18"/>
              </w:rPr>
              <w:t xml:space="preserve">Consists of PRSUs awarded under the Viatris 2020 Stock Plan. The vesting terms applicable to these awards are described above in the CD&amp;A and below following the Outstanding Equity Awards at the End of 2022 table. </w:t>
            </w:r>
          </w:p>
        </w:tc>
      </w:tr>
    </w:tbl>
    <w:tbl>
      <w:tblPr>
        <w:tblW w:w="10205" w:type="dxa"/>
        <w:jc w:val="left"/>
        <w:tblInd w:w="0" w:type="dxa"/>
        <w:tblCellMar>
          <w:top w:w="0" w:type="dxa"/>
          <w:left w:w="0" w:type="dxa"/>
          <w:bottom w:w="0" w:type="dxa"/>
          <w:right w:w="0" w:type="dxa"/>
        </w:tblCellMar>
      </w:tblPr>
      <w:tblGrid>
        <w:gridCol w:w="269"/>
        <w:gridCol w:w="9936"/>
      </w:tblGrid>
      <w:tr>
        <w:trPr/>
        <w:tc>
          <w:tcPr>
            <w:tcW w:w="269" w:type="dxa"/>
            <w:tcBorders/>
            <w:shd w:fill="auto" w:val="clear"/>
            <w:vAlign w:val="center"/>
          </w:tcPr>
          <w:p>
            <w:pPr>
              <w:pStyle w:val="TableContents"/>
              <w:spacing w:before="0" w:after="283"/>
              <w:jc w:val="left"/>
              <w:rPr>
                <w:i/>
              </w:rPr>
            </w:pPr>
            <w:r>
              <w:rPr>
                <w:i/>
              </w:rPr>
              <w:t>(3)</w:t>
            </w:r>
          </w:p>
        </w:tc>
        <w:tc>
          <w:tcPr>
            <w:tcW w:w="9936" w:type="dxa"/>
            <w:tcBorders/>
            <w:shd w:fill="auto" w:val="clear"/>
            <w:vAlign w:val="center"/>
          </w:tcPr>
          <w:p>
            <w:pPr>
              <w:pStyle w:val="TableContents"/>
              <w:spacing w:before="0" w:after="0"/>
              <w:jc w:val="both"/>
              <w:rPr>
                <w:rFonts w:ascii="arial" w:hAnsi="arial"/>
                <w:i/>
                <w:sz w:val="18"/>
              </w:rPr>
            </w:pPr>
            <w:r>
              <w:rPr>
                <w:rFonts w:ascii="arial" w:hAnsi="arial"/>
                <w:i/>
                <w:sz w:val="18"/>
              </w:rPr>
              <w:t xml:space="preserve">Consists of RSUs awarded under the Viatris 2020 Stock Plan. The vesting terms applicable to these awards are described above in the CD&amp;A and below following the Outstanding Equity Awards at the End of 2022 table. </w:t>
            </w:r>
          </w:p>
        </w:tc>
      </w:tr>
    </w:tbl>
    <w:tbl>
      <w:tblPr>
        <w:tblW w:w="10205" w:type="dxa"/>
        <w:jc w:val="left"/>
        <w:tblInd w:w="0" w:type="dxa"/>
        <w:tblCellMar>
          <w:top w:w="0" w:type="dxa"/>
          <w:left w:w="0" w:type="dxa"/>
          <w:bottom w:w="0" w:type="dxa"/>
          <w:right w:w="0" w:type="dxa"/>
        </w:tblCellMar>
      </w:tblPr>
      <w:tblGrid>
        <w:gridCol w:w="263"/>
        <w:gridCol w:w="9942"/>
      </w:tblGrid>
      <w:tr>
        <w:trPr/>
        <w:tc>
          <w:tcPr>
            <w:tcW w:w="263" w:type="dxa"/>
            <w:tcBorders/>
            <w:shd w:fill="auto" w:val="clear"/>
            <w:vAlign w:val="center"/>
          </w:tcPr>
          <w:p>
            <w:pPr>
              <w:pStyle w:val="TableContents"/>
              <w:spacing w:before="0" w:after="283"/>
              <w:jc w:val="left"/>
              <w:rPr>
                <w:i/>
              </w:rPr>
            </w:pPr>
            <w:r>
              <w:rPr>
                <w:i/>
              </w:rPr>
              <w:t>(4)</w:t>
            </w:r>
          </w:p>
        </w:tc>
        <w:tc>
          <w:tcPr>
            <w:tcW w:w="9942" w:type="dxa"/>
            <w:tcBorders/>
            <w:shd w:fill="auto" w:val="clear"/>
            <w:vAlign w:val="center"/>
          </w:tcPr>
          <w:p>
            <w:pPr>
              <w:pStyle w:val="TableContents"/>
              <w:spacing w:before="0" w:after="0"/>
              <w:jc w:val="both"/>
              <w:rPr>
                <w:rFonts w:ascii="arial" w:hAnsi="arial"/>
                <w:i/>
                <w:sz w:val="18"/>
              </w:rPr>
            </w:pPr>
            <w:r>
              <w:rPr>
                <w:rFonts w:ascii="arial" w:hAnsi="arial"/>
                <w:i/>
                <w:sz w:val="18"/>
              </w:rPr>
              <w:t xml:space="preserve">Represents the grant date fair value of the specific award granted to the NEO. For information regarding assumptions used in determining such value, please refer to Note 14 to the Company’s Consolidated Financial Statements contained in the Form 10-K. </w:t>
            </w:r>
          </w:p>
        </w:tc>
      </w:tr>
    </w:tbl>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41 </w:t>
      </w:r>
      <w:r>
        <w:br w:type="page"/>
      </w:r>
    </w:p>
    <w:p>
      <w:pPr>
        <w:pStyle w:val="HorizontalLine"/>
        <w:rPr/>
      </w:pPr>
      <w:r>
        <w:rPr/>
      </w:r>
    </w:p>
    <w:p>
      <w:pPr>
        <w:pStyle w:val="TextBody"/>
        <w:spacing w:before="0" w:after="0"/>
        <w:jc w:val="left"/>
        <w:rPr>
          <w:rFonts w:ascii="arial" w:hAnsi="arial"/>
          <w:b/>
          <w:color w:val="732282"/>
          <w:sz w:val="20"/>
        </w:rPr>
      </w:pPr>
      <w:r>
        <w:rPr>
          <w:rFonts w:ascii="arial" w:hAnsi="arial"/>
          <w:b/>
          <w:color w:val="732282"/>
          <w:sz w:val="20"/>
        </w:rPr>
        <w:t xml:space="preserve">Outstanding Equity Awards at the End of 2022 </w:t>
      </w:r>
    </w:p>
    <w:p>
      <w:pPr>
        <w:pStyle w:val="TextBody"/>
        <w:spacing w:before="120" w:after="0"/>
        <w:jc w:val="both"/>
        <w:rPr>
          <w:rFonts w:ascii="arial" w:hAnsi="arial"/>
          <w:sz w:val="18"/>
        </w:rPr>
      </w:pPr>
      <w:r>
        <w:rPr>
          <w:rFonts w:ascii="arial" w:hAnsi="arial"/>
          <w:sz w:val="18"/>
        </w:rPr>
        <w:t xml:space="preserve">The following table sets forth information concerning all of the outstanding LTI awards held by each NEO as of December 31, 2022. </w:t>
      </w:r>
    </w:p>
    <w:p>
      <w:pPr>
        <w:pStyle w:val="TextBody"/>
        <w:spacing w:before="0" w:after="0"/>
        <w:jc w:val="left"/>
        <w:rPr/>
      </w:pPr>
      <w:r>
        <w:rPr/>
        <w:t> </w:t>
      </w:r>
    </w:p>
    <w:tbl>
      <w:tblPr>
        <w:tblW w:w="10450" w:type="dxa"/>
        <w:jc w:val="left"/>
        <w:tblInd w:w="0" w:type="dxa"/>
        <w:tblCellMar>
          <w:top w:w="0" w:type="dxa"/>
          <w:left w:w="0" w:type="dxa"/>
          <w:bottom w:w="0" w:type="dxa"/>
          <w:right w:w="0" w:type="dxa"/>
        </w:tblCellMar>
      </w:tblPr>
      <w:tblGrid>
        <w:gridCol w:w="635"/>
        <w:gridCol w:w="60"/>
        <w:gridCol w:w="77"/>
        <w:gridCol w:w="873"/>
        <w:gridCol w:w="60"/>
        <w:gridCol w:w="60"/>
        <w:gridCol w:w="91"/>
        <w:gridCol w:w="1039"/>
        <w:gridCol w:w="60"/>
        <w:gridCol w:w="60"/>
        <w:gridCol w:w="65"/>
        <w:gridCol w:w="615"/>
        <w:gridCol w:w="60"/>
        <w:gridCol w:w="60"/>
        <w:gridCol w:w="60"/>
        <w:gridCol w:w="710"/>
        <w:gridCol w:w="60"/>
        <w:gridCol w:w="60"/>
        <w:gridCol w:w="60"/>
        <w:gridCol w:w="60"/>
        <w:gridCol w:w="60"/>
        <w:gridCol w:w="60"/>
        <w:gridCol w:w="60"/>
        <w:gridCol w:w="60"/>
        <w:gridCol w:w="60"/>
        <w:gridCol w:w="60"/>
        <w:gridCol w:w="60"/>
        <w:gridCol w:w="800"/>
        <w:gridCol w:w="215"/>
        <w:gridCol w:w="60"/>
        <w:gridCol w:w="60"/>
        <w:gridCol w:w="980"/>
        <w:gridCol w:w="60"/>
        <w:gridCol w:w="60"/>
        <w:gridCol w:w="65"/>
        <w:gridCol w:w="1065"/>
        <w:gridCol w:w="335"/>
        <w:gridCol w:w="60"/>
        <w:gridCol w:w="70"/>
        <w:gridCol w:w="1300"/>
        <w:gridCol w:w="75"/>
      </w:tblGrid>
      <w:tr>
        <w:trPr/>
        <w:tc>
          <w:tcPr>
            <w:tcW w:w="6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1" w:type="dxa"/>
            <w:tcBorders/>
            <w:shd w:fill="auto" w:val="clear"/>
            <w:vAlign w:val="center"/>
          </w:tcPr>
          <w:p>
            <w:pPr>
              <w:pStyle w:val="TableContents"/>
              <w:spacing w:before="0" w:after="283"/>
              <w:rPr>
                <w:sz w:val="4"/>
                <w:szCs w:val="4"/>
              </w:rPr>
            </w:pPr>
            <w:r>
              <w:rPr>
                <w:sz w:val="4"/>
                <w:szCs w:val="4"/>
              </w:rPr>
            </w:r>
          </w:p>
        </w:tc>
        <w:tc>
          <w:tcPr>
            <w:tcW w:w="103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c>
          <w:tcPr>
            <w:tcW w:w="6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c>
          <w:tcPr>
            <w:tcW w:w="106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0" w:type="dxa"/>
            <w:tcBorders/>
            <w:shd w:fill="auto" w:val="clear"/>
            <w:vAlign w:val="center"/>
          </w:tcPr>
          <w:p>
            <w:pPr>
              <w:pStyle w:val="TableContents"/>
              <w:spacing w:before="0" w:after="283"/>
              <w:rPr>
                <w:sz w:val="4"/>
                <w:szCs w:val="4"/>
              </w:rPr>
            </w:pPr>
            <w:r>
              <w:rPr>
                <w:sz w:val="4"/>
                <w:szCs w:val="4"/>
              </w:rPr>
            </w:r>
          </w:p>
        </w:tc>
        <w:tc>
          <w:tcPr>
            <w:tcW w:w="130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635" w:type="dxa"/>
            <w:tcBorders/>
            <w:shd w:fill="auto" w:val="clear"/>
            <w:vAlign w:val="center"/>
          </w:tcPr>
          <w:p>
            <w:pPr>
              <w:pStyle w:val="TableContents"/>
              <w:spacing w:before="0" w:after="283"/>
              <w:rPr/>
            </w:pPr>
            <w:r>
              <w:rPr/>
              <w:t> </w:t>
            </w:r>
          </w:p>
        </w:tc>
        <w:tc>
          <w:tcPr>
            <w:tcW w:w="60" w:type="dxa"/>
            <w:tcBorders/>
            <w:shd w:fill="231161" w:val="clear"/>
            <w:vAlign w:val="center"/>
          </w:tcPr>
          <w:p>
            <w:pPr>
              <w:pStyle w:val="TableContents"/>
              <w:spacing w:before="0" w:after="283"/>
              <w:rPr/>
            </w:pPr>
            <w:r>
              <w:rPr/>
              <w:t> </w:t>
            </w:r>
          </w:p>
        </w:tc>
        <w:tc>
          <w:tcPr>
            <w:tcW w:w="3890" w:type="dxa"/>
            <w:gridSpan w:val="14"/>
            <w:tcBorders/>
            <w:shd w:fill="231161" w:val="clear"/>
            <w:vAlign w:val="center"/>
          </w:tcPr>
          <w:p>
            <w:pPr>
              <w:pStyle w:val="TableContents"/>
              <w:spacing w:before="0" w:after="283"/>
              <w:jc w:val="center"/>
              <w:rPr>
                <w:b/>
                <w:color w:val="FFFFFF"/>
              </w:rPr>
            </w:pPr>
            <w:r>
              <w:rPr>
                <w:b/>
                <w:color w:val="FFFFFF"/>
              </w:rPr>
              <w:t>Option Awards</w:t>
            </w:r>
          </w:p>
        </w:tc>
        <w:tc>
          <w:tcPr>
            <w:tcW w:w="60" w:type="dxa"/>
            <w:tcBorders/>
            <w:shd w:fill="231161"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231161" w:val="clear"/>
            <w:vAlign w:val="center"/>
          </w:tcPr>
          <w:p>
            <w:pPr>
              <w:pStyle w:val="TableContents"/>
              <w:spacing w:before="0" w:after="283"/>
              <w:rPr/>
            </w:pPr>
            <w:r>
              <w:rPr/>
              <w:t> </w:t>
            </w:r>
          </w:p>
        </w:tc>
        <w:tc>
          <w:tcPr>
            <w:tcW w:w="5190" w:type="dxa"/>
            <w:gridSpan w:val="14"/>
            <w:tcBorders/>
            <w:shd w:fill="231161" w:val="clear"/>
            <w:vAlign w:val="center"/>
          </w:tcPr>
          <w:p>
            <w:pPr>
              <w:pStyle w:val="TableContents"/>
              <w:spacing w:before="0" w:after="283"/>
              <w:jc w:val="center"/>
              <w:rPr>
                <w:b/>
                <w:color w:val="FFFFFF"/>
              </w:rPr>
            </w:pPr>
            <w:r>
              <w:rPr>
                <w:b/>
                <w:color w:val="FFFFFF"/>
              </w:rPr>
              <w:t>Stock Awards</w:t>
            </w:r>
          </w:p>
        </w:tc>
        <w:tc>
          <w:tcPr>
            <w:tcW w:w="75" w:type="dxa"/>
            <w:tcBorders/>
            <w:shd w:fill="231161" w:val="clear"/>
            <w:vAlign w:val="center"/>
          </w:tcPr>
          <w:p>
            <w:pPr>
              <w:pStyle w:val="TableContents"/>
              <w:spacing w:before="0" w:after="283"/>
              <w:rPr/>
            </w:pPr>
            <w:r>
              <w:rPr/>
              <w:t> </w:t>
            </w:r>
          </w:p>
        </w:tc>
      </w:tr>
      <w:tr>
        <w:trPr/>
        <w:tc>
          <w:tcPr>
            <w:tcW w:w="635" w:type="dxa"/>
            <w:tcBorders>
              <w:bottom w:val="single" w:sz="8" w:space="0" w:color="732282"/>
            </w:tcBorders>
            <w:shd w:fill="444444" w:val="clear"/>
            <w:tcMar>
              <w:bottom w:w="28" w:type="dxa"/>
            </w:tcMar>
            <w:vAlign w:val="center"/>
          </w:tcPr>
          <w:p>
            <w:pPr>
              <w:pStyle w:val="TableContents"/>
              <w:spacing w:before="0" w:after="283"/>
              <w:rPr>
                <w:b/>
                <w:color w:val="FFFFFF"/>
              </w:rPr>
            </w:pPr>
            <w:r>
              <w:rPr>
                <w:b/>
                <w:color w:val="FFFFFF"/>
              </w:rPr>
              <w:t>Name</w:t>
            </w:r>
          </w:p>
        </w:tc>
        <w:tc>
          <w:tcPr>
            <w:tcW w:w="60" w:type="dxa"/>
            <w:tcBorders>
              <w:bottom w:val="single" w:sz="8" w:space="0" w:color="732282"/>
            </w:tcBorders>
            <w:shd w:fill="444444" w:val="clear"/>
            <w:tcMar>
              <w:bottom w:w="28" w:type="dxa"/>
            </w:tcMar>
            <w:vAlign w:val="center"/>
          </w:tcPr>
          <w:p>
            <w:pPr>
              <w:pStyle w:val="TableContents"/>
              <w:spacing w:before="0" w:after="283"/>
              <w:rPr/>
            </w:pPr>
            <w:r>
              <w:rPr/>
              <w:t> </w:t>
            </w:r>
          </w:p>
        </w:tc>
        <w:tc>
          <w:tcPr>
            <w:tcW w:w="950" w:type="dxa"/>
            <w:gridSpan w:val="2"/>
            <w:tcBorders>
              <w:bottom w:val="single" w:sz="8" w:space="0" w:color="732282"/>
            </w:tcBorders>
            <w:shd w:fill="444444" w:val="clear"/>
            <w:tcMar>
              <w:bottom w:w="28" w:type="dxa"/>
            </w:tcMar>
            <w:vAlign w:val="center"/>
          </w:tcPr>
          <w:p>
            <w:pPr>
              <w:pStyle w:val="TableContents"/>
              <w:spacing w:before="0" w:after="0"/>
              <w:jc w:val="right"/>
              <w:rPr>
                <w:rFonts w:ascii="arial" w:hAnsi="arial"/>
                <w:b/>
                <w:color w:val="FFFFFF"/>
                <w:sz w:val="15"/>
              </w:rPr>
            </w:pPr>
            <w:r>
              <w:rPr>
                <w:rFonts w:ascii="arial" w:hAnsi="arial"/>
                <w:b/>
                <w:color w:val="FFFFFF"/>
                <w:sz w:val="15"/>
              </w:rPr>
              <w:t>Number of</w:t>
            </w:r>
          </w:p>
          <w:p>
            <w:pPr>
              <w:pStyle w:val="TableContents"/>
              <w:spacing w:before="0" w:after="0"/>
              <w:jc w:val="right"/>
              <w:rPr>
                <w:rFonts w:ascii="arial" w:hAnsi="arial"/>
                <w:b/>
                <w:color w:val="FFFFFF"/>
                <w:sz w:val="15"/>
              </w:rPr>
            </w:pPr>
            <w:r>
              <w:rPr>
                <w:rFonts w:ascii="arial" w:hAnsi="arial"/>
                <w:b/>
                <w:color w:val="FFFFFF"/>
                <w:sz w:val="15"/>
              </w:rPr>
              <w:t>Securities</w:t>
            </w:r>
          </w:p>
          <w:p>
            <w:pPr>
              <w:pStyle w:val="TableContents"/>
              <w:spacing w:before="0" w:after="0"/>
              <w:jc w:val="right"/>
              <w:rPr>
                <w:rFonts w:ascii="arial" w:hAnsi="arial"/>
                <w:b/>
                <w:color w:val="FFFFFF"/>
                <w:sz w:val="15"/>
              </w:rPr>
            </w:pPr>
            <w:r>
              <w:rPr>
                <w:rFonts w:ascii="arial" w:hAnsi="arial"/>
                <w:b/>
                <w:color w:val="FFFFFF"/>
                <w:sz w:val="15"/>
              </w:rPr>
              <w:t>Underlying</w:t>
            </w:r>
          </w:p>
          <w:p>
            <w:pPr>
              <w:pStyle w:val="TableContents"/>
              <w:spacing w:before="0" w:after="0"/>
              <w:jc w:val="right"/>
              <w:rPr>
                <w:rFonts w:ascii="arial" w:hAnsi="arial"/>
                <w:b/>
                <w:color w:val="FFFFFF"/>
                <w:sz w:val="15"/>
              </w:rPr>
            </w:pPr>
            <w:r>
              <w:rPr>
                <w:rFonts w:ascii="arial" w:hAnsi="arial"/>
                <w:b/>
                <w:color w:val="FFFFFF"/>
                <w:sz w:val="15"/>
              </w:rPr>
              <w:t>Unexercised</w:t>
            </w:r>
          </w:p>
          <w:p>
            <w:pPr>
              <w:pStyle w:val="TableContents"/>
              <w:spacing w:before="0" w:after="0"/>
              <w:jc w:val="right"/>
              <w:rPr>
                <w:rFonts w:ascii="arial" w:hAnsi="arial"/>
                <w:b/>
                <w:color w:val="FFFFFF"/>
                <w:sz w:val="15"/>
              </w:rPr>
            </w:pPr>
            <w:r>
              <w:rPr>
                <w:rFonts w:ascii="arial" w:hAnsi="arial"/>
                <w:b/>
                <w:color w:val="FFFFFF"/>
                <w:sz w:val="15"/>
              </w:rPr>
              <w:t>Options (#)</w:t>
            </w:r>
          </w:p>
          <w:p>
            <w:pPr>
              <w:pStyle w:val="TableContents"/>
              <w:spacing w:before="0" w:after="20"/>
              <w:jc w:val="right"/>
              <w:rPr>
                <w:rFonts w:ascii="arial" w:hAnsi="arial"/>
                <w:b/>
                <w:color w:val="FFFFFF"/>
                <w:sz w:val="15"/>
              </w:rPr>
            </w:pPr>
            <w:r>
              <w:rPr>
                <w:rFonts w:ascii="arial" w:hAnsi="arial"/>
                <w:b/>
                <w:color w:val="FFFFFF"/>
                <w:sz w:val="15"/>
              </w:rPr>
              <w:t>Exercisable</w:t>
            </w:r>
          </w:p>
        </w:tc>
        <w:tc>
          <w:tcPr>
            <w:tcW w:w="60" w:type="dxa"/>
            <w:tcBorders>
              <w:bottom w:val="single" w:sz="8" w:space="0" w:color="732282"/>
            </w:tcBorders>
            <w:shd w:fill="444444" w:val="clear"/>
            <w:tcMar>
              <w:bottom w:w="28" w:type="dxa"/>
            </w:tcMar>
            <w:vAlign w:val="center"/>
          </w:tcPr>
          <w:p>
            <w:pPr>
              <w:pStyle w:val="TableContents"/>
              <w:spacing w:before="0" w:after="283"/>
              <w:rPr/>
            </w:pPr>
            <w:r>
              <w:rPr/>
              <w:t> </w:t>
            </w:r>
          </w:p>
        </w:tc>
        <w:tc>
          <w:tcPr>
            <w:tcW w:w="60" w:type="dxa"/>
            <w:tcBorders>
              <w:bottom w:val="single" w:sz="8" w:space="0" w:color="732282"/>
            </w:tcBorders>
            <w:shd w:fill="444444" w:val="clear"/>
            <w:tcMar>
              <w:bottom w:w="28" w:type="dxa"/>
            </w:tcMar>
            <w:vAlign w:val="center"/>
          </w:tcPr>
          <w:p>
            <w:pPr>
              <w:pStyle w:val="TableContents"/>
              <w:spacing w:before="0" w:after="283"/>
              <w:rPr/>
            </w:pPr>
            <w:r>
              <w:rPr/>
              <w:t> </w:t>
            </w:r>
          </w:p>
        </w:tc>
        <w:tc>
          <w:tcPr>
            <w:tcW w:w="1130" w:type="dxa"/>
            <w:gridSpan w:val="2"/>
            <w:tcBorders>
              <w:bottom w:val="single" w:sz="8" w:space="0" w:color="732282"/>
            </w:tcBorders>
            <w:shd w:fill="444444" w:val="clear"/>
            <w:tcMar>
              <w:bottom w:w="28" w:type="dxa"/>
            </w:tcMar>
            <w:vAlign w:val="center"/>
          </w:tcPr>
          <w:p>
            <w:pPr>
              <w:pStyle w:val="TableContents"/>
              <w:spacing w:before="0" w:after="0"/>
              <w:jc w:val="right"/>
              <w:rPr>
                <w:rFonts w:ascii="arial" w:hAnsi="arial"/>
                <w:b/>
                <w:color w:val="FFFFFF"/>
                <w:sz w:val="15"/>
              </w:rPr>
            </w:pPr>
            <w:r>
              <w:rPr>
                <w:rFonts w:ascii="arial" w:hAnsi="arial"/>
                <w:b/>
                <w:color w:val="FFFFFF"/>
                <w:sz w:val="15"/>
              </w:rPr>
              <w:t>Number of</w:t>
            </w:r>
          </w:p>
          <w:p>
            <w:pPr>
              <w:pStyle w:val="TableContents"/>
              <w:spacing w:before="0" w:after="0"/>
              <w:jc w:val="right"/>
              <w:rPr>
                <w:rFonts w:ascii="arial" w:hAnsi="arial"/>
                <w:b/>
                <w:color w:val="FFFFFF"/>
                <w:sz w:val="15"/>
              </w:rPr>
            </w:pPr>
            <w:r>
              <w:rPr>
                <w:rFonts w:ascii="arial" w:hAnsi="arial"/>
                <w:b/>
                <w:color w:val="FFFFFF"/>
                <w:sz w:val="15"/>
              </w:rPr>
              <w:t>Securities</w:t>
            </w:r>
          </w:p>
          <w:p>
            <w:pPr>
              <w:pStyle w:val="TableContents"/>
              <w:spacing w:before="0" w:after="0"/>
              <w:jc w:val="right"/>
              <w:rPr>
                <w:rFonts w:ascii="arial" w:hAnsi="arial"/>
                <w:b/>
                <w:color w:val="FFFFFF"/>
                <w:sz w:val="15"/>
              </w:rPr>
            </w:pPr>
            <w:r>
              <w:rPr>
                <w:rFonts w:ascii="arial" w:hAnsi="arial"/>
                <w:b/>
                <w:color w:val="FFFFFF"/>
                <w:sz w:val="15"/>
              </w:rPr>
              <w:t>Underlying</w:t>
            </w:r>
          </w:p>
          <w:p>
            <w:pPr>
              <w:pStyle w:val="TableContents"/>
              <w:spacing w:before="0" w:after="0"/>
              <w:jc w:val="right"/>
              <w:rPr>
                <w:rFonts w:ascii="arial" w:hAnsi="arial"/>
                <w:b/>
                <w:color w:val="FFFFFF"/>
                <w:sz w:val="15"/>
              </w:rPr>
            </w:pPr>
            <w:r>
              <w:rPr>
                <w:rFonts w:ascii="arial" w:hAnsi="arial"/>
                <w:b/>
                <w:color w:val="FFFFFF"/>
                <w:sz w:val="15"/>
              </w:rPr>
              <w:t>Unexercised</w:t>
            </w:r>
          </w:p>
          <w:p>
            <w:pPr>
              <w:pStyle w:val="TableContents"/>
              <w:spacing w:before="0" w:after="0"/>
              <w:jc w:val="right"/>
              <w:rPr>
                <w:rFonts w:ascii="arial" w:hAnsi="arial"/>
                <w:b/>
                <w:color w:val="FFFFFF"/>
                <w:sz w:val="15"/>
              </w:rPr>
            </w:pPr>
            <w:r>
              <w:rPr>
                <w:rFonts w:ascii="arial" w:hAnsi="arial"/>
                <w:b/>
                <w:color w:val="FFFFFF"/>
                <w:sz w:val="15"/>
              </w:rPr>
              <w:t>Options (#)</w:t>
            </w:r>
          </w:p>
          <w:p>
            <w:pPr>
              <w:pStyle w:val="TableContents"/>
              <w:spacing w:before="0" w:after="20"/>
              <w:jc w:val="right"/>
              <w:rPr>
                <w:rFonts w:ascii="arial" w:hAnsi="arial"/>
                <w:b/>
                <w:color w:val="FFFFFF"/>
                <w:sz w:val="15"/>
              </w:rPr>
            </w:pPr>
            <w:r>
              <w:rPr>
                <w:rFonts w:ascii="arial" w:hAnsi="arial"/>
                <w:b/>
                <w:color w:val="FFFFFF"/>
                <w:sz w:val="15"/>
              </w:rPr>
              <w:t>Unexercisable(1)</w:t>
            </w:r>
          </w:p>
        </w:tc>
        <w:tc>
          <w:tcPr>
            <w:tcW w:w="60" w:type="dxa"/>
            <w:tcBorders>
              <w:bottom w:val="single" w:sz="8" w:space="0" w:color="732282"/>
            </w:tcBorders>
            <w:shd w:fill="444444" w:val="clear"/>
            <w:tcMar>
              <w:bottom w:w="28" w:type="dxa"/>
            </w:tcMar>
            <w:vAlign w:val="center"/>
          </w:tcPr>
          <w:p>
            <w:pPr>
              <w:pStyle w:val="TableContents"/>
              <w:spacing w:before="0" w:after="283"/>
              <w:rPr/>
            </w:pPr>
            <w:r>
              <w:rPr/>
              <w:t> </w:t>
            </w:r>
          </w:p>
        </w:tc>
        <w:tc>
          <w:tcPr>
            <w:tcW w:w="60" w:type="dxa"/>
            <w:tcBorders>
              <w:bottom w:val="single" w:sz="8" w:space="0" w:color="732282"/>
            </w:tcBorders>
            <w:shd w:fill="444444" w:val="clear"/>
            <w:tcMar>
              <w:bottom w:w="28" w:type="dxa"/>
            </w:tcMar>
            <w:vAlign w:val="center"/>
          </w:tcPr>
          <w:p>
            <w:pPr>
              <w:pStyle w:val="TableContents"/>
              <w:spacing w:before="0" w:after="283"/>
              <w:rPr/>
            </w:pPr>
            <w:r>
              <w:rPr/>
              <w:t> </w:t>
            </w:r>
          </w:p>
        </w:tc>
        <w:tc>
          <w:tcPr>
            <w:tcW w:w="680" w:type="dxa"/>
            <w:gridSpan w:val="2"/>
            <w:tcBorders>
              <w:bottom w:val="single" w:sz="8" w:space="0" w:color="732282"/>
            </w:tcBorders>
            <w:shd w:fill="444444" w:val="clear"/>
            <w:tcMar>
              <w:bottom w:w="28" w:type="dxa"/>
            </w:tcMar>
            <w:vAlign w:val="center"/>
          </w:tcPr>
          <w:p>
            <w:pPr>
              <w:pStyle w:val="TableContents"/>
              <w:spacing w:before="0" w:after="0"/>
              <w:jc w:val="right"/>
              <w:rPr>
                <w:rFonts w:ascii="arial" w:hAnsi="arial"/>
                <w:b/>
                <w:color w:val="FFFFFF"/>
                <w:sz w:val="15"/>
              </w:rPr>
            </w:pPr>
            <w:r>
              <w:rPr>
                <w:rFonts w:ascii="arial" w:hAnsi="arial"/>
                <w:b/>
                <w:color w:val="FFFFFF"/>
                <w:sz w:val="15"/>
              </w:rPr>
              <w:t>Option</w:t>
            </w:r>
          </w:p>
          <w:p>
            <w:pPr>
              <w:pStyle w:val="TableContents"/>
              <w:spacing w:before="0" w:after="0"/>
              <w:jc w:val="right"/>
              <w:rPr>
                <w:rFonts w:ascii="arial" w:hAnsi="arial"/>
                <w:b/>
                <w:color w:val="FFFFFF"/>
                <w:sz w:val="15"/>
              </w:rPr>
            </w:pPr>
            <w:r>
              <w:rPr>
                <w:rFonts w:ascii="arial" w:hAnsi="arial"/>
                <w:b/>
                <w:color w:val="FFFFFF"/>
                <w:sz w:val="15"/>
              </w:rPr>
              <w:t>Exercise</w:t>
            </w:r>
          </w:p>
          <w:p>
            <w:pPr>
              <w:pStyle w:val="TableContents"/>
              <w:spacing w:before="0" w:after="0"/>
              <w:jc w:val="right"/>
              <w:rPr>
                <w:rFonts w:ascii="arial" w:hAnsi="arial"/>
                <w:b/>
                <w:color w:val="FFFFFF"/>
                <w:sz w:val="15"/>
              </w:rPr>
            </w:pPr>
            <w:r>
              <w:rPr>
                <w:rFonts w:ascii="arial" w:hAnsi="arial"/>
                <w:b/>
                <w:color w:val="FFFFFF"/>
                <w:sz w:val="15"/>
              </w:rPr>
              <w:t>Price</w:t>
            </w:r>
          </w:p>
          <w:p>
            <w:pPr>
              <w:pStyle w:val="TableContents"/>
              <w:spacing w:before="0" w:after="20"/>
              <w:jc w:val="right"/>
              <w:rPr>
                <w:rFonts w:ascii="arial" w:hAnsi="arial"/>
                <w:b/>
                <w:color w:val="FFFFFF"/>
                <w:sz w:val="15"/>
              </w:rPr>
            </w:pPr>
            <w:r>
              <w:rPr>
                <w:rFonts w:ascii="arial" w:hAnsi="arial"/>
                <w:b/>
                <w:color w:val="FFFFFF"/>
                <w:sz w:val="15"/>
              </w:rPr>
              <w:t>($)</w:t>
            </w:r>
          </w:p>
        </w:tc>
        <w:tc>
          <w:tcPr>
            <w:tcW w:w="60" w:type="dxa"/>
            <w:tcBorders>
              <w:bottom w:val="single" w:sz="8" w:space="0" w:color="732282"/>
            </w:tcBorders>
            <w:shd w:fill="444444" w:val="clear"/>
            <w:tcMar>
              <w:bottom w:w="28" w:type="dxa"/>
            </w:tcMar>
            <w:vAlign w:val="center"/>
          </w:tcPr>
          <w:p>
            <w:pPr>
              <w:pStyle w:val="TableContents"/>
              <w:spacing w:before="0" w:after="283"/>
              <w:rPr/>
            </w:pPr>
            <w:r>
              <w:rPr/>
              <w:t> </w:t>
            </w:r>
          </w:p>
        </w:tc>
        <w:tc>
          <w:tcPr>
            <w:tcW w:w="60" w:type="dxa"/>
            <w:tcBorders>
              <w:bottom w:val="single" w:sz="8" w:space="0" w:color="732282"/>
            </w:tcBorders>
            <w:shd w:fill="444444" w:val="clear"/>
            <w:tcMar>
              <w:bottom w:w="28" w:type="dxa"/>
            </w:tcMar>
            <w:vAlign w:val="center"/>
          </w:tcPr>
          <w:p>
            <w:pPr>
              <w:pStyle w:val="TableContents"/>
              <w:spacing w:before="0" w:after="283"/>
              <w:rPr/>
            </w:pPr>
            <w:r>
              <w:rPr/>
              <w:t> </w:t>
            </w:r>
          </w:p>
        </w:tc>
        <w:tc>
          <w:tcPr>
            <w:tcW w:w="770" w:type="dxa"/>
            <w:gridSpan w:val="2"/>
            <w:tcBorders>
              <w:bottom w:val="single" w:sz="8" w:space="0" w:color="732282"/>
            </w:tcBorders>
            <w:shd w:fill="444444" w:val="clear"/>
            <w:tcMar>
              <w:bottom w:w="28" w:type="dxa"/>
            </w:tcMar>
            <w:vAlign w:val="center"/>
          </w:tcPr>
          <w:p>
            <w:pPr>
              <w:pStyle w:val="TableContents"/>
              <w:spacing w:before="0" w:after="0"/>
              <w:jc w:val="right"/>
              <w:rPr>
                <w:rFonts w:ascii="arial" w:hAnsi="arial"/>
                <w:b/>
                <w:color w:val="FFFFFF"/>
                <w:sz w:val="15"/>
              </w:rPr>
            </w:pPr>
            <w:r>
              <w:rPr>
                <w:rFonts w:ascii="arial" w:hAnsi="arial"/>
                <w:b/>
                <w:color w:val="FFFFFF"/>
                <w:sz w:val="15"/>
              </w:rPr>
              <w:t>Option</w:t>
            </w:r>
          </w:p>
          <w:p>
            <w:pPr>
              <w:pStyle w:val="TableContents"/>
              <w:spacing w:before="0" w:after="0"/>
              <w:jc w:val="right"/>
              <w:rPr>
                <w:rFonts w:ascii="arial" w:hAnsi="arial"/>
                <w:b/>
                <w:color w:val="FFFFFF"/>
                <w:sz w:val="15"/>
              </w:rPr>
            </w:pPr>
            <w:r>
              <w:rPr>
                <w:rFonts w:ascii="arial" w:hAnsi="arial"/>
                <w:b/>
                <w:color w:val="FFFFFF"/>
                <w:sz w:val="15"/>
              </w:rPr>
              <w:t>Expiration</w:t>
            </w:r>
          </w:p>
          <w:p>
            <w:pPr>
              <w:pStyle w:val="TableContents"/>
              <w:spacing w:before="0" w:after="20"/>
              <w:jc w:val="right"/>
              <w:rPr>
                <w:rFonts w:ascii="arial" w:hAnsi="arial"/>
                <w:b/>
                <w:color w:val="FFFFFF"/>
                <w:sz w:val="15"/>
              </w:rPr>
            </w:pPr>
            <w:r>
              <w:rPr>
                <w:rFonts w:ascii="arial" w:hAnsi="arial"/>
                <w:b/>
                <w:color w:val="FFFFFF"/>
                <w:sz w:val="15"/>
              </w:rPr>
              <w:t>Date</w:t>
            </w:r>
          </w:p>
        </w:tc>
        <w:tc>
          <w:tcPr>
            <w:tcW w:w="60" w:type="dxa"/>
            <w:tcBorders>
              <w:bottom w:val="single" w:sz="8" w:space="0" w:color="732282"/>
            </w:tcBorders>
            <w:shd w:fill="444444" w:val="clear"/>
            <w:tcMar>
              <w:bottom w:w="28" w:type="dxa"/>
            </w:tcMar>
            <w:vAlign w:val="center"/>
          </w:tcPr>
          <w:p>
            <w:pPr>
              <w:pStyle w:val="TableContents"/>
              <w:spacing w:before="0" w:after="283"/>
              <w:rPr/>
            </w:pPr>
            <w:r>
              <w:rPr/>
              <w:t> </w:t>
            </w:r>
          </w:p>
        </w:tc>
        <w:tc>
          <w:tcPr>
            <w:tcW w:w="60" w:type="dxa"/>
            <w:tcBorders>
              <w:bottom w:val="single" w:sz="8" w:space="0" w:color="732282"/>
            </w:tcBorders>
            <w:shd w:fill="auto" w:val="clear"/>
            <w:tcMar>
              <w:bottom w:w="28" w:type="dxa"/>
            </w:tcMar>
            <w:vAlign w:val="center"/>
          </w:tcPr>
          <w:p>
            <w:pPr>
              <w:pStyle w:val="TableContents"/>
              <w:spacing w:before="0" w:after="283"/>
              <w:rPr/>
            </w:pPr>
            <w:r>
              <w:rPr/>
              <w:t> </w:t>
            </w:r>
          </w:p>
        </w:tc>
        <w:tc>
          <w:tcPr>
            <w:tcW w:w="120" w:type="dxa"/>
            <w:gridSpan w:val="2"/>
            <w:tcBorders>
              <w:bottom w:val="single" w:sz="8" w:space="0" w:color="732282"/>
            </w:tcBorders>
            <w:shd w:fill="auto" w:val="clear"/>
            <w:tcMar>
              <w:bottom w:w="28" w:type="dxa"/>
            </w:tcMar>
            <w:vAlign w:val="center"/>
          </w:tcPr>
          <w:p>
            <w:pPr>
              <w:pStyle w:val="TableContents"/>
              <w:rPr/>
            </w:pPr>
            <w:r>
              <w:rPr/>
              <w:t> </w:t>
            </w:r>
          </w:p>
          <w:p>
            <w:pPr>
              <w:pStyle w:val="TableContents"/>
              <w:spacing w:before="0" w:after="0"/>
              <w:rPr/>
            </w:pPr>
            <w:r>
              <w:rPr/>
              <w:t> </w:t>
            </w:r>
          </w:p>
          <w:p>
            <w:pPr>
              <w:pStyle w:val="TableContents"/>
              <w:rPr/>
            </w:pPr>
            <w:r>
              <w:rPr/>
              <w:t> </w:t>
            </w:r>
          </w:p>
          <w:p>
            <w:pPr>
              <w:pStyle w:val="TableContents"/>
              <w:spacing w:before="0" w:after="0"/>
              <w:rPr/>
            </w:pPr>
            <w:r>
              <w:rPr/>
              <w:t> </w:t>
            </w:r>
          </w:p>
        </w:tc>
        <w:tc>
          <w:tcPr>
            <w:tcW w:w="60" w:type="dxa"/>
            <w:tcBorders>
              <w:bottom w:val="single" w:sz="8" w:space="0" w:color="732282"/>
            </w:tcBorders>
            <w:shd w:fill="auto" w:val="clear"/>
            <w:tcMar>
              <w:bottom w:w="28" w:type="dxa"/>
            </w:tcMar>
            <w:vAlign w:val="center"/>
          </w:tcPr>
          <w:p>
            <w:pPr>
              <w:pStyle w:val="TableContents"/>
              <w:spacing w:before="0" w:after="283"/>
              <w:rPr/>
            </w:pPr>
            <w:r>
              <w:rPr/>
              <w:t> </w:t>
            </w:r>
          </w:p>
        </w:tc>
        <w:tc>
          <w:tcPr>
            <w:tcW w:w="60" w:type="dxa"/>
            <w:tcBorders>
              <w:bottom w:val="single" w:sz="8" w:space="0" w:color="732282"/>
            </w:tcBorders>
            <w:shd w:fill="auto" w:val="clear"/>
            <w:tcMar>
              <w:bottom w:w="28" w:type="dxa"/>
            </w:tcMar>
            <w:vAlign w:val="center"/>
          </w:tcPr>
          <w:p>
            <w:pPr>
              <w:pStyle w:val="TableContents"/>
              <w:spacing w:before="0" w:after="283"/>
              <w:rPr/>
            </w:pPr>
            <w:r>
              <w:rPr/>
              <w:t> </w:t>
            </w:r>
          </w:p>
        </w:tc>
        <w:tc>
          <w:tcPr>
            <w:tcW w:w="120" w:type="dxa"/>
            <w:gridSpan w:val="2"/>
            <w:tcBorders>
              <w:bottom w:val="single" w:sz="8" w:space="0" w:color="732282"/>
            </w:tcBorders>
            <w:shd w:fill="auto" w:val="clear"/>
            <w:tcMar>
              <w:bottom w:w="28" w:type="dxa"/>
            </w:tcMar>
            <w:vAlign w:val="center"/>
          </w:tcPr>
          <w:p>
            <w:pPr>
              <w:pStyle w:val="TableContents"/>
              <w:rPr/>
            </w:pPr>
            <w:r>
              <w:rPr/>
              <w:t> </w:t>
            </w:r>
          </w:p>
          <w:p>
            <w:pPr>
              <w:pStyle w:val="TableContents"/>
              <w:spacing w:before="0" w:after="0"/>
              <w:rPr/>
            </w:pPr>
            <w:r>
              <w:rPr/>
              <w:t> </w:t>
            </w:r>
          </w:p>
          <w:p>
            <w:pPr>
              <w:pStyle w:val="TableContents"/>
              <w:rPr/>
            </w:pPr>
            <w:r>
              <w:rPr/>
              <w:t> </w:t>
            </w:r>
          </w:p>
          <w:p>
            <w:pPr>
              <w:pStyle w:val="TableContents"/>
              <w:spacing w:before="0" w:after="0"/>
              <w:rPr/>
            </w:pPr>
            <w:r>
              <w:rPr/>
              <w:t> </w:t>
            </w:r>
          </w:p>
        </w:tc>
        <w:tc>
          <w:tcPr>
            <w:tcW w:w="60" w:type="dxa"/>
            <w:tcBorders>
              <w:bottom w:val="single" w:sz="8" w:space="0" w:color="732282"/>
            </w:tcBorders>
            <w:shd w:fill="auto" w:val="clear"/>
            <w:tcMar>
              <w:bottom w:w="28" w:type="dxa"/>
            </w:tcMar>
            <w:vAlign w:val="center"/>
          </w:tcPr>
          <w:p>
            <w:pPr>
              <w:pStyle w:val="TableContents"/>
              <w:spacing w:before="0" w:after="283"/>
              <w:rPr/>
            </w:pPr>
            <w:r>
              <w:rPr/>
              <w:t> </w:t>
            </w:r>
          </w:p>
        </w:tc>
        <w:tc>
          <w:tcPr>
            <w:tcW w:w="60" w:type="dxa"/>
            <w:tcBorders>
              <w:bottom w:val="single" w:sz="8" w:space="0" w:color="732282"/>
            </w:tcBorders>
            <w:shd w:fill="444444" w:val="clear"/>
            <w:tcMar>
              <w:bottom w:w="28" w:type="dxa"/>
            </w:tcMar>
            <w:vAlign w:val="center"/>
          </w:tcPr>
          <w:p>
            <w:pPr>
              <w:pStyle w:val="TableContents"/>
              <w:spacing w:before="0" w:after="283"/>
              <w:rPr/>
            </w:pPr>
            <w:r>
              <w:rPr/>
              <w:t> </w:t>
            </w:r>
          </w:p>
        </w:tc>
        <w:tc>
          <w:tcPr>
            <w:tcW w:w="860" w:type="dxa"/>
            <w:gridSpan w:val="2"/>
            <w:tcBorders>
              <w:bottom w:val="single" w:sz="8" w:space="0" w:color="732282"/>
            </w:tcBorders>
            <w:shd w:fill="444444" w:val="clear"/>
            <w:tcMar>
              <w:bottom w:w="28" w:type="dxa"/>
            </w:tcMar>
            <w:vAlign w:val="center"/>
          </w:tcPr>
          <w:p>
            <w:pPr>
              <w:pStyle w:val="TableContents"/>
              <w:spacing w:before="0" w:after="0"/>
              <w:jc w:val="right"/>
              <w:rPr>
                <w:rFonts w:ascii="arial" w:hAnsi="arial"/>
                <w:b/>
                <w:color w:val="FFFFFF"/>
                <w:sz w:val="15"/>
              </w:rPr>
            </w:pPr>
            <w:r>
              <w:rPr>
                <w:rFonts w:ascii="arial" w:hAnsi="arial"/>
                <w:b/>
                <w:color w:val="FFFFFF"/>
                <w:sz w:val="15"/>
              </w:rPr>
              <w:t>Number of</w:t>
            </w:r>
          </w:p>
          <w:p>
            <w:pPr>
              <w:pStyle w:val="TableContents"/>
              <w:spacing w:before="0" w:after="0"/>
              <w:jc w:val="right"/>
              <w:rPr>
                <w:rFonts w:ascii="arial" w:hAnsi="arial"/>
                <w:b/>
                <w:color w:val="FFFFFF"/>
                <w:sz w:val="15"/>
              </w:rPr>
            </w:pPr>
            <w:r>
              <w:rPr>
                <w:rFonts w:ascii="arial" w:hAnsi="arial"/>
                <w:b/>
                <w:color w:val="FFFFFF"/>
                <w:sz w:val="15"/>
              </w:rPr>
              <w:t>Shares or</w:t>
            </w:r>
          </w:p>
          <w:p>
            <w:pPr>
              <w:pStyle w:val="TableContents"/>
              <w:spacing w:before="0" w:after="0"/>
              <w:jc w:val="right"/>
              <w:rPr>
                <w:rFonts w:ascii="arial" w:hAnsi="arial"/>
                <w:b/>
                <w:color w:val="FFFFFF"/>
                <w:sz w:val="15"/>
              </w:rPr>
            </w:pPr>
            <w:r>
              <w:rPr>
                <w:rFonts w:ascii="arial" w:hAnsi="arial"/>
                <w:b/>
                <w:color w:val="FFFFFF"/>
                <w:sz w:val="15"/>
              </w:rPr>
              <w:t>Units of</w:t>
            </w:r>
          </w:p>
          <w:p>
            <w:pPr>
              <w:pStyle w:val="TableContents"/>
              <w:spacing w:before="0" w:after="0"/>
              <w:jc w:val="right"/>
              <w:rPr>
                <w:rFonts w:ascii="arial" w:hAnsi="arial"/>
                <w:b/>
                <w:color w:val="FFFFFF"/>
                <w:sz w:val="15"/>
              </w:rPr>
            </w:pPr>
            <w:r>
              <w:rPr>
                <w:rFonts w:ascii="arial" w:hAnsi="arial"/>
                <w:b/>
                <w:color w:val="FFFFFF"/>
                <w:sz w:val="15"/>
              </w:rPr>
              <w:t>Stock That</w:t>
            </w:r>
          </w:p>
          <w:p>
            <w:pPr>
              <w:pStyle w:val="TableContents"/>
              <w:spacing w:before="0" w:after="0"/>
              <w:jc w:val="right"/>
              <w:rPr>
                <w:rFonts w:ascii="arial" w:hAnsi="arial"/>
                <w:b/>
                <w:color w:val="FFFFFF"/>
                <w:sz w:val="15"/>
              </w:rPr>
            </w:pPr>
            <w:r>
              <w:rPr>
                <w:rFonts w:ascii="arial" w:hAnsi="arial"/>
                <w:b/>
                <w:color w:val="FFFFFF"/>
                <w:sz w:val="15"/>
              </w:rPr>
              <w:t>Have Not</w:t>
            </w:r>
          </w:p>
          <w:p>
            <w:pPr>
              <w:pStyle w:val="TableContents"/>
              <w:spacing w:before="0" w:after="0"/>
              <w:jc w:val="right"/>
              <w:rPr>
                <w:rFonts w:ascii="arial" w:hAnsi="arial"/>
                <w:b/>
                <w:color w:val="FFFFFF"/>
                <w:sz w:val="15"/>
              </w:rPr>
            </w:pPr>
            <w:r>
              <w:rPr>
                <w:rFonts w:ascii="arial" w:hAnsi="arial"/>
                <w:b/>
                <w:color w:val="FFFFFF"/>
                <w:sz w:val="15"/>
              </w:rPr>
              <w:t>Vested</w:t>
            </w:r>
          </w:p>
          <w:p>
            <w:pPr>
              <w:pStyle w:val="TableContents"/>
              <w:spacing w:before="0" w:after="20"/>
              <w:jc w:val="right"/>
              <w:rPr>
                <w:rFonts w:ascii="arial" w:hAnsi="arial"/>
                <w:b/>
                <w:color w:val="FFFFFF"/>
                <w:sz w:val="15"/>
              </w:rPr>
            </w:pPr>
            <w:r>
              <w:rPr>
                <w:rFonts w:ascii="arial" w:hAnsi="arial"/>
                <w:b/>
                <w:color w:val="FFFFFF"/>
                <w:sz w:val="15"/>
              </w:rPr>
              <w:t>(#)</w:t>
            </w:r>
          </w:p>
        </w:tc>
        <w:tc>
          <w:tcPr>
            <w:tcW w:w="215" w:type="dxa"/>
            <w:tcBorders>
              <w:bottom w:val="single" w:sz="8" w:space="0" w:color="732282"/>
            </w:tcBorders>
            <w:shd w:fill="444444" w:val="clear"/>
            <w:tcMar>
              <w:bottom w:w="28" w:type="dxa"/>
            </w:tcMar>
            <w:vAlign w:val="center"/>
          </w:tcPr>
          <w:p>
            <w:pPr>
              <w:pStyle w:val="TableContents"/>
              <w:spacing w:before="0" w:after="283"/>
              <w:rPr/>
            </w:pPr>
            <w:r>
              <w:rPr/>
              <w:t> </w:t>
            </w:r>
          </w:p>
        </w:tc>
        <w:tc>
          <w:tcPr>
            <w:tcW w:w="60" w:type="dxa"/>
            <w:tcBorders>
              <w:bottom w:val="single" w:sz="8" w:space="0" w:color="732282"/>
            </w:tcBorders>
            <w:shd w:fill="444444" w:val="clear"/>
            <w:tcMar>
              <w:bottom w:w="28" w:type="dxa"/>
            </w:tcMar>
            <w:vAlign w:val="center"/>
          </w:tcPr>
          <w:p>
            <w:pPr>
              <w:pStyle w:val="TableContents"/>
              <w:spacing w:before="0" w:after="283"/>
              <w:rPr/>
            </w:pPr>
            <w:r>
              <w:rPr/>
              <w:t> </w:t>
            </w:r>
          </w:p>
        </w:tc>
        <w:tc>
          <w:tcPr>
            <w:tcW w:w="1040" w:type="dxa"/>
            <w:gridSpan w:val="2"/>
            <w:tcBorders>
              <w:bottom w:val="single" w:sz="8" w:space="0" w:color="732282"/>
            </w:tcBorders>
            <w:shd w:fill="444444" w:val="clear"/>
            <w:tcMar>
              <w:bottom w:w="28" w:type="dxa"/>
            </w:tcMar>
            <w:vAlign w:val="center"/>
          </w:tcPr>
          <w:p>
            <w:pPr>
              <w:pStyle w:val="TableContents"/>
              <w:spacing w:before="0" w:after="0"/>
              <w:jc w:val="right"/>
              <w:rPr>
                <w:rFonts w:ascii="arial" w:hAnsi="arial"/>
                <w:b/>
                <w:color w:val="FFFFFF"/>
                <w:sz w:val="15"/>
              </w:rPr>
            </w:pPr>
            <w:r>
              <w:rPr>
                <w:rFonts w:ascii="arial" w:hAnsi="arial"/>
                <w:b/>
                <w:color w:val="FFFFFF"/>
                <w:sz w:val="15"/>
              </w:rPr>
              <w:t>Market</w:t>
            </w:r>
          </w:p>
          <w:p>
            <w:pPr>
              <w:pStyle w:val="TableContents"/>
              <w:spacing w:before="0" w:after="0"/>
              <w:jc w:val="right"/>
              <w:rPr>
                <w:rFonts w:ascii="arial" w:hAnsi="arial"/>
                <w:b/>
                <w:color w:val="FFFFFF"/>
                <w:sz w:val="15"/>
              </w:rPr>
            </w:pPr>
            <w:r>
              <w:rPr>
                <w:rFonts w:ascii="arial" w:hAnsi="arial"/>
                <w:b/>
                <w:color w:val="FFFFFF"/>
                <w:sz w:val="15"/>
              </w:rPr>
              <w:t>Value of</w:t>
            </w:r>
          </w:p>
          <w:p>
            <w:pPr>
              <w:pStyle w:val="TableContents"/>
              <w:spacing w:before="0" w:after="0"/>
              <w:jc w:val="right"/>
              <w:rPr>
                <w:rFonts w:ascii="arial" w:hAnsi="arial"/>
                <w:b/>
                <w:color w:val="FFFFFF"/>
                <w:sz w:val="15"/>
              </w:rPr>
            </w:pPr>
            <w:r>
              <w:rPr>
                <w:rFonts w:ascii="arial" w:hAnsi="arial"/>
                <w:b/>
                <w:color w:val="FFFFFF"/>
                <w:sz w:val="15"/>
              </w:rPr>
              <w:t>Shares</w:t>
            </w:r>
          </w:p>
          <w:p>
            <w:pPr>
              <w:pStyle w:val="TableContents"/>
              <w:spacing w:before="0" w:after="0"/>
              <w:jc w:val="right"/>
              <w:rPr>
                <w:rFonts w:ascii="arial" w:hAnsi="arial"/>
                <w:b/>
                <w:color w:val="FFFFFF"/>
                <w:sz w:val="15"/>
              </w:rPr>
            </w:pPr>
            <w:r>
              <w:rPr>
                <w:rFonts w:ascii="arial" w:hAnsi="arial"/>
                <w:b/>
                <w:color w:val="FFFFFF"/>
                <w:sz w:val="15"/>
              </w:rPr>
              <w:t>or Units</w:t>
            </w:r>
          </w:p>
          <w:p>
            <w:pPr>
              <w:pStyle w:val="TableContents"/>
              <w:spacing w:before="0" w:after="0"/>
              <w:jc w:val="right"/>
              <w:rPr>
                <w:rFonts w:ascii="arial" w:hAnsi="arial"/>
                <w:b/>
                <w:color w:val="FFFFFF"/>
                <w:sz w:val="15"/>
              </w:rPr>
            </w:pPr>
            <w:r>
              <w:rPr>
                <w:rFonts w:ascii="arial" w:hAnsi="arial"/>
                <w:b/>
                <w:color w:val="FFFFFF"/>
                <w:sz w:val="15"/>
              </w:rPr>
              <w:t>of Stock</w:t>
            </w:r>
          </w:p>
          <w:p>
            <w:pPr>
              <w:pStyle w:val="TableContents"/>
              <w:spacing w:before="0" w:after="0"/>
              <w:jc w:val="right"/>
              <w:rPr>
                <w:rFonts w:ascii="arial" w:hAnsi="arial"/>
                <w:b/>
                <w:color w:val="FFFFFF"/>
                <w:sz w:val="15"/>
              </w:rPr>
            </w:pPr>
            <w:r>
              <w:rPr>
                <w:rFonts w:ascii="arial" w:hAnsi="arial"/>
                <w:b/>
                <w:color w:val="FFFFFF"/>
                <w:sz w:val="15"/>
              </w:rPr>
              <w:t>That</w:t>
            </w:r>
          </w:p>
          <w:p>
            <w:pPr>
              <w:pStyle w:val="TableContents"/>
              <w:spacing w:before="0" w:after="0"/>
              <w:jc w:val="right"/>
              <w:rPr>
                <w:rFonts w:ascii="arial" w:hAnsi="arial"/>
                <w:b/>
                <w:color w:val="FFFFFF"/>
                <w:sz w:val="15"/>
              </w:rPr>
            </w:pPr>
            <w:r>
              <w:rPr>
                <w:rFonts w:ascii="arial" w:hAnsi="arial"/>
                <w:b/>
                <w:color w:val="FFFFFF"/>
                <w:sz w:val="15"/>
              </w:rPr>
              <w:t>Have</w:t>
              <w:br/>
              <w:t>Not</w:t>
            </w:r>
          </w:p>
          <w:p>
            <w:pPr>
              <w:pStyle w:val="TableContents"/>
              <w:spacing w:before="0" w:after="0"/>
              <w:jc w:val="right"/>
              <w:rPr>
                <w:rFonts w:ascii="arial" w:hAnsi="arial"/>
                <w:b/>
                <w:color w:val="FFFFFF"/>
                <w:sz w:val="15"/>
              </w:rPr>
            </w:pPr>
            <w:r>
              <w:rPr>
                <w:rFonts w:ascii="arial" w:hAnsi="arial"/>
                <w:b/>
                <w:color w:val="FFFFFF"/>
                <w:sz w:val="15"/>
              </w:rPr>
              <w:t>Vested</w:t>
            </w:r>
          </w:p>
          <w:p>
            <w:pPr>
              <w:pStyle w:val="TableContents"/>
              <w:spacing w:before="0" w:after="20"/>
              <w:jc w:val="right"/>
              <w:rPr>
                <w:rFonts w:ascii="arial" w:hAnsi="arial"/>
                <w:b/>
                <w:color w:val="FFFFFF"/>
                <w:sz w:val="15"/>
              </w:rPr>
            </w:pPr>
            <w:r>
              <w:rPr>
                <w:rFonts w:ascii="arial" w:hAnsi="arial"/>
                <w:b/>
                <w:color w:val="FFFFFF"/>
                <w:sz w:val="15"/>
              </w:rPr>
              <w:t>($)(2)</w:t>
            </w:r>
          </w:p>
        </w:tc>
        <w:tc>
          <w:tcPr>
            <w:tcW w:w="60" w:type="dxa"/>
            <w:tcBorders>
              <w:bottom w:val="single" w:sz="8" w:space="0" w:color="732282"/>
            </w:tcBorders>
            <w:shd w:fill="444444" w:val="clear"/>
            <w:tcMar>
              <w:bottom w:w="28" w:type="dxa"/>
            </w:tcMar>
            <w:vAlign w:val="center"/>
          </w:tcPr>
          <w:p>
            <w:pPr>
              <w:pStyle w:val="TableContents"/>
              <w:spacing w:before="0" w:after="283"/>
              <w:rPr/>
            </w:pPr>
            <w:r>
              <w:rPr/>
              <w:t> </w:t>
            </w:r>
          </w:p>
        </w:tc>
        <w:tc>
          <w:tcPr>
            <w:tcW w:w="60" w:type="dxa"/>
            <w:tcBorders>
              <w:bottom w:val="single" w:sz="8" w:space="0" w:color="732282"/>
            </w:tcBorders>
            <w:shd w:fill="444444" w:val="clear"/>
            <w:tcMar>
              <w:bottom w:w="28" w:type="dxa"/>
            </w:tcMar>
            <w:vAlign w:val="center"/>
          </w:tcPr>
          <w:p>
            <w:pPr>
              <w:pStyle w:val="TableContents"/>
              <w:spacing w:before="0" w:after="283"/>
              <w:rPr/>
            </w:pPr>
            <w:r>
              <w:rPr/>
              <w:t> </w:t>
            </w:r>
          </w:p>
        </w:tc>
        <w:tc>
          <w:tcPr>
            <w:tcW w:w="1130" w:type="dxa"/>
            <w:gridSpan w:val="2"/>
            <w:tcBorders>
              <w:bottom w:val="single" w:sz="8" w:space="0" w:color="732282"/>
            </w:tcBorders>
            <w:shd w:fill="444444" w:val="clear"/>
            <w:tcMar>
              <w:bottom w:w="28" w:type="dxa"/>
            </w:tcMar>
            <w:vAlign w:val="center"/>
          </w:tcPr>
          <w:p>
            <w:pPr>
              <w:pStyle w:val="TableContents"/>
              <w:spacing w:before="0" w:after="0"/>
              <w:jc w:val="right"/>
              <w:rPr>
                <w:rFonts w:ascii="arial" w:hAnsi="arial"/>
                <w:b/>
                <w:color w:val="FFFFFF"/>
                <w:sz w:val="15"/>
              </w:rPr>
            </w:pPr>
            <w:r>
              <w:rPr>
                <w:rFonts w:ascii="arial" w:hAnsi="arial"/>
                <w:b/>
                <w:color w:val="FFFFFF"/>
                <w:sz w:val="15"/>
              </w:rPr>
              <w:t>Equity</w:t>
            </w:r>
          </w:p>
          <w:p>
            <w:pPr>
              <w:pStyle w:val="TableContents"/>
              <w:spacing w:before="0" w:after="0"/>
              <w:jc w:val="right"/>
              <w:rPr>
                <w:rFonts w:ascii="arial" w:hAnsi="arial"/>
                <w:b/>
                <w:color w:val="FFFFFF"/>
                <w:sz w:val="15"/>
              </w:rPr>
            </w:pPr>
            <w:r>
              <w:rPr>
                <w:rFonts w:ascii="arial" w:hAnsi="arial"/>
                <w:b/>
                <w:color w:val="FFFFFF"/>
                <w:sz w:val="15"/>
              </w:rPr>
              <w:t>Incentive Plan</w:t>
              <w:br/>
              <w:t>Awards:</w:t>
            </w:r>
          </w:p>
          <w:p>
            <w:pPr>
              <w:pStyle w:val="TableContents"/>
              <w:spacing w:before="0" w:after="0"/>
              <w:jc w:val="right"/>
              <w:rPr>
                <w:rFonts w:ascii="arial" w:hAnsi="arial"/>
                <w:b/>
                <w:color w:val="FFFFFF"/>
                <w:sz w:val="15"/>
              </w:rPr>
            </w:pPr>
            <w:r>
              <w:rPr>
                <w:rFonts w:ascii="arial" w:hAnsi="arial"/>
                <w:b/>
                <w:color w:val="FFFFFF"/>
                <w:sz w:val="15"/>
              </w:rPr>
              <w:t>Number of</w:t>
            </w:r>
          </w:p>
          <w:p>
            <w:pPr>
              <w:pStyle w:val="TableContents"/>
              <w:spacing w:before="0" w:after="0"/>
              <w:jc w:val="right"/>
              <w:rPr>
                <w:rFonts w:ascii="arial" w:hAnsi="arial"/>
                <w:b/>
                <w:color w:val="FFFFFF"/>
                <w:sz w:val="15"/>
              </w:rPr>
            </w:pPr>
            <w:r>
              <w:rPr>
                <w:rFonts w:ascii="arial" w:hAnsi="arial"/>
                <w:b/>
                <w:color w:val="FFFFFF"/>
                <w:sz w:val="15"/>
              </w:rPr>
              <w:t>Unearned</w:t>
            </w:r>
          </w:p>
          <w:p>
            <w:pPr>
              <w:pStyle w:val="TableContents"/>
              <w:spacing w:before="0" w:after="0"/>
              <w:jc w:val="right"/>
              <w:rPr>
                <w:rFonts w:ascii="arial" w:hAnsi="arial"/>
                <w:b/>
                <w:color w:val="FFFFFF"/>
                <w:sz w:val="15"/>
              </w:rPr>
            </w:pPr>
            <w:r>
              <w:rPr>
                <w:rFonts w:ascii="arial" w:hAnsi="arial"/>
                <w:b/>
                <w:color w:val="FFFFFF"/>
                <w:sz w:val="15"/>
              </w:rPr>
              <w:t>Shares, Units</w:t>
            </w:r>
          </w:p>
          <w:p>
            <w:pPr>
              <w:pStyle w:val="TableContents"/>
              <w:spacing w:before="0" w:after="0"/>
              <w:jc w:val="right"/>
              <w:rPr>
                <w:rFonts w:ascii="arial" w:hAnsi="arial"/>
                <w:b/>
                <w:color w:val="FFFFFF"/>
                <w:sz w:val="15"/>
              </w:rPr>
            </w:pPr>
            <w:r>
              <w:rPr>
                <w:rFonts w:ascii="arial" w:hAnsi="arial"/>
                <w:b/>
                <w:color w:val="FFFFFF"/>
                <w:sz w:val="15"/>
              </w:rPr>
              <w:t>or Other Rights</w:t>
              <w:br/>
              <w:t>That Have Not</w:t>
            </w:r>
          </w:p>
          <w:p>
            <w:pPr>
              <w:pStyle w:val="TableContents"/>
              <w:spacing w:before="0" w:after="20"/>
              <w:jc w:val="right"/>
              <w:rPr>
                <w:rFonts w:ascii="arial" w:hAnsi="arial"/>
                <w:b/>
                <w:color w:val="FFFFFF"/>
                <w:sz w:val="15"/>
              </w:rPr>
            </w:pPr>
            <w:r>
              <w:rPr>
                <w:rFonts w:ascii="arial" w:hAnsi="arial"/>
                <w:b/>
                <w:color w:val="FFFFFF"/>
                <w:sz w:val="15"/>
              </w:rPr>
              <w:t>Vested (#)</w:t>
            </w:r>
          </w:p>
        </w:tc>
        <w:tc>
          <w:tcPr>
            <w:tcW w:w="335" w:type="dxa"/>
            <w:tcBorders>
              <w:bottom w:val="single" w:sz="8" w:space="0" w:color="732282"/>
            </w:tcBorders>
            <w:shd w:fill="444444" w:val="clear"/>
            <w:tcMar>
              <w:bottom w:w="28" w:type="dxa"/>
            </w:tcMar>
            <w:vAlign w:val="center"/>
          </w:tcPr>
          <w:p>
            <w:pPr>
              <w:pStyle w:val="TableContents"/>
              <w:spacing w:before="0" w:after="283"/>
              <w:rPr/>
            </w:pPr>
            <w:r>
              <w:rPr/>
              <w:t> </w:t>
            </w:r>
          </w:p>
        </w:tc>
        <w:tc>
          <w:tcPr>
            <w:tcW w:w="60" w:type="dxa"/>
            <w:tcBorders>
              <w:bottom w:val="single" w:sz="8" w:space="0" w:color="732282"/>
            </w:tcBorders>
            <w:shd w:fill="444444" w:val="clear"/>
            <w:tcMar>
              <w:bottom w:w="28" w:type="dxa"/>
            </w:tcMar>
            <w:vAlign w:val="center"/>
          </w:tcPr>
          <w:p>
            <w:pPr>
              <w:pStyle w:val="TableContents"/>
              <w:spacing w:before="0" w:after="283"/>
              <w:rPr/>
            </w:pPr>
            <w:r>
              <w:rPr/>
              <w:t> </w:t>
            </w:r>
          </w:p>
        </w:tc>
        <w:tc>
          <w:tcPr>
            <w:tcW w:w="1370" w:type="dxa"/>
            <w:gridSpan w:val="2"/>
            <w:tcBorders>
              <w:bottom w:val="single" w:sz="8" w:space="0" w:color="732282"/>
            </w:tcBorders>
            <w:shd w:fill="444444" w:val="clear"/>
            <w:tcMar>
              <w:bottom w:w="28" w:type="dxa"/>
            </w:tcMar>
            <w:vAlign w:val="center"/>
          </w:tcPr>
          <w:p>
            <w:pPr>
              <w:pStyle w:val="TableContents"/>
              <w:spacing w:before="0" w:after="0"/>
              <w:jc w:val="right"/>
              <w:rPr>
                <w:rFonts w:ascii="arial" w:hAnsi="arial"/>
                <w:b/>
                <w:color w:val="FFFFFF"/>
                <w:sz w:val="15"/>
              </w:rPr>
            </w:pPr>
            <w:r>
              <w:rPr>
                <w:rFonts w:ascii="arial" w:hAnsi="arial"/>
                <w:b/>
                <w:color w:val="FFFFFF"/>
                <w:sz w:val="15"/>
              </w:rPr>
              <w:t>Equity Incentive</w:t>
            </w:r>
          </w:p>
          <w:p>
            <w:pPr>
              <w:pStyle w:val="TableContents"/>
              <w:spacing w:before="0" w:after="0"/>
              <w:jc w:val="right"/>
              <w:rPr>
                <w:rFonts w:ascii="arial" w:hAnsi="arial"/>
                <w:b/>
                <w:color w:val="FFFFFF"/>
                <w:sz w:val="15"/>
              </w:rPr>
            </w:pPr>
            <w:r>
              <w:rPr>
                <w:rFonts w:ascii="arial" w:hAnsi="arial"/>
                <w:b/>
                <w:color w:val="FFFFFF"/>
                <w:sz w:val="15"/>
              </w:rPr>
              <w:t>Plan Awards:</w:t>
            </w:r>
          </w:p>
          <w:p>
            <w:pPr>
              <w:pStyle w:val="TableContents"/>
              <w:spacing w:before="0" w:after="0"/>
              <w:jc w:val="right"/>
              <w:rPr>
                <w:rFonts w:ascii="arial" w:hAnsi="arial"/>
                <w:b/>
                <w:color w:val="FFFFFF"/>
                <w:sz w:val="15"/>
              </w:rPr>
            </w:pPr>
            <w:r>
              <w:rPr>
                <w:rFonts w:ascii="arial" w:hAnsi="arial"/>
                <w:b/>
                <w:color w:val="FFFFFF"/>
                <w:sz w:val="15"/>
              </w:rPr>
              <w:t>Market or Payout</w:t>
              <w:br/>
              <w:t>Value of Unearned</w:t>
            </w:r>
          </w:p>
          <w:p>
            <w:pPr>
              <w:pStyle w:val="TableContents"/>
              <w:spacing w:before="0" w:after="0"/>
              <w:jc w:val="right"/>
              <w:rPr>
                <w:rFonts w:ascii="arial" w:hAnsi="arial"/>
                <w:b/>
                <w:color w:val="FFFFFF"/>
                <w:sz w:val="15"/>
              </w:rPr>
            </w:pPr>
            <w:r>
              <w:rPr>
                <w:rFonts w:ascii="arial" w:hAnsi="arial"/>
                <w:b/>
                <w:color w:val="FFFFFF"/>
                <w:sz w:val="15"/>
              </w:rPr>
              <w:t>Shares, Units or</w:t>
              <w:br/>
              <w:t>Other Rights That</w:t>
            </w:r>
          </w:p>
          <w:p>
            <w:pPr>
              <w:pStyle w:val="TableContents"/>
              <w:spacing w:before="0" w:after="0"/>
              <w:jc w:val="right"/>
              <w:rPr>
                <w:rFonts w:ascii="arial" w:hAnsi="arial"/>
                <w:b/>
                <w:color w:val="FFFFFF"/>
                <w:sz w:val="15"/>
              </w:rPr>
            </w:pPr>
            <w:r>
              <w:rPr>
                <w:rFonts w:ascii="arial" w:hAnsi="arial"/>
                <w:b/>
                <w:color w:val="FFFFFF"/>
                <w:sz w:val="15"/>
              </w:rPr>
              <w:t>Have Not Vested</w:t>
            </w:r>
          </w:p>
          <w:p>
            <w:pPr>
              <w:pStyle w:val="TableContents"/>
              <w:spacing w:before="0" w:after="20"/>
              <w:jc w:val="right"/>
              <w:rPr>
                <w:rFonts w:ascii="arial" w:hAnsi="arial"/>
                <w:b/>
                <w:color w:val="FFFFFF"/>
                <w:sz w:val="15"/>
              </w:rPr>
            </w:pPr>
            <w:r>
              <w:rPr>
                <w:rFonts w:ascii="arial" w:hAnsi="arial"/>
                <w:b/>
                <w:color w:val="FFFFFF"/>
                <w:sz w:val="15"/>
              </w:rPr>
              <w:t>($)(2)</w:t>
            </w:r>
          </w:p>
        </w:tc>
        <w:tc>
          <w:tcPr>
            <w:tcW w:w="75" w:type="dxa"/>
            <w:tcBorders>
              <w:bottom w:val="single" w:sz="8" w:space="0" w:color="732282"/>
            </w:tcBorders>
            <w:shd w:fill="444444" w:val="clear"/>
            <w:tcMar>
              <w:bottom w:w="28" w:type="dxa"/>
            </w:tcMar>
            <w:vAlign w:val="center"/>
          </w:tcPr>
          <w:p>
            <w:pPr>
              <w:pStyle w:val="TableContents"/>
              <w:spacing w:before="0" w:after="283"/>
              <w:rPr/>
            </w:pPr>
            <w:r>
              <w:rPr/>
              <w:t> </w:t>
            </w:r>
          </w:p>
        </w:tc>
      </w:tr>
      <w:tr>
        <w:trPr/>
        <w:tc>
          <w:tcPr>
            <w:tcW w:w="635" w:type="dxa"/>
            <w:vMerge w:val="restart"/>
            <w:tcBorders/>
            <w:shd w:fill="auto" w:val="clear"/>
            <w:vAlign w:val="center"/>
          </w:tcPr>
          <w:p>
            <w:pPr>
              <w:pStyle w:val="TableContents"/>
              <w:spacing w:before="0" w:after="0"/>
              <w:rPr>
                <w:rFonts w:ascii="arial" w:hAnsi="arial"/>
                <w:b/>
                <w:sz w:val="15"/>
              </w:rPr>
            </w:pPr>
            <w:r>
              <w:rPr>
                <w:rFonts w:ascii="arial" w:hAnsi="arial"/>
                <w:b/>
                <w:sz w:val="15"/>
              </w:rPr>
              <w:t>Michael Goettler</w:t>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873"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1" w:type="dxa"/>
            <w:tcBorders/>
            <w:shd w:fill="auto" w:val="clear"/>
            <w:vAlign w:val="center"/>
          </w:tcPr>
          <w:p>
            <w:pPr>
              <w:pStyle w:val="TableContents"/>
              <w:spacing w:before="0" w:after="283"/>
              <w:rPr/>
            </w:pPr>
            <w:r>
              <w:rPr/>
              <w:t> </w:t>
            </w:r>
          </w:p>
        </w:tc>
        <w:tc>
          <w:tcPr>
            <w:tcW w:w="1039"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15"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1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128,728</w:t>
            </w:r>
          </w:p>
        </w:tc>
        <w:tc>
          <w:tcPr>
            <w:tcW w:w="215" w:type="dxa"/>
            <w:tcBorders/>
            <w:shd w:fill="auto" w:val="clear"/>
            <w:vAlign w:val="center"/>
          </w:tcPr>
          <w:p>
            <w:pPr>
              <w:pStyle w:val="TableContents"/>
              <w:spacing w:before="0" w:after="283"/>
              <w:rPr/>
            </w:pPr>
            <w:r>
              <w:rPr/>
              <w:t>(3)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1,432,740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1065" w:type="dxa"/>
            <w:tcBorders/>
            <w:shd w:fill="auto" w:val="clear"/>
            <w:vAlign w:val="center"/>
          </w:tcPr>
          <w:p>
            <w:pPr>
              <w:pStyle w:val="TableContents"/>
              <w:spacing w:before="0" w:after="283"/>
              <w:jc w:val="right"/>
              <w:rPr/>
            </w:pPr>
            <w:r>
              <w:rPr/>
              <w:t>—</w:t>
            </w:r>
          </w:p>
        </w:tc>
        <w:tc>
          <w:tcPr>
            <w:tcW w:w="33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1300" w:type="dxa"/>
            <w:tcBorders/>
            <w:shd w:fill="auto" w:val="clear"/>
            <w:vAlign w:val="center"/>
          </w:tcPr>
          <w:p>
            <w:pPr>
              <w:pStyle w:val="TableContents"/>
              <w:spacing w:before="0" w:after="283"/>
              <w:jc w:val="right"/>
              <w:rPr/>
            </w:pPr>
            <w:r>
              <w:rPr/>
              <w:t>—</w:t>
            </w:r>
          </w:p>
        </w:tc>
        <w:tc>
          <w:tcPr>
            <w:tcW w:w="75" w:type="dxa"/>
            <w:tcBorders/>
            <w:shd w:fill="auto" w:val="clear"/>
            <w:vAlign w:val="center"/>
          </w:tcPr>
          <w:p>
            <w:pPr>
              <w:pStyle w:val="TableContents"/>
              <w:spacing w:before="0" w:after="283"/>
              <w:rPr/>
            </w:pPr>
            <w:r>
              <w:rPr/>
              <w:t> </w:t>
            </w:r>
          </w:p>
        </w:tc>
      </w:tr>
      <w:tr>
        <w:trPr/>
        <w:tc>
          <w:tcPr>
            <w:tcW w:w="635" w:type="dxa"/>
            <w:vMerge w:val="continue"/>
            <w:tcBorders/>
            <w:shd w:fill="auto" w:val="clear"/>
            <w:vAlign w:val="center"/>
          </w:tcPr>
          <w:p>
            <w:pPr>
              <w:pStyle w:val="Normal"/>
              <w:rPr/>
            </w:pPr>
            <w:r>
              <w:rPr/>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873"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1" w:type="dxa"/>
            <w:tcBorders/>
            <w:shd w:fill="auto" w:val="clear"/>
            <w:vAlign w:val="center"/>
          </w:tcPr>
          <w:p>
            <w:pPr>
              <w:pStyle w:val="TableContents"/>
              <w:spacing w:before="0" w:after="283"/>
              <w:rPr/>
            </w:pPr>
            <w:r>
              <w:rPr/>
              <w:t> </w:t>
            </w:r>
          </w:p>
        </w:tc>
        <w:tc>
          <w:tcPr>
            <w:tcW w:w="1039"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15"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1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183,245</w:t>
            </w:r>
          </w:p>
        </w:tc>
        <w:tc>
          <w:tcPr>
            <w:tcW w:w="215" w:type="dxa"/>
            <w:tcBorders/>
            <w:shd w:fill="auto" w:val="clear"/>
            <w:vAlign w:val="center"/>
          </w:tcPr>
          <w:p>
            <w:pPr>
              <w:pStyle w:val="TableContents"/>
              <w:spacing w:before="0" w:after="283"/>
              <w:rPr/>
            </w:pPr>
            <w:r>
              <w:rPr/>
              <w:t>(4)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2,039,514</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1065" w:type="dxa"/>
            <w:tcBorders/>
            <w:shd w:fill="auto" w:val="clear"/>
            <w:vAlign w:val="center"/>
          </w:tcPr>
          <w:p>
            <w:pPr>
              <w:pStyle w:val="TableContents"/>
              <w:spacing w:before="0" w:after="283"/>
              <w:jc w:val="right"/>
              <w:rPr/>
            </w:pPr>
            <w:r>
              <w:rPr/>
              <w:t>409,962</w:t>
            </w:r>
          </w:p>
        </w:tc>
        <w:tc>
          <w:tcPr>
            <w:tcW w:w="335" w:type="dxa"/>
            <w:tcBorders/>
            <w:shd w:fill="auto" w:val="clear"/>
            <w:vAlign w:val="center"/>
          </w:tcPr>
          <w:p>
            <w:pPr>
              <w:pStyle w:val="TableContents"/>
              <w:spacing w:before="0" w:after="283"/>
              <w:rPr/>
            </w:pPr>
            <w:r>
              <w:rPr/>
              <w:t>(6) </w:t>
            </w:r>
          </w:p>
        </w:tc>
        <w:tc>
          <w:tcPr>
            <w:tcW w:w="6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1300" w:type="dxa"/>
            <w:tcBorders/>
            <w:shd w:fill="auto" w:val="clear"/>
            <w:vAlign w:val="center"/>
          </w:tcPr>
          <w:p>
            <w:pPr>
              <w:pStyle w:val="TableContents"/>
              <w:spacing w:before="0" w:after="283"/>
              <w:jc w:val="right"/>
              <w:rPr/>
            </w:pPr>
            <w:r>
              <w:rPr/>
              <w:t>4,562,877</w:t>
            </w:r>
          </w:p>
        </w:tc>
        <w:tc>
          <w:tcPr>
            <w:tcW w:w="75" w:type="dxa"/>
            <w:tcBorders/>
            <w:shd w:fill="auto" w:val="clear"/>
            <w:vAlign w:val="center"/>
          </w:tcPr>
          <w:p>
            <w:pPr>
              <w:pStyle w:val="TableContents"/>
              <w:spacing w:before="0" w:after="283"/>
              <w:rPr/>
            </w:pPr>
            <w:r>
              <w:rPr/>
              <w:t> </w:t>
            </w:r>
          </w:p>
        </w:tc>
      </w:tr>
      <w:tr>
        <w:trPr/>
        <w:tc>
          <w:tcPr>
            <w:tcW w:w="635" w:type="dxa"/>
            <w:vMerge w:val="continue"/>
            <w:tcBorders/>
            <w:shd w:fill="auto" w:val="clear"/>
            <w:vAlign w:val="center"/>
          </w:tcPr>
          <w:p>
            <w:pPr>
              <w:pStyle w:val="Normal"/>
              <w:rPr/>
            </w:pPr>
            <w:r>
              <w:rPr/>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873"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1" w:type="dxa"/>
            <w:tcBorders/>
            <w:shd w:fill="auto" w:val="clear"/>
            <w:vAlign w:val="center"/>
          </w:tcPr>
          <w:p>
            <w:pPr>
              <w:pStyle w:val="TableContents"/>
              <w:spacing w:before="0" w:after="283"/>
              <w:rPr/>
            </w:pPr>
            <w:r>
              <w:rPr/>
              <w:t> </w:t>
            </w:r>
          </w:p>
        </w:tc>
        <w:tc>
          <w:tcPr>
            <w:tcW w:w="1039"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15"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1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323,480</w:t>
            </w:r>
          </w:p>
        </w:tc>
        <w:tc>
          <w:tcPr>
            <w:tcW w:w="215" w:type="dxa"/>
            <w:tcBorders/>
            <w:shd w:fill="auto" w:val="clear"/>
            <w:vAlign w:val="center"/>
          </w:tcPr>
          <w:p>
            <w:pPr>
              <w:pStyle w:val="TableContents"/>
              <w:spacing w:before="0" w:after="283"/>
              <w:rPr/>
            </w:pPr>
            <w:r>
              <w:rPr/>
              <w:t>(5)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3,600,327</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1065" w:type="dxa"/>
            <w:tcBorders/>
            <w:shd w:fill="auto" w:val="clear"/>
            <w:vAlign w:val="center"/>
          </w:tcPr>
          <w:p>
            <w:pPr>
              <w:pStyle w:val="TableContents"/>
              <w:spacing w:before="0" w:after="283"/>
              <w:jc w:val="right"/>
              <w:rPr/>
            </w:pPr>
            <w:r>
              <w:rPr/>
              <w:t>600,748</w:t>
            </w:r>
          </w:p>
        </w:tc>
        <w:tc>
          <w:tcPr>
            <w:tcW w:w="335" w:type="dxa"/>
            <w:tcBorders/>
            <w:shd w:fill="auto" w:val="clear"/>
            <w:vAlign w:val="center"/>
          </w:tcPr>
          <w:p>
            <w:pPr>
              <w:pStyle w:val="TableContents"/>
              <w:spacing w:before="0" w:after="283"/>
              <w:rPr/>
            </w:pPr>
            <w:r>
              <w:rPr/>
              <w:t>(7) </w:t>
            </w:r>
          </w:p>
        </w:tc>
        <w:tc>
          <w:tcPr>
            <w:tcW w:w="6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1300" w:type="dxa"/>
            <w:tcBorders/>
            <w:shd w:fill="auto" w:val="clear"/>
            <w:vAlign w:val="center"/>
          </w:tcPr>
          <w:p>
            <w:pPr>
              <w:pStyle w:val="TableContents"/>
              <w:spacing w:before="0" w:after="283"/>
              <w:jc w:val="right"/>
              <w:rPr/>
            </w:pPr>
            <w:r>
              <w:rPr/>
              <w:t>6,686,325</w:t>
            </w:r>
          </w:p>
        </w:tc>
        <w:tc>
          <w:tcPr>
            <w:tcW w:w="75" w:type="dxa"/>
            <w:tcBorders/>
            <w:shd w:fill="auto" w:val="clear"/>
            <w:vAlign w:val="center"/>
          </w:tcPr>
          <w:p>
            <w:pPr>
              <w:pStyle w:val="TableContents"/>
              <w:spacing w:before="0" w:after="283"/>
              <w:rPr/>
            </w:pPr>
            <w:r>
              <w:rPr/>
              <w:t> </w:t>
            </w:r>
          </w:p>
        </w:tc>
      </w:tr>
      <w:tr>
        <w:trPr/>
        <w:tc>
          <w:tcPr>
            <w:tcW w:w="635" w:type="dxa"/>
            <w:vMerge w:val="restart"/>
            <w:tcBorders/>
            <w:shd w:fill="EAEAEA" w:val="clear"/>
            <w:vAlign w:val="center"/>
          </w:tcPr>
          <w:p>
            <w:pPr>
              <w:pStyle w:val="TableContents"/>
              <w:spacing w:before="0" w:after="0"/>
              <w:rPr>
                <w:rFonts w:ascii="arial" w:hAnsi="arial"/>
                <w:b/>
                <w:sz w:val="15"/>
              </w:rPr>
            </w:pPr>
            <w:r>
              <w:rPr>
                <w:rFonts w:ascii="arial" w:hAnsi="arial"/>
                <w:b/>
                <w:sz w:val="15"/>
              </w:rPr>
              <w:t>Sanjeev Narula</w:t>
            </w:r>
          </w:p>
        </w:tc>
        <w:tc>
          <w:tcPr>
            <w:tcW w:w="60" w:type="dxa"/>
            <w:tcBorders/>
            <w:shd w:fill="EAEAEA" w:val="clear"/>
            <w:vAlign w:val="center"/>
          </w:tcPr>
          <w:p>
            <w:pPr>
              <w:pStyle w:val="TableContents"/>
              <w:spacing w:before="0" w:after="283"/>
              <w:rPr/>
            </w:pPr>
            <w:r>
              <w:rPr/>
              <w:t> </w:t>
            </w:r>
          </w:p>
        </w:tc>
        <w:tc>
          <w:tcPr>
            <w:tcW w:w="77" w:type="dxa"/>
            <w:tcBorders/>
            <w:shd w:fill="EAEAEA" w:val="clear"/>
            <w:vAlign w:val="center"/>
          </w:tcPr>
          <w:p>
            <w:pPr>
              <w:pStyle w:val="TableContents"/>
              <w:spacing w:before="0" w:after="283"/>
              <w:rPr/>
            </w:pPr>
            <w:r>
              <w:rPr/>
              <w:t> </w:t>
            </w:r>
          </w:p>
        </w:tc>
        <w:tc>
          <w:tcPr>
            <w:tcW w:w="873" w:type="dxa"/>
            <w:tcBorders/>
            <w:shd w:fill="EAEAEA" w:val="clear"/>
            <w:vAlign w:val="center"/>
          </w:tcPr>
          <w:p>
            <w:pPr>
              <w:pStyle w:val="TableContents"/>
              <w:spacing w:before="0" w:after="283"/>
              <w:jc w:val="right"/>
              <w:rPr/>
            </w:pPr>
            <w:r>
              <w:rPr/>
              <w:t>—</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91" w:type="dxa"/>
            <w:tcBorders/>
            <w:shd w:fill="EAEAEA" w:val="clear"/>
            <w:vAlign w:val="center"/>
          </w:tcPr>
          <w:p>
            <w:pPr>
              <w:pStyle w:val="TableContents"/>
              <w:spacing w:before="0" w:after="283"/>
              <w:rPr/>
            </w:pPr>
            <w:r>
              <w:rPr/>
              <w:t> </w:t>
            </w:r>
          </w:p>
        </w:tc>
        <w:tc>
          <w:tcPr>
            <w:tcW w:w="1039" w:type="dxa"/>
            <w:tcBorders/>
            <w:shd w:fill="EAEAEA" w:val="clear"/>
            <w:vAlign w:val="center"/>
          </w:tcPr>
          <w:p>
            <w:pPr>
              <w:pStyle w:val="TableContents"/>
              <w:spacing w:before="0" w:after="283"/>
              <w:jc w:val="right"/>
              <w:rPr/>
            </w:pPr>
            <w:r>
              <w:rPr/>
              <w:t>—</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65" w:type="dxa"/>
            <w:tcBorders/>
            <w:shd w:fill="EAEAEA" w:val="clear"/>
            <w:vAlign w:val="center"/>
          </w:tcPr>
          <w:p>
            <w:pPr>
              <w:pStyle w:val="TableContents"/>
              <w:spacing w:before="0" w:after="283"/>
              <w:rPr/>
            </w:pPr>
            <w:r>
              <w:rPr/>
              <w:t> </w:t>
            </w:r>
          </w:p>
        </w:tc>
        <w:tc>
          <w:tcPr>
            <w:tcW w:w="615" w:type="dxa"/>
            <w:tcBorders/>
            <w:shd w:fill="EAEAEA" w:val="clear"/>
            <w:vAlign w:val="center"/>
          </w:tcPr>
          <w:p>
            <w:pPr>
              <w:pStyle w:val="TableContents"/>
              <w:spacing w:before="0" w:after="283"/>
              <w:jc w:val="right"/>
              <w:rPr/>
            </w:pPr>
            <w:r>
              <w:rPr/>
              <w:t>—</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710" w:type="dxa"/>
            <w:tcBorders/>
            <w:shd w:fill="EAEAEA" w:val="clear"/>
            <w:vAlign w:val="center"/>
          </w:tcPr>
          <w:p>
            <w:pPr>
              <w:pStyle w:val="TableContents"/>
              <w:spacing w:before="0" w:after="283"/>
              <w:jc w:val="right"/>
              <w:rPr/>
            </w:pPr>
            <w:r>
              <w:rPr/>
              <w:t>—</w:t>
            </w:r>
          </w:p>
        </w:tc>
        <w:tc>
          <w:tcPr>
            <w:tcW w:w="60" w:type="dxa"/>
            <w:tcBorders/>
            <w:shd w:fill="EAEAEA"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800" w:type="dxa"/>
            <w:tcBorders/>
            <w:shd w:fill="EAEAEA" w:val="clear"/>
            <w:vAlign w:val="center"/>
          </w:tcPr>
          <w:p>
            <w:pPr>
              <w:pStyle w:val="TableContents"/>
              <w:spacing w:before="0" w:after="283"/>
              <w:jc w:val="right"/>
              <w:rPr/>
            </w:pPr>
            <w:r>
              <w:rPr/>
              <w:t>22,796</w:t>
            </w:r>
          </w:p>
        </w:tc>
        <w:tc>
          <w:tcPr>
            <w:tcW w:w="215" w:type="dxa"/>
            <w:tcBorders/>
            <w:shd w:fill="EAEAEA" w:val="clear"/>
            <w:vAlign w:val="center"/>
          </w:tcPr>
          <w:p>
            <w:pPr>
              <w:pStyle w:val="TableContents"/>
              <w:spacing w:before="0" w:after="283"/>
              <w:rPr/>
            </w:pPr>
            <w:r>
              <w:rPr/>
              <w:t>(3) </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980" w:type="dxa"/>
            <w:tcBorders/>
            <w:shd w:fill="EAEAEA" w:val="clear"/>
            <w:vAlign w:val="center"/>
          </w:tcPr>
          <w:p>
            <w:pPr>
              <w:pStyle w:val="TableContents"/>
              <w:spacing w:before="0" w:after="283"/>
              <w:jc w:val="right"/>
              <w:rPr/>
            </w:pPr>
            <w:r>
              <w:rPr/>
              <w:t>253,719</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65" w:type="dxa"/>
            <w:tcBorders/>
            <w:shd w:fill="EAEAEA" w:val="clear"/>
            <w:vAlign w:val="center"/>
          </w:tcPr>
          <w:p>
            <w:pPr>
              <w:pStyle w:val="TableContents"/>
              <w:spacing w:before="0" w:after="283"/>
              <w:rPr/>
            </w:pPr>
            <w:r>
              <w:rPr/>
              <w:t> </w:t>
            </w:r>
          </w:p>
        </w:tc>
        <w:tc>
          <w:tcPr>
            <w:tcW w:w="1065" w:type="dxa"/>
            <w:tcBorders/>
            <w:shd w:fill="EAEAEA" w:val="clear"/>
            <w:vAlign w:val="center"/>
          </w:tcPr>
          <w:p>
            <w:pPr>
              <w:pStyle w:val="TableContents"/>
              <w:spacing w:before="0" w:after="283"/>
              <w:jc w:val="right"/>
              <w:rPr/>
            </w:pPr>
            <w:r>
              <w:rPr/>
              <w:t>—</w:t>
            </w:r>
          </w:p>
        </w:tc>
        <w:tc>
          <w:tcPr>
            <w:tcW w:w="335"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70" w:type="dxa"/>
            <w:tcBorders/>
            <w:shd w:fill="EAEAEA" w:val="clear"/>
            <w:vAlign w:val="center"/>
          </w:tcPr>
          <w:p>
            <w:pPr>
              <w:pStyle w:val="TableContents"/>
              <w:spacing w:before="0" w:after="283"/>
              <w:rPr/>
            </w:pPr>
            <w:r>
              <w:rPr/>
              <w:t> </w:t>
            </w:r>
          </w:p>
        </w:tc>
        <w:tc>
          <w:tcPr>
            <w:tcW w:w="1300" w:type="dxa"/>
            <w:tcBorders/>
            <w:shd w:fill="EAEAEA" w:val="clear"/>
            <w:vAlign w:val="center"/>
          </w:tcPr>
          <w:p>
            <w:pPr>
              <w:pStyle w:val="TableContents"/>
              <w:spacing w:before="0" w:after="283"/>
              <w:jc w:val="right"/>
              <w:rPr/>
            </w:pPr>
            <w:r>
              <w:rPr/>
              <w:t>—</w:t>
            </w:r>
          </w:p>
        </w:tc>
        <w:tc>
          <w:tcPr>
            <w:tcW w:w="75" w:type="dxa"/>
            <w:tcBorders/>
            <w:shd w:fill="EAEAEA" w:val="clear"/>
            <w:vAlign w:val="center"/>
          </w:tcPr>
          <w:p>
            <w:pPr>
              <w:pStyle w:val="TableContents"/>
              <w:spacing w:before="0" w:after="283"/>
              <w:rPr/>
            </w:pPr>
            <w:r>
              <w:rPr/>
              <w:t> </w:t>
            </w:r>
          </w:p>
        </w:tc>
      </w:tr>
      <w:tr>
        <w:trPr/>
        <w:tc>
          <w:tcPr>
            <w:tcW w:w="635" w:type="dxa"/>
            <w:vMerge w:val="continue"/>
            <w:tcBorders/>
            <w:shd w:fill="EAEAEA" w:val="clear"/>
            <w:vAlign w:val="center"/>
          </w:tcPr>
          <w:p>
            <w:pPr>
              <w:pStyle w:val="Normal"/>
              <w:rPr/>
            </w:pPr>
            <w:r>
              <w:rPr/>
            </w:r>
          </w:p>
        </w:tc>
        <w:tc>
          <w:tcPr>
            <w:tcW w:w="60" w:type="dxa"/>
            <w:tcBorders/>
            <w:shd w:fill="EAEAEA" w:val="clear"/>
            <w:vAlign w:val="center"/>
          </w:tcPr>
          <w:p>
            <w:pPr>
              <w:pStyle w:val="TableContents"/>
              <w:spacing w:before="0" w:after="283"/>
              <w:rPr/>
            </w:pPr>
            <w:r>
              <w:rPr/>
              <w:t> </w:t>
            </w:r>
          </w:p>
        </w:tc>
        <w:tc>
          <w:tcPr>
            <w:tcW w:w="77" w:type="dxa"/>
            <w:tcBorders/>
            <w:shd w:fill="EAEAEA" w:val="clear"/>
            <w:vAlign w:val="center"/>
          </w:tcPr>
          <w:p>
            <w:pPr>
              <w:pStyle w:val="TableContents"/>
              <w:spacing w:before="0" w:after="283"/>
              <w:rPr/>
            </w:pPr>
            <w:r>
              <w:rPr/>
              <w:t> </w:t>
            </w:r>
          </w:p>
        </w:tc>
        <w:tc>
          <w:tcPr>
            <w:tcW w:w="873" w:type="dxa"/>
            <w:tcBorders/>
            <w:shd w:fill="EAEAEA" w:val="clear"/>
            <w:vAlign w:val="center"/>
          </w:tcPr>
          <w:p>
            <w:pPr>
              <w:pStyle w:val="TableContents"/>
              <w:spacing w:before="0" w:after="283"/>
              <w:jc w:val="right"/>
              <w:rPr/>
            </w:pPr>
            <w:r>
              <w:rPr/>
              <w:t>—</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91" w:type="dxa"/>
            <w:tcBorders/>
            <w:shd w:fill="EAEAEA" w:val="clear"/>
            <w:vAlign w:val="center"/>
          </w:tcPr>
          <w:p>
            <w:pPr>
              <w:pStyle w:val="TableContents"/>
              <w:spacing w:before="0" w:after="283"/>
              <w:rPr/>
            </w:pPr>
            <w:r>
              <w:rPr/>
              <w:t> </w:t>
            </w:r>
          </w:p>
        </w:tc>
        <w:tc>
          <w:tcPr>
            <w:tcW w:w="1039" w:type="dxa"/>
            <w:tcBorders/>
            <w:shd w:fill="EAEAEA" w:val="clear"/>
            <w:vAlign w:val="center"/>
          </w:tcPr>
          <w:p>
            <w:pPr>
              <w:pStyle w:val="TableContents"/>
              <w:spacing w:before="0" w:after="283"/>
              <w:jc w:val="right"/>
              <w:rPr/>
            </w:pPr>
            <w:r>
              <w:rPr/>
              <w:t>—</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65" w:type="dxa"/>
            <w:tcBorders/>
            <w:shd w:fill="EAEAEA" w:val="clear"/>
            <w:vAlign w:val="center"/>
          </w:tcPr>
          <w:p>
            <w:pPr>
              <w:pStyle w:val="TableContents"/>
              <w:spacing w:before="0" w:after="283"/>
              <w:rPr/>
            </w:pPr>
            <w:r>
              <w:rPr/>
              <w:t> </w:t>
            </w:r>
          </w:p>
        </w:tc>
        <w:tc>
          <w:tcPr>
            <w:tcW w:w="615" w:type="dxa"/>
            <w:tcBorders/>
            <w:shd w:fill="EAEAEA" w:val="clear"/>
            <w:vAlign w:val="center"/>
          </w:tcPr>
          <w:p>
            <w:pPr>
              <w:pStyle w:val="TableContents"/>
              <w:spacing w:before="0" w:after="283"/>
              <w:jc w:val="right"/>
              <w:rPr/>
            </w:pPr>
            <w:r>
              <w:rPr/>
              <w:t>—</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710" w:type="dxa"/>
            <w:tcBorders/>
            <w:shd w:fill="EAEAEA" w:val="clear"/>
            <w:vAlign w:val="center"/>
          </w:tcPr>
          <w:p>
            <w:pPr>
              <w:pStyle w:val="TableContents"/>
              <w:spacing w:before="0" w:after="283"/>
              <w:jc w:val="right"/>
              <w:rPr/>
            </w:pPr>
            <w:r>
              <w:rPr/>
              <w:t>—</w:t>
            </w:r>
          </w:p>
        </w:tc>
        <w:tc>
          <w:tcPr>
            <w:tcW w:w="60" w:type="dxa"/>
            <w:tcBorders/>
            <w:shd w:fill="EAEAEA"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800" w:type="dxa"/>
            <w:tcBorders/>
            <w:shd w:fill="EAEAEA" w:val="clear"/>
            <w:vAlign w:val="center"/>
          </w:tcPr>
          <w:p>
            <w:pPr>
              <w:pStyle w:val="TableContents"/>
              <w:spacing w:before="0" w:after="283"/>
              <w:jc w:val="right"/>
              <w:rPr/>
            </w:pPr>
            <w:r>
              <w:rPr/>
              <w:t>56,383</w:t>
            </w:r>
          </w:p>
        </w:tc>
        <w:tc>
          <w:tcPr>
            <w:tcW w:w="215" w:type="dxa"/>
            <w:tcBorders/>
            <w:shd w:fill="EAEAEA" w:val="clear"/>
            <w:vAlign w:val="center"/>
          </w:tcPr>
          <w:p>
            <w:pPr>
              <w:pStyle w:val="TableContents"/>
              <w:spacing w:before="0" w:after="283"/>
              <w:rPr/>
            </w:pPr>
            <w:r>
              <w:rPr/>
              <w:t>(4) </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980" w:type="dxa"/>
            <w:tcBorders/>
            <w:shd w:fill="EAEAEA" w:val="clear"/>
            <w:vAlign w:val="center"/>
          </w:tcPr>
          <w:p>
            <w:pPr>
              <w:pStyle w:val="TableContents"/>
              <w:spacing w:before="0" w:after="283"/>
              <w:jc w:val="right"/>
              <w:rPr/>
            </w:pPr>
            <w:r>
              <w:rPr/>
              <w:t>627,546</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65" w:type="dxa"/>
            <w:tcBorders/>
            <w:shd w:fill="EAEAEA" w:val="clear"/>
            <w:vAlign w:val="center"/>
          </w:tcPr>
          <w:p>
            <w:pPr>
              <w:pStyle w:val="TableContents"/>
              <w:spacing w:before="0" w:after="283"/>
              <w:rPr/>
            </w:pPr>
            <w:r>
              <w:rPr/>
              <w:t> </w:t>
            </w:r>
          </w:p>
        </w:tc>
        <w:tc>
          <w:tcPr>
            <w:tcW w:w="1065" w:type="dxa"/>
            <w:tcBorders/>
            <w:shd w:fill="EAEAEA" w:val="clear"/>
            <w:vAlign w:val="center"/>
          </w:tcPr>
          <w:p>
            <w:pPr>
              <w:pStyle w:val="TableContents"/>
              <w:spacing w:before="0" w:after="283"/>
              <w:jc w:val="right"/>
              <w:rPr/>
            </w:pPr>
            <w:r>
              <w:rPr/>
              <w:t>126,142</w:t>
            </w:r>
          </w:p>
        </w:tc>
        <w:tc>
          <w:tcPr>
            <w:tcW w:w="335" w:type="dxa"/>
            <w:tcBorders/>
            <w:shd w:fill="EAEAEA" w:val="clear"/>
            <w:vAlign w:val="center"/>
          </w:tcPr>
          <w:p>
            <w:pPr>
              <w:pStyle w:val="TableContents"/>
              <w:spacing w:before="0" w:after="283"/>
              <w:rPr/>
            </w:pPr>
            <w:r>
              <w:rPr/>
              <w:t>(6) </w:t>
            </w:r>
          </w:p>
        </w:tc>
        <w:tc>
          <w:tcPr>
            <w:tcW w:w="60" w:type="dxa"/>
            <w:tcBorders/>
            <w:shd w:fill="EAEAEA" w:val="clear"/>
            <w:vAlign w:val="center"/>
          </w:tcPr>
          <w:p>
            <w:pPr>
              <w:pStyle w:val="TableContents"/>
              <w:spacing w:before="0" w:after="283"/>
              <w:rPr/>
            </w:pPr>
            <w:r>
              <w:rPr/>
              <w:t> </w:t>
            </w:r>
          </w:p>
        </w:tc>
        <w:tc>
          <w:tcPr>
            <w:tcW w:w="70" w:type="dxa"/>
            <w:tcBorders/>
            <w:shd w:fill="EAEAEA" w:val="clear"/>
            <w:vAlign w:val="center"/>
          </w:tcPr>
          <w:p>
            <w:pPr>
              <w:pStyle w:val="TableContents"/>
              <w:spacing w:before="0" w:after="283"/>
              <w:rPr/>
            </w:pPr>
            <w:r>
              <w:rPr/>
              <w:t> </w:t>
            </w:r>
          </w:p>
        </w:tc>
        <w:tc>
          <w:tcPr>
            <w:tcW w:w="1300" w:type="dxa"/>
            <w:tcBorders/>
            <w:shd w:fill="EAEAEA" w:val="clear"/>
            <w:vAlign w:val="center"/>
          </w:tcPr>
          <w:p>
            <w:pPr>
              <w:pStyle w:val="TableContents"/>
              <w:spacing w:before="0" w:after="283"/>
              <w:jc w:val="right"/>
              <w:rPr/>
            </w:pPr>
            <w:r>
              <w:rPr/>
              <w:t>1,403,960</w:t>
            </w:r>
          </w:p>
        </w:tc>
        <w:tc>
          <w:tcPr>
            <w:tcW w:w="75" w:type="dxa"/>
            <w:tcBorders/>
            <w:shd w:fill="EAEAEA" w:val="clear"/>
            <w:vAlign w:val="center"/>
          </w:tcPr>
          <w:p>
            <w:pPr>
              <w:pStyle w:val="TableContents"/>
              <w:spacing w:before="0" w:after="283"/>
              <w:rPr/>
            </w:pPr>
            <w:r>
              <w:rPr/>
              <w:t> </w:t>
            </w:r>
          </w:p>
        </w:tc>
      </w:tr>
      <w:tr>
        <w:trPr/>
        <w:tc>
          <w:tcPr>
            <w:tcW w:w="635" w:type="dxa"/>
            <w:vMerge w:val="continue"/>
            <w:tcBorders/>
            <w:shd w:fill="EAEAEA" w:val="clear"/>
            <w:vAlign w:val="center"/>
          </w:tcPr>
          <w:p>
            <w:pPr>
              <w:pStyle w:val="Normal"/>
              <w:rPr/>
            </w:pPr>
            <w:r>
              <w:rPr/>
            </w:r>
          </w:p>
        </w:tc>
        <w:tc>
          <w:tcPr>
            <w:tcW w:w="60" w:type="dxa"/>
            <w:tcBorders/>
            <w:shd w:fill="EAEAEA" w:val="clear"/>
            <w:vAlign w:val="center"/>
          </w:tcPr>
          <w:p>
            <w:pPr>
              <w:pStyle w:val="TableContents"/>
              <w:spacing w:before="0" w:after="283"/>
              <w:rPr/>
            </w:pPr>
            <w:r>
              <w:rPr/>
              <w:t> </w:t>
            </w:r>
          </w:p>
        </w:tc>
        <w:tc>
          <w:tcPr>
            <w:tcW w:w="77" w:type="dxa"/>
            <w:tcBorders/>
            <w:shd w:fill="EAEAEA" w:val="clear"/>
            <w:vAlign w:val="center"/>
          </w:tcPr>
          <w:p>
            <w:pPr>
              <w:pStyle w:val="TableContents"/>
              <w:spacing w:before="0" w:after="283"/>
              <w:rPr/>
            </w:pPr>
            <w:r>
              <w:rPr/>
              <w:t> </w:t>
            </w:r>
          </w:p>
        </w:tc>
        <w:tc>
          <w:tcPr>
            <w:tcW w:w="873" w:type="dxa"/>
            <w:tcBorders/>
            <w:shd w:fill="EAEAEA" w:val="clear"/>
            <w:vAlign w:val="center"/>
          </w:tcPr>
          <w:p>
            <w:pPr>
              <w:pStyle w:val="TableContents"/>
              <w:spacing w:before="0" w:after="283"/>
              <w:jc w:val="right"/>
              <w:rPr/>
            </w:pPr>
            <w:r>
              <w:rPr/>
              <w:t>—</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91" w:type="dxa"/>
            <w:tcBorders/>
            <w:shd w:fill="EAEAEA" w:val="clear"/>
            <w:vAlign w:val="center"/>
          </w:tcPr>
          <w:p>
            <w:pPr>
              <w:pStyle w:val="TableContents"/>
              <w:spacing w:before="0" w:after="283"/>
              <w:rPr/>
            </w:pPr>
            <w:r>
              <w:rPr/>
              <w:t> </w:t>
            </w:r>
          </w:p>
        </w:tc>
        <w:tc>
          <w:tcPr>
            <w:tcW w:w="1039" w:type="dxa"/>
            <w:tcBorders/>
            <w:shd w:fill="EAEAEA" w:val="clear"/>
            <w:vAlign w:val="center"/>
          </w:tcPr>
          <w:p>
            <w:pPr>
              <w:pStyle w:val="TableContents"/>
              <w:spacing w:before="0" w:after="283"/>
              <w:jc w:val="right"/>
              <w:rPr/>
            </w:pPr>
            <w:r>
              <w:rPr/>
              <w:t>—</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65" w:type="dxa"/>
            <w:tcBorders/>
            <w:shd w:fill="EAEAEA" w:val="clear"/>
            <w:vAlign w:val="center"/>
          </w:tcPr>
          <w:p>
            <w:pPr>
              <w:pStyle w:val="TableContents"/>
              <w:spacing w:before="0" w:after="283"/>
              <w:rPr/>
            </w:pPr>
            <w:r>
              <w:rPr/>
              <w:t> </w:t>
            </w:r>
          </w:p>
        </w:tc>
        <w:tc>
          <w:tcPr>
            <w:tcW w:w="615" w:type="dxa"/>
            <w:tcBorders/>
            <w:shd w:fill="EAEAEA" w:val="clear"/>
            <w:vAlign w:val="center"/>
          </w:tcPr>
          <w:p>
            <w:pPr>
              <w:pStyle w:val="TableContents"/>
              <w:spacing w:before="0" w:after="283"/>
              <w:jc w:val="right"/>
              <w:rPr/>
            </w:pPr>
            <w:r>
              <w:rPr/>
              <w:t>—</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710" w:type="dxa"/>
            <w:tcBorders/>
            <w:shd w:fill="EAEAEA" w:val="clear"/>
            <w:vAlign w:val="center"/>
          </w:tcPr>
          <w:p>
            <w:pPr>
              <w:pStyle w:val="TableContents"/>
              <w:spacing w:before="0" w:after="283"/>
              <w:jc w:val="right"/>
              <w:rPr/>
            </w:pPr>
            <w:r>
              <w:rPr/>
              <w:t>—</w:t>
            </w:r>
          </w:p>
        </w:tc>
        <w:tc>
          <w:tcPr>
            <w:tcW w:w="60" w:type="dxa"/>
            <w:tcBorders/>
            <w:shd w:fill="EAEAEA"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800" w:type="dxa"/>
            <w:tcBorders/>
            <w:shd w:fill="EAEAEA" w:val="clear"/>
            <w:vAlign w:val="center"/>
          </w:tcPr>
          <w:p>
            <w:pPr>
              <w:pStyle w:val="TableContents"/>
              <w:spacing w:before="0" w:after="283"/>
              <w:jc w:val="right"/>
              <w:rPr/>
            </w:pPr>
            <w:r>
              <w:rPr/>
              <w:t>120,861</w:t>
            </w:r>
          </w:p>
        </w:tc>
        <w:tc>
          <w:tcPr>
            <w:tcW w:w="215" w:type="dxa"/>
            <w:tcBorders/>
            <w:shd w:fill="EAEAEA" w:val="clear"/>
            <w:vAlign w:val="center"/>
          </w:tcPr>
          <w:p>
            <w:pPr>
              <w:pStyle w:val="TableContents"/>
              <w:spacing w:before="0" w:after="283"/>
              <w:rPr/>
            </w:pPr>
            <w:r>
              <w:rPr/>
              <w:t>(5) </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980" w:type="dxa"/>
            <w:tcBorders/>
            <w:shd w:fill="EAEAEA" w:val="clear"/>
            <w:vAlign w:val="center"/>
          </w:tcPr>
          <w:p>
            <w:pPr>
              <w:pStyle w:val="TableContents"/>
              <w:spacing w:before="0" w:after="283"/>
              <w:jc w:val="right"/>
              <w:rPr/>
            </w:pPr>
            <w:r>
              <w:rPr/>
              <w:t>1,345,181</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65" w:type="dxa"/>
            <w:tcBorders/>
            <w:shd w:fill="EAEAEA" w:val="clear"/>
            <w:vAlign w:val="center"/>
          </w:tcPr>
          <w:p>
            <w:pPr>
              <w:pStyle w:val="TableContents"/>
              <w:spacing w:before="0" w:after="283"/>
              <w:rPr/>
            </w:pPr>
            <w:r>
              <w:rPr/>
              <w:t> </w:t>
            </w:r>
          </w:p>
        </w:tc>
        <w:tc>
          <w:tcPr>
            <w:tcW w:w="1065" w:type="dxa"/>
            <w:tcBorders/>
            <w:shd w:fill="EAEAEA" w:val="clear"/>
            <w:vAlign w:val="center"/>
          </w:tcPr>
          <w:p>
            <w:pPr>
              <w:pStyle w:val="TableContents"/>
              <w:spacing w:before="0" w:after="283"/>
              <w:jc w:val="right"/>
              <w:rPr/>
            </w:pPr>
            <w:r>
              <w:rPr/>
              <w:t>224,456</w:t>
            </w:r>
          </w:p>
        </w:tc>
        <w:tc>
          <w:tcPr>
            <w:tcW w:w="335" w:type="dxa"/>
            <w:tcBorders/>
            <w:shd w:fill="EAEAEA" w:val="clear"/>
            <w:vAlign w:val="center"/>
          </w:tcPr>
          <w:p>
            <w:pPr>
              <w:pStyle w:val="TableContents"/>
              <w:spacing w:before="0" w:after="283"/>
              <w:rPr/>
            </w:pPr>
            <w:r>
              <w:rPr/>
              <w:t>(7) </w:t>
            </w:r>
          </w:p>
        </w:tc>
        <w:tc>
          <w:tcPr>
            <w:tcW w:w="60" w:type="dxa"/>
            <w:tcBorders/>
            <w:shd w:fill="EAEAEA" w:val="clear"/>
            <w:vAlign w:val="center"/>
          </w:tcPr>
          <w:p>
            <w:pPr>
              <w:pStyle w:val="TableContents"/>
              <w:spacing w:before="0" w:after="283"/>
              <w:rPr/>
            </w:pPr>
            <w:r>
              <w:rPr/>
              <w:t> </w:t>
            </w:r>
          </w:p>
        </w:tc>
        <w:tc>
          <w:tcPr>
            <w:tcW w:w="70" w:type="dxa"/>
            <w:tcBorders/>
            <w:shd w:fill="EAEAEA" w:val="clear"/>
            <w:vAlign w:val="center"/>
          </w:tcPr>
          <w:p>
            <w:pPr>
              <w:pStyle w:val="TableContents"/>
              <w:spacing w:before="0" w:after="283"/>
              <w:rPr/>
            </w:pPr>
            <w:r>
              <w:rPr/>
              <w:t> </w:t>
            </w:r>
          </w:p>
        </w:tc>
        <w:tc>
          <w:tcPr>
            <w:tcW w:w="1300" w:type="dxa"/>
            <w:tcBorders/>
            <w:shd w:fill="EAEAEA" w:val="clear"/>
            <w:vAlign w:val="center"/>
          </w:tcPr>
          <w:p>
            <w:pPr>
              <w:pStyle w:val="TableContents"/>
              <w:spacing w:before="0" w:after="283"/>
              <w:jc w:val="right"/>
              <w:rPr/>
            </w:pPr>
            <w:r>
              <w:rPr/>
              <w:t>2,498,195</w:t>
            </w:r>
          </w:p>
        </w:tc>
        <w:tc>
          <w:tcPr>
            <w:tcW w:w="75" w:type="dxa"/>
            <w:tcBorders/>
            <w:shd w:fill="EAEAEA" w:val="clear"/>
            <w:vAlign w:val="center"/>
          </w:tcPr>
          <w:p>
            <w:pPr>
              <w:pStyle w:val="TableContents"/>
              <w:spacing w:before="0" w:after="283"/>
              <w:rPr/>
            </w:pPr>
            <w:r>
              <w:rPr/>
              <w:t> </w:t>
            </w:r>
          </w:p>
        </w:tc>
      </w:tr>
      <w:tr>
        <w:trPr/>
        <w:tc>
          <w:tcPr>
            <w:tcW w:w="635" w:type="dxa"/>
            <w:tcBorders/>
            <w:shd w:fill="auto" w:val="clear"/>
            <w:vAlign w:val="center"/>
          </w:tcPr>
          <w:p>
            <w:pPr>
              <w:pStyle w:val="TableContents"/>
              <w:spacing w:before="0" w:after="0"/>
              <w:rPr>
                <w:rFonts w:ascii="arial" w:hAnsi="arial"/>
                <w:b/>
                <w:sz w:val="15"/>
              </w:rPr>
            </w:pPr>
            <w:r>
              <w:rPr>
                <w:rFonts w:ascii="arial" w:hAnsi="arial"/>
                <w:b/>
                <w:sz w:val="15"/>
              </w:rPr>
              <w:t>Rajiv Malik</w:t>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873" w:type="dxa"/>
            <w:tcBorders/>
            <w:shd w:fill="auto" w:val="clear"/>
            <w:vAlign w:val="center"/>
          </w:tcPr>
          <w:p>
            <w:pPr>
              <w:pStyle w:val="TableContents"/>
              <w:spacing w:before="0" w:after="283"/>
              <w:jc w:val="right"/>
              <w:rPr/>
            </w:pPr>
            <w:r>
              <w:rPr/>
              <w:t>34,389</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1" w:type="dxa"/>
            <w:tcBorders/>
            <w:shd w:fill="auto" w:val="clear"/>
            <w:vAlign w:val="center"/>
          </w:tcPr>
          <w:p>
            <w:pPr>
              <w:pStyle w:val="TableContents"/>
              <w:spacing w:before="0" w:after="283"/>
              <w:rPr/>
            </w:pPr>
            <w:r>
              <w:rPr/>
              <w:t> </w:t>
            </w:r>
          </w:p>
        </w:tc>
        <w:tc>
          <w:tcPr>
            <w:tcW w:w="1039"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15" w:type="dxa"/>
            <w:tcBorders/>
            <w:shd w:fill="auto" w:val="clear"/>
            <w:vAlign w:val="center"/>
          </w:tcPr>
          <w:p>
            <w:pPr>
              <w:pStyle w:val="TableContents"/>
              <w:spacing w:before="0" w:after="283"/>
              <w:jc w:val="right"/>
              <w:rPr/>
            </w:pPr>
            <w:r>
              <w:rPr/>
              <w:t>55.84</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10" w:type="dxa"/>
            <w:tcBorders/>
            <w:shd w:fill="auto" w:val="clear"/>
            <w:vAlign w:val="center"/>
          </w:tcPr>
          <w:p>
            <w:pPr>
              <w:pStyle w:val="TableContents"/>
              <w:spacing w:before="0" w:after="283"/>
              <w:jc w:val="right"/>
              <w:rPr/>
            </w:pPr>
            <w:r>
              <w:rPr/>
              <w:t>3/5/2024</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1065" w:type="dxa"/>
            <w:tcBorders/>
            <w:shd w:fill="auto" w:val="clear"/>
            <w:vAlign w:val="center"/>
          </w:tcPr>
          <w:p>
            <w:pPr>
              <w:pStyle w:val="TableContents"/>
              <w:spacing w:before="0" w:after="283"/>
              <w:jc w:val="right"/>
              <w:rPr/>
            </w:pPr>
            <w:r>
              <w:rPr/>
              <w:t>—</w:t>
            </w:r>
          </w:p>
        </w:tc>
        <w:tc>
          <w:tcPr>
            <w:tcW w:w="33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1300" w:type="dxa"/>
            <w:tcBorders/>
            <w:shd w:fill="auto" w:val="clear"/>
            <w:vAlign w:val="center"/>
          </w:tcPr>
          <w:p>
            <w:pPr>
              <w:pStyle w:val="TableContents"/>
              <w:spacing w:before="0" w:after="283"/>
              <w:jc w:val="right"/>
              <w:rPr/>
            </w:pPr>
            <w:r>
              <w:rPr/>
              <w:t>—</w:t>
            </w:r>
          </w:p>
        </w:tc>
        <w:tc>
          <w:tcPr>
            <w:tcW w:w="75" w:type="dxa"/>
            <w:tcBorders/>
            <w:shd w:fill="auto" w:val="clear"/>
            <w:vAlign w:val="center"/>
          </w:tcPr>
          <w:p>
            <w:pPr>
              <w:pStyle w:val="TableContents"/>
              <w:spacing w:before="0" w:after="283"/>
              <w:rPr/>
            </w:pPr>
            <w:r>
              <w:rPr/>
              <w:t> </w:t>
            </w:r>
          </w:p>
        </w:tc>
      </w:tr>
      <w:tr>
        <w:trPr/>
        <w:tc>
          <w:tcPr>
            <w:tcW w:w="6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873" w:type="dxa"/>
            <w:tcBorders/>
            <w:shd w:fill="auto" w:val="clear"/>
            <w:vAlign w:val="center"/>
          </w:tcPr>
          <w:p>
            <w:pPr>
              <w:pStyle w:val="TableContents"/>
              <w:spacing w:before="0" w:after="283"/>
              <w:jc w:val="right"/>
              <w:rPr/>
            </w:pPr>
            <w:r>
              <w:rPr/>
              <w:t>41,637</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1" w:type="dxa"/>
            <w:tcBorders/>
            <w:shd w:fill="auto" w:val="clear"/>
            <w:vAlign w:val="center"/>
          </w:tcPr>
          <w:p>
            <w:pPr>
              <w:pStyle w:val="TableContents"/>
              <w:spacing w:before="0" w:after="283"/>
              <w:rPr/>
            </w:pPr>
            <w:r>
              <w:rPr/>
              <w:t> </w:t>
            </w:r>
          </w:p>
        </w:tc>
        <w:tc>
          <w:tcPr>
            <w:tcW w:w="1039"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15" w:type="dxa"/>
            <w:tcBorders/>
            <w:shd w:fill="auto" w:val="clear"/>
            <w:vAlign w:val="center"/>
          </w:tcPr>
          <w:p>
            <w:pPr>
              <w:pStyle w:val="TableContents"/>
              <w:spacing w:before="0" w:after="283"/>
              <w:jc w:val="right"/>
              <w:rPr/>
            </w:pPr>
            <w:r>
              <w:rPr/>
              <w:t>50.66</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10" w:type="dxa"/>
            <w:tcBorders/>
            <w:shd w:fill="auto" w:val="clear"/>
            <w:vAlign w:val="center"/>
          </w:tcPr>
          <w:p>
            <w:pPr>
              <w:pStyle w:val="TableContents"/>
              <w:spacing w:before="0" w:after="283"/>
              <w:jc w:val="right"/>
              <w:rPr/>
            </w:pPr>
            <w:r>
              <w:rPr/>
              <w:t>11/17/2025</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1065" w:type="dxa"/>
            <w:tcBorders/>
            <w:shd w:fill="auto" w:val="clear"/>
            <w:vAlign w:val="center"/>
          </w:tcPr>
          <w:p>
            <w:pPr>
              <w:pStyle w:val="TableContents"/>
              <w:spacing w:before="0" w:after="283"/>
              <w:jc w:val="right"/>
              <w:rPr/>
            </w:pPr>
            <w:r>
              <w:rPr/>
              <w:t>—</w:t>
            </w:r>
          </w:p>
        </w:tc>
        <w:tc>
          <w:tcPr>
            <w:tcW w:w="33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1300" w:type="dxa"/>
            <w:tcBorders/>
            <w:shd w:fill="auto" w:val="clear"/>
            <w:vAlign w:val="center"/>
          </w:tcPr>
          <w:p>
            <w:pPr>
              <w:pStyle w:val="TableContents"/>
              <w:spacing w:before="0" w:after="283"/>
              <w:jc w:val="right"/>
              <w:rPr/>
            </w:pPr>
            <w:r>
              <w:rPr/>
              <w:t>—</w:t>
            </w:r>
          </w:p>
        </w:tc>
        <w:tc>
          <w:tcPr>
            <w:tcW w:w="75" w:type="dxa"/>
            <w:tcBorders/>
            <w:shd w:fill="auto" w:val="clear"/>
            <w:vAlign w:val="center"/>
          </w:tcPr>
          <w:p>
            <w:pPr>
              <w:pStyle w:val="TableContents"/>
              <w:spacing w:before="0" w:after="283"/>
              <w:rPr/>
            </w:pPr>
            <w:r>
              <w:rPr/>
              <w:t> </w:t>
            </w:r>
          </w:p>
        </w:tc>
      </w:tr>
      <w:tr>
        <w:trPr/>
        <w:tc>
          <w:tcPr>
            <w:tcW w:w="6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873" w:type="dxa"/>
            <w:tcBorders/>
            <w:shd w:fill="auto" w:val="clear"/>
            <w:vAlign w:val="center"/>
          </w:tcPr>
          <w:p>
            <w:pPr>
              <w:pStyle w:val="TableContents"/>
              <w:spacing w:before="0" w:after="283"/>
              <w:jc w:val="right"/>
              <w:rPr/>
            </w:pPr>
            <w:r>
              <w:rPr/>
              <w:t>50,168</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1" w:type="dxa"/>
            <w:tcBorders/>
            <w:shd w:fill="auto" w:val="clear"/>
            <w:vAlign w:val="center"/>
          </w:tcPr>
          <w:p>
            <w:pPr>
              <w:pStyle w:val="TableContents"/>
              <w:spacing w:before="0" w:after="283"/>
              <w:rPr/>
            </w:pPr>
            <w:r>
              <w:rPr/>
              <w:t> </w:t>
            </w:r>
          </w:p>
        </w:tc>
        <w:tc>
          <w:tcPr>
            <w:tcW w:w="1039"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15" w:type="dxa"/>
            <w:tcBorders/>
            <w:shd w:fill="auto" w:val="clear"/>
            <w:vAlign w:val="center"/>
          </w:tcPr>
          <w:p>
            <w:pPr>
              <w:pStyle w:val="TableContents"/>
              <w:spacing w:before="0" w:after="283"/>
              <w:jc w:val="right"/>
              <w:rPr/>
            </w:pPr>
            <w:r>
              <w:rPr/>
              <w:t>46.27</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10" w:type="dxa"/>
            <w:tcBorders/>
            <w:shd w:fill="auto" w:val="clear"/>
            <w:vAlign w:val="center"/>
          </w:tcPr>
          <w:p>
            <w:pPr>
              <w:pStyle w:val="TableContents"/>
              <w:spacing w:before="0" w:after="283"/>
              <w:jc w:val="right"/>
              <w:rPr/>
            </w:pPr>
            <w:r>
              <w:rPr/>
              <w:t>2/17/2026</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1065" w:type="dxa"/>
            <w:tcBorders/>
            <w:shd w:fill="auto" w:val="clear"/>
            <w:vAlign w:val="center"/>
          </w:tcPr>
          <w:p>
            <w:pPr>
              <w:pStyle w:val="TableContents"/>
              <w:spacing w:before="0" w:after="283"/>
              <w:jc w:val="right"/>
              <w:rPr/>
            </w:pPr>
            <w:r>
              <w:rPr/>
              <w:t>—</w:t>
            </w:r>
          </w:p>
        </w:tc>
        <w:tc>
          <w:tcPr>
            <w:tcW w:w="33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1300" w:type="dxa"/>
            <w:tcBorders/>
            <w:shd w:fill="auto" w:val="clear"/>
            <w:vAlign w:val="center"/>
          </w:tcPr>
          <w:p>
            <w:pPr>
              <w:pStyle w:val="TableContents"/>
              <w:spacing w:before="0" w:after="283"/>
              <w:jc w:val="right"/>
              <w:rPr/>
            </w:pPr>
            <w:r>
              <w:rPr/>
              <w:t>—</w:t>
            </w:r>
          </w:p>
        </w:tc>
        <w:tc>
          <w:tcPr>
            <w:tcW w:w="75" w:type="dxa"/>
            <w:tcBorders/>
            <w:shd w:fill="auto" w:val="clear"/>
            <w:vAlign w:val="center"/>
          </w:tcPr>
          <w:p>
            <w:pPr>
              <w:pStyle w:val="TableContents"/>
              <w:spacing w:before="0" w:after="283"/>
              <w:rPr/>
            </w:pPr>
            <w:r>
              <w:rPr/>
              <w:t> </w:t>
            </w:r>
          </w:p>
        </w:tc>
      </w:tr>
      <w:tr>
        <w:trPr/>
        <w:tc>
          <w:tcPr>
            <w:tcW w:w="6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873" w:type="dxa"/>
            <w:tcBorders/>
            <w:shd w:fill="auto" w:val="clear"/>
            <w:vAlign w:val="center"/>
          </w:tcPr>
          <w:p>
            <w:pPr>
              <w:pStyle w:val="TableContents"/>
              <w:spacing w:before="0" w:after="283"/>
              <w:jc w:val="right"/>
              <w:rPr/>
            </w:pPr>
            <w:r>
              <w:rPr/>
              <w:t>65,574</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1" w:type="dxa"/>
            <w:tcBorders/>
            <w:shd w:fill="auto" w:val="clear"/>
            <w:vAlign w:val="center"/>
          </w:tcPr>
          <w:p>
            <w:pPr>
              <w:pStyle w:val="TableContents"/>
              <w:spacing w:before="0" w:after="283"/>
              <w:rPr/>
            </w:pPr>
            <w:r>
              <w:rPr/>
              <w:t> </w:t>
            </w:r>
          </w:p>
        </w:tc>
        <w:tc>
          <w:tcPr>
            <w:tcW w:w="1039"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15" w:type="dxa"/>
            <w:tcBorders/>
            <w:shd w:fill="auto" w:val="clear"/>
            <w:vAlign w:val="center"/>
          </w:tcPr>
          <w:p>
            <w:pPr>
              <w:pStyle w:val="TableContents"/>
              <w:spacing w:before="0" w:after="283"/>
              <w:jc w:val="right"/>
              <w:rPr/>
            </w:pPr>
            <w:r>
              <w:rPr/>
              <w:t>45.18</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10" w:type="dxa"/>
            <w:tcBorders/>
            <w:shd w:fill="auto" w:val="clear"/>
            <w:vAlign w:val="center"/>
          </w:tcPr>
          <w:p>
            <w:pPr>
              <w:pStyle w:val="TableContents"/>
              <w:spacing w:before="0" w:after="283"/>
              <w:jc w:val="right"/>
              <w:rPr/>
            </w:pPr>
            <w:r>
              <w:rPr/>
              <w:t>3/3/2027</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1065" w:type="dxa"/>
            <w:tcBorders/>
            <w:shd w:fill="auto" w:val="clear"/>
            <w:vAlign w:val="center"/>
          </w:tcPr>
          <w:p>
            <w:pPr>
              <w:pStyle w:val="TableContents"/>
              <w:spacing w:before="0" w:after="283"/>
              <w:jc w:val="right"/>
              <w:rPr/>
            </w:pPr>
            <w:r>
              <w:rPr/>
              <w:t>—</w:t>
            </w:r>
          </w:p>
        </w:tc>
        <w:tc>
          <w:tcPr>
            <w:tcW w:w="33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1300" w:type="dxa"/>
            <w:tcBorders/>
            <w:shd w:fill="auto" w:val="clear"/>
            <w:vAlign w:val="center"/>
          </w:tcPr>
          <w:p>
            <w:pPr>
              <w:pStyle w:val="TableContents"/>
              <w:spacing w:before="0" w:after="283"/>
              <w:jc w:val="right"/>
              <w:rPr/>
            </w:pPr>
            <w:r>
              <w:rPr/>
              <w:t>—</w:t>
            </w:r>
          </w:p>
        </w:tc>
        <w:tc>
          <w:tcPr>
            <w:tcW w:w="75" w:type="dxa"/>
            <w:tcBorders/>
            <w:shd w:fill="auto" w:val="clear"/>
            <w:vAlign w:val="center"/>
          </w:tcPr>
          <w:p>
            <w:pPr>
              <w:pStyle w:val="TableContents"/>
              <w:spacing w:before="0" w:after="283"/>
              <w:rPr/>
            </w:pPr>
            <w:r>
              <w:rPr/>
              <w:t> </w:t>
            </w:r>
          </w:p>
        </w:tc>
      </w:tr>
      <w:tr>
        <w:trPr/>
        <w:tc>
          <w:tcPr>
            <w:tcW w:w="6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873" w:type="dxa"/>
            <w:tcBorders/>
            <w:shd w:fill="auto" w:val="clear"/>
            <w:vAlign w:val="center"/>
          </w:tcPr>
          <w:p>
            <w:pPr>
              <w:pStyle w:val="TableContents"/>
              <w:spacing w:before="0" w:after="283"/>
              <w:jc w:val="right"/>
              <w:rPr/>
            </w:pPr>
            <w:r>
              <w:rPr/>
              <w:t>71,600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1" w:type="dxa"/>
            <w:tcBorders/>
            <w:shd w:fill="auto" w:val="clear"/>
            <w:vAlign w:val="center"/>
          </w:tcPr>
          <w:p>
            <w:pPr>
              <w:pStyle w:val="TableContents"/>
              <w:spacing w:before="0" w:after="283"/>
              <w:rPr/>
            </w:pPr>
            <w:r>
              <w:rPr/>
              <w:t> </w:t>
            </w:r>
          </w:p>
        </w:tc>
        <w:tc>
          <w:tcPr>
            <w:tcW w:w="1039"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15" w:type="dxa"/>
            <w:tcBorders/>
            <w:shd w:fill="auto" w:val="clear"/>
            <w:vAlign w:val="center"/>
          </w:tcPr>
          <w:p>
            <w:pPr>
              <w:pStyle w:val="TableContents"/>
              <w:spacing w:before="0" w:after="283"/>
              <w:jc w:val="right"/>
              <w:rPr/>
            </w:pPr>
            <w:r>
              <w:rPr/>
              <w:t>40.97</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10" w:type="dxa"/>
            <w:tcBorders/>
            <w:shd w:fill="auto" w:val="clear"/>
            <w:vAlign w:val="center"/>
          </w:tcPr>
          <w:p>
            <w:pPr>
              <w:pStyle w:val="TableContents"/>
              <w:spacing w:before="0" w:after="283"/>
              <w:jc w:val="right"/>
              <w:rPr/>
            </w:pPr>
            <w:r>
              <w:rPr/>
              <w:t>3/2/2028</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1065" w:type="dxa"/>
            <w:tcBorders/>
            <w:shd w:fill="auto" w:val="clear"/>
            <w:vAlign w:val="center"/>
          </w:tcPr>
          <w:p>
            <w:pPr>
              <w:pStyle w:val="TableContents"/>
              <w:spacing w:before="0" w:after="283"/>
              <w:jc w:val="right"/>
              <w:rPr/>
            </w:pPr>
            <w:r>
              <w:rPr/>
              <w:t>—</w:t>
            </w:r>
          </w:p>
        </w:tc>
        <w:tc>
          <w:tcPr>
            <w:tcW w:w="33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1300" w:type="dxa"/>
            <w:tcBorders/>
            <w:shd w:fill="auto" w:val="clear"/>
            <w:vAlign w:val="center"/>
          </w:tcPr>
          <w:p>
            <w:pPr>
              <w:pStyle w:val="TableContents"/>
              <w:spacing w:before="0" w:after="283"/>
              <w:jc w:val="right"/>
              <w:rPr/>
            </w:pPr>
            <w:r>
              <w:rPr/>
              <w:t>—</w:t>
            </w:r>
          </w:p>
        </w:tc>
        <w:tc>
          <w:tcPr>
            <w:tcW w:w="75" w:type="dxa"/>
            <w:tcBorders/>
            <w:shd w:fill="auto" w:val="clear"/>
            <w:vAlign w:val="center"/>
          </w:tcPr>
          <w:p>
            <w:pPr>
              <w:pStyle w:val="TableContents"/>
              <w:spacing w:before="0" w:after="283"/>
              <w:rPr/>
            </w:pPr>
            <w:r>
              <w:rPr/>
              <w:t> </w:t>
            </w:r>
          </w:p>
        </w:tc>
      </w:tr>
      <w:tr>
        <w:trPr/>
        <w:tc>
          <w:tcPr>
            <w:tcW w:w="6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873" w:type="dxa"/>
            <w:tcBorders/>
            <w:shd w:fill="auto" w:val="clear"/>
            <w:vAlign w:val="center"/>
          </w:tcPr>
          <w:p>
            <w:pPr>
              <w:pStyle w:val="TableContents"/>
              <w:spacing w:before="0" w:after="283"/>
              <w:jc w:val="right"/>
              <w:rPr/>
            </w:pPr>
            <w:r>
              <w:rPr/>
              <w:t>60,053</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1" w:type="dxa"/>
            <w:tcBorders/>
            <w:shd w:fill="auto" w:val="clear"/>
            <w:vAlign w:val="center"/>
          </w:tcPr>
          <w:p>
            <w:pPr>
              <w:pStyle w:val="TableContents"/>
              <w:spacing w:before="0" w:after="283"/>
              <w:rPr/>
            </w:pPr>
            <w:r>
              <w:rPr/>
              <w:t> </w:t>
            </w:r>
          </w:p>
        </w:tc>
        <w:tc>
          <w:tcPr>
            <w:tcW w:w="1039"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15" w:type="dxa"/>
            <w:tcBorders/>
            <w:shd w:fill="auto" w:val="clear"/>
            <w:vAlign w:val="center"/>
          </w:tcPr>
          <w:p>
            <w:pPr>
              <w:pStyle w:val="TableContents"/>
              <w:spacing w:before="0" w:after="283"/>
              <w:jc w:val="right"/>
              <w:rPr/>
            </w:pPr>
            <w:r>
              <w:rPr/>
              <w:t>27.45</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10" w:type="dxa"/>
            <w:tcBorders/>
            <w:shd w:fill="auto" w:val="clear"/>
            <w:vAlign w:val="center"/>
          </w:tcPr>
          <w:p>
            <w:pPr>
              <w:pStyle w:val="TableContents"/>
              <w:spacing w:before="0" w:after="283"/>
              <w:jc w:val="right"/>
              <w:rPr/>
            </w:pPr>
            <w:r>
              <w:rPr/>
              <w:t>3/1/2029</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1065" w:type="dxa"/>
            <w:tcBorders/>
            <w:shd w:fill="auto" w:val="clear"/>
            <w:vAlign w:val="center"/>
          </w:tcPr>
          <w:p>
            <w:pPr>
              <w:pStyle w:val="TableContents"/>
              <w:spacing w:before="0" w:after="283"/>
              <w:jc w:val="right"/>
              <w:rPr/>
            </w:pPr>
            <w:r>
              <w:rPr/>
              <w:t>—</w:t>
            </w:r>
          </w:p>
        </w:tc>
        <w:tc>
          <w:tcPr>
            <w:tcW w:w="33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1300" w:type="dxa"/>
            <w:tcBorders/>
            <w:shd w:fill="auto" w:val="clear"/>
            <w:vAlign w:val="center"/>
          </w:tcPr>
          <w:p>
            <w:pPr>
              <w:pStyle w:val="TableContents"/>
              <w:spacing w:before="0" w:after="283"/>
              <w:jc w:val="right"/>
              <w:rPr/>
            </w:pPr>
            <w:r>
              <w:rPr/>
              <w:t>—</w:t>
            </w:r>
          </w:p>
        </w:tc>
        <w:tc>
          <w:tcPr>
            <w:tcW w:w="75" w:type="dxa"/>
            <w:tcBorders/>
            <w:shd w:fill="auto" w:val="clear"/>
            <w:vAlign w:val="center"/>
          </w:tcPr>
          <w:p>
            <w:pPr>
              <w:pStyle w:val="TableContents"/>
              <w:spacing w:before="0" w:after="283"/>
              <w:rPr/>
            </w:pPr>
            <w:r>
              <w:rPr/>
              <w:t> </w:t>
            </w:r>
          </w:p>
        </w:tc>
      </w:tr>
      <w:tr>
        <w:trPr/>
        <w:tc>
          <w:tcPr>
            <w:tcW w:w="6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873" w:type="dxa"/>
            <w:tcBorders/>
            <w:shd w:fill="auto" w:val="clear"/>
            <w:vAlign w:val="center"/>
          </w:tcPr>
          <w:p>
            <w:pPr>
              <w:pStyle w:val="TableContents"/>
              <w:spacing w:before="0" w:after="283"/>
              <w:jc w:val="right"/>
              <w:rPr/>
            </w:pPr>
            <w:r>
              <w:rPr/>
              <w:t>56,581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1" w:type="dxa"/>
            <w:tcBorders/>
            <w:shd w:fill="auto" w:val="clear"/>
            <w:vAlign w:val="center"/>
          </w:tcPr>
          <w:p>
            <w:pPr>
              <w:pStyle w:val="TableContents"/>
              <w:spacing w:before="0" w:after="283"/>
              <w:rPr/>
            </w:pPr>
            <w:r>
              <w:rPr/>
              <w:t> </w:t>
            </w:r>
          </w:p>
        </w:tc>
        <w:tc>
          <w:tcPr>
            <w:tcW w:w="1039" w:type="dxa"/>
            <w:tcBorders/>
            <w:shd w:fill="auto" w:val="clear"/>
            <w:vAlign w:val="center"/>
          </w:tcPr>
          <w:p>
            <w:pPr>
              <w:pStyle w:val="TableContents"/>
              <w:spacing w:before="0" w:after="283"/>
              <w:jc w:val="right"/>
              <w:rPr/>
            </w:pPr>
            <w:r>
              <w:rPr/>
              <w:t>28,290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15" w:type="dxa"/>
            <w:tcBorders/>
            <w:shd w:fill="auto" w:val="clear"/>
            <w:vAlign w:val="center"/>
          </w:tcPr>
          <w:p>
            <w:pPr>
              <w:pStyle w:val="TableContents"/>
              <w:spacing w:before="0" w:after="283"/>
              <w:jc w:val="right"/>
              <w:rPr/>
            </w:pPr>
            <w:r>
              <w:rPr/>
              <w:t>17.48</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10" w:type="dxa"/>
            <w:tcBorders/>
            <w:shd w:fill="auto" w:val="clear"/>
            <w:vAlign w:val="center"/>
          </w:tcPr>
          <w:p>
            <w:pPr>
              <w:pStyle w:val="TableContents"/>
              <w:spacing w:before="0" w:after="283"/>
              <w:jc w:val="right"/>
              <w:rPr/>
            </w:pPr>
            <w:r>
              <w:rPr/>
              <w:t>3/2/2030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1065" w:type="dxa"/>
            <w:tcBorders/>
            <w:shd w:fill="auto" w:val="clear"/>
            <w:vAlign w:val="center"/>
          </w:tcPr>
          <w:p>
            <w:pPr>
              <w:pStyle w:val="TableContents"/>
              <w:spacing w:before="0" w:after="283"/>
              <w:jc w:val="right"/>
              <w:rPr/>
            </w:pPr>
            <w:r>
              <w:rPr/>
              <w:t>—</w:t>
            </w:r>
          </w:p>
        </w:tc>
        <w:tc>
          <w:tcPr>
            <w:tcW w:w="33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1300" w:type="dxa"/>
            <w:tcBorders/>
            <w:shd w:fill="auto" w:val="clear"/>
            <w:vAlign w:val="center"/>
          </w:tcPr>
          <w:p>
            <w:pPr>
              <w:pStyle w:val="TableContents"/>
              <w:spacing w:before="0" w:after="283"/>
              <w:jc w:val="right"/>
              <w:rPr/>
            </w:pPr>
            <w:r>
              <w:rPr/>
              <w:t>—</w:t>
            </w:r>
          </w:p>
        </w:tc>
        <w:tc>
          <w:tcPr>
            <w:tcW w:w="75" w:type="dxa"/>
            <w:tcBorders/>
            <w:shd w:fill="auto" w:val="clear"/>
            <w:vAlign w:val="center"/>
          </w:tcPr>
          <w:p>
            <w:pPr>
              <w:pStyle w:val="TableContents"/>
              <w:spacing w:before="0" w:after="283"/>
              <w:rPr/>
            </w:pPr>
            <w:r>
              <w:rPr/>
              <w:t> </w:t>
            </w:r>
          </w:p>
        </w:tc>
      </w:tr>
      <w:tr>
        <w:trPr/>
        <w:tc>
          <w:tcPr>
            <w:tcW w:w="6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873"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1" w:type="dxa"/>
            <w:tcBorders/>
            <w:shd w:fill="auto" w:val="clear"/>
            <w:vAlign w:val="center"/>
          </w:tcPr>
          <w:p>
            <w:pPr>
              <w:pStyle w:val="TableContents"/>
              <w:spacing w:before="0" w:after="283"/>
              <w:rPr/>
            </w:pPr>
            <w:r>
              <w:rPr/>
              <w:t> </w:t>
            </w:r>
          </w:p>
        </w:tc>
        <w:tc>
          <w:tcPr>
            <w:tcW w:w="1039"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15"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1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52,632</w:t>
            </w:r>
          </w:p>
        </w:tc>
        <w:tc>
          <w:tcPr>
            <w:tcW w:w="215" w:type="dxa"/>
            <w:tcBorders/>
            <w:shd w:fill="auto" w:val="clear"/>
            <w:vAlign w:val="center"/>
          </w:tcPr>
          <w:p>
            <w:pPr>
              <w:pStyle w:val="TableContents"/>
              <w:spacing w:before="0" w:after="283"/>
              <w:rPr/>
            </w:pPr>
            <w:r>
              <w:rPr/>
              <w:t>(8)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585,794</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1065" w:type="dxa"/>
            <w:tcBorders/>
            <w:shd w:fill="auto" w:val="clear"/>
            <w:vAlign w:val="center"/>
          </w:tcPr>
          <w:p>
            <w:pPr>
              <w:pStyle w:val="TableContents"/>
              <w:spacing w:before="0" w:after="283"/>
              <w:jc w:val="right"/>
              <w:rPr/>
            </w:pPr>
            <w:r>
              <w:rPr/>
              <w:t>—</w:t>
            </w:r>
          </w:p>
        </w:tc>
        <w:tc>
          <w:tcPr>
            <w:tcW w:w="33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1300" w:type="dxa"/>
            <w:tcBorders/>
            <w:shd w:fill="auto" w:val="clear"/>
            <w:vAlign w:val="center"/>
          </w:tcPr>
          <w:p>
            <w:pPr>
              <w:pStyle w:val="TableContents"/>
              <w:spacing w:before="0" w:after="283"/>
              <w:jc w:val="right"/>
              <w:rPr/>
            </w:pPr>
            <w:r>
              <w:rPr/>
              <w:t>—</w:t>
            </w:r>
          </w:p>
        </w:tc>
        <w:tc>
          <w:tcPr>
            <w:tcW w:w="75" w:type="dxa"/>
            <w:tcBorders/>
            <w:shd w:fill="auto" w:val="clear"/>
            <w:vAlign w:val="center"/>
          </w:tcPr>
          <w:p>
            <w:pPr>
              <w:pStyle w:val="TableContents"/>
              <w:spacing w:before="0" w:after="283"/>
              <w:rPr/>
            </w:pPr>
            <w:r>
              <w:rPr/>
              <w:t> </w:t>
            </w:r>
          </w:p>
        </w:tc>
      </w:tr>
      <w:tr>
        <w:trPr/>
        <w:tc>
          <w:tcPr>
            <w:tcW w:w="6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873"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1" w:type="dxa"/>
            <w:tcBorders/>
            <w:shd w:fill="auto" w:val="clear"/>
            <w:vAlign w:val="center"/>
          </w:tcPr>
          <w:p>
            <w:pPr>
              <w:pStyle w:val="TableContents"/>
              <w:spacing w:before="0" w:after="283"/>
              <w:rPr/>
            </w:pPr>
            <w:r>
              <w:rPr/>
              <w:t> </w:t>
            </w:r>
          </w:p>
        </w:tc>
        <w:tc>
          <w:tcPr>
            <w:tcW w:w="1039"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15"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1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197,369</w:t>
            </w:r>
          </w:p>
        </w:tc>
        <w:tc>
          <w:tcPr>
            <w:tcW w:w="215" w:type="dxa"/>
            <w:tcBorders/>
            <w:shd w:fill="auto" w:val="clear"/>
            <w:vAlign w:val="center"/>
          </w:tcPr>
          <w:p>
            <w:pPr>
              <w:pStyle w:val="TableContents"/>
              <w:spacing w:before="0" w:after="283"/>
              <w:rPr/>
            </w:pPr>
            <w:r>
              <w:rPr/>
              <w:t>(9)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2,196,717</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1065" w:type="dxa"/>
            <w:tcBorders/>
            <w:shd w:fill="auto" w:val="clear"/>
            <w:vAlign w:val="center"/>
          </w:tcPr>
          <w:p>
            <w:pPr>
              <w:pStyle w:val="TableContents"/>
              <w:spacing w:before="0" w:after="283"/>
              <w:jc w:val="right"/>
              <w:rPr/>
            </w:pPr>
            <w:r>
              <w:rPr/>
              <w:t>—</w:t>
            </w:r>
          </w:p>
        </w:tc>
        <w:tc>
          <w:tcPr>
            <w:tcW w:w="33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1300" w:type="dxa"/>
            <w:tcBorders/>
            <w:shd w:fill="auto" w:val="clear"/>
            <w:vAlign w:val="center"/>
          </w:tcPr>
          <w:p>
            <w:pPr>
              <w:pStyle w:val="TableContents"/>
              <w:spacing w:before="0" w:after="283"/>
              <w:jc w:val="right"/>
              <w:rPr/>
            </w:pPr>
            <w:r>
              <w:rPr/>
              <w:t>—</w:t>
            </w:r>
          </w:p>
        </w:tc>
        <w:tc>
          <w:tcPr>
            <w:tcW w:w="75" w:type="dxa"/>
            <w:tcBorders/>
            <w:shd w:fill="auto" w:val="clear"/>
            <w:vAlign w:val="center"/>
          </w:tcPr>
          <w:p>
            <w:pPr>
              <w:pStyle w:val="TableContents"/>
              <w:spacing w:before="0" w:after="283"/>
              <w:rPr/>
            </w:pPr>
            <w:r>
              <w:rPr/>
              <w:t> </w:t>
            </w:r>
          </w:p>
        </w:tc>
      </w:tr>
      <w:tr>
        <w:trPr/>
        <w:tc>
          <w:tcPr>
            <w:tcW w:w="6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873"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1" w:type="dxa"/>
            <w:tcBorders/>
            <w:shd w:fill="auto" w:val="clear"/>
            <w:vAlign w:val="center"/>
          </w:tcPr>
          <w:p>
            <w:pPr>
              <w:pStyle w:val="TableContents"/>
              <w:spacing w:before="0" w:after="283"/>
              <w:rPr/>
            </w:pPr>
            <w:r>
              <w:rPr/>
              <w:t> </w:t>
            </w:r>
          </w:p>
        </w:tc>
        <w:tc>
          <w:tcPr>
            <w:tcW w:w="1039"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15"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1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144,985</w:t>
            </w:r>
          </w:p>
        </w:tc>
        <w:tc>
          <w:tcPr>
            <w:tcW w:w="215" w:type="dxa"/>
            <w:tcBorders/>
            <w:shd w:fill="auto" w:val="clear"/>
            <w:vAlign w:val="center"/>
          </w:tcPr>
          <w:p>
            <w:pPr>
              <w:pStyle w:val="TableContents"/>
              <w:spacing w:before="0" w:after="283"/>
              <w:rPr/>
            </w:pPr>
            <w:r>
              <w:rPr/>
              <w:t>(4)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1,613,686</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1065" w:type="dxa"/>
            <w:tcBorders/>
            <w:shd w:fill="auto" w:val="clear"/>
            <w:vAlign w:val="center"/>
          </w:tcPr>
          <w:p>
            <w:pPr>
              <w:pStyle w:val="TableContents"/>
              <w:spacing w:before="0" w:after="283"/>
              <w:jc w:val="right"/>
              <w:rPr/>
            </w:pPr>
            <w:r>
              <w:rPr/>
              <w:t>324,365</w:t>
            </w:r>
          </w:p>
        </w:tc>
        <w:tc>
          <w:tcPr>
            <w:tcW w:w="335" w:type="dxa"/>
            <w:tcBorders/>
            <w:shd w:fill="auto" w:val="clear"/>
            <w:vAlign w:val="center"/>
          </w:tcPr>
          <w:p>
            <w:pPr>
              <w:pStyle w:val="TableContents"/>
              <w:spacing w:before="0" w:after="283"/>
              <w:rPr/>
            </w:pPr>
            <w:r>
              <w:rPr/>
              <w:t>(6) </w:t>
            </w:r>
          </w:p>
        </w:tc>
        <w:tc>
          <w:tcPr>
            <w:tcW w:w="6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1300" w:type="dxa"/>
            <w:tcBorders/>
            <w:shd w:fill="auto" w:val="clear"/>
            <w:vAlign w:val="center"/>
          </w:tcPr>
          <w:p>
            <w:pPr>
              <w:pStyle w:val="TableContents"/>
              <w:spacing w:before="0" w:after="283"/>
              <w:jc w:val="right"/>
              <w:rPr/>
            </w:pPr>
            <w:r>
              <w:rPr/>
              <w:t>3,610,182</w:t>
            </w:r>
          </w:p>
        </w:tc>
        <w:tc>
          <w:tcPr>
            <w:tcW w:w="75" w:type="dxa"/>
            <w:tcBorders/>
            <w:shd w:fill="auto" w:val="clear"/>
            <w:vAlign w:val="center"/>
          </w:tcPr>
          <w:p>
            <w:pPr>
              <w:pStyle w:val="TableContents"/>
              <w:spacing w:before="0" w:after="283"/>
              <w:rPr/>
            </w:pPr>
            <w:r>
              <w:rPr/>
              <w:t> </w:t>
            </w:r>
          </w:p>
        </w:tc>
      </w:tr>
      <w:tr>
        <w:trPr/>
        <w:tc>
          <w:tcPr>
            <w:tcW w:w="6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873"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1" w:type="dxa"/>
            <w:tcBorders/>
            <w:shd w:fill="auto" w:val="clear"/>
            <w:vAlign w:val="center"/>
          </w:tcPr>
          <w:p>
            <w:pPr>
              <w:pStyle w:val="TableContents"/>
              <w:spacing w:before="0" w:after="283"/>
              <w:rPr/>
            </w:pPr>
            <w:r>
              <w:rPr/>
              <w:t> </w:t>
            </w:r>
          </w:p>
        </w:tc>
        <w:tc>
          <w:tcPr>
            <w:tcW w:w="1039"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15"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1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255,940</w:t>
            </w:r>
          </w:p>
        </w:tc>
        <w:tc>
          <w:tcPr>
            <w:tcW w:w="215" w:type="dxa"/>
            <w:tcBorders/>
            <w:shd w:fill="auto" w:val="clear"/>
            <w:vAlign w:val="center"/>
          </w:tcPr>
          <w:p>
            <w:pPr>
              <w:pStyle w:val="TableContents"/>
              <w:spacing w:before="0" w:after="283"/>
              <w:rPr/>
            </w:pPr>
            <w:r>
              <w:rPr/>
              <w:t>(5)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2,848,612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1065" w:type="dxa"/>
            <w:tcBorders/>
            <w:shd w:fill="auto" w:val="clear"/>
            <w:vAlign w:val="center"/>
          </w:tcPr>
          <w:p>
            <w:pPr>
              <w:pStyle w:val="TableContents"/>
              <w:spacing w:before="0" w:after="283"/>
              <w:jc w:val="right"/>
              <w:rPr/>
            </w:pPr>
            <w:r>
              <w:rPr/>
              <w:t>475,318</w:t>
            </w:r>
          </w:p>
        </w:tc>
        <w:tc>
          <w:tcPr>
            <w:tcW w:w="335" w:type="dxa"/>
            <w:tcBorders/>
            <w:shd w:fill="auto" w:val="clear"/>
            <w:vAlign w:val="center"/>
          </w:tcPr>
          <w:p>
            <w:pPr>
              <w:pStyle w:val="TableContents"/>
              <w:spacing w:before="0" w:after="283"/>
              <w:rPr/>
            </w:pPr>
            <w:r>
              <w:rPr/>
              <w:t>(7) </w:t>
            </w:r>
          </w:p>
        </w:tc>
        <w:tc>
          <w:tcPr>
            <w:tcW w:w="6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1300" w:type="dxa"/>
            <w:tcBorders/>
            <w:shd w:fill="auto" w:val="clear"/>
            <w:vAlign w:val="center"/>
          </w:tcPr>
          <w:p>
            <w:pPr>
              <w:pStyle w:val="TableContents"/>
              <w:spacing w:before="0" w:after="283"/>
              <w:jc w:val="right"/>
              <w:rPr/>
            </w:pPr>
            <w:r>
              <w:rPr/>
              <w:t>5,290,289</w:t>
            </w:r>
          </w:p>
        </w:tc>
        <w:tc>
          <w:tcPr>
            <w:tcW w:w="75" w:type="dxa"/>
            <w:tcBorders/>
            <w:shd w:fill="auto" w:val="clear"/>
            <w:vAlign w:val="center"/>
          </w:tcPr>
          <w:p>
            <w:pPr>
              <w:pStyle w:val="TableContents"/>
              <w:spacing w:before="0" w:after="283"/>
              <w:rPr/>
            </w:pPr>
            <w:r>
              <w:rPr/>
              <w:t> </w:t>
            </w:r>
          </w:p>
        </w:tc>
      </w:tr>
      <w:tr>
        <w:trPr/>
        <w:tc>
          <w:tcPr>
            <w:tcW w:w="635" w:type="dxa"/>
            <w:vMerge w:val="restart"/>
            <w:tcBorders/>
            <w:shd w:fill="EAEAEA" w:val="clear"/>
            <w:vAlign w:val="center"/>
          </w:tcPr>
          <w:p>
            <w:pPr>
              <w:pStyle w:val="TableContents"/>
              <w:spacing w:before="0" w:after="0"/>
              <w:rPr>
                <w:rFonts w:ascii="arial" w:hAnsi="arial"/>
                <w:b/>
                <w:sz w:val="15"/>
              </w:rPr>
            </w:pPr>
            <w:r>
              <w:rPr>
                <w:rFonts w:ascii="arial" w:hAnsi="arial"/>
                <w:b/>
                <w:sz w:val="15"/>
              </w:rPr>
              <w:t>Anthony Mauro</w:t>
            </w:r>
          </w:p>
        </w:tc>
        <w:tc>
          <w:tcPr>
            <w:tcW w:w="60" w:type="dxa"/>
            <w:tcBorders/>
            <w:shd w:fill="EAEAEA" w:val="clear"/>
            <w:vAlign w:val="center"/>
          </w:tcPr>
          <w:p>
            <w:pPr>
              <w:pStyle w:val="TableContents"/>
              <w:spacing w:before="0" w:after="283"/>
              <w:rPr/>
            </w:pPr>
            <w:r>
              <w:rPr/>
              <w:t> </w:t>
            </w:r>
          </w:p>
        </w:tc>
        <w:tc>
          <w:tcPr>
            <w:tcW w:w="77" w:type="dxa"/>
            <w:tcBorders/>
            <w:shd w:fill="EAEAEA" w:val="clear"/>
            <w:vAlign w:val="center"/>
          </w:tcPr>
          <w:p>
            <w:pPr>
              <w:pStyle w:val="TableContents"/>
              <w:spacing w:before="0" w:after="283"/>
              <w:rPr/>
            </w:pPr>
            <w:r>
              <w:rPr/>
              <w:t> </w:t>
            </w:r>
          </w:p>
        </w:tc>
        <w:tc>
          <w:tcPr>
            <w:tcW w:w="873" w:type="dxa"/>
            <w:tcBorders/>
            <w:shd w:fill="EAEAEA" w:val="clear"/>
            <w:vAlign w:val="center"/>
          </w:tcPr>
          <w:p>
            <w:pPr>
              <w:pStyle w:val="TableContents"/>
              <w:spacing w:before="0" w:after="283"/>
              <w:jc w:val="right"/>
              <w:rPr/>
            </w:pPr>
            <w:r>
              <w:rPr/>
              <w:t>3,236</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91" w:type="dxa"/>
            <w:tcBorders/>
            <w:shd w:fill="EAEAEA" w:val="clear"/>
            <w:vAlign w:val="center"/>
          </w:tcPr>
          <w:p>
            <w:pPr>
              <w:pStyle w:val="TableContents"/>
              <w:spacing w:before="0" w:after="283"/>
              <w:rPr/>
            </w:pPr>
            <w:r>
              <w:rPr/>
              <w:t> </w:t>
            </w:r>
          </w:p>
        </w:tc>
        <w:tc>
          <w:tcPr>
            <w:tcW w:w="1039" w:type="dxa"/>
            <w:tcBorders/>
            <w:shd w:fill="EAEAEA" w:val="clear"/>
            <w:vAlign w:val="center"/>
          </w:tcPr>
          <w:p>
            <w:pPr>
              <w:pStyle w:val="TableContents"/>
              <w:spacing w:before="0" w:after="283"/>
              <w:jc w:val="right"/>
              <w:rPr/>
            </w:pPr>
            <w:r>
              <w:rPr/>
              <w:t>—</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65" w:type="dxa"/>
            <w:tcBorders/>
            <w:shd w:fill="EAEAEA" w:val="clear"/>
            <w:vAlign w:val="center"/>
          </w:tcPr>
          <w:p>
            <w:pPr>
              <w:pStyle w:val="TableContents"/>
              <w:spacing w:before="0" w:after="283"/>
              <w:rPr/>
            </w:pPr>
            <w:r>
              <w:rPr/>
              <w:t> </w:t>
            </w:r>
          </w:p>
        </w:tc>
        <w:tc>
          <w:tcPr>
            <w:tcW w:w="615" w:type="dxa"/>
            <w:tcBorders/>
            <w:shd w:fill="EAEAEA" w:val="clear"/>
            <w:vAlign w:val="center"/>
          </w:tcPr>
          <w:p>
            <w:pPr>
              <w:pStyle w:val="TableContents"/>
              <w:spacing w:before="0" w:after="283"/>
              <w:jc w:val="right"/>
              <w:rPr/>
            </w:pPr>
            <w:r>
              <w:rPr/>
              <w:t>30.90</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710" w:type="dxa"/>
            <w:tcBorders/>
            <w:shd w:fill="EAEAEA" w:val="clear"/>
            <w:vAlign w:val="center"/>
          </w:tcPr>
          <w:p>
            <w:pPr>
              <w:pStyle w:val="TableContents"/>
              <w:spacing w:before="0" w:after="283"/>
              <w:jc w:val="right"/>
              <w:rPr/>
            </w:pPr>
            <w:r>
              <w:rPr/>
              <w:t>3/6/2023</w:t>
            </w:r>
          </w:p>
        </w:tc>
        <w:tc>
          <w:tcPr>
            <w:tcW w:w="60" w:type="dxa"/>
            <w:tcBorders/>
            <w:shd w:fill="EAEAEA"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800" w:type="dxa"/>
            <w:tcBorders/>
            <w:shd w:fill="EAEAEA" w:val="clear"/>
            <w:vAlign w:val="center"/>
          </w:tcPr>
          <w:p>
            <w:pPr>
              <w:pStyle w:val="TableContents"/>
              <w:spacing w:before="0" w:after="283"/>
              <w:jc w:val="right"/>
              <w:rPr/>
            </w:pPr>
            <w:r>
              <w:rPr/>
              <w:t>—</w:t>
            </w:r>
          </w:p>
        </w:tc>
        <w:tc>
          <w:tcPr>
            <w:tcW w:w="215"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980" w:type="dxa"/>
            <w:tcBorders/>
            <w:shd w:fill="EAEAEA" w:val="clear"/>
            <w:vAlign w:val="center"/>
          </w:tcPr>
          <w:p>
            <w:pPr>
              <w:pStyle w:val="TableContents"/>
              <w:spacing w:before="0" w:after="283"/>
              <w:jc w:val="right"/>
              <w:rPr/>
            </w:pPr>
            <w:r>
              <w:rPr/>
              <w:t>—</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65" w:type="dxa"/>
            <w:tcBorders/>
            <w:shd w:fill="EAEAEA" w:val="clear"/>
            <w:vAlign w:val="center"/>
          </w:tcPr>
          <w:p>
            <w:pPr>
              <w:pStyle w:val="TableContents"/>
              <w:spacing w:before="0" w:after="283"/>
              <w:rPr/>
            </w:pPr>
            <w:r>
              <w:rPr/>
              <w:t> </w:t>
            </w:r>
          </w:p>
        </w:tc>
        <w:tc>
          <w:tcPr>
            <w:tcW w:w="1065" w:type="dxa"/>
            <w:tcBorders/>
            <w:shd w:fill="EAEAEA" w:val="clear"/>
            <w:vAlign w:val="center"/>
          </w:tcPr>
          <w:p>
            <w:pPr>
              <w:pStyle w:val="TableContents"/>
              <w:spacing w:before="0" w:after="283"/>
              <w:jc w:val="right"/>
              <w:rPr/>
            </w:pPr>
            <w:r>
              <w:rPr/>
              <w:t>—</w:t>
            </w:r>
          </w:p>
        </w:tc>
        <w:tc>
          <w:tcPr>
            <w:tcW w:w="335"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70" w:type="dxa"/>
            <w:tcBorders/>
            <w:shd w:fill="EAEAEA" w:val="clear"/>
            <w:vAlign w:val="center"/>
          </w:tcPr>
          <w:p>
            <w:pPr>
              <w:pStyle w:val="TableContents"/>
              <w:spacing w:before="0" w:after="283"/>
              <w:rPr/>
            </w:pPr>
            <w:r>
              <w:rPr/>
              <w:t> </w:t>
            </w:r>
          </w:p>
        </w:tc>
        <w:tc>
          <w:tcPr>
            <w:tcW w:w="1300" w:type="dxa"/>
            <w:tcBorders/>
            <w:shd w:fill="EAEAEA" w:val="clear"/>
            <w:vAlign w:val="center"/>
          </w:tcPr>
          <w:p>
            <w:pPr>
              <w:pStyle w:val="TableContents"/>
              <w:spacing w:before="0" w:after="283"/>
              <w:jc w:val="right"/>
              <w:rPr/>
            </w:pPr>
            <w:r>
              <w:rPr/>
              <w:t>—</w:t>
            </w:r>
          </w:p>
        </w:tc>
        <w:tc>
          <w:tcPr>
            <w:tcW w:w="75" w:type="dxa"/>
            <w:tcBorders/>
            <w:shd w:fill="EAEAEA" w:val="clear"/>
            <w:vAlign w:val="center"/>
          </w:tcPr>
          <w:p>
            <w:pPr>
              <w:pStyle w:val="TableContents"/>
              <w:spacing w:before="0" w:after="283"/>
              <w:rPr/>
            </w:pPr>
            <w:r>
              <w:rPr/>
              <w:t> </w:t>
            </w:r>
          </w:p>
        </w:tc>
      </w:tr>
      <w:tr>
        <w:trPr/>
        <w:tc>
          <w:tcPr>
            <w:tcW w:w="635" w:type="dxa"/>
            <w:vMerge w:val="continue"/>
            <w:tcBorders/>
            <w:shd w:fill="EAEAEA" w:val="clear"/>
            <w:vAlign w:val="center"/>
          </w:tcPr>
          <w:p>
            <w:pPr>
              <w:pStyle w:val="Normal"/>
              <w:rPr/>
            </w:pPr>
            <w:r>
              <w:rPr/>
            </w:r>
          </w:p>
        </w:tc>
        <w:tc>
          <w:tcPr>
            <w:tcW w:w="60" w:type="dxa"/>
            <w:tcBorders/>
            <w:shd w:fill="EAEAEA" w:val="clear"/>
            <w:vAlign w:val="center"/>
          </w:tcPr>
          <w:p>
            <w:pPr>
              <w:pStyle w:val="TableContents"/>
              <w:spacing w:before="0" w:after="283"/>
              <w:rPr/>
            </w:pPr>
            <w:r>
              <w:rPr/>
              <w:t> </w:t>
            </w:r>
          </w:p>
        </w:tc>
        <w:tc>
          <w:tcPr>
            <w:tcW w:w="77" w:type="dxa"/>
            <w:tcBorders/>
            <w:shd w:fill="EAEAEA" w:val="clear"/>
            <w:vAlign w:val="center"/>
          </w:tcPr>
          <w:p>
            <w:pPr>
              <w:pStyle w:val="TableContents"/>
              <w:spacing w:before="0" w:after="283"/>
              <w:rPr/>
            </w:pPr>
            <w:r>
              <w:rPr/>
              <w:t> </w:t>
            </w:r>
          </w:p>
        </w:tc>
        <w:tc>
          <w:tcPr>
            <w:tcW w:w="873" w:type="dxa"/>
            <w:tcBorders/>
            <w:shd w:fill="EAEAEA" w:val="clear"/>
            <w:vAlign w:val="center"/>
          </w:tcPr>
          <w:p>
            <w:pPr>
              <w:pStyle w:val="TableContents"/>
              <w:spacing w:before="0" w:after="283"/>
              <w:jc w:val="right"/>
              <w:rPr/>
            </w:pPr>
            <w:r>
              <w:rPr/>
              <w:t>12,009</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91" w:type="dxa"/>
            <w:tcBorders/>
            <w:shd w:fill="EAEAEA" w:val="clear"/>
            <w:vAlign w:val="center"/>
          </w:tcPr>
          <w:p>
            <w:pPr>
              <w:pStyle w:val="TableContents"/>
              <w:spacing w:before="0" w:after="283"/>
              <w:rPr/>
            </w:pPr>
            <w:r>
              <w:rPr/>
              <w:t> </w:t>
            </w:r>
          </w:p>
        </w:tc>
        <w:tc>
          <w:tcPr>
            <w:tcW w:w="1039" w:type="dxa"/>
            <w:tcBorders/>
            <w:shd w:fill="EAEAEA" w:val="clear"/>
            <w:vAlign w:val="center"/>
          </w:tcPr>
          <w:p>
            <w:pPr>
              <w:pStyle w:val="TableContents"/>
              <w:spacing w:before="0" w:after="283"/>
              <w:jc w:val="right"/>
              <w:rPr/>
            </w:pPr>
            <w:r>
              <w:rPr/>
              <w:t>—</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65" w:type="dxa"/>
            <w:tcBorders/>
            <w:shd w:fill="EAEAEA" w:val="clear"/>
            <w:vAlign w:val="center"/>
          </w:tcPr>
          <w:p>
            <w:pPr>
              <w:pStyle w:val="TableContents"/>
              <w:spacing w:before="0" w:after="283"/>
              <w:rPr/>
            </w:pPr>
            <w:r>
              <w:rPr/>
              <w:t> </w:t>
            </w:r>
          </w:p>
        </w:tc>
        <w:tc>
          <w:tcPr>
            <w:tcW w:w="615" w:type="dxa"/>
            <w:tcBorders/>
            <w:shd w:fill="EAEAEA" w:val="clear"/>
            <w:vAlign w:val="center"/>
          </w:tcPr>
          <w:p>
            <w:pPr>
              <w:pStyle w:val="TableContents"/>
              <w:spacing w:before="0" w:after="283"/>
              <w:jc w:val="right"/>
              <w:rPr/>
            </w:pPr>
            <w:r>
              <w:rPr/>
              <w:t>55.84</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710" w:type="dxa"/>
            <w:tcBorders/>
            <w:shd w:fill="EAEAEA" w:val="clear"/>
            <w:vAlign w:val="center"/>
          </w:tcPr>
          <w:p>
            <w:pPr>
              <w:pStyle w:val="TableContents"/>
              <w:spacing w:before="0" w:after="283"/>
              <w:jc w:val="right"/>
              <w:rPr/>
            </w:pPr>
            <w:r>
              <w:rPr/>
              <w:t>3/5/2024</w:t>
            </w:r>
          </w:p>
        </w:tc>
        <w:tc>
          <w:tcPr>
            <w:tcW w:w="60" w:type="dxa"/>
            <w:tcBorders/>
            <w:shd w:fill="EAEAEA"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800" w:type="dxa"/>
            <w:tcBorders/>
            <w:shd w:fill="EAEAEA" w:val="clear"/>
            <w:vAlign w:val="center"/>
          </w:tcPr>
          <w:p>
            <w:pPr>
              <w:pStyle w:val="TableContents"/>
              <w:spacing w:before="0" w:after="283"/>
              <w:jc w:val="right"/>
              <w:rPr/>
            </w:pPr>
            <w:r>
              <w:rPr/>
              <w:t>—</w:t>
            </w:r>
          </w:p>
        </w:tc>
        <w:tc>
          <w:tcPr>
            <w:tcW w:w="215"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980" w:type="dxa"/>
            <w:tcBorders/>
            <w:shd w:fill="EAEAEA" w:val="clear"/>
            <w:vAlign w:val="center"/>
          </w:tcPr>
          <w:p>
            <w:pPr>
              <w:pStyle w:val="TableContents"/>
              <w:spacing w:before="0" w:after="283"/>
              <w:jc w:val="right"/>
              <w:rPr/>
            </w:pPr>
            <w:r>
              <w:rPr/>
              <w:t>—</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65" w:type="dxa"/>
            <w:tcBorders/>
            <w:shd w:fill="EAEAEA" w:val="clear"/>
            <w:vAlign w:val="center"/>
          </w:tcPr>
          <w:p>
            <w:pPr>
              <w:pStyle w:val="TableContents"/>
              <w:spacing w:before="0" w:after="283"/>
              <w:rPr/>
            </w:pPr>
            <w:r>
              <w:rPr/>
              <w:t> </w:t>
            </w:r>
          </w:p>
        </w:tc>
        <w:tc>
          <w:tcPr>
            <w:tcW w:w="1065" w:type="dxa"/>
            <w:tcBorders/>
            <w:shd w:fill="EAEAEA" w:val="clear"/>
            <w:vAlign w:val="center"/>
          </w:tcPr>
          <w:p>
            <w:pPr>
              <w:pStyle w:val="TableContents"/>
              <w:spacing w:before="0" w:after="283"/>
              <w:jc w:val="right"/>
              <w:rPr/>
            </w:pPr>
            <w:r>
              <w:rPr/>
              <w:t>—</w:t>
            </w:r>
          </w:p>
        </w:tc>
        <w:tc>
          <w:tcPr>
            <w:tcW w:w="335"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70" w:type="dxa"/>
            <w:tcBorders/>
            <w:shd w:fill="EAEAEA" w:val="clear"/>
            <w:vAlign w:val="center"/>
          </w:tcPr>
          <w:p>
            <w:pPr>
              <w:pStyle w:val="TableContents"/>
              <w:spacing w:before="0" w:after="283"/>
              <w:rPr/>
            </w:pPr>
            <w:r>
              <w:rPr/>
              <w:t> </w:t>
            </w:r>
          </w:p>
        </w:tc>
        <w:tc>
          <w:tcPr>
            <w:tcW w:w="1300" w:type="dxa"/>
            <w:tcBorders/>
            <w:shd w:fill="EAEAEA" w:val="clear"/>
            <w:vAlign w:val="center"/>
          </w:tcPr>
          <w:p>
            <w:pPr>
              <w:pStyle w:val="TableContents"/>
              <w:spacing w:before="0" w:after="283"/>
              <w:jc w:val="right"/>
              <w:rPr/>
            </w:pPr>
            <w:r>
              <w:rPr/>
              <w:t>—</w:t>
            </w:r>
          </w:p>
        </w:tc>
        <w:tc>
          <w:tcPr>
            <w:tcW w:w="75" w:type="dxa"/>
            <w:tcBorders/>
            <w:shd w:fill="EAEAEA" w:val="clear"/>
            <w:vAlign w:val="center"/>
          </w:tcPr>
          <w:p>
            <w:pPr>
              <w:pStyle w:val="TableContents"/>
              <w:spacing w:before="0" w:after="283"/>
              <w:rPr/>
            </w:pPr>
            <w:r>
              <w:rPr/>
              <w:t> </w:t>
            </w:r>
          </w:p>
        </w:tc>
      </w:tr>
      <w:tr>
        <w:trPr/>
        <w:tc>
          <w:tcPr>
            <w:tcW w:w="635" w:type="dxa"/>
            <w:vMerge w:val="continue"/>
            <w:tcBorders/>
            <w:shd w:fill="EAEAEA" w:val="clear"/>
            <w:vAlign w:val="center"/>
          </w:tcPr>
          <w:p>
            <w:pPr>
              <w:pStyle w:val="Normal"/>
              <w:rPr/>
            </w:pPr>
            <w:r>
              <w:rPr/>
            </w:r>
          </w:p>
        </w:tc>
        <w:tc>
          <w:tcPr>
            <w:tcW w:w="60" w:type="dxa"/>
            <w:tcBorders/>
            <w:shd w:fill="EAEAEA" w:val="clear"/>
            <w:vAlign w:val="center"/>
          </w:tcPr>
          <w:p>
            <w:pPr>
              <w:pStyle w:val="TableContents"/>
              <w:spacing w:before="0" w:after="283"/>
              <w:rPr/>
            </w:pPr>
            <w:r>
              <w:rPr/>
              <w:t> </w:t>
            </w:r>
          </w:p>
        </w:tc>
        <w:tc>
          <w:tcPr>
            <w:tcW w:w="77" w:type="dxa"/>
            <w:tcBorders/>
            <w:shd w:fill="EAEAEA" w:val="clear"/>
            <w:vAlign w:val="center"/>
          </w:tcPr>
          <w:p>
            <w:pPr>
              <w:pStyle w:val="TableContents"/>
              <w:spacing w:before="0" w:after="283"/>
              <w:rPr/>
            </w:pPr>
            <w:r>
              <w:rPr/>
              <w:t> </w:t>
            </w:r>
          </w:p>
        </w:tc>
        <w:tc>
          <w:tcPr>
            <w:tcW w:w="873" w:type="dxa"/>
            <w:tcBorders/>
            <w:shd w:fill="EAEAEA" w:val="clear"/>
            <w:vAlign w:val="center"/>
          </w:tcPr>
          <w:p>
            <w:pPr>
              <w:pStyle w:val="TableContents"/>
              <w:spacing w:before="0" w:after="283"/>
              <w:jc w:val="right"/>
              <w:rPr/>
            </w:pPr>
            <w:r>
              <w:rPr/>
              <w:t>16,265</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91" w:type="dxa"/>
            <w:tcBorders/>
            <w:shd w:fill="EAEAEA" w:val="clear"/>
            <w:vAlign w:val="center"/>
          </w:tcPr>
          <w:p>
            <w:pPr>
              <w:pStyle w:val="TableContents"/>
              <w:spacing w:before="0" w:after="283"/>
              <w:rPr/>
            </w:pPr>
            <w:r>
              <w:rPr/>
              <w:t> </w:t>
            </w:r>
          </w:p>
        </w:tc>
        <w:tc>
          <w:tcPr>
            <w:tcW w:w="1039" w:type="dxa"/>
            <w:tcBorders/>
            <w:shd w:fill="EAEAEA" w:val="clear"/>
            <w:vAlign w:val="center"/>
          </w:tcPr>
          <w:p>
            <w:pPr>
              <w:pStyle w:val="TableContents"/>
              <w:spacing w:before="0" w:after="283"/>
              <w:jc w:val="right"/>
              <w:rPr/>
            </w:pPr>
            <w:r>
              <w:rPr/>
              <w:t>—</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65" w:type="dxa"/>
            <w:tcBorders/>
            <w:shd w:fill="EAEAEA" w:val="clear"/>
            <w:vAlign w:val="center"/>
          </w:tcPr>
          <w:p>
            <w:pPr>
              <w:pStyle w:val="TableContents"/>
              <w:spacing w:before="0" w:after="283"/>
              <w:rPr/>
            </w:pPr>
            <w:r>
              <w:rPr/>
              <w:t> </w:t>
            </w:r>
          </w:p>
        </w:tc>
        <w:tc>
          <w:tcPr>
            <w:tcW w:w="615" w:type="dxa"/>
            <w:tcBorders/>
            <w:shd w:fill="EAEAEA" w:val="clear"/>
            <w:vAlign w:val="center"/>
          </w:tcPr>
          <w:p>
            <w:pPr>
              <w:pStyle w:val="TableContents"/>
              <w:spacing w:before="0" w:after="283"/>
              <w:jc w:val="right"/>
              <w:rPr/>
            </w:pPr>
            <w:r>
              <w:rPr/>
              <w:t>50.66</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710" w:type="dxa"/>
            <w:tcBorders/>
            <w:shd w:fill="EAEAEA" w:val="clear"/>
            <w:vAlign w:val="center"/>
          </w:tcPr>
          <w:p>
            <w:pPr>
              <w:pStyle w:val="TableContents"/>
              <w:spacing w:before="0" w:after="283"/>
              <w:jc w:val="right"/>
              <w:rPr/>
            </w:pPr>
            <w:r>
              <w:rPr/>
              <w:t>11/17/2025</w:t>
            </w:r>
          </w:p>
        </w:tc>
        <w:tc>
          <w:tcPr>
            <w:tcW w:w="60" w:type="dxa"/>
            <w:tcBorders/>
            <w:shd w:fill="EAEAEA"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800" w:type="dxa"/>
            <w:tcBorders/>
            <w:shd w:fill="EAEAEA" w:val="clear"/>
            <w:vAlign w:val="center"/>
          </w:tcPr>
          <w:p>
            <w:pPr>
              <w:pStyle w:val="TableContents"/>
              <w:spacing w:before="0" w:after="283"/>
              <w:jc w:val="right"/>
              <w:rPr/>
            </w:pPr>
            <w:r>
              <w:rPr/>
              <w:t>—</w:t>
            </w:r>
          </w:p>
        </w:tc>
        <w:tc>
          <w:tcPr>
            <w:tcW w:w="215"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980" w:type="dxa"/>
            <w:tcBorders/>
            <w:shd w:fill="EAEAEA" w:val="clear"/>
            <w:vAlign w:val="center"/>
          </w:tcPr>
          <w:p>
            <w:pPr>
              <w:pStyle w:val="TableContents"/>
              <w:spacing w:before="0" w:after="283"/>
              <w:jc w:val="right"/>
              <w:rPr/>
            </w:pPr>
            <w:r>
              <w:rPr/>
              <w:t>—</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65" w:type="dxa"/>
            <w:tcBorders/>
            <w:shd w:fill="EAEAEA" w:val="clear"/>
            <w:vAlign w:val="center"/>
          </w:tcPr>
          <w:p>
            <w:pPr>
              <w:pStyle w:val="TableContents"/>
              <w:spacing w:before="0" w:after="283"/>
              <w:rPr/>
            </w:pPr>
            <w:r>
              <w:rPr/>
              <w:t> </w:t>
            </w:r>
          </w:p>
        </w:tc>
        <w:tc>
          <w:tcPr>
            <w:tcW w:w="1065" w:type="dxa"/>
            <w:tcBorders/>
            <w:shd w:fill="EAEAEA" w:val="clear"/>
            <w:vAlign w:val="center"/>
          </w:tcPr>
          <w:p>
            <w:pPr>
              <w:pStyle w:val="TableContents"/>
              <w:spacing w:before="0" w:after="283"/>
              <w:jc w:val="right"/>
              <w:rPr/>
            </w:pPr>
            <w:r>
              <w:rPr/>
              <w:t>—</w:t>
            </w:r>
          </w:p>
        </w:tc>
        <w:tc>
          <w:tcPr>
            <w:tcW w:w="335"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70" w:type="dxa"/>
            <w:tcBorders/>
            <w:shd w:fill="EAEAEA" w:val="clear"/>
            <w:vAlign w:val="center"/>
          </w:tcPr>
          <w:p>
            <w:pPr>
              <w:pStyle w:val="TableContents"/>
              <w:spacing w:before="0" w:after="283"/>
              <w:rPr/>
            </w:pPr>
            <w:r>
              <w:rPr/>
              <w:t> </w:t>
            </w:r>
          </w:p>
        </w:tc>
        <w:tc>
          <w:tcPr>
            <w:tcW w:w="1300" w:type="dxa"/>
            <w:tcBorders/>
            <w:shd w:fill="EAEAEA" w:val="clear"/>
            <w:vAlign w:val="center"/>
          </w:tcPr>
          <w:p>
            <w:pPr>
              <w:pStyle w:val="TableContents"/>
              <w:spacing w:before="0" w:after="283"/>
              <w:jc w:val="right"/>
              <w:rPr/>
            </w:pPr>
            <w:r>
              <w:rPr/>
              <w:t>—</w:t>
            </w:r>
          </w:p>
        </w:tc>
        <w:tc>
          <w:tcPr>
            <w:tcW w:w="75" w:type="dxa"/>
            <w:tcBorders/>
            <w:shd w:fill="EAEAEA" w:val="clear"/>
            <w:vAlign w:val="center"/>
          </w:tcPr>
          <w:p>
            <w:pPr>
              <w:pStyle w:val="TableContents"/>
              <w:spacing w:before="0" w:after="283"/>
              <w:rPr/>
            </w:pPr>
            <w:r>
              <w:rPr/>
              <w:t> </w:t>
            </w:r>
          </w:p>
        </w:tc>
      </w:tr>
      <w:tr>
        <w:trPr/>
        <w:tc>
          <w:tcPr>
            <w:tcW w:w="635" w:type="dxa"/>
            <w:vMerge w:val="restart"/>
            <w:tcBorders/>
            <w:shd w:fill="EAEAEA" w:val="clear"/>
            <w:vAlign w:val="center"/>
          </w:tcPr>
          <w:p>
            <w:pPr>
              <w:pStyle w:val="TableContents"/>
              <w:spacing w:before="0" w:after="283"/>
              <w:rPr>
                <w:sz w:val="4"/>
                <w:szCs w:val="4"/>
              </w:rPr>
            </w:pPr>
            <w:r>
              <w:rPr>
                <w:sz w:val="4"/>
                <w:szCs w:val="4"/>
              </w:rPr>
            </w:r>
          </w:p>
        </w:tc>
        <w:tc>
          <w:tcPr>
            <w:tcW w:w="60" w:type="dxa"/>
            <w:tcBorders/>
            <w:shd w:fill="EAEAEA" w:val="clear"/>
            <w:vAlign w:val="center"/>
          </w:tcPr>
          <w:p>
            <w:pPr>
              <w:pStyle w:val="TableContents"/>
              <w:spacing w:before="0" w:after="283"/>
              <w:rPr/>
            </w:pPr>
            <w:r>
              <w:rPr/>
              <w:t> </w:t>
            </w:r>
          </w:p>
        </w:tc>
        <w:tc>
          <w:tcPr>
            <w:tcW w:w="77" w:type="dxa"/>
            <w:tcBorders/>
            <w:shd w:fill="EAEAEA" w:val="clear"/>
            <w:vAlign w:val="center"/>
          </w:tcPr>
          <w:p>
            <w:pPr>
              <w:pStyle w:val="TableContents"/>
              <w:spacing w:before="0" w:after="283"/>
              <w:rPr/>
            </w:pPr>
            <w:r>
              <w:rPr/>
              <w:t> </w:t>
            </w:r>
          </w:p>
        </w:tc>
        <w:tc>
          <w:tcPr>
            <w:tcW w:w="873" w:type="dxa"/>
            <w:tcBorders/>
            <w:shd w:fill="EAEAEA" w:val="clear"/>
            <w:vAlign w:val="center"/>
          </w:tcPr>
          <w:p>
            <w:pPr>
              <w:pStyle w:val="TableContents"/>
              <w:spacing w:before="0" w:after="283"/>
              <w:jc w:val="right"/>
              <w:rPr/>
            </w:pPr>
            <w:r>
              <w:rPr/>
              <w:t>27,314</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91" w:type="dxa"/>
            <w:tcBorders/>
            <w:shd w:fill="EAEAEA" w:val="clear"/>
            <w:vAlign w:val="center"/>
          </w:tcPr>
          <w:p>
            <w:pPr>
              <w:pStyle w:val="TableContents"/>
              <w:spacing w:before="0" w:after="283"/>
              <w:rPr/>
            </w:pPr>
            <w:r>
              <w:rPr/>
              <w:t> </w:t>
            </w:r>
          </w:p>
        </w:tc>
        <w:tc>
          <w:tcPr>
            <w:tcW w:w="1039" w:type="dxa"/>
            <w:tcBorders/>
            <w:shd w:fill="EAEAEA" w:val="clear"/>
            <w:vAlign w:val="center"/>
          </w:tcPr>
          <w:p>
            <w:pPr>
              <w:pStyle w:val="TableContents"/>
              <w:spacing w:before="0" w:after="283"/>
              <w:jc w:val="right"/>
              <w:rPr/>
            </w:pPr>
            <w:r>
              <w:rPr/>
              <w:t>—</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65" w:type="dxa"/>
            <w:tcBorders/>
            <w:shd w:fill="EAEAEA" w:val="clear"/>
            <w:vAlign w:val="center"/>
          </w:tcPr>
          <w:p>
            <w:pPr>
              <w:pStyle w:val="TableContents"/>
              <w:spacing w:before="0" w:after="283"/>
              <w:rPr/>
            </w:pPr>
            <w:r>
              <w:rPr/>
              <w:t> </w:t>
            </w:r>
          </w:p>
        </w:tc>
        <w:tc>
          <w:tcPr>
            <w:tcW w:w="615" w:type="dxa"/>
            <w:tcBorders/>
            <w:shd w:fill="EAEAEA" w:val="clear"/>
            <w:vAlign w:val="center"/>
          </w:tcPr>
          <w:p>
            <w:pPr>
              <w:pStyle w:val="TableContents"/>
              <w:spacing w:before="0" w:after="283"/>
              <w:jc w:val="right"/>
              <w:rPr/>
            </w:pPr>
            <w:r>
              <w:rPr/>
              <w:t>46.27</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710" w:type="dxa"/>
            <w:tcBorders/>
            <w:shd w:fill="EAEAEA" w:val="clear"/>
            <w:vAlign w:val="center"/>
          </w:tcPr>
          <w:p>
            <w:pPr>
              <w:pStyle w:val="TableContents"/>
              <w:spacing w:before="0" w:after="283"/>
              <w:jc w:val="right"/>
              <w:rPr/>
            </w:pPr>
            <w:r>
              <w:rPr/>
              <w:t>2/17/2026</w:t>
            </w:r>
          </w:p>
        </w:tc>
        <w:tc>
          <w:tcPr>
            <w:tcW w:w="60" w:type="dxa"/>
            <w:tcBorders/>
            <w:shd w:fill="EAEAEA"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800" w:type="dxa"/>
            <w:tcBorders/>
            <w:shd w:fill="EAEAEA" w:val="clear"/>
            <w:vAlign w:val="center"/>
          </w:tcPr>
          <w:p>
            <w:pPr>
              <w:pStyle w:val="TableContents"/>
              <w:spacing w:before="0" w:after="283"/>
              <w:jc w:val="right"/>
              <w:rPr/>
            </w:pPr>
            <w:r>
              <w:rPr/>
              <w:t>—</w:t>
            </w:r>
          </w:p>
        </w:tc>
        <w:tc>
          <w:tcPr>
            <w:tcW w:w="215"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980" w:type="dxa"/>
            <w:tcBorders/>
            <w:shd w:fill="EAEAEA" w:val="clear"/>
            <w:vAlign w:val="center"/>
          </w:tcPr>
          <w:p>
            <w:pPr>
              <w:pStyle w:val="TableContents"/>
              <w:spacing w:before="0" w:after="283"/>
              <w:jc w:val="right"/>
              <w:rPr/>
            </w:pPr>
            <w:r>
              <w:rPr/>
              <w:t>—</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65" w:type="dxa"/>
            <w:tcBorders/>
            <w:shd w:fill="EAEAEA" w:val="clear"/>
            <w:vAlign w:val="center"/>
          </w:tcPr>
          <w:p>
            <w:pPr>
              <w:pStyle w:val="TableContents"/>
              <w:spacing w:before="0" w:after="283"/>
              <w:rPr/>
            </w:pPr>
            <w:r>
              <w:rPr/>
              <w:t> </w:t>
            </w:r>
          </w:p>
        </w:tc>
        <w:tc>
          <w:tcPr>
            <w:tcW w:w="1065" w:type="dxa"/>
            <w:tcBorders/>
            <w:shd w:fill="EAEAEA" w:val="clear"/>
            <w:vAlign w:val="center"/>
          </w:tcPr>
          <w:p>
            <w:pPr>
              <w:pStyle w:val="TableContents"/>
              <w:spacing w:before="0" w:after="283"/>
              <w:jc w:val="right"/>
              <w:rPr/>
            </w:pPr>
            <w:r>
              <w:rPr/>
              <w:t>—</w:t>
            </w:r>
          </w:p>
        </w:tc>
        <w:tc>
          <w:tcPr>
            <w:tcW w:w="335"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70" w:type="dxa"/>
            <w:tcBorders/>
            <w:shd w:fill="EAEAEA" w:val="clear"/>
            <w:vAlign w:val="center"/>
          </w:tcPr>
          <w:p>
            <w:pPr>
              <w:pStyle w:val="TableContents"/>
              <w:spacing w:before="0" w:after="283"/>
              <w:rPr/>
            </w:pPr>
            <w:r>
              <w:rPr/>
              <w:t> </w:t>
            </w:r>
          </w:p>
        </w:tc>
        <w:tc>
          <w:tcPr>
            <w:tcW w:w="1300" w:type="dxa"/>
            <w:tcBorders/>
            <w:shd w:fill="EAEAEA" w:val="clear"/>
            <w:vAlign w:val="center"/>
          </w:tcPr>
          <w:p>
            <w:pPr>
              <w:pStyle w:val="TableContents"/>
              <w:spacing w:before="0" w:after="283"/>
              <w:jc w:val="right"/>
              <w:rPr/>
            </w:pPr>
            <w:r>
              <w:rPr/>
              <w:t>—</w:t>
            </w:r>
          </w:p>
        </w:tc>
        <w:tc>
          <w:tcPr>
            <w:tcW w:w="75" w:type="dxa"/>
            <w:tcBorders/>
            <w:shd w:fill="EAEAEA" w:val="clear"/>
            <w:vAlign w:val="center"/>
          </w:tcPr>
          <w:p>
            <w:pPr>
              <w:pStyle w:val="TableContents"/>
              <w:spacing w:before="0" w:after="283"/>
              <w:rPr/>
            </w:pPr>
            <w:r>
              <w:rPr/>
              <w:t> </w:t>
            </w:r>
          </w:p>
        </w:tc>
      </w:tr>
      <w:tr>
        <w:trPr/>
        <w:tc>
          <w:tcPr>
            <w:tcW w:w="635" w:type="dxa"/>
            <w:vMerge w:val="continue"/>
            <w:tcBorders/>
            <w:shd w:fill="EAEAEA" w:val="clear"/>
            <w:vAlign w:val="center"/>
          </w:tcPr>
          <w:p>
            <w:pPr>
              <w:pStyle w:val="Normal"/>
              <w:rPr/>
            </w:pPr>
            <w:r>
              <w:rPr/>
            </w:r>
          </w:p>
        </w:tc>
        <w:tc>
          <w:tcPr>
            <w:tcW w:w="60" w:type="dxa"/>
            <w:tcBorders/>
            <w:shd w:fill="EAEAEA" w:val="clear"/>
            <w:vAlign w:val="center"/>
          </w:tcPr>
          <w:p>
            <w:pPr>
              <w:pStyle w:val="TableContents"/>
              <w:spacing w:before="0" w:after="283"/>
              <w:rPr/>
            </w:pPr>
            <w:r>
              <w:rPr/>
              <w:t> </w:t>
            </w:r>
          </w:p>
        </w:tc>
        <w:tc>
          <w:tcPr>
            <w:tcW w:w="77" w:type="dxa"/>
            <w:tcBorders/>
            <w:shd w:fill="EAEAEA" w:val="clear"/>
            <w:vAlign w:val="center"/>
          </w:tcPr>
          <w:p>
            <w:pPr>
              <w:pStyle w:val="TableContents"/>
              <w:spacing w:before="0" w:after="283"/>
              <w:rPr/>
            </w:pPr>
            <w:r>
              <w:rPr/>
              <w:t> </w:t>
            </w:r>
          </w:p>
        </w:tc>
        <w:tc>
          <w:tcPr>
            <w:tcW w:w="873" w:type="dxa"/>
            <w:tcBorders/>
            <w:shd w:fill="EAEAEA" w:val="clear"/>
            <w:vAlign w:val="center"/>
          </w:tcPr>
          <w:p>
            <w:pPr>
              <w:pStyle w:val="TableContents"/>
              <w:spacing w:before="0" w:after="283"/>
              <w:jc w:val="right"/>
              <w:rPr/>
            </w:pPr>
            <w:r>
              <w:rPr/>
              <w:t>29,275</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91" w:type="dxa"/>
            <w:tcBorders/>
            <w:shd w:fill="EAEAEA" w:val="clear"/>
            <w:vAlign w:val="center"/>
          </w:tcPr>
          <w:p>
            <w:pPr>
              <w:pStyle w:val="TableContents"/>
              <w:spacing w:before="0" w:after="283"/>
              <w:rPr/>
            </w:pPr>
            <w:r>
              <w:rPr/>
              <w:t> </w:t>
            </w:r>
          </w:p>
        </w:tc>
        <w:tc>
          <w:tcPr>
            <w:tcW w:w="1039" w:type="dxa"/>
            <w:tcBorders/>
            <w:shd w:fill="EAEAEA" w:val="clear"/>
            <w:vAlign w:val="center"/>
          </w:tcPr>
          <w:p>
            <w:pPr>
              <w:pStyle w:val="TableContents"/>
              <w:spacing w:before="0" w:after="283"/>
              <w:jc w:val="right"/>
              <w:rPr/>
            </w:pPr>
            <w:r>
              <w:rPr/>
              <w:t>—</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65" w:type="dxa"/>
            <w:tcBorders/>
            <w:shd w:fill="EAEAEA" w:val="clear"/>
            <w:vAlign w:val="center"/>
          </w:tcPr>
          <w:p>
            <w:pPr>
              <w:pStyle w:val="TableContents"/>
              <w:spacing w:before="0" w:after="283"/>
              <w:rPr/>
            </w:pPr>
            <w:r>
              <w:rPr/>
              <w:t> </w:t>
            </w:r>
          </w:p>
        </w:tc>
        <w:tc>
          <w:tcPr>
            <w:tcW w:w="615" w:type="dxa"/>
            <w:tcBorders/>
            <w:shd w:fill="EAEAEA" w:val="clear"/>
            <w:vAlign w:val="center"/>
          </w:tcPr>
          <w:p>
            <w:pPr>
              <w:pStyle w:val="TableContents"/>
              <w:spacing w:before="0" w:after="283"/>
              <w:jc w:val="right"/>
              <w:rPr/>
            </w:pPr>
            <w:r>
              <w:rPr/>
              <w:t>45.18</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710" w:type="dxa"/>
            <w:tcBorders/>
            <w:shd w:fill="EAEAEA" w:val="clear"/>
            <w:vAlign w:val="center"/>
          </w:tcPr>
          <w:p>
            <w:pPr>
              <w:pStyle w:val="TableContents"/>
              <w:spacing w:before="0" w:after="283"/>
              <w:jc w:val="right"/>
              <w:rPr/>
            </w:pPr>
            <w:r>
              <w:rPr/>
              <w:t>3/3/2027</w:t>
            </w:r>
          </w:p>
        </w:tc>
        <w:tc>
          <w:tcPr>
            <w:tcW w:w="60" w:type="dxa"/>
            <w:tcBorders/>
            <w:shd w:fill="EAEAEA"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800" w:type="dxa"/>
            <w:tcBorders/>
            <w:shd w:fill="EAEAEA" w:val="clear"/>
            <w:vAlign w:val="center"/>
          </w:tcPr>
          <w:p>
            <w:pPr>
              <w:pStyle w:val="TableContents"/>
              <w:spacing w:before="0" w:after="283"/>
              <w:jc w:val="right"/>
              <w:rPr/>
            </w:pPr>
            <w:r>
              <w:rPr/>
              <w:t>—</w:t>
            </w:r>
          </w:p>
        </w:tc>
        <w:tc>
          <w:tcPr>
            <w:tcW w:w="215"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980" w:type="dxa"/>
            <w:tcBorders/>
            <w:shd w:fill="EAEAEA" w:val="clear"/>
            <w:vAlign w:val="center"/>
          </w:tcPr>
          <w:p>
            <w:pPr>
              <w:pStyle w:val="TableContents"/>
              <w:spacing w:before="0" w:after="283"/>
              <w:jc w:val="right"/>
              <w:rPr/>
            </w:pPr>
            <w:r>
              <w:rPr/>
              <w:t>—</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65" w:type="dxa"/>
            <w:tcBorders/>
            <w:shd w:fill="EAEAEA" w:val="clear"/>
            <w:vAlign w:val="center"/>
          </w:tcPr>
          <w:p>
            <w:pPr>
              <w:pStyle w:val="TableContents"/>
              <w:spacing w:before="0" w:after="283"/>
              <w:rPr/>
            </w:pPr>
            <w:r>
              <w:rPr/>
              <w:t> </w:t>
            </w:r>
          </w:p>
        </w:tc>
        <w:tc>
          <w:tcPr>
            <w:tcW w:w="1065" w:type="dxa"/>
            <w:tcBorders/>
            <w:shd w:fill="EAEAEA" w:val="clear"/>
            <w:vAlign w:val="center"/>
          </w:tcPr>
          <w:p>
            <w:pPr>
              <w:pStyle w:val="TableContents"/>
              <w:spacing w:before="0" w:after="283"/>
              <w:jc w:val="right"/>
              <w:rPr/>
            </w:pPr>
            <w:r>
              <w:rPr/>
              <w:t>—</w:t>
            </w:r>
          </w:p>
        </w:tc>
        <w:tc>
          <w:tcPr>
            <w:tcW w:w="335"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70" w:type="dxa"/>
            <w:tcBorders/>
            <w:shd w:fill="EAEAEA" w:val="clear"/>
            <w:vAlign w:val="center"/>
          </w:tcPr>
          <w:p>
            <w:pPr>
              <w:pStyle w:val="TableContents"/>
              <w:spacing w:before="0" w:after="283"/>
              <w:rPr/>
            </w:pPr>
            <w:r>
              <w:rPr/>
              <w:t> </w:t>
            </w:r>
          </w:p>
        </w:tc>
        <w:tc>
          <w:tcPr>
            <w:tcW w:w="1300" w:type="dxa"/>
            <w:tcBorders/>
            <w:shd w:fill="EAEAEA" w:val="clear"/>
            <w:vAlign w:val="center"/>
          </w:tcPr>
          <w:p>
            <w:pPr>
              <w:pStyle w:val="TableContents"/>
              <w:spacing w:before="0" w:after="283"/>
              <w:jc w:val="right"/>
              <w:rPr/>
            </w:pPr>
            <w:r>
              <w:rPr/>
              <w:t>—</w:t>
            </w:r>
          </w:p>
        </w:tc>
        <w:tc>
          <w:tcPr>
            <w:tcW w:w="75" w:type="dxa"/>
            <w:tcBorders/>
            <w:shd w:fill="EAEAEA" w:val="clear"/>
            <w:vAlign w:val="center"/>
          </w:tcPr>
          <w:p>
            <w:pPr>
              <w:pStyle w:val="TableContents"/>
              <w:spacing w:before="0" w:after="283"/>
              <w:rPr/>
            </w:pPr>
            <w:r>
              <w:rPr/>
              <w:t> </w:t>
            </w:r>
          </w:p>
        </w:tc>
      </w:tr>
      <w:tr>
        <w:trPr/>
        <w:tc>
          <w:tcPr>
            <w:tcW w:w="635" w:type="dxa"/>
            <w:vMerge w:val="continue"/>
            <w:tcBorders/>
            <w:shd w:fill="EAEAEA" w:val="clear"/>
            <w:vAlign w:val="center"/>
          </w:tcPr>
          <w:p>
            <w:pPr>
              <w:pStyle w:val="Normal"/>
              <w:rPr/>
            </w:pPr>
            <w:r>
              <w:rPr/>
            </w:r>
          </w:p>
        </w:tc>
        <w:tc>
          <w:tcPr>
            <w:tcW w:w="60" w:type="dxa"/>
            <w:tcBorders/>
            <w:shd w:fill="EAEAEA" w:val="clear"/>
            <w:vAlign w:val="center"/>
          </w:tcPr>
          <w:p>
            <w:pPr>
              <w:pStyle w:val="TableContents"/>
              <w:spacing w:before="0" w:after="283"/>
              <w:rPr/>
            </w:pPr>
            <w:r>
              <w:rPr/>
              <w:t> </w:t>
            </w:r>
          </w:p>
        </w:tc>
        <w:tc>
          <w:tcPr>
            <w:tcW w:w="77" w:type="dxa"/>
            <w:tcBorders/>
            <w:shd w:fill="EAEAEA" w:val="clear"/>
            <w:vAlign w:val="center"/>
          </w:tcPr>
          <w:p>
            <w:pPr>
              <w:pStyle w:val="TableContents"/>
              <w:spacing w:before="0" w:after="283"/>
              <w:rPr/>
            </w:pPr>
            <w:r>
              <w:rPr/>
              <w:t> </w:t>
            </w:r>
          </w:p>
        </w:tc>
        <w:tc>
          <w:tcPr>
            <w:tcW w:w="873" w:type="dxa"/>
            <w:tcBorders/>
            <w:shd w:fill="EAEAEA" w:val="clear"/>
            <w:vAlign w:val="center"/>
          </w:tcPr>
          <w:p>
            <w:pPr>
              <w:pStyle w:val="TableContents"/>
              <w:spacing w:before="0" w:after="283"/>
              <w:jc w:val="right"/>
              <w:rPr/>
            </w:pPr>
            <w:r>
              <w:rPr/>
              <w:t>29,833</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91" w:type="dxa"/>
            <w:tcBorders/>
            <w:shd w:fill="EAEAEA" w:val="clear"/>
            <w:vAlign w:val="center"/>
          </w:tcPr>
          <w:p>
            <w:pPr>
              <w:pStyle w:val="TableContents"/>
              <w:spacing w:before="0" w:after="283"/>
              <w:rPr/>
            </w:pPr>
            <w:r>
              <w:rPr/>
              <w:t> </w:t>
            </w:r>
          </w:p>
        </w:tc>
        <w:tc>
          <w:tcPr>
            <w:tcW w:w="1039" w:type="dxa"/>
            <w:tcBorders/>
            <w:shd w:fill="EAEAEA" w:val="clear"/>
            <w:vAlign w:val="center"/>
          </w:tcPr>
          <w:p>
            <w:pPr>
              <w:pStyle w:val="TableContents"/>
              <w:spacing w:before="0" w:after="283"/>
              <w:jc w:val="right"/>
              <w:rPr/>
            </w:pPr>
            <w:r>
              <w:rPr/>
              <w:t>—</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65" w:type="dxa"/>
            <w:tcBorders/>
            <w:shd w:fill="EAEAEA" w:val="clear"/>
            <w:vAlign w:val="center"/>
          </w:tcPr>
          <w:p>
            <w:pPr>
              <w:pStyle w:val="TableContents"/>
              <w:spacing w:before="0" w:after="283"/>
              <w:rPr/>
            </w:pPr>
            <w:r>
              <w:rPr/>
              <w:t> </w:t>
            </w:r>
          </w:p>
        </w:tc>
        <w:tc>
          <w:tcPr>
            <w:tcW w:w="615" w:type="dxa"/>
            <w:tcBorders/>
            <w:shd w:fill="EAEAEA" w:val="clear"/>
            <w:vAlign w:val="center"/>
          </w:tcPr>
          <w:p>
            <w:pPr>
              <w:pStyle w:val="TableContents"/>
              <w:spacing w:before="0" w:after="283"/>
              <w:jc w:val="right"/>
              <w:rPr/>
            </w:pPr>
            <w:r>
              <w:rPr/>
              <w:t>40.97</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710" w:type="dxa"/>
            <w:tcBorders/>
            <w:shd w:fill="EAEAEA" w:val="clear"/>
            <w:vAlign w:val="center"/>
          </w:tcPr>
          <w:p>
            <w:pPr>
              <w:pStyle w:val="TableContents"/>
              <w:spacing w:before="0" w:after="283"/>
              <w:jc w:val="right"/>
              <w:rPr/>
            </w:pPr>
            <w:r>
              <w:rPr/>
              <w:t>3/2/2028</w:t>
            </w:r>
          </w:p>
        </w:tc>
        <w:tc>
          <w:tcPr>
            <w:tcW w:w="60" w:type="dxa"/>
            <w:tcBorders/>
            <w:shd w:fill="EAEAEA"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800" w:type="dxa"/>
            <w:tcBorders/>
            <w:shd w:fill="EAEAEA" w:val="clear"/>
            <w:vAlign w:val="center"/>
          </w:tcPr>
          <w:p>
            <w:pPr>
              <w:pStyle w:val="TableContents"/>
              <w:spacing w:before="0" w:after="283"/>
              <w:jc w:val="right"/>
              <w:rPr/>
            </w:pPr>
            <w:r>
              <w:rPr/>
              <w:t>—</w:t>
            </w:r>
          </w:p>
        </w:tc>
        <w:tc>
          <w:tcPr>
            <w:tcW w:w="215"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980" w:type="dxa"/>
            <w:tcBorders/>
            <w:shd w:fill="EAEAEA" w:val="clear"/>
            <w:vAlign w:val="center"/>
          </w:tcPr>
          <w:p>
            <w:pPr>
              <w:pStyle w:val="TableContents"/>
              <w:spacing w:before="0" w:after="283"/>
              <w:jc w:val="right"/>
              <w:rPr/>
            </w:pPr>
            <w:r>
              <w:rPr/>
              <w:t>—</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65" w:type="dxa"/>
            <w:tcBorders/>
            <w:shd w:fill="EAEAEA" w:val="clear"/>
            <w:vAlign w:val="center"/>
          </w:tcPr>
          <w:p>
            <w:pPr>
              <w:pStyle w:val="TableContents"/>
              <w:spacing w:before="0" w:after="283"/>
              <w:rPr/>
            </w:pPr>
            <w:r>
              <w:rPr/>
              <w:t> </w:t>
            </w:r>
          </w:p>
        </w:tc>
        <w:tc>
          <w:tcPr>
            <w:tcW w:w="1065" w:type="dxa"/>
            <w:tcBorders/>
            <w:shd w:fill="EAEAEA" w:val="clear"/>
            <w:vAlign w:val="center"/>
          </w:tcPr>
          <w:p>
            <w:pPr>
              <w:pStyle w:val="TableContents"/>
              <w:spacing w:before="0" w:after="283"/>
              <w:jc w:val="right"/>
              <w:rPr/>
            </w:pPr>
            <w:r>
              <w:rPr/>
              <w:t>—</w:t>
            </w:r>
          </w:p>
        </w:tc>
        <w:tc>
          <w:tcPr>
            <w:tcW w:w="335"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70" w:type="dxa"/>
            <w:tcBorders/>
            <w:shd w:fill="EAEAEA" w:val="clear"/>
            <w:vAlign w:val="center"/>
          </w:tcPr>
          <w:p>
            <w:pPr>
              <w:pStyle w:val="TableContents"/>
              <w:spacing w:before="0" w:after="283"/>
              <w:rPr/>
            </w:pPr>
            <w:r>
              <w:rPr/>
              <w:t> </w:t>
            </w:r>
          </w:p>
        </w:tc>
        <w:tc>
          <w:tcPr>
            <w:tcW w:w="1300" w:type="dxa"/>
            <w:tcBorders/>
            <w:shd w:fill="EAEAEA" w:val="clear"/>
            <w:vAlign w:val="center"/>
          </w:tcPr>
          <w:p>
            <w:pPr>
              <w:pStyle w:val="TableContents"/>
              <w:spacing w:before="0" w:after="283"/>
              <w:jc w:val="right"/>
              <w:rPr/>
            </w:pPr>
            <w:r>
              <w:rPr/>
              <w:t>—</w:t>
            </w:r>
          </w:p>
        </w:tc>
        <w:tc>
          <w:tcPr>
            <w:tcW w:w="75" w:type="dxa"/>
            <w:tcBorders/>
            <w:shd w:fill="EAEAEA" w:val="clear"/>
            <w:vAlign w:val="center"/>
          </w:tcPr>
          <w:p>
            <w:pPr>
              <w:pStyle w:val="TableContents"/>
              <w:spacing w:before="0" w:after="283"/>
              <w:rPr/>
            </w:pPr>
            <w:r>
              <w:rPr/>
              <w:t> </w:t>
            </w:r>
          </w:p>
        </w:tc>
      </w:tr>
      <w:tr>
        <w:trPr/>
        <w:tc>
          <w:tcPr>
            <w:tcW w:w="635" w:type="dxa"/>
            <w:vMerge w:val="restart"/>
            <w:tcBorders/>
            <w:shd w:fill="EAEAEA" w:val="clear"/>
            <w:vAlign w:val="center"/>
          </w:tcPr>
          <w:p>
            <w:pPr>
              <w:pStyle w:val="TableContents"/>
              <w:spacing w:before="0" w:after="283"/>
              <w:rPr>
                <w:sz w:val="4"/>
                <w:szCs w:val="4"/>
              </w:rPr>
            </w:pPr>
            <w:r>
              <w:rPr>
                <w:sz w:val="4"/>
                <w:szCs w:val="4"/>
              </w:rPr>
            </w:r>
          </w:p>
        </w:tc>
        <w:tc>
          <w:tcPr>
            <w:tcW w:w="60" w:type="dxa"/>
            <w:tcBorders/>
            <w:shd w:fill="EAEAEA" w:val="clear"/>
            <w:vAlign w:val="center"/>
          </w:tcPr>
          <w:p>
            <w:pPr>
              <w:pStyle w:val="TableContents"/>
              <w:spacing w:before="0" w:after="283"/>
              <w:rPr/>
            </w:pPr>
            <w:r>
              <w:rPr/>
              <w:t> </w:t>
            </w:r>
          </w:p>
        </w:tc>
        <w:tc>
          <w:tcPr>
            <w:tcW w:w="77" w:type="dxa"/>
            <w:tcBorders/>
            <w:shd w:fill="EAEAEA" w:val="clear"/>
            <w:vAlign w:val="center"/>
          </w:tcPr>
          <w:p>
            <w:pPr>
              <w:pStyle w:val="TableContents"/>
              <w:spacing w:before="0" w:after="283"/>
              <w:rPr/>
            </w:pPr>
            <w:r>
              <w:rPr/>
              <w:t> </w:t>
            </w:r>
          </w:p>
        </w:tc>
        <w:tc>
          <w:tcPr>
            <w:tcW w:w="873" w:type="dxa"/>
            <w:tcBorders/>
            <w:shd w:fill="EAEAEA" w:val="clear"/>
            <w:vAlign w:val="center"/>
          </w:tcPr>
          <w:p>
            <w:pPr>
              <w:pStyle w:val="TableContents"/>
              <w:spacing w:before="0" w:after="283"/>
              <w:jc w:val="right"/>
              <w:rPr/>
            </w:pPr>
            <w:r>
              <w:rPr/>
              <w:t>27,851</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91" w:type="dxa"/>
            <w:tcBorders/>
            <w:shd w:fill="EAEAEA" w:val="clear"/>
            <w:vAlign w:val="center"/>
          </w:tcPr>
          <w:p>
            <w:pPr>
              <w:pStyle w:val="TableContents"/>
              <w:spacing w:before="0" w:after="283"/>
              <w:rPr/>
            </w:pPr>
            <w:r>
              <w:rPr/>
              <w:t> </w:t>
            </w:r>
          </w:p>
        </w:tc>
        <w:tc>
          <w:tcPr>
            <w:tcW w:w="1039" w:type="dxa"/>
            <w:tcBorders/>
            <w:shd w:fill="EAEAEA" w:val="clear"/>
            <w:vAlign w:val="center"/>
          </w:tcPr>
          <w:p>
            <w:pPr>
              <w:pStyle w:val="TableContents"/>
              <w:spacing w:before="0" w:after="283"/>
              <w:jc w:val="right"/>
              <w:rPr/>
            </w:pPr>
            <w:r>
              <w:rPr/>
              <w:t>—</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65" w:type="dxa"/>
            <w:tcBorders/>
            <w:shd w:fill="EAEAEA" w:val="clear"/>
            <w:vAlign w:val="center"/>
          </w:tcPr>
          <w:p>
            <w:pPr>
              <w:pStyle w:val="TableContents"/>
              <w:spacing w:before="0" w:after="283"/>
              <w:rPr/>
            </w:pPr>
            <w:r>
              <w:rPr/>
              <w:t> </w:t>
            </w:r>
          </w:p>
        </w:tc>
        <w:tc>
          <w:tcPr>
            <w:tcW w:w="615" w:type="dxa"/>
            <w:tcBorders/>
            <w:shd w:fill="EAEAEA" w:val="clear"/>
            <w:vAlign w:val="center"/>
          </w:tcPr>
          <w:p>
            <w:pPr>
              <w:pStyle w:val="TableContents"/>
              <w:spacing w:before="0" w:after="283"/>
              <w:jc w:val="right"/>
              <w:rPr/>
            </w:pPr>
            <w:r>
              <w:rPr/>
              <w:t>27.45</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710" w:type="dxa"/>
            <w:tcBorders/>
            <w:shd w:fill="EAEAEA" w:val="clear"/>
            <w:vAlign w:val="center"/>
          </w:tcPr>
          <w:p>
            <w:pPr>
              <w:pStyle w:val="TableContents"/>
              <w:spacing w:before="0" w:after="283"/>
              <w:jc w:val="right"/>
              <w:rPr/>
            </w:pPr>
            <w:r>
              <w:rPr/>
              <w:t>3/1/2029</w:t>
            </w:r>
          </w:p>
        </w:tc>
        <w:tc>
          <w:tcPr>
            <w:tcW w:w="60" w:type="dxa"/>
            <w:tcBorders/>
            <w:shd w:fill="EAEAEA"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800" w:type="dxa"/>
            <w:tcBorders/>
            <w:shd w:fill="EAEAEA" w:val="clear"/>
            <w:vAlign w:val="center"/>
          </w:tcPr>
          <w:p>
            <w:pPr>
              <w:pStyle w:val="TableContents"/>
              <w:spacing w:before="0" w:after="283"/>
              <w:jc w:val="right"/>
              <w:rPr/>
            </w:pPr>
            <w:r>
              <w:rPr/>
              <w:t>—</w:t>
            </w:r>
          </w:p>
        </w:tc>
        <w:tc>
          <w:tcPr>
            <w:tcW w:w="215"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980" w:type="dxa"/>
            <w:tcBorders/>
            <w:shd w:fill="EAEAEA" w:val="clear"/>
            <w:vAlign w:val="center"/>
          </w:tcPr>
          <w:p>
            <w:pPr>
              <w:pStyle w:val="TableContents"/>
              <w:spacing w:before="0" w:after="283"/>
              <w:jc w:val="right"/>
              <w:rPr/>
            </w:pPr>
            <w:r>
              <w:rPr/>
              <w:t>—</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65" w:type="dxa"/>
            <w:tcBorders/>
            <w:shd w:fill="EAEAEA" w:val="clear"/>
            <w:vAlign w:val="center"/>
          </w:tcPr>
          <w:p>
            <w:pPr>
              <w:pStyle w:val="TableContents"/>
              <w:spacing w:before="0" w:after="283"/>
              <w:rPr/>
            </w:pPr>
            <w:r>
              <w:rPr/>
              <w:t> </w:t>
            </w:r>
          </w:p>
        </w:tc>
        <w:tc>
          <w:tcPr>
            <w:tcW w:w="1065" w:type="dxa"/>
            <w:tcBorders/>
            <w:shd w:fill="EAEAEA" w:val="clear"/>
            <w:vAlign w:val="center"/>
          </w:tcPr>
          <w:p>
            <w:pPr>
              <w:pStyle w:val="TableContents"/>
              <w:spacing w:before="0" w:after="283"/>
              <w:jc w:val="right"/>
              <w:rPr/>
            </w:pPr>
            <w:r>
              <w:rPr/>
              <w:t>—</w:t>
            </w:r>
          </w:p>
        </w:tc>
        <w:tc>
          <w:tcPr>
            <w:tcW w:w="335"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70" w:type="dxa"/>
            <w:tcBorders/>
            <w:shd w:fill="EAEAEA" w:val="clear"/>
            <w:vAlign w:val="center"/>
          </w:tcPr>
          <w:p>
            <w:pPr>
              <w:pStyle w:val="TableContents"/>
              <w:spacing w:before="0" w:after="283"/>
              <w:rPr/>
            </w:pPr>
            <w:r>
              <w:rPr/>
              <w:t> </w:t>
            </w:r>
          </w:p>
        </w:tc>
        <w:tc>
          <w:tcPr>
            <w:tcW w:w="1300" w:type="dxa"/>
            <w:tcBorders/>
            <w:shd w:fill="EAEAEA" w:val="clear"/>
            <w:vAlign w:val="center"/>
          </w:tcPr>
          <w:p>
            <w:pPr>
              <w:pStyle w:val="TableContents"/>
              <w:spacing w:before="0" w:after="283"/>
              <w:jc w:val="right"/>
              <w:rPr/>
            </w:pPr>
            <w:r>
              <w:rPr/>
              <w:t>—</w:t>
            </w:r>
          </w:p>
        </w:tc>
        <w:tc>
          <w:tcPr>
            <w:tcW w:w="75" w:type="dxa"/>
            <w:tcBorders/>
            <w:shd w:fill="EAEAEA" w:val="clear"/>
            <w:vAlign w:val="center"/>
          </w:tcPr>
          <w:p>
            <w:pPr>
              <w:pStyle w:val="TableContents"/>
              <w:spacing w:before="0" w:after="283"/>
              <w:rPr/>
            </w:pPr>
            <w:r>
              <w:rPr/>
              <w:t> </w:t>
            </w:r>
          </w:p>
        </w:tc>
      </w:tr>
      <w:tr>
        <w:trPr/>
        <w:tc>
          <w:tcPr>
            <w:tcW w:w="635" w:type="dxa"/>
            <w:vMerge w:val="continue"/>
            <w:tcBorders/>
            <w:shd w:fill="EAEAEA" w:val="clear"/>
            <w:vAlign w:val="center"/>
          </w:tcPr>
          <w:p>
            <w:pPr>
              <w:pStyle w:val="Normal"/>
              <w:rPr/>
            </w:pPr>
            <w:r>
              <w:rPr/>
            </w:r>
          </w:p>
        </w:tc>
        <w:tc>
          <w:tcPr>
            <w:tcW w:w="60" w:type="dxa"/>
            <w:tcBorders/>
            <w:shd w:fill="EAEAEA" w:val="clear"/>
            <w:vAlign w:val="center"/>
          </w:tcPr>
          <w:p>
            <w:pPr>
              <w:pStyle w:val="TableContents"/>
              <w:spacing w:before="0" w:after="283"/>
              <w:rPr/>
            </w:pPr>
            <w:r>
              <w:rPr/>
              <w:t> </w:t>
            </w:r>
          </w:p>
        </w:tc>
        <w:tc>
          <w:tcPr>
            <w:tcW w:w="77" w:type="dxa"/>
            <w:tcBorders/>
            <w:shd w:fill="EAEAEA" w:val="clear"/>
            <w:vAlign w:val="center"/>
          </w:tcPr>
          <w:p>
            <w:pPr>
              <w:pStyle w:val="TableContents"/>
              <w:spacing w:before="0" w:after="283"/>
              <w:rPr/>
            </w:pPr>
            <w:r>
              <w:rPr/>
              <w:t> </w:t>
            </w:r>
          </w:p>
        </w:tc>
        <w:tc>
          <w:tcPr>
            <w:tcW w:w="873" w:type="dxa"/>
            <w:tcBorders/>
            <w:shd w:fill="EAEAEA" w:val="clear"/>
            <w:vAlign w:val="center"/>
          </w:tcPr>
          <w:p>
            <w:pPr>
              <w:pStyle w:val="TableContents"/>
              <w:spacing w:before="0" w:after="283"/>
              <w:jc w:val="right"/>
              <w:rPr/>
            </w:pPr>
            <w:r>
              <w:rPr/>
              <w:t>26,241</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91" w:type="dxa"/>
            <w:tcBorders/>
            <w:shd w:fill="EAEAEA" w:val="clear"/>
            <w:vAlign w:val="center"/>
          </w:tcPr>
          <w:p>
            <w:pPr>
              <w:pStyle w:val="TableContents"/>
              <w:spacing w:before="0" w:after="283"/>
              <w:rPr/>
            </w:pPr>
            <w:r>
              <w:rPr/>
              <w:t> </w:t>
            </w:r>
          </w:p>
        </w:tc>
        <w:tc>
          <w:tcPr>
            <w:tcW w:w="1039" w:type="dxa"/>
            <w:tcBorders/>
            <w:shd w:fill="EAEAEA" w:val="clear"/>
            <w:vAlign w:val="center"/>
          </w:tcPr>
          <w:p>
            <w:pPr>
              <w:pStyle w:val="TableContents"/>
              <w:spacing w:before="0" w:after="283"/>
              <w:jc w:val="right"/>
              <w:rPr/>
            </w:pPr>
            <w:r>
              <w:rPr/>
              <w:t>13,120</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65" w:type="dxa"/>
            <w:tcBorders/>
            <w:shd w:fill="EAEAEA" w:val="clear"/>
            <w:vAlign w:val="center"/>
          </w:tcPr>
          <w:p>
            <w:pPr>
              <w:pStyle w:val="TableContents"/>
              <w:spacing w:before="0" w:after="283"/>
              <w:rPr/>
            </w:pPr>
            <w:r>
              <w:rPr/>
              <w:t> </w:t>
            </w:r>
          </w:p>
        </w:tc>
        <w:tc>
          <w:tcPr>
            <w:tcW w:w="615" w:type="dxa"/>
            <w:tcBorders/>
            <w:shd w:fill="EAEAEA" w:val="clear"/>
            <w:vAlign w:val="center"/>
          </w:tcPr>
          <w:p>
            <w:pPr>
              <w:pStyle w:val="TableContents"/>
              <w:spacing w:before="0" w:after="283"/>
              <w:jc w:val="right"/>
              <w:rPr/>
            </w:pPr>
            <w:r>
              <w:rPr/>
              <w:t>17.48</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710" w:type="dxa"/>
            <w:tcBorders/>
            <w:shd w:fill="EAEAEA" w:val="clear"/>
            <w:vAlign w:val="center"/>
          </w:tcPr>
          <w:p>
            <w:pPr>
              <w:pStyle w:val="TableContents"/>
              <w:spacing w:before="0" w:after="283"/>
              <w:jc w:val="right"/>
              <w:rPr/>
            </w:pPr>
            <w:r>
              <w:rPr/>
              <w:t>3/2/2030</w:t>
            </w:r>
          </w:p>
        </w:tc>
        <w:tc>
          <w:tcPr>
            <w:tcW w:w="60" w:type="dxa"/>
            <w:tcBorders/>
            <w:shd w:fill="EAEAEA"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800" w:type="dxa"/>
            <w:tcBorders/>
            <w:shd w:fill="EAEAEA" w:val="clear"/>
            <w:vAlign w:val="center"/>
          </w:tcPr>
          <w:p>
            <w:pPr>
              <w:pStyle w:val="TableContents"/>
              <w:spacing w:before="0" w:after="283"/>
              <w:jc w:val="right"/>
              <w:rPr/>
            </w:pPr>
            <w:r>
              <w:rPr/>
              <w:t>—</w:t>
            </w:r>
          </w:p>
        </w:tc>
        <w:tc>
          <w:tcPr>
            <w:tcW w:w="215"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980" w:type="dxa"/>
            <w:tcBorders/>
            <w:shd w:fill="EAEAEA" w:val="clear"/>
            <w:vAlign w:val="center"/>
          </w:tcPr>
          <w:p>
            <w:pPr>
              <w:pStyle w:val="TableContents"/>
              <w:spacing w:before="0" w:after="283"/>
              <w:jc w:val="right"/>
              <w:rPr/>
            </w:pPr>
            <w:r>
              <w:rPr/>
              <w:t>—</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65" w:type="dxa"/>
            <w:tcBorders/>
            <w:shd w:fill="EAEAEA" w:val="clear"/>
            <w:vAlign w:val="center"/>
          </w:tcPr>
          <w:p>
            <w:pPr>
              <w:pStyle w:val="TableContents"/>
              <w:spacing w:before="0" w:after="283"/>
              <w:rPr/>
            </w:pPr>
            <w:r>
              <w:rPr/>
              <w:t> </w:t>
            </w:r>
          </w:p>
        </w:tc>
        <w:tc>
          <w:tcPr>
            <w:tcW w:w="1065" w:type="dxa"/>
            <w:tcBorders/>
            <w:shd w:fill="EAEAEA" w:val="clear"/>
            <w:vAlign w:val="center"/>
          </w:tcPr>
          <w:p>
            <w:pPr>
              <w:pStyle w:val="TableContents"/>
              <w:spacing w:before="0" w:after="283"/>
              <w:jc w:val="right"/>
              <w:rPr/>
            </w:pPr>
            <w:r>
              <w:rPr/>
              <w:t>—</w:t>
            </w:r>
          </w:p>
        </w:tc>
        <w:tc>
          <w:tcPr>
            <w:tcW w:w="335"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70" w:type="dxa"/>
            <w:tcBorders/>
            <w:shd w:fill="EAEAEA" w:val="clear"/>
            <w:vAlign w:val="center"/>
          </w:tcPr>
          <w:p>
            <w:pPr>
              <w:pStyle w:val="TableContents"/>
              <w:spacing w:before="0" w:after="283"/>
              <w:rPr/>
            </w:pPr>
            <w:r>
              <w:rPr/>
              <w:t> </w:t>
            </w:r>
          </w:p>
        </w:tc>
        <w:tc>
          <w:tcPr>
            <w:tcW w:w="1300" w:type="dxa"/>
            <w:tcBorders/>
            <w:shd w:fill="EAEAEA" w:val="clear"/>
            <w:vAlign w:val="center"/>
          </w:tcPr>
          <w:p>
            <w:pPr>
              <w:pStyle w:val="TableContents"/>
              <w:spacing w:before="0" w:after="283"/>
              <w:jc w:val="right"/>
              <w:rPr/>
            </w:pPr>
            <w:r>
              <w:rPr/>
              <w:t>—</w:t>
            </w:r>
          </w:p>
        </w:tc>
        <w:tc>
          <w:tcPr>
            <w:tcW w:w="75" w:type="dxa"/>
            <w:tcBorders/>
            <w:shd w:fill="EAEAEA" w:val="clear"/>
            <w:vAlign w:val="center"/>
          </w:tcPr>
          <w:p>
            <w:pPr>
              <w:pStyle w:val="TableContents"/>
              <w:spacing w:before="0" w:after="283"/>
              <w:rPr/>
            </w:pPr>
            <w:r>
              <w:rPr/>
              <w:t> </w:t>
            </w:r>
          </w:p>
        </w:tc>
      </w:tr>
      <w:tr>
        <w:trPr/>
        <w:tc>
          <w:tcPr>
            <w:tcW w:w="635" w:type="dxa"/>
            <w:vMerge w:val="continue"/>
            <w:tcBorders/>
            <w:shd w:fill="EAEAEA" w:val="clear"/>
            <w:vAlign w:val="center"/>
          </w:tcPr>
          <w:p>
            <w:pPr>
              <w:pStyle w:val="Normal"/>
              <w:rPr/>
            </w:pPr>
            <w:r>
              <w:rPr/>
            </w:r>
          </w:p>
        </w:tc>
        <w:tc>
          <w:tcPr>
            <w:tcW w:w="60" w:type="dxa"/>
            <w:tcBorders/>
            <w:shd w:fill="EAEAEA" w:val="clear"/>
            <w:vAlign w:val="center"/>
          </w:tcPr>
          <w:p>
            <w:pPr>
              <w:pStyle w:val="TableContents"/>
              <w:spacing w:before="0" w:after="283"/>
              <w:rPr/>
            </w:pPr>
            <w:r>
              <w:rPr/>
              <w:t> </w:t>
            </w:r>
          </w:p>
        </w:tc>
        <w:tc>
          <w:tcPr>
            <w:tcW w:w="77" w:type="dxa"/>
            <w:tcBorders/>
            <w:shd w:fill="EAEAEA" w:val="clear"/>
            <w:vAlign w:val="center"/>
          </w:tcPr>
          <w:p>
            <w:pPr>
              <w:pStyle w:val="TableContents"/>
              <w:spacing w:before="0" w:after="283"/>
              <w:rPr/>
            </w:pPr>
            <w:r>
              <w:rPr/>
              <w:t> </w:t>
            </w:r>
          </w:p>
        </w:tc>
        <w:tc>
          <w:tcPr>
            <w:tcW w:w="873" w:type="dxa"/>
            <w:tcBorders/>
            <w:shd w:fill="EAEAEA" w:val="clear"/>
            <w:vAlign w:val="center"/>
          </w:tcPr>
          <w:p>
            <w:pPr>
              <w:pStyle w:val="TableContents"/>
              <w:spacing w:before="0" w:after="283"/>
              <w:jc w:val="right"/>
              <w:rPr/>
            </w:pPr>
            <w:r>
              <w:rPr/>
              <w:t>—</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91" w:type="dxa"/>
            <w:tcBorders/>
            <w:shd w:fill="EAEAEA" w:val="clear"/>
            <w:vAlign w:val="center"/>
          </w:tcPr>
          <w:p>
            <w:pPr>
              <w:pStyle w:val="TableContents"/>
              <w:spacing w:before="0" w:after="283"/>
              <w:rPr/>
            </w:pPr>
            <w:r>
              <w:rPr/>
              <w:t> </w:t>
            </w:r>
          </w:p>
        </w:tc>
        <w:tc>
          <w:tcPr>
            <w:tcW w:w="1039" w:type="dxa"/>
            <w:tcBorders/>
            <w:shd w:fill="EAEAEA" w:val="clear"/>
            <w:vAlign w:val="center"/>
          </w:tcPr>
          <w:p>
            <w:pPr>
              <w:pStyle w:val="TableContents"/>
              <w:spacing w:before="0" w:after="283"/>
              <w:jc w:val="right"/>
              <w:rPr/>
            </w:pPr>
            <w:r>
              <w:rPr/>
              <w:t>—</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65" w:type="dxa"/>
            <w:tcBorders/>
            <w:shd w:fill="EAEAEA" w:val="clear"/>
            <w:vAlign w:val="center"/>
          </w:tcPr>
          <w:p>
            <w:pPr>
              <w:pStyle w:val="TableContents"/>
              <w:spacing w:before="0" w:after="283"/>
              <w:rPr/>
            </w:pPr>
            <w:r>
              <w:rPr/>
              <w:t> </w:t>
            </w:r>
          </w:p>
        </w:tc>
        <w:tc>
          <w:tcPr>
            <w:tcW w:w="615" w:type="dxa"/>
            <w:tcBorders/>
            <w:shd w:fill="EAEAEA" w:val="clear"/>
            <w:vAlign w:val="center"/>
          </w:tcPr>
          <w:p>
            <w:pPr>
              <w:pStyle w:val="TableContents"/>
              <w:spacing w:before="0" w:after="283"/>
              <w:jc w:val="right"/>
              <w:rPr/>
            </w:pPr>
            <w:r>
              <w:rPr/>
              <w:t>—</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710" w:type="dxa"/>
            <w:tcBorders/>
            <w:shd w:fill="EAEAEA" w:val="clear"/>
            <w:vAlign w:val="center"/>
          </w:tcPr>
          <w:p>
            <w:pPr>
              <w:pStyle w:val="TableContents"/>
              <w:spacing w:before="0" w:after="283"/>
              <w:jc w:val="right"/>
              <w:rPr/>
            </w:pPr>
            <w:r>
              <w:rPr/>
              <w:t>—</w:t>
            </w:r>
          </w:p>
        </w:tc>
        <w:tc>
          <w:tcPr>
            <w:tcW w:w="60" w:type="dxa"/>
            <w:tcBorders/>
            <w:shd w:fill="EAEAEA"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800" w:type="dxa"/>
            <w:tcBorders/>
            <w:shd w:fill="EAEAEA" w:val="clear"/>
            <w:vAlign w:val="center"/>
          </w:tcPr>
          <w:p>
            <w:pPr>
              <w:pStyle w:val="TableContents"/>
              <w:spacing w:before="0" w:after="283"/>
              <w:jc w:val="right"/>
              <w:rPr/>
            </w:pPr>
            <w:r>
              <w:rPr/>
              <w:t>24,409</w:t>
            </w:r>
          </w:p>
        </w:tc>
        <w:tc>
          <w:tcPr>
            <w:tcW w:w="215" w:type="dxa"/>
            <w:tcBorders/>
            <w:shd w:fill="EAEAEA" w:val="clear"/>
            <w:vAlign w:val="center"/>
          </w:tcPr>
          <w:p>
            <w:pPr>
              <w:pStyle w:val="TableContents"/>
              <w:spacing w:before="0" w:after="283"/>
              <w:rPr/>
            </w:pPr>
            <w:r>
              <w:rPr/>
              <w:t>(8) </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980" w:type="dxa"/>
            <w:tcBorders/>
            <w:shd w:fill="EAEAEA" w:val="clear"/>
            <w:vAlign w:val="center"/>
          </w:tcPr>
          <w:p>
            <w:pPr>
              <w:pStyle w:val="TableContents"/>
              <w:spacing w:before="0" w:after="283"/>
              <w:jc w:val="right"/>
              <w:rPr/>
            </w:pPr>
            <w:r>
              <w:rPr/>
              <w:t>271,672</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65" w:type="dxa"/>
            <w:tcBorders/>
            <w:shd w:fill="EAEAEA" w:val="clear"/>
            <w:vAlign w:val="center"/>
          </w:tcPr>
          <w:p>
            <w:pPr>
              <w:pStyle w:val="TableContents"/>
              <w:spacing w:before="0" w:after="283"/>
              <w:rPr/>
            </w:pPr>
            <w:r>
              <w:rPr/>
              <w:t> </w:t>
            </w:r>
          </w:p>
        </w:tc>
        <w:tc>
          <w:tcPr>
            <w:tcW w:w="1065" w:type="dxa"/>
            <w:tcBorders/>
            <w:shd w:fill="EAEAEA" w:val="clear"/>
            <w:vAlign w:val="center"/>
          </w:tcPr>
          <w:p>
            <w:pPr>
              <w:pStyle w:val="TableContents"/>
              <w:spacing w:before="0" w:after="283"/>
              <w:jc w:val="right"/>
              <w:rPr/>
            </w:pPr>
            <w:r>
              <w:rPr/>
              <w:t>—</w:t>
            </w:r>
          </w:p>
        </w:tc>
        <w:tc>
          <w:tcPr>
            <w:tcW w:w="335"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70" w:type="dxa"/>
            <w:tcBorders/>
            <w:shd w:fill="EAEAEA" w:val="clear"/>
            <w:vAlign w:val="center"/>
          </w:tcPr>
          <w:p>
            <w:pPr>
              <w:pStyle w:val="TableContents"/>
              <w:spacing w:before="0" w:after="283"/>
              <w:rPr/>
            </w:pPr>
            <w:r>
              <w:rPr/>
              <w:t> </w:t>
            </w:r>
          </w:p>
        </w:tc>
        <w:tc>
          <w:tcPr>
            <w:tcW w:w="1300" w:type="dxa"/>
            <w:tcBorders/>
            <w:shd w:fill="EAEAEA" w:val="clear"/>
            <w:vAlign w:val="center"/>
          </w:tcPr>
          <w:p>
            <w:pPr>
              <w:pStyle w:val="TableContents"/>
              <w:spacing w:before="0" w:after="283"/>
              <w:jc w:val="right"/>
              <w:rPr/>
            </w:pPr>
            <w:r>
              <w:rPr/>
              <w:t>—</w:t>
            </w:r>
          </w:p>
        </w:tc>
        <w:tc>
          <w:tcPr>
            <w:tcW w:w="75" w:type="dxa"/>
            <w:tcBorders/>
            <w:shd w:fill="EAEAEA" w:val="clear"/>
            <w:vAlign w:val="center"/>
          </w:tcPr>
          <w:p>
            <w:pPr>
              <w:pStyle w:val="TableContents"/>
              <w:spacing w:before="0" w:after="283"/>
              <w:rPr/>
            </w:pPr>
            <w:r>
              <w:rPr/>
              <w:t> </w:t>
            </w:r>
          </w:p>
        </w:tc>
      </w:tr>
      <w:tr>
        <w:trPr/>
        <w:tc>
          <w:tcPr>
            <w:tcW w:w="635" w:type="dxa"/>
            <w:vMerge w:val="restart"/>
            <w:tcBorders/>
            <w:shd w:fill="EAEAEA" w:val="clear"/>
            <w:vAlign w:val="center"/>
          </w:tcPr>
          <w:p>
            <w:pPr>
              <w:pStyle w:val="TableContents"/>
              <w:spacing w:before="0" w:after="283"/>
              <w:rPr>
                <w:sz w:val="4"/>
                <w:szCs w:val="4"/>
              </w:rPr>
            </w:pPr>
            <w:r>
              <w:rPr>
                <w:sz w:val="4"/>
                <w:szCs w:val="4"/>
              </w:rPr>
            </w:r>
          </w:p>
        </w:tc>
        <w:tc>
          <w:tcPr>
            <w:tcW w:w="60" w:type="dxa"/>
            <w:tcBorders/>
            <w:shd w:fill="EAEAEA" w:val="clear"/>
            <w:vAlign w:val="center"/>
          </w:tcPr>
          <w:p>
            <w:pPr>
              <w:pStyle w:val="TableContents"/>
              <w:spacing w:before="0" w:after="283"/>
              <w:rPr/>
            </w:pPr>
            <w:r>
              <w:rPr/>
              <w:t> </w:t>
            </w:r>
          </w:p>
        </w:tc>
        <w:tc>
          <w:tcPr>
            <w:tcW w:w="77" w:type="dxa"/>
            <w:tcBorders/>
            <w:shd w:fill="EAEAEA" w:val="clear"/>
            <w:vAlign w:val="center"/>
          </w:tcPr>
          <w:p>
            <w:pPr>
              <w:pStyle w:val="TableContents"/>
              <w:spacing w:before="0" w:after="283"/>
              <w:rPr/>
            </w:pPr>
            <w:r>
              <w:rPr/>
              <w:t> </w:t>
            </w:r>
          </w:p>
        </w:tc>
        <w:tc>
          <w:tcPr>
            <w:tcW w:w="873" w:type="dxa"/>
            <w:tcBorders/>
            <w:shd w:fill="EAEAEA" w:val="clear"/>
            <w:vAlign w:val="center"/>
          </w:tcPr>
          <w:p>
            <w:pPr>
              <w:pStyle w:val="TableContents"/>
              <w:spacing w:before="0" w:after="283"/>
              <w:jc w:val="right"/>
              <w:rPr/>
            </w:pPr>
            <w:r>
              <w:rPr/>
              <w:t>—</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91" w:type="dxa"/>
            <w:tcBorders/>
            <w:shd w:fill="EAEAEA" w:val="clear"/>
            <w:vAlign w:val="center"/>
          </w:tcPr>
          <w:p>
            <w:pPr>
              <w:pStyle w:val="TableContents"/>
              <w:spacing w:before="0" w:after="283"/>
              <w:rPr/>
            </w:pPr>
            <w:r>
              <w:rPr/>
              <w:t> </w:t>
            </w:r>
          </w:p>
        </w:tc>
        <w:tc>
          <w:tcPr>
            <w:tcW w:w="1039" w:type="dxa"/>
            <w:tcBorders/>
            <w:shd w:fill="EAEAEA" w:val="clear"/>
            <w:vAlign w:val="center"/>
          </w:tcPr>
          <w:p>
            <w:pPr>
              <w:pStyle w:val="TableContents"/>
              <w:spacing w:before="0" w:after="283"/>
              <w:jc w:val="right"/>
              <w:rPr/>
            </w:pPr>
            <w:r>
              <w:rPr/>
              <w:t>—</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65" w:type="dxa"/>
            <w:tcBorders/>
            <w:shd w:fill="EAEAEA" w:val="clear"/>
            <w:vAlign w:val="center"/>
          </w:tcPr>
          <w:p>
            <w:pPr>
              <w:pStyle w:val="TableContents"/>
              <w:spacing w:before="0" w:after="283"/>
              <w:rPr/>
            </w:pPr>
            <w:r>
              <w:rPr/>
              <w:t> </w:t>
            </w:r>
          </w:p>
        </w:tc>
        <w:tc>
          <w:tcPr>
            <w:tcW w:w="615" w:type="dxa"/>
            <w:tcBorders/>
            <w:shd w:fill="EAEAEA" w:val="clear"/>
            <w:vAlign w:val="center"/>
          </w:tcPr>
          <w:p>
            <w:pPr>
              <w:pStyle w:val="TableContents"/>
              <w:spacing w:before="0" w:after="283"/>
              <w:jc w:val="right"/>
              <w:rPr/>
            </w:pPr>
            <w:r>
              <w:rPr/>
              <w:t>—</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710" w:type="dxa"/>
            <w:tcBorders/>
            <w:shd w:fill="EAEAEA" w:val="clear"/>
            <w:vAlign w:val="center"/>
          </w:tcPr>
          <w:p>
            <w:pPr>
              <w:pStyle w:val="TableContents"/>
              <w:spacing w:before="0" w:after="283"/>
              <w:jc w:val="right"/>
              <w:rPr/>
            </w:pPr>
            <w:r>
              <w:rPr/>
              <w:t>—</w:t>
            </w:r>
          </w:p>
        </w:tc>
        <w:tc>
          <w:tcPr>
            <w:tcW w:w="60" w:type="dxa"/>
            <w:tcBorders/>
            <w:shd w:fill="EAEAEA"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800" w:type="dxa"/>
            <w:tcBorders/>
            <w:shd w:fill="EAEAEA" w:val="clear"/>
            <w:vAlign w:val="center"/>
          </w:tcPr>
          <w:p>
            <w:pPr>
              <w:pStyle w:val="TableContents"/>
              <w:spacing w:before="0" w:after="283"/>
              <w:jc w:val="right"/>
              <w:rPr/>
            </w:pPr>
            <w:r>
              <w:rPr/>
              <w:t>91,534</w:t>
            </w:r>
          </w:p>
        </w:tc>
        <w:tc>
          <w:tcPr>
            <w:tcW w:w="215" w:type="dxa"/>
            <w:tcBorders/>
            <w:shd w:fill="EAEAEA" w:val="clear"/>
            <w:vAlign w:val="center"/>
          </w:tcPr>
          <w:p>
            <w:pPr>
              <w:pStyle w:val="TableContents"/>
              <w:spacing w:before="0" w:after="283"/>
              <w:rPr/>
            </w:pPr>
            <w:r>
              <w:rPr/>
              <w:t>(9) </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980" w:type="dxa"/>
            <w:tcBorders/>
            <w:shd w:fill="EAEAEA" w:val="clear"/>
            <w:vAlign w:val="center"/>
          </w:tcPr>
          <w:p>
            <w:pPr>
              <w:pStyle w:val="TableContents"/>
              <w:spacing w:before="0" w:after="283"/>
              <w:jc w:val="right"/>
              <w:rPr/>
            </w:pPr>
            <w:r>
              <w:rPr/>
              <w:t>1,018,773</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65" w:type="dxa"/>
            <w:tcBorders/>
            <w:shd w:fill="EAEAEA" w:val="clear"/>
            <w:vAlign w:val="center"/>
          </w:tcPr>
          <w:p>
            <w:pPr>
              <w:pStyle w:val="TableContents"/>
              <w:spacing w:before="0" w:after="283"/>
              <w:rPr/>
            </w:pPr>
            <w:r>
              <w:rPr/>
              <w:t> </w:t>
            </w:r>
          </w:p>
        </w:tc>
        <w:tc>
          <w:tcPr>
            <w:tcW w:w="1065" w:type="dxa"/>
            <w:tcBorders/>
            <w:shd w:fill="EAEAEA" w:val="clear"/>
            <w:vAlign w:val="center"/>
          </w:tcPr>
          <w:p>
            <w:pPr>
              <w:pStyle w:val="TableContents"/>
              <w:spacing w:before="0" w:after="283"/>
              <w:jc w:val="right"/>
              <w:rPr/>
            </w:pPr>
            <w:r>
              <w:rPr/>
              <w:t>—</w:t>
            </w:r>
          </w:p>
        </w:tc>
        <w:tc>
          <w:tcPr>
            <w:tcW w:w="335"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70" w:type="dxa"/>
            <w:tcBorders/>
            <w:shd w:fill="EAEAEA" w:val="clear"/>
            <w:vAlign w:val="center"/>
          </w:tcPr>
          <w:p>
            <w:pPr>
              <w:pStyle w:val="TableContents"/>
              <w:spacing w:before="0" w:after="283"/>
              <w:rPr/>
            </w:pPr>
            <w:r>
              <w:rPr/>
              <w:t> </w:t>
            </w:r>
          </w:p>
        </w:tc>
        <w:tc>
          <w:tcPr>
            <w:tcW w:w="1300" w:type="dxa"/>
            <w:tcBorders/>
            <w:shd w:fill="EAEAEA" w:val="clear"/>
            <w:vAlign w:val="center"/>
          </w:tcPr>
          <w:p>
            <w:pPr>
              <w:pStyle w:val="TableContents"/>
              <w:spacing w:before="0" w:after="283"/>
              <w:jc w:val="right"/>
              <w:rPr/>
            </w:pPr>
            <w:r>
              <w:rPr/>
              <w:t>—</w:t>
            </w:r>
          </w:p>
        </w:tc>
        <w:tc>
          <w:tcPr>
            <w:tcW w:w="75" w:type="dxa"/>
            <w:tcBorders/>
            <w:shd w:fill="EAEAEA" w:val="clear"/>
            <w:vAlign w:val="center"/>
          </w:tcPr>
          <w:p>
            <w:pPr>
              <w:pStyle w:val="TableContents"/>
              <w:spacing w:before="0" w:after="283"/>
              <w:rPr/>
            </w:pPr>
            <w:r>
              <w:rPr/>
              <w:t> </w:t>
            </w:r>
          </w:p>
        </w:tc>
      </w:tr>
      <w:tr>
        <w:trPr/>
        <w:tc>
          <w:tcPr>
            <w:tcW w:w="635" w:type="dxa"/>
            <w:vMerge w:val="continue"/>
            <w:tcBorders/>
            <w:shd w:fill="EAEAEA" w:val="clear"/>
            <w:vAlign w:val="center"/>
          </w:tcPr>
          <w:p>
            <w:pPr>
              <w:pStyle w:val="Normal"/>
              <w:rPr/>
            </w:pPr>
            <w:r>
              <w:rPr/>
            </w:r>
          </w:p>
        </w:tc>
        <w:tc>
          <w:tcPr>
            <w:tcW w:w="60" w:type="dxa"/>
            <w:tcBorders/>
            <w:shd w:fill="EAEAEA" w:val="clear"/>
            <w:vAlign w:val="center"/>
          </w:tcPr>
          <w:p>
            <w:pPr>
              <w:pStyle w:val="TableContents"/>
              <w:spacing w:before="0" w:after="283"/>
              <w:rPr/>
            </w:pPr>
            <w:r>
              <w:rPr/>
              <w:t> </w:t>
            </w:r>
          </w:p>
        </w:tc>
        <w:tc>
          <w:tcPr>
            <w:tcW w:w="77" w:type="dxa"/>
            <w:tcBorders/>
            <w:shd w:fill="EAEAEA" w:val="clear"/>
            <w:vAlign w:val="center"/>
          </w:tcPr>
          <w:p>
            <w:pPr>
              <w:pStyle w:val="TableContents"/>
              <w:spacing w:before="0" w:after="283"/>
              <w:rPr/>
            </w:pPr>
            <w:r>
              <w:rPr/>
              <w:t> </w:t>
            </w:r>
          </w:p>
        </w:tc>
        <w:tc>
          <w:tcPr>
            <w:tcW w:w="873" w:type="dxa"/>
            <w:tcBorders/>
            <w:shd w:fill="EAEAEA" w:val="clear"/>
            <w:vAlign w:val="center"/>
          </w:tcPr>
          <w:p>
            <w:pPr>
              <w:pStyle w:val="TableContents"/>
              <w:spacing w:before="0" w:after="283"/>
              <w:jc w:val="right"/>
              <w:rPr/>
            </w:pPr>
            <w:r>
              <w:rPr/>
              <w:t>—</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91" w:type="dxa"/>
            <w:tcBorders/>
            <w:shd w:fill="EAEAEA" w:val="clear"/>
            <w:vAlign w:val="center"/>
          </w:tcPr>
          <w:p>
            <w:pPr>
              <w:pStyle w:val="TableContents"/>
              <w:spacing w:before="0" w:after="283"/>
              <w:rPr/>
            </w:pPr>
            <w:r>
              <w:rPr/>
              <w:t> </w:t>
            </w:r>
          </w:p>
        </w:tc>
        <w:tc>
          <w:tcPr>
            <w:tcW w:w="1039" w:type="dxa"/>
            <w:tcBorders/>
            <w:shd w:fill="EAEAEA" w:val="clear"/>
            <w:vAlign w:val="center"/>
          </w:tcPr>
          <w:p>
            <w:pPr>
              <w:pStyle w:val="TableContents"/>
              <w:spacing w:before="0" w:after="283"/>
              <w:jc w:val="right"/>
              <w:rPr/>
            </w:pPr>
            <w:r>
              <w:rPr/>
              <w:t>—</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65" w:type="dxa"/>
            <w:tcBorders/>
            <w:shd w:fill="EAEAEA" w:val="clear"/>
            <w:vAlign w:val="center"/>
          </w:tcPr>
          <w:p>
            <w:pPr>
              <w:pStyle w:val="TableContents"/>
              <w:spacing w:before="0" w:after="283"/>
              <w:rPr/>
            </w:pPr>
            <w:r>
              <w:rPr/>
              <w:t> </w:t>
            </w:r>
          </w:p>
        </w:tc>
        <w:tc>
          <w:tcPr>
            <w:tcW w:w="615" w:type="dxa"/>
            <w:tcBorders/>
            <w:shd w:fill="EAEAEA" w:val="clear"/>
            <w:vAlign w:val="center"/>
          </w:tcPr>
          <w:p>
            <w:pPr>
              <w:pStyle w:val="TableContents"/>
              <w:spacing w:before="0" w:after="283"/>
              <w:jc w:val="right"/>
              <w:rPr/>
            </w:pPr>
            <w:r>
              <w:rPr/>
              <w:t>—</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710" w:type="dxa"/>
            <w:tcBorders/>
            <w:shd w:fill="EAEAEA" w:val="clear"/>
            <w:vAlign w:val="center"/>
          </w:tcPr>
          <w:p>
            <w:pPr>
              <w:pStyle w:val="TableContents"/>
              <w:spacing w:before="0" w:after="283"/>
              <w:jc w:val="right"/>
              <w:rPr/>
            </w:pPr>
            <w:r>
              <w:rPr/>
              <w:t>—</w:t>
            </w:r>
          </w:p>
        </w:tc>
        <w:tc>
          <w:tcPr>
            <w:tcW w:w="60" w:type="dxa"/>
            <w:tcBorders/>
            <w:shd w:fill="EAEAEA"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800" w:type="dxa"/>
            <w:tcBorders/>
            <w:shd w:fill="EAEAEA" w:val="clear"/>
            <w:vAlign w:val="center"/>
          </w:tcPr>
          <w:p>
            <w:pPr>
              <w:pStyle w:val="TableContents"/>
              <w:spacing w:before="0" w:after="283"/>
              <w:jc w:val="right"/>
              <w:rPr/>
            </w:pPr>
            <w:r>
              <w:rPr/>
              <w:t>64,438</w:t>
            </w:r>
          </w:p>
        </w:tc>
        <w:tc>
          <w:tcPr>
            <w:tcW w:w="215" w:type="dxa"/>
            <w:tcBorders/>
            <w:shd w:fill="EAEAEA" w:val="clear"/>
            <w:vAlign w:val="center"/>
          </w:tcPr>
          <w:p>
            <w:pPr>
              <w:pStyle w:val="TableContents"/>
              <w:spacing w:before="0" w:after="283"/>
              <w:rPr/>
            </w:pPr>
            <w:r>
              <w:rPr/>
              <w:t>(4) </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980" w:type="dxa"/>
            <w:tcBorders/>
            <w:shd w:fill="EAEAEA" w:val="clear"/>
            <w:vAlign w:val="center"/>
          </w:tcPr>
          <w:p>
            <w:pPr>
              <w:pStyle w:val="TableContents"/>
              <w:spacing w:before="0" w:after="283"/>
              <w:jc w:val="right"/>
              <w:rPr/>
            </w:pPr>
            <w:r>
              <w:rPr/>
              <w:t>717,198</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65" w:type="dxa"/>
            <w:tcBorders/>
            <w:shd w:fill="EAEAEA" w:val="clear"/>
            <w:vAlign w:val="center"/>
          </w:tcPr>
          <w:p>
            <w:pPr>
              <w:pStyle w:val="TableContents"/>
              <w:spacing w:before="0" w:after="283"/>
              <w:rPr/>
            </w:pPr>
            <w:r>
              <w:rPr/>
              <w:t> </w:t>
            </w:r>
          </w:p>
        </w:tc>
        <w:tc>
          <w:tcPr>
            <w:tcW w:w="1065" w:type="dxa"/>
            <w:tcBorders/>
            <w:shd w:fill="EAEAEA" w:val="clear"/>
            <w:vAlign w:val="center"/>
          </w:tcPr>
          <w:p>
            <w:pPr>
              <w:pStyle w:val="TableContents"/>
              <w:spacing w:before="0" w:after="283"/>
              <w:jc w:val="right"/>
              <w:rPr/>
            </w:pPr>
            <w:r>
              <w:rPr/>
              <w:t>144,163</w:t>
            </w:r>
          </w:p>
        </w:tc>
        <w:tc>
          <w:tcPr>
            <w:tcW w:w="335" w:type="dxa"/>
            <w:tcBorders/>
            <w:shd w:fill="EAEAEA" w:val="clear"/>
            <w:vAlign w:val="center"/>
          </w:tcPr>
          <w:p>
            <w:pPr>
              <w:pStyle w:val="TableContents"/>
              <w:spacing w:before="0" w:after="283"/>
              <w:rPr/>
            </w:pPr>
            <w:r>
              <w:rPr/>
              <w:t>(6) </w:t>
            </w:r>
          </w:p>
        </w:tc>
        <w:tc>
          <w:tcPr>
            <w:tcW w:w="60" w:type="dxa"/>
            <w:tcBorders/>
            <w:shd w:fill="EAEAEA" w:val="clear"/>
            <w:vAlign w:val="center"/>
          </w:tcPr>
          <w:p>
            <w:pPr>
              <w:pStyle w:val="TableContents"/>
              <w:spacing w:before="0" w:after="283"/>
              <w:rPr/>
            </w:pPr>
            <w:r>
              <w:rPr/>
              <w:t> </w:t>
            </w:r>
          </w:p>
        </w:tc>
        <w:tc>
          <w:tcPr>
            <w:tcW w:w="70" w:type="dxa"/>
            <w:tcBorders/>
            <w:shd w:fill="EAEAEA" w:val="clear"/>
            <w:vAlign w:val="center"/>
          </w:tcPr>
          <w:p>
            <w:pPr>
              <w:pStyle w:val="TableContents"/>
              <w:spacing w:before="0" w:after="283"/>
              <w:rPr/>
            </w:pPr>
            <w:r>
              <w:rPr/>
              <w:t> </w:t>
            </w:r>
          </w:p>
        </w:tc>
        <w:tc>
          <w:tcPr>
            <w:tcW w:w="1300" w:type="dxa"/>
            <w:tcBorders/>
            <w:shd w:fill="EAEAEA" w:val="clear"/>
            <w:vAlign w:val="center"/>
          </w:tcPr>
          <w:p>
            <w:pPr>
              <w:pStyle w:val="TableContents"/>
              <w:spacing w:before="0" w:after="283"/>
              <w:jc w:val="right"/>
              <w:rPr/>
            </w:pPr>
            <w:r>
              <w:rPr/>
              <w:t>1,604,534</w:t>
            </w:r>
          </w:p>
        </w:tc>
        <w:tc>
          <w:tcPr>
            <w:tcW w:w="75" w:type="dxa"/>
            <w:tcBorders/>
            <w:shd w:fill="EAEAEA" w:val="clear"/>
            <w:vAlign w:val="center"/>
          </w:tcPr>
          <w:p>
            <w:pPr>
              <w:pStyle w:val="TableContents"/>
              <w:spacing w:before="0" w:after="283"/>
              <w:rPr/>
            </w:pPr>
            <w:r>
              <w:rPr/>
              <w:t> </w:t>
            </w:r>
          </w:p>
        </w:tc>
      </w:tr>
      <w:tr>
        <w:trPr/>
        <w:tc>
          <w:tcPr>
            <w:tcW w:w="635" w:type="dxa"/>
            <w:vMerge w:val="continue"/>
            <w:tcBorders/>
            <w:shd w:fill="EAEAEA" w:val="clear"/>
            <w:vAlign w:val="center"/>
          </w:tcPr>
          <w:p>
            <w:pPr>
              <w:pStyle w:val="Normal"/>
              <w:rPr/>
            </w:pPr>
            <w:r>
              <w:rPr/>
            </w:r>
          </w:p>
        </w:tc>
        <w:tc>
          <w:tcPr>
            <w:tcW w:w="60" w:type="dxa"/>
            <w:tcBorders/>
            <w:shd w:fill="EAEAEA" w:val="clear"/>
            <w:vAlign w:val="center"/>
          </w:tcPr>
          <w:p>
            <w:pPr>
              <w:pStyle w:val="TableContents"/>
              <w:spacing w:before="0" w:after="283"/>
              <w:rPr/>
            </w:pPr>
            <w:r>
              <w:rPr/>
              <w:t> </w:t>
            </w:r>
          </w:p>
        </w:tc>
        <w:tc>
          <w:tcPr>
            <w:tcW w:w="77" w:type="dxa"/>
            <w:tcBorders/>
            <w:shd w:fill="EAEAEA" w:val="clear"/>
            <w:vAlign w:val="center"/>
          </w:tcPr>
          <w:p>
            <w:pPr>
              <w:pStyle w:val="TableContents"/>
              <w:spacing w:before="0" w:after="283"/>
              <w:rPr/>
            </w:pPr>
            <w:r>
              <w:rPr/>
              <w:t> </w:t>
            </w:r>
          </w:p>
        </w:tc>
        <w:tc>
          <w:tcPr>
            <w:tcW w:w="873" w:type="dxa"/>
            <w:tcBorders/>
            <w:shd w:fill="EAEAEA" w:val="clear"/>
            <w:vAlign w:val="center"/>
          </w:tcPr>
          <w:p>
            <w:pPr>
              <w:pStyle w:val="TableContents"/>
              <w:spacing w:before="0" w:after="283"/>
              <w:jc w:val="right"/>
              <w:rPr/>
            </w:pPr>
            <w:r>
              <w:rPr/>
              <w:t>—</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91" w:type="dxa"/>
            <w:tcBorders/>
            <w:shd w:fill="EAEAEA" w:val="clear"/>
            <w:vAlign w:val="center"/>
          </w:tcPr>
          <w:p>
            <w:pPr>
              <w:pStyle w:val="TableContents"/>
              <w:spacing w:before="0" w:after="283"/>
              <w:rPr/>
            </w:pPr>
            <w:r>
              <w:rPr/>
              <w:t> </w:t>
            </w:r>
          </w:p>
        </w:tc>
        <w:tc>
          <w:tcPr>
            <w:tcW w:w="1039" w:type="dxa"/>
            <w:tcBorders/>
            <w:shd w:fill="EAEAEA" w:val="clear"/>
            <w:vAlign w:val="center"/>
          </w:tcPr>
          <w:p>
            <w:pPr>
              <w:pStyle w:val="TableContents"/>
              <w:spacing w:before="0" w:after="283"/>
              <w:jc w:val="right"/>
              <w:rPr/>
            </w:pPr>
            <w:r>
              <w:rPr/>
              <w:t>—</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65" w:type="dxa"/>
            <w:tcBorders/>
            <w:shd w:fill="EAEAEA" w:val="clear"/>
            <w:vAlign w:val="center"/>
          </w:tcPr>
          <w:p>
            <w:pPr>
              <w:pStyle w:val="TableContents"/>
              <w:spacing w:before="0" w:after="283"/>
              <w:rPr/>
            </w:pPr>
            <w:r>
              <w:rPr/>
              <w:t> </w:t>
            </w:r>
          </w:p>
        </w:tc>
        <w:tc>
          <w:tcPr>
            <w:tcW w:w="615" w:type="dxa"/>
            <w:tcBorders/>
            <w:shd w:fill="EAEAEA" w:val="clear"/>
            <w:vAlign w:val="center"/>
          </w:tcPr>
          <w:p>
            <w:pPr>
              <w:pStyle w:val="TableContents"/>
              <w:spacing w:before="0" w:after="283"/>
              <w:jc w:val="right"/>
              <w:rPr/>
            </w:pPr>
            <w:r>
              <w:rPr/>
              <w:t>—</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710" w:type="dxa"/>
            <w:tcBorders/>
            <w:shd w:fill="EAEAEA" w:val="clear"/>
            <w:vAlign w:val="center"/>
          </w:tcPr>
          <w:p>
            <w:pPr>
              <w:pStyle w:val="TableContents"/>
              <w:spacing w:before="0" w:after="283"/>
              <w:jc w:val="right"/>
              <w:rPr/>
            </w:pPr>
            <w:r>
              <w:rPr/>
              <w:t>—</w:t>
            </w:r>
          </w:p>
        </w:tc>
        <w:tc>
          <w:tcPr>
            <w:tcW w:w="60" w:type="dxa"/>
            <w:tcBorders/>
            <w:shd w:fill="EAEAEA"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800" w:type="dxa"/>
            <w:tcBorders/>
            <w:shd w:fill="EAEAEA" w:val="clear"/>
            <w:vAlign w:val="center"/>
          </w:tcPr>
          <w:p>
            <w:pPr>
              <w:pStyle w:val="TableContents"/>
              <w:spacing w:before="0" w:after="283"/>
              <w:jc w:val="right"/>
              <w:rPr/>
            </w:pPr>
            <w:r>
              <w:rPr/>
              <w:t>113,751</w:t>
            </w:r>
          </w:p>
        </w:tc>
        <w:tc>
          <w:tcPr>
            <w:tcW w:w="215" w:type="dxa"/>
            <w:tcBorders/>
            <w:shd w:fill="EAEAEA" w:val="clear"/>
            <w:vAlign w:val="center"/>
          </w:tcPr>
          <w:p>
            <w:pPr>
              <w:pStyle w:val="TableContents"/>
              <w:spacing w:before="0" w:after="283"/>
              <w:rPr/>
            </w:pPr>
            <w:r>
              <w:rPr/>
              <w:t>(5) </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980" w:type="dxa"/>
            <w:tcBorders/>
            <w:shd w:fill="EAEAEA" w:val="clear"/>
            <w:vAlign w:val="center"/>
          </w:tcPr>
          <w:p>
            <w:pPr>
              <w:pStyle w:val="TableContents"/>
              <w:spacing w:before="0" w:after="283"/>
              <w:jc w:val="right"/>
              <w:rPr/>
            </w:pPr>
            <w:r>
              <w:rPr/>
              <w:t>1,266,050</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65" w:type="dxa"/>
            <w:tcBorders/>
            <w:shd w:fill="EAEAEA" w:val="clear"/>
            <w:vAlign w:val="center"/>
          </w:tcPr>
          <w:p>
            <w:pPr>
              <w:pStyle w:val="TableContents"/>
              <w:spacing w:before="0" w:after="283"/>
              <w:rPr/>
            </w:pPr>
            <w:r>
              <w:rPr/>
              <w:t> </w:t>
            </w:r>
          </w:p>
        </w:tc>
        <w:tc>
          <w:tcPr>
            <w:tcW w:w="1065" w:type="dxa"/>
            <w:tcBorders/>
            <w:shd w:fill="EAEAEA" w:val="clear"/>
            <w:vAlign w:val="center"/>
          </w:tcPr>
          <w:p>
            <w:pPr>
              <w:pStyle w:val="TableContents"/>
              <w:spacing w:before="0" w:after="283"/>
              <w:jc w:val="right"/>
              <w:rPr/>
            </w:pPr>
            <w:r>
              <w:rPr/>
              <w:t>211,253</w:t>
            </w:r>
          </w:p>
        </w:tc>
        <w:tc>
          <w:tcPr>
            <w:tcW w:w="335" w:type="dxa"/>
            <w:tcBorders/>
            <w:shd w:fill="EAEAEA" w:val="clear"/>
            <w:vAlign w:val="center"/>
          </w:tcPr>
          <w:p>
            <w:pPr>
              <w:pStyle w:val="TableContents"/>
              <w:spacing w:before="0" w:after="283"/>
              <w:rPr/>
            </w:pPr>
            <w:r>
              <w:rPr/>
              <w:t>(7) </w:t>
            </w:r>
          </w:p>
        </w:tc>
        <w:tc>
          <w:tcPr>
            <w:tcW w:w="60" w:type="dxa"/>
            <w:tcBorders/>
            <w:shd w:fill="EAEAEA" w:val="clear"/>
            <w:vAlign w:val="center"/>
          </w:tcPr>
          <w:p>
            <w:pPr>
              <w:pStyle w:val="TableContents"/>
              <w:spacing w:before="0" w:after="283"/>
              <w:rPr/>
            </w:pPr>
            <w:r>
              <w:rPr/>
              <w:t> </w:t>
            </w:r>
          </w:p>
        </w:tc>
        <w:tc>
          <w:tcPr>
            <w:tcW w:w="70" w:type="dxa"/>
            <w:tcBorders/>
            <w:shd w:fill="EAEAEA" w:val="clear"/>
            <w:vAlign w:val="center"/>
          </w:tcPr>
          <w:p>
            <w:pPr>
              <w:pStyle w:val="TableContents"/>
              <w:spacing w:before="0" w:after="283"/>
              <w:rPr/>
            </w:pPr>
            <w:r>
              <w:rPr/>
              <w:t> </w:t>
            </w:r>
          </w:p>
        </w:tc>
        <w:tc>
          <w:tcPr>
            <w:tcW w:w="1300" w:type="dxa"/>
            <w:tcBorders/>
            <w:shd w:fill="EAEAEA" w:val="clear"/>
            <w:vAlign w:val="center"/>
          </w:tcPr>
          <w:p>
            <w:pPr>
              <w:pStyle w:val="TableContents"/>
              <w:spacing w:before="0" w:after="283"/>
              <w:jc w:val="right"/>
              <w:rPr/>
            </w:pPr>
            <w:r>
              <w:rPr/>
              <w:t>2,351,246</w:t>
            </w:r>
          </w:p>
        </w:tc>
        <w:tc>
          <w:tcPr>
            <w:tcW w:w="75" w:type="dxa"/>
            <w:tcBorders/>
            <w:shd w:fill="EAEAEA" w:val="clear"/>
            <w:vAlign w:val="center"/>
          </w:tcPr>
          <w:p>
            <w:pPr>
              <w:pStyle w:val="TableContents"/>
              <w:spacing w:before="0" w:after="283"/>
              <w:rPr/>
            </w:pPr>
            <w:r>
              <w:rPr/>
              <w:t> </w:t>
            </w:r>
          </w:p>
        </w:tc>
      </w:tr>
      <w:tr>
        <w:trPr/>
        <w:tc>
          <w:tcPr>
            <w:tcW w:w="635" w:type="dxa"/>
            <w:tcBorders/>
            <w:shd w:fill="auto" w:val="clear"/>
            <w:vAlign w:val="center"/>
          </w:tcPr>
          <w:p>
            <w:pPr>
              <w:pStyle w:val="TableContents"/>
              <w:spacing w:before="0" w:after="0"/>
              <w:rPr>
                <w:rFonts w:ascii="arial" w:hAnsi="arial"/>
                <w:b/>
                <w:sz w:val="15"/>
              </w:rPr>
            </w:pPr>
            <w:r>
              <w:rPr>
                <w:rFonts w:ascii="arial" w:hAnsi="arial"/>
                <w:b/>
                <w:sz w:val="15"/>
              </w:rPr>
              <w:t>Robert J. Coury</w:t>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873" w:type="dxa"/>
            <w:tcBorders/>
            <w:shd w:fill="auto" w:val="clear"/>
            <w:vAlign w:val="center"/>
          </w:tcPr>
          <w:p>
            <w:pPr>
              <w:pStyle w:val="TableContents"/>
              <w:spacing w:before="0" w:after="283"/>
              <w:jc w:val="right"/>
              <w:rPr/>
            </w:pPr>
            <w:r>
              <w:rPr/>
              <w:t>3,236</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1" w:type="dxa"/>
            <w:tcBorders/>
            <w:shd w:fill="auto" w:val="clear"/>
            <w:vAlign w:val="center"/>
          </w:tcPr>
          <w:p>
            <w:pPr>
              <w:pStyle w:val="TableContents"/>
              <w:spacing w:before="0" w:after="283"/>
              <w:rPr/>
            </w:pPr>
            <w:r>
              <w:rPr/>
              <w:t> </w:t>
            </w:r>
          </w:p>
        </w:tc>
        <w:tc>
          <w:tcPr>
            <w:tcW w:w="1039"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15" w:type="dxa"/>
            <w:tcBorders/>
            <w:shd w:fill="auto" w:val="clear"/>
            <w:vAlign w:val="center"/>
          </w:tcPr>
          <w:p>
            <w:pPr>
              <w:pStyle w:val="TableContents"/>
              <w:spacing w:before="0" w:after="283"/>
              <w:jc w:val="right"/>
              <w:rPr/>
            </w:pPr>
            <w:r>
              <w:rPr/>
              <w:t>30.90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10" w:type="dxa"/>
            <w:tcBorders/>
            <w:shd w:fill="auto" w:val="clear"/>
            <w:vAlign w:val="center"/>
          </w:tcPr>
          <w:p>
            <w:pPr>
              <w:pStyle w:val="TableContents"/>
              <w:spacing w:before="0" w:after="283"/>
              <w:jc w:val="right"/>
              <w:rPr/>
            </w:pPr>
            <w:r>
              <w:rPr/>
              <w:t>3/6/2023</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1065" w:type="dxa"/>
            <w:tcBorders/>
            <w:shd w:fill="auto" w:val="clear"/>
            <w:vAlign w:val="center"/>
          </w:tcPr>
          <w:p>
            <w:pPr>
              <w:pStyle w:val="TableContents"/>
              <w:spacing w:before="0" w:after="283"/>
              <w:jc w:val="right"/>
              <w:rPr/>
            </w:pPr>
            <w:r>
              <w:rPr/>
              <w:t>—</w:t>
            </w:r>
          </w:p>
        </w:tc>
        <w:tc>
          <w:tcPr>
            <w:tcW w:w="33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1300" w:type="dxa"/>
            <w:tcBorders/>
            <w:shd w:fill="auto" w:val="clear"/>
            <w:vAlign w:val="center"/>
          </w:tcPr>
          <w:p>
            <w:pPr>
              <w:pStyle w:val="TableContents"/>
              <w:spacing w:before="0" w:after="283"/>
              <w:jc w:val="right"/>
              <w:rPr/>
            </w:pPr>
            <w:r>
              <w:rPr/>
              <w:t>—</w:t>
            </w:r>
          </w:p>
        </w:tc>
        <w:tc>
          <w:tcPr>
            <w:tcW w:w="75" w:type="dxa"/>
            <w:tcBorders/>
            <w:shd w:fill="auto" w:val="clear"/>
            <w:vAlign w:val="center"/>
          </w:tcPr>
          <w:p>
            <w:pPr>
              <w:pStyle w:val="TableContents"/>
              <w:spacing w:before="0" w:after="283"/>
              <w:rPr/>
            </w:pPr>
            <w:r>
              <w:rPr/>
              <w:t> </w:t>
            </w:r>
          </w:p>
        </w:tc>
      </w:tr>
      <w:tr>
        <w:trPr/>
        <w:tc>
          <w:tcPr>
            <w:tcW w:w="6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873" w:type="dxa"/>
            <w:tcBorders/>
            <w:shd w:fill="auto" w:val="clear"/>
            <w:vAlign w:val="center"/>
          </w:tcPr>
          <w:p>
            <w:pPr>
              <w:pStyle w:val="TableContents"/>
              <w:spacing w:before="0" w:after="283"/>
              <w:jc w:val="right"/>
              <w:rPr/>
            </w:pPr>
            <w:r>
              <w:rPr/>
              <w:t>58,952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1" w:type="dxa"/>
            <w:tcBorders/>
            <w:shd w:fill="auto" w:val="clear"/>
            <w:vAlign w:val="center"/>
          </w:tcPr>
          <w:p>
            <w:pPr>
              <w:pStyle w:val="TableContents"/>
              <w:spacing w:before="0" w:after="283"/>
              <w:rPr/>
            </w:pPr>
            <w:r>
              <w:rPr/>
              <w:t> </w:t>
            </w:r>
          </w:p>
        </w:tc>
        <w:tc>
          <w:tcPr>
            <w:tcW w:w="1039"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15" w:type="dxa"/>
            <w:tcBorders/>
            <w:shd w:fill="auto" w:val="clear"/>
            <w:vAlign w:val="center"/>
          </w:tcPr>
          <w:p>
            <w:pPr>
              <w:pStyle w:val="TableContents"/>
              <w:spacing w:before="0" w:after="283"/>
              <w:jc w:val="right"/>
              <w:rPr/>
            </w:pPr>
            <w:r>
              <w:rPr/>
              <w:t>55.84</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10" w:type="dxa"/>
            <w:tcBorders/>
            <w:shd w:fill="auto" w:val="clear"/>
            <w:vAlign w:val="center"/>
          </w:tcPr>
          <w:p>
            <w:pPr>
              <w:pStyle w:val="TableContents"/>
              <w:spacing w:before="0" w:after="283"/>
              <w:jc w:val="right"/>
              <w:rPr/>
            </w:pPr>
            <w:r>
              <w:rPr/>
              <w:t>3/5/2024</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1065" w:type="dxa"/>
            <w:tcBorders/>
            <w:shd w:fill="auto" w:val="clear"/>
            <w:vAlign w:val="center"/>
          </w:tcPr>
          <w:p>
            <w:pPr>
              <w:pStyle w:val="TableContents"/>
              <w:spacing w:before="0" w:after="283"/>
              <w:jc w:val="right"/>
              <w:rPr/>
            </w:pPr>
            <w:r>
              <w:rPr/>
              <w:t>—</w:t>
            </w:r>
          </w:p>
        </w:tc>
        <w:tc>
          <w:tcPr>
            <w:tcW w:w="33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1300" w:type="dxa"/>
            <w:tcBorders/>
            <w:shd w:fill="auto" w:val="clear"/>
            <w:vAlign w:val="center"/>
          </w:tcPr>
          <w:p>
            <w:pPr>
              <w:pStyle w:val="TableContents"/>
              <w:spacing w:before="0" w:after="283"/>
              <w:jc w:val="right"/>
              <w:rPr/>
            </w:pPr>
            <w:r>
              <w:rPr/>
              <w:t>—</w:t>
            </w:r>
          </w:p>
        </w:tc>
        <w:tc>
          <w:tcPr>
            <w:tcW w:w="75" w:type="dxa"/>
            <w:tcBorders/>
            <w:shd w:fill="auto" w:val="clear"/>
            <w:vAlign w:val="center"/>
          </w:tcPr>
          <w:p>
            <w:pPr>
              <w:pStyle w:val="TableContents"/>
              <w:spacing w:before="0" w:after="283"/>
              <w:rPr/>
            </w:pPr>
            <w:r>
              <w:rPr/>
              <w:t> </w:t>
            </w:r>
          </w:p>
        </w:tc>
      </w:tr>
      <w:tr>
        <w:trPr/>
        <w:tc>
          <w:tcPr>
            <w:tcW w:w="6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873" w:type="dxa"/>
            <w:tcBorders/>
            <w:shd w:fill="auto" w:val="clear"/>
            <w:vAlign w:val="center"/>
          </w:tcPr>
          <w:p>
            <w:pPr>
              <w:pStyle w:val="TableContents"/>
              <w:spacing w:before="0" w:after="283"/>
              <w:jc w:val="right"/>
              <w:rPr/>
            </w:pPr>
            <w:r>
              <w:rPr/>
              <w:t>63,235</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1" w:type="dxa"/>
            <w:tcBorders/>
            <w:shd w:fill="auto" w:val="clear"/>
            <w:vAlign w:val="center"/>
          </w:tcPr>
          <w:p>
            <w:pPr>
              <w:pStyle w:val="TableContents"/>
              <w:spacing w:before="0" w:after="283"/>
              <w:rPr/>
            </w:pPr>
            <w:r>
              <w:rPr/>
              <w:t> </w:t>
            </w:r>
          </w:p>
        </w:tc>
        <w:tc>
          <w:tcPr>
            <w:tcW w:w="1039"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15" w:type="dxa"/>
            <w:tcBorders/>
            <w:shd w:fill="auto" w:val="clear"/>
            <w:vAlign w:val="center"/>
          </w:tcPr>
          <w:p>
            <w:pPr>
              <w:pStyle w:val="TableContents"/>
              <w:spacing w:before="0" w:after="283"/>
              <w:jc w:val="right"/>
              <w:rPr/>
            </w:pPr>
            <w:r>
              <w:rPr/>
              <w:t>50.66</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10" w:type="dxa"/>
            <w:tcBorders/>
            <w:shd w:fill="auto" w:val="clear"/>
            <w:vAlign w:val="center"/>
          </w:tcPr>
          <w:p>
            <w:pPr>
              <w:pStyle w:val="TableContents"/>
              <w:spacing w:before="0" w:after="283"/>
              <w:jc w:val="right"/>
              <w:rPr/>
            </w:pPr>
            <w:r>
              <w:rPr/>
              <w:t>11/17/2025</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1065" w:type="dxa"/>
            <w:tcBorders/>
            <w:shd w:fill="auto" w:val="clear"/>
            <w:vAlign w:val="center"/>
          </w:tcPr>
          <w:p>
            <w:pPr>
              <w:pStyle w:val="TableContents"/>
              <w:spacing w:before="0" w:after="283"/>
              <w:jc w:val="right"/>
              <w:rPr/>
            </w:pPr>
            <w:r>
              <w:rPr/>
              <w:t>—</w:t>
            </w:r>
          </w:p>
        </w:tc>
        <w:tc>
          <w:tcPr>
            <w:tcW w:w="33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1300" w:type="dxa"/>
            <w:tcBorders/>
            <w:shd w:fill="auto" w:val="clear"/>
            <w:vAlign w:val="center"/>
          </w:tcPr>
          <w:p>
            <w:pPr>
              <w:pStyle w:val="TableContents"/>
              <w:spacing w:before="0" w:after="283"/>
              <w:jc w:val="right"/>
              <w:rPr/>
            </w:pPr>
            <w:r>
              <w:rPr/>
              <w:t>—</w:t>
            </w:r>
          </w:p>
        </w:tc>
        <w:tc>
          <w:tcPr>
            <w:tcW w:w="75" w:type="dxa"/>
            <w:tcBorders/>
            <w:shd w:fill="auto" w:val="clear"/>
            <w:vAlign w:val="center"/>
          </w:tcPr>
          <w:p>
            <w:pPr>
              <w:pStyle w:val="TableContents"/>
              <w:spacing w:before="0" w:after="283"/>
              <w:rPr/>
            </w:pPr>
            <w:r>
              <w:rPr/>
              <w:t> </w:t>
            </w:r>
          </w:p>
        </w:tc>
      </w:tr>
      <w:tr>
        <w:trPr/>
        <w:tc>
          <w:tcPr>
            <w:tcW w:w="6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873" w:type="dxa"/>
            <w:tcBorders/>
            <w:shd w:fill="auto" w:val="clear"/>
            <w:vAlign w:val="center"/>
          </w:tcPr>
          <w:p>
            <w:pPr>
              <w:pStyle w:val="TableContents"/>
              <w:spacing w:before="0" w:after="283"/>
              <w:jc w:val="right"/>
              <w:rPr/>
            </w:pPr>
            <w:r>
              <w:rPr/>
              <w:t>82,776</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1" w:type="dxa"/>
            <w:tcBorders/>
            <w:shd w:fill="auto" w:val="clear"/>
            <w:vAlign w:val="center"/>
          </w:tcPr>
          <w:p>
            <w:pPr>
              <w:pStyle w:val="TableContents"/>
              <w:spacing w:before="0" w:after="283"/>
              <w:rPr/>
            </w:pPr>
            <w:r>
              <w:rPr/>
              <w:t> </w:t>
            </w:r>
          </w:p>
        </w:tc>
        <w:tc>
          <w:tcPr>
            <w:tcW w:w="1039"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15" w:type="dxa"/>
            <w:tcBorders/>
            <w:shd w:fill="auto" w:val="clear"/>
            <w:vAlign w:val="center"/>
          </w:tcPr>
          <w:p>
            <w:pPr>
              <w:pStyle w:val="TableContents"/>
              <w:spacing w:before="0" w:after="283"/>
              <w:jc w:val="right"/>
              <w:rPr/>
            </w:pPr>
            <w:r>
              <w:rPr/>
              <w:t>46.27</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10" w:type="dxa"/>
            <w:tcBorders/>
            <w:shd w:fill="auto" w:val="clear"/>
            <w:vAlign w:val="center"/>
          </w:tcPr>
          <w:p>
            <w:pPr>
              <w:pStyle w:val="TableContents"/>
              <w:spacing w:before="0" w:after="283"/>
              <w:jc w:val="right"/>
              <w:rPr/>
            </w:pPr>
            <w:r>
              <w:rPr/>
              <w:t>2/17/2026</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w:t>
            </w:r>
          </w:p>
        </w:tc>
        <w:tc>
          <w:tcPr>
            <w:tcW w:w="2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1065" w:type="dxa"/>
            <w:tcBorders/>
            <w:shd w:fill="auto" w:val="clear"/>
            <w:vAlign w:val="center"/>
          </w:tcPr>
          <w:p>
            <w:pPr>
              <w:pStyle w:val="TableContents"/>
              <w:spacing w:before="0" w:after="283"/>
              <w:jc w:val="right"/>
              <w:rPr/>
            </w:pPr>
            <w:r>
              <w:rPr/>
              <w:t>1,600,000</w:t>
            </w:r>
          </w:p>
        </w:tc>
        <w:tc>
          <w:tcPr>
            <w:tcW w:w="335" w:type="dxa"/>
            <w:tcBorders/>
            <w:shd w:fill="auto" w:val="clear"/>
            <w:vAlign w:val="center"/>
          </w:tcPr>
          <w:p>
            <w:pPr>
              <w:pStyle w:val="TableContents"/>
              <w:spacing w:before="0" w:after="283"/>
              <w:rPr/>
            </w:pPr>
            <w:r>
              <w:rPr/>
              <w:t>(10) </w:t>
            </w:r>
          </w:p>
        </w:tc>
        <w:tc>
          <w:tcPr>
            <w:tcW w:w="6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1300" w:type="dxa"/>
            <w:tcBorders/>
            <w:shd w:fill="auto" w:val="clear"/>
            <w:vAlign w:val="center"/>
          </w:tcPr>
          <w:p>
            <w:pPr>
              <w:pStyle w:val="TableContents"/>
              <w:spacing w:before="0" w:after="283"/>
              <w:jc w:val="right"/>
              <w:rPr/>
            </w:pPr>
            <w:r>
              <w:rPr/>
              <w:t>17,808,000</w:t>
            </w:r>
          </w:p>
        </w:tc>
        <w:tc>
          <w:tcPr>
            <w:tcW w:w="75" w:type="dxa"/>
            <w:tcBorders/>
            <w:shd w:fill="auto" w:val="clear"/>
            <w:vAlign w:val="center"/>
          </w:tcPr>
          <w:p>
            <w:pPr>
              <w:pStyle w:val="TableContents"/>
              <w:spacing w:before="0" w:after="283"/>
              <w:rPr/>
            </w:pPr>
            <w:r>
              <w:rPr/>
              <w:t> </w:t>
            </w:r>
          </w:p>
        </w:tc>
      </w:tr>
      <w:tr>
        <w:trPr/>
        <w:tc>
          <w:tcPr>
            <w:tcW w:w="6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77" w:type="dxa"/>
            <w:tcBorders/>
            <w:shd w:fill="auto" w:val="clear"/>
            <w:vAlign w:val="center"/>
          </w:tcPr>
          <w:p>
            <w:pPr>
              <w:pStyle w:val="TableContents"/>
              <w:spacing w:before="0" w:after="283"/>
              <w:rPr/>
            </w:pPr>
            <w:r>
              <w:rPr/>
              <w:t> </w:t>
            </w:r>
          </w:p>
        </w:tc>
        <w:tc>
          <w:tcPr>
            <w:tcW w:w="873"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1" w:type="dxa"/>
            <w:tcBorders/>
            <w:shd w:fill="auto" w:val="clear"/>
            <w:vAlign w:val="center"/>
          </w:tcPr>
          <w:p>
            <w:pPr>
              <w:pStyle w:val="TableContents"/>
              <w:spacing w:before="0" w:after="283"/>
              <w:rPr/>
            </w:pPr>
            <w:r>
              <w:rPr/>
              <w:t> </w:t>
            </w:r>
          </w:p>
        </w:tc>
        <w:tc>
          <w:tcPr>
            <w:tcW w:w="1039"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615"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1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217,477</w:t>
            </w:r>
          </w:p>
        </w:tc>
        <w:tc>
          <w:tcPr>
            <w:tcW w:w="215" w:type="dxa"/>
            <w:tcBorders/>
            <w:shd w:fill="auto" w:val="clear"/>
            <w:vAlign w:val="center"/>
          </w:tcPr>
          <w:p>
            <w:pPr>
              <w:pStyle w:val="TableContents"/>
              <w:spacing w:before="0" w:after="283"/>
              <w:rPr/>
            </w:pPr>
            <w:r>
              <w:rPr/>
              <w:t>(4)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2,420,523</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5" w:type="dxa"/>
            <w:tcBorders/>
            <w:shd w:fill="auto" w:val="clear"/>
            <w:vAlign w:val="center"/>
          </w:tcPr>
          <w:p>
            <w:pPr>
              <w:pStyle w:val="TableContents"/>
              <w:spacing w:before="0" w:after="283"/>
              <w:rPr/>
            </w:pPr>
            <w:r>
              <w:rPr/>
              <w:t> </w:t>
            </w:r>
          </w:p>
        </w:tc>
        <w:tc>
          <w:tcPr>
            <w:tcW w:w="1065" w:type="dxa"/>
            <w:tcBorders/>
            <w:shd w:fill="auto" w:val="clear"/>
            <w:vAlign w:val="center"/>
          </w:tcPr>
          <w:p>
            <w:pPr>
              <w:pStyle w:val="TableContents"/>
              <w:spacing w:before="0" w:after="283"/>
              <w:jc w:val="right"/>
              <w:rPr/>
            </w:pPr>
            <w:r>
              <w:rPr/>
              <w:t>486,547</w:t>
            </w:r>
          </w:p>
        </w:tc>
        <w:tc>
          <w:tcPr>
            <w:tcW w:w="335" w:type="dxa"/>
            <w:tcBorders/>
            <w:shd w:fill="auto" w:val="clear"/>
            <w:vAlign w:val="center"/>
          </w:tcPr>
          <w:p>
            <w:pPr>
              <w:pStyle w:val="TableContents"/>
              <w:spacing w:before="0" w:after="283"/>
              <w:rPr/>
            </w:pPr>
            <w:r>
              <w:rPr/>
              <w:t>(6) </w:t>
            </w:r>
          </w:p>
        </w:tc>
        <w:tc>
          <w:tcPr>
            <w:tcW w:w="60"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1300" w:type="dxa"/>
            <w:tcBorders/>
            <w:shd w:fill="auto" w:val="clear"/>
            <w:vAlign w:val="center"/>
          </w:tcPr>
          <w:p>
            <w:pPr>
              <w:pStyle w:val="TableContents"/>
              <w:spacing w:before="0" w:after="283"/>
              <w:jc w:val="right"/>
              <w:rPr/>
            </w:pPr>
            <w:r>
              <w:rPr/>
              <w:t>5,415,268</w:t>
            </w:r>
          </w:p>
        </w:tc>
        <w:tc>
          <w:tcPr>
            <w:tcW w:w="75" w:type="dxa"/>
            <w:tcBorders/>
            <w:shd w:fill="auto" w:val="clear"/>
            <w:vAlign w:val="center"/>
          </w:tcPr>
          <w:p>
            <w:pPr>
              <w:pStyle w:val="TableContents"/>
              <w:spacing w:before="0" w:after="283"/>
              <w:rPr/>
            </w:pPr>
            <w:r>
              <w:rPr/>
              <w:t> </w:t>
            </w:r>
          </w:p>
        </w:tc>
      </w:tr>
      <w:tr>
        <w:trPr/>
        <w:tc>
          <w:tcPr>
            <w:tcW w:w="635" w:type="dxa"/>
            <w:tcBorders>
              <w:bottom w:val="single" w:sz="6" w:space="0" w:color="732282"/>
            </w:tcBorders>
            <w:shd w:fill="auto" w:val="clear"/>
            <w:tcMar>
              <w:bottom w:w="28" w:type="dxa"/>
            </w:tcMar>
            <w:vAlign w:val="center"/>
          </w:tcPr>
          <w:p>
            <w:pPr>
              <w:pStyle w:val="TableContents"/>
              <w:spacing w:before="0" w:after="283"/>
              <w:rPr/>
            </w:pPr>
            <w:r>
              <w:rPr/>
              <w:t> </w:t>
            </w:r>
          </w:p>
        </w:tc>
        <w:tc>
          <w:tcPr>
            <w:tcW w:w="60" w:type="dxa"/>
            <w:tcBorders>
              <w:bottom w:val="single" w:sz="6" w:space="0" w:color="732282"/>
            </w:tcBorders>
            <w:shd w:fill="auto" w:val="clear"/>
            <w:tcMar>
              <w:bottom w:w="28" w:type="dxa"/>
            </w:tcMar>
            <w:vAlign w:val="center"/>
          </w:tcPr>
          <w:p>
            <w:pPr>
              <w:pStyle w:val="TableContents"/>
              <w:spacing w:before="0" w:after="283"/>
              <w:rPr/>
            </w:pPr>
            <w:r>
              <w:rPr/>
              <w:t> </w:t>
            </w:r>
          </w:p>
        </w:tc>
        <w:tc>
          <w:tcPr>
            <w:tcW w:w="77" w:type="dxa"/>
            <w:tcBorders>
              <w:bottom w:val="single" w:sz="6" w:space="0" w:color="732282"/>
            </w:tcBorders>
            <w:shd w:fill="auto" w:val="clear"/>
            <w:tcMar>
              <w:bottom w:w="28" w:type="dxa"/>
            </w:tcMar>
            <w:vAlign w:val="center"/>
          </w:tcPr>
          <w:p>
            <w:pPr>
              <w:pStyle w:val="TableContents"/>
              <w:spacing w:before="0" w:after="283"/>
              <w:rPr/>
            </w:pPr>
            <w:r>
              <w:rPr/>
              <w:t> </w:t>
            </w:r>
          </w:p>
        </w:tc>
        <w:tc>
          <w:tcPr>
            <w:tcW w:w="873" w:type="dxa"/>
            <w:tcBorders>
              <w:bottom w:val="single" w:sz="6" w:space="0" w:color="732282"/>
            </w:tcBorders>
            <w:shd w:fill="auto" w:val="clear"/>
            <w:tcMar>
              <w:bottom w:w="28" w:type="dxa"/>
            </w:tcMar>
            <w:vAlign w:val="center"/>
          </w:tcPr>
          <w:p>
            <w:pPr>
              <w:pStyle w:val="TableContents"/>
              <w:spacing w:before="0" w:after="283"/>
              <w:jc w:val="right"/>
              <w:rPr/>
            </w:pPr>
            <w:r>
              <w:rPr/>
              <w:t>—</w:t>
            </w:r>
          </w:p>
        </w:tc>
        <w:tc>
          <w:tcPr>
            <w:tcW w:w="60" w:type="dxa"/>
            <w:tcBorders>
              <w:bottom w:val="single" w:sz="6" w:space="0" w:color="732282"/>
            </w:tcBorders>
            <w:shd w:fill="auto" w:val="clear"/>
            <w:tcMar>
              <w:bottom w:w="28" w:type="dxa"/>
            </w:tcMar>
            <w:vAlign w:val="center"/>
          </w:tcPr>
          <w:p>
            <w:pPr>
              <w:pStyle w:val="TableContents"/>
              <w:spacing w:before="0" w:after="283"/>
              <w:rPr/>
            </w:pPr>
            <w:r>
              <w:rPr/>
              <w:t> </w:t>
            </w:r>
          </w:p>
        </w:tc>
        <w:tc>
          <w:tcPr>
            <w:tcW w:w="60" w:type="dxa"/>
            <w:tcBorders>
              <w:bottom w:val="single" w:sz="6" w:space="0" w:color="732282"/>
            </w:tcBorders>
            <w:shd w:fill="auto" w:val="clear"/>
            <w:tcMar>
              <w:bottom w:w="28" w:type="dxa"/>
            </w:tcMar>
            <w:vAlign w:val="center"/>
          </w:tcPr>
          <w:p>
            <w:pPr>
              <w:pStyle w:val="TableContents"/>
              <w:spacing w:before="0" w:after="283"/>
              <w:rPr/>
            </w:pPr>
            <w:r>
              <w:rPr/>
              <w:t> </w:t>
            </w:r>
          </w:p>
        </w:tc>
        <w:tc>
          <w:tcPr>
            <w:tcW w:w="91" w:type="dxa"/>
            <w:tcBorders>
              <w:bottom w:val="single" w:sz="6" w:space="0" w:color="732282"/>
            </w:tcBorders>
            <w:shd w:fill="auto" w:val="clear"/>
            <w:tcMar>
              <w:bottom w:w="28" w:type="dxa"/>
            </w:tcMar>
            <w:vAlign w:val="center"/>
          </w:tcPr>
          <w:p>
            <w:pPr>
              <w:pStyle w:val="TableContents"/>
              <w:spacing w:before="0" w:after="283"/>
              <w:rPr/>
            </w:pPr>
            <w:r>
              <w:rPr/>
              <w:t> </w:t>
            </w:r>
          </w:p>
        </w:tc>
        <w:tc>
          <w:tcPr>
            <w:tcW w:w="1039" w:type="dxa"/>
            <w:tcBorders>
              <w:bottom w:val="single" w:sz="6" w:space="0" w:color="732282"/>
            </w:tcBorders>
            <w:shd w:fill="auto" w:val="clear"/>
            <w:tcMar>
              <w:bottom w:w="28" w:type="dxa"/>
            </w:tcMar>
            <w:vAlign w:val="center"/>
          </w:tcPr>
          <w:p>
            <w:pPr>
              <w:pStyle w:val="TableContents"/>
              <w:spacing w:before="0" w:after="283"/>
              <w:jc w:val="right"/>
              <w:rPr/>
            </w:pPr>
            <w:r>
              <w:rPr/>
              <w:t>—</w:t>
            </w:r>
          </w:p>
        </w:tc>
        <w:tc>
          <w:tcPr>
            <w:tcW w:w="60" w:type="dxa"/>
            <w:tcBorders>
              <w:bottom w:val="single" w:sz="6" w:space="0" w:color="732282"/>
            </w:tcBorders>
            <w:shd w:fill="auto" w:val="clear"/>
            <w:tcMar>
              <w:bottom w:w="28" w:type="dxa"/>
            </w:tcMar>
            <w:vAlign w:val="center"/>
          </w:tcPr>
          <w:p>
            <w:pPr>
              <w:pStyle w:val="TableContents"/>
              <w:spacing w:before="0" w:after="283"/>
              <w:rPr/>
            </w:pPr>
            <w:r>
              <w:rPr/>
              <w:t> </w:t>
            </w:r>
          </w:p>
        </w:tc>
        <w:tc>
          <w:tcPr>
            <w:tcW w:w="60" w:type="dxa"/>
            <w:tcBorders>
              <w:bottom w:val="single" w:sz="6" w:space="0" w:color="732282"/>
            </w:tcBorders>
            <w:shd w:fill="auto" w:val="clear"/>
            <w:tcMar>
              <w:bottom w:w="28" w:type="dxa"/>
            </w:tcMar>
            <w:vAlign w:val="center"/>
          </w:tcPr>
          <w:p>
            <w:pPr>
              <w:pStyle w:val="TableContents"/>
              <w:spacing w:before="0" w:after="283"/>
              <w:rPr/>
            </w:pPr>
            <w:r>
              <w:rPr/>
              <w:t> </w:t>
            </w:r>
          </w:p>
        </w:tc>
        <w:tc>
          <w:tcPr>
            <w:tcW w:w="65" w:type="dxa"/>
            <w:tcBorders>
              <w:bottom w:val="single" w:sz="6" w:space="0" w:color="732282"/>
            </w:tcBorders>
            <w:shd w:fill="auto" w:val="clear"/>
            <w:tcMar>
              <w:bottom w:w="28" w:type="dxa"/>
            </w:tcMar>
            <w:vAlign w:val="center"/>
          </w:tcPr>
          <w:p>
            <w:pPr>
              <w:pStyle w:val="TableContents"/>
              <w:spacing w:before="0" w:after="283"/>
              <w:rPr/>
            </w:pPr>
            <w:r>
              <w:rPr/>
              <w:t> </w:t>
            </w:r>
          </w:p>
        </w:tc>
        <w:tc>
          <w:tcPr>
            <w:tcW w:w="615" w:type="dxa"/>
            <w:tcBorders>
              <w:bottom w:val="single" w:sz="6" w:space="0" w:color="732282"/>
            </w:tcBorders>
            <w:shd w:fill="auto" w:val="clear"/>
            <w:tcMar>
              <w:bottom w:w="28" w:type="dxa"/>
            </w:tcMar>
            <w:vAlign w:val="center"/>
          </w:tcPr>
          <w:p>
            <w:pPr>
              <w:pStyle w:val="TableContents"/>
              <w:spacing w:before="0" w:after="283"/>
              <w:jc w:val="right"/>
              <w:rPr/>
            </w:pPr>
            <w:r>
              <w:rPr/>
              <w:t>—</w:t>
            </w:r>
          </w:p>
        </w:tc>
        <w:tc>
          <w:tcPr>
            <w:tcW w:w="60" w:type="dxa"/>
            <w:tcBorders>
              <w:bottom w:val="single" w:sz="6" w:space="0" w:color="732282"/>
            </w:tcBorders>
            <w:shd w:fill="auto" w:val="clear"/>
            <w:tcMar>
              <w:bottom w:w="28" w:type="dxa"/>
            </w:tcMar>
            <w:vAlign w:val="center"/>
          </w:tcPr>
          <w:p>
            <w:pPr>
              <w:pStyle w:val="TableContents"/>
              <w:spacing w:before="0" w:after="283"/>
              <w:rPr/>
            </w:pPr>
            <w:r>
              <w:rPr/>
              <w:t> </w:t>
            </w:r>
          </w:p>
        </w:tc>
        <w:tc>
          <w:tcPr>
            <w:tcW w:w="60" w:type="dxa"/>
            <w:tcBorders>
              <w:bottom w:val="single" w:sz="6" w:space="0" w:color="732282"/>
            </w:tcBorders>
            <w:shd w:fill="auto" w:val="clear"/>
            <w:tcMar>
              <w:bottom w:w="28" w:type="dxa"/>
            </w:tcMar>
            <w:vAlign w:val="center"/>
          </w:tcPr>
          <w:p>
            <w:pPr>
              <w:pStyle w:val="TableContents"/>
              <w:spacing w:before="0" w:after="283"/>
              <w:rPr/>
            </w:pPr>
            <w:r>
              <w:rPr/>
              <w:t> </w:t>
            </w:r>
          </w:p>
        </w:tc>
        <w:tc>
          <w:tcPr>
            <w:tcW w:w="60" w:type="dxa"/>
            <w:tcBorders>
              <w:bottom w:val="single" w:sz="6" w:space="0" w:color="732282"/>
            </w:tcBorders>
            <w:shd w:fill="auto" w:val="clear"/>
            <w:tcMar>
              <w:bottom w:w="28" w:type="dxa"/>
            </w:tcMar>
            <w:vAlign w:val="center"/>
          </w:tcPr>
          <w:p>
            <w:pPr>
              <w:pStyle w:val="TableContents"/>
              <w:spacing w:before="0" w:after="283"/>
              <w:rPr/>
            </w:pPr>
            <w:r>
              <w:rPr/>
              <w:t> </w:t>
            </w:r>
          </w:p>
        </w:tc>
        <w:tc>
          <w:tcPr>
            <w:tcW w:w="710" w:type="dxa"/>
            <w:tcBorders>
              <w:bottom w:val="single" w:sz="6" w:space="0" w:color="732282"/>
            </w:tcBorders>
            <w:shd w:fill="auto" w:val="clear"/>
            <w:tcMar>
              <w:bottom w:w="28" w:type="dxa"/>
            </w:tcMar>
            <w:vAlign w:val="center"/>
          </w:tcPr>
          <w:p>
            <w:pPr>
              <w:pStyle w:val="TableContents"/>
              <w:spacing w:before="0" w:after="283"/>
              <w:jc w:val="right"/>
              <w:rPr/>
            </w:pPr>
            <w:r>
              <w:rPr/>
              <w:t>—</w:t>
            </w:r>
          </w:p>
        </w:tc>
        <w:tc>
          <w:tcPr>
            <w:tcW w:w="60" w:type="dxa"/>
            <w:tcBorders>
              <w:bottom w:val="single" w:sz="6" w:space="0" w:color="732282"/>
            </w:tcBorders>
            <w:shd w:fill="auto" w:val="clear"/>
            <w:tcMar>
              <w:bottom w:w="28" w:type="dxa"/>
            </w:tcMar>
            <w:vAlign w:val="center"/>
          </w:tcPr>
          <w:p>
            <w:pPr>
              <w:pStyle w:val="TableContents"/>
              <w:spacing w:before="0" w:after="283"/>
              <w:rPr/>
            </w:pPr>
            <w:r>
              <w:rPr/>
              <w:t> </w:t>
            </w:r>
          </w:p>
        </w:tc>
        <w:tc>
          <w:tcPr>
            <w:tcW w:w="60" w:type="dxa"/>
            <w:tcBorders>
              <w:bottom w:val="single" w:sz="6" w:space="0" w:color="732282"/>
            </w:tcBorders>
            <w:shd w:fill="auto" w:val="clear"/>
            <w:tcMar>
              <w:bottom w:w="28" w:type="dxa"/>
            </w:tcMar>
            <w:vAlign w:val="center"/>
          </w:tcPr>
          <w:p>
            <w:pPr>
              <w:pStyle w:val="TableContents"/>
              <w:spacing w:before="0" w:after="283"/>
              <w:rPr/>
            </w:pPr>
            <w:r>
              <w:rPr/>
              <w:t> </w:t>
            </w:r>
          </w:p>
        </w:tc>
        <w:tc>
          <w:tcPr>
            <w:tcW w:w="60" w:type="dxa"/>
            <w:tcBorders>
              <w:bottom w:val="single" w:sz="6" w:space="0" w:color="732282"/>
            </w:tcBorders>
            <w:shd w:fill="auto" w:val="clear"/>
            <w:tcMar>
              <w:bottom w:w="28" w:type="dxa"/>
            </w:tcMar>
            <w:vAlign w:val="center"/>
          </w:tcPr>
          <w:p>
            <w:pPr>
              <w:pStyle w:val="TableContents"/>
              <w:spacing w:before="0" w:after="283"/>
              <w:rPr/>
            </w:pPr>
            <w:r>
              <w:rPr/>
              <w:t> </w:t>
            </w:r>
          </w:p>
        </w:tc>
        <w:tc>
          <w:tcPr>
            <w:tcW w:w="60" w:type="dxa"/>
            <w:tcBorders>
              <w:bottom w:val="single" w:sz="6" w:space="0" w:color="732282"/>
            </w:tcBorders>
            <w:shd w:fill="auto" w:val="clear"/>
            <w:tcMar>
              <w:bottom w:w="28" w:type="dxa"/>
            </w:tcMar>
            <w:vAlign w:val="center"/>
          </w:tcPr>
          <w:p>
            <w:pPr>
              <w:pStyle w:val="TableContents"/>
              <w:spacing w:before="0" w:after="283"/>
              <w:rPr/>
            </w:pPr>
            <w:r>
              <w:rPr/>
              <w:t> </w:t>
            </w:r>
          </w:p>
        </w:tc>
        <w:tc>
          <w:tcPr>
            <w:tcW w:w="60" w:type="dxa"/>
            <w:tcBorders>
              <w:bottom w:val="single" w:sz="6" w:space="0" w:color="732282"/>
            </w:tcBorders>
            <w:shd w:fill="auto" w:val="clear"/>
            <w:tcMar>
              <w:bottom w:w="28" w:type="dxa"/>
            </w:tcMar>
            <w:vAlign w:val="center"/>
          </w:tcPr>
          <w:p>
            <w:pPr>
              <w:pStyle w:val="TableContents"/>
              <w:spacing w:before="0" w:after="283"/>
              <w:rPr/>
            </w:pPr>
            <w:r>
              <w:rPr/>
              <w:t> </w:t>
            </w:r>
          </w:p>
        </w:tc>
        <w:tc>
          <w:tcPr>
            <w:tcW w:w="60" w:type="dxa"/>
            <w:tcBorders>
              <w:bottom w:val="single" w:sz="6" w:space="0" w:color="732282"/>
            </w:tcBorders>
            <w:shd w:fill="auto" w:val="clear"/>
            <w:tcMar>
              <w:bottom w:w="28" w:type="dxa"/>
            </w:tcMar>
            <w:vAlign w:val="center"/>
          </w:tcPr>
          <w:p>
            <w:pPr>
              <w:pStyle w:val="TableContents"/>
              <w:spacing w:before="0" w:after="283"/>
              <w:rPr/>
            </w:pPr>
            <w:r>
              <w:rPr/>
              <w:t> </w:t>
            </w:r>
          </w:p>
        </w:tc>
        <w:tc>
          <w:tcPr>
            <w:tcW w:w="60" w:type="dxa"/>
            <w:tcBorders>
              <w:bottom w:val="single" w:sz="6" w:space="0" w:color="732282"/>
            </w:tcBorders>
            <w:shd w:fill="auto" w:val="clear"/>
            <w:tcMar>
              <w:bottom w:w="28" w:type="dxa"/>
            </w:tcMar>
            <w:vAlign w:val="center"/>
          </w:tcPr>
          <w:p>
            <w:pPr>
              <w:pStyle w:val="TableContents"/>
              <w:spacing w:before="0" w:after="283"/>
              <w:rPr/>
            </w:pPr>
            <w:r>
              <w:rPr/>
              <w:t> </w:t>
            </w:r>
          </w:p>
        </w:tc>
        <w:tc>
          <w:tcPr>
            <w:tcW w:w="60" w:type="dxa"/>
            <w:tcBorders>
              <w:bottom w:val="single" w:sz="6" w:space="0" w:color="732282"/>
            </w:tcBorders>
            <w:shd w:fill="auto" w:val="clear"/>
            <w:tcMar>
              <w:bottom w:w="28" w:type="dxa"/>
            </w:tcMar>
            <w:vAlign w:val="center"/>
          </w:tcPr>
          <w:p>
            <w:pPr>
              <w:pStyle w:val="TableContents"/>
              <w:spacing w:before="0" w:after="283"/>
              <w:rPr/>
            </w:pPr>
            <w:r>
              <w:rPr/>
              <w:t> </w:t>
            </w:r>
          </w:p>
        </w:tc>
        <w:tc>
          <w:tcPr>
            <w:tcW w:w="60" w:type="dxa"/>
            <w:tcBorders>
              <w:bottom w:val="single" w:sz="6" w:space="0" w:color="732282"/>
            </w:tcBorders>
            <w:shd w:fill="auto" w:val="clear"/>
            <w:tcMar>
              <w:bottom w:w="28" w:type="dxa"/>
            </w:tcMar>
            <w:vAlign w:val="center"/>
          </w:tcPr>
          <w:p>
            <w:pPr>
              <w:pStyle w:val="TableContents"/>
              <w:spacing w:before="0" w:after="283"/>
              <w:rPr/>
            </w:pPr>
            <w:r>
              <w:rPr/>
              <w:t> </w:t>
            </w:r>
          </w:p>
        </w:tc>
        <w:tc>
          <w:tcPr>
            <w:tcW w:w="60" w:type="dxa"/>
            <w:tcBorders>
              <w:bottom w:val="single" w:sz="6" w:space="0" w:color="732282"/>
            </w:tcBorders>
            <w:shd w:fill="auto" w:val="clear"/>
            <w:tcMar>
              <w:bottom w:w="28" w:type="dxa"/>
            </w:tcMar>
            <w:vAlign w:val="center"/>
          </w:tcPr>
          <w:p>
            <w:pPr>
              <w:pStyle w:val="TableContents"/>
              <w:spacing w:before="0" w:after="283"/>
              <w:rPr/>
            </w:pPr>
            <w:r>
              <w:rPr/>
              <w:t> </w:t>
            </w:r>
          </w:p>
        </w:tc>
        <w:tc>
          <w:tcPr>
            <w:tcW w:w="60" w:type="dxa"/>
            <w:tcBorders>
              <w:bottom w:val="single" w:sz="6" w:space="0" w:color="732282"/>
            </w:tcBorders>
            <w:shd w:fill="auto" w:val="clear"/>
            <w:tcMar>
              <w:bottom w:w="28" w:type="dxa"/>
            </w:tcMar>
            <w:vAlign w:val="center"/>
          </w:tcPr>
          <w:p>
            <w:pPr>
              <w:pStyle w:val="TableContents"/>
              <w:spacing w:before="0" w:after="283"/>
              <w:rPr/>
            </w:pPr>
            <w:r>
              <w:rPr/>
              <w:t> </w:t>
            </w:r>
          </w:p>
        </w:tc>
        <w:tc>
          <w:tcPr>
            <w:tcW w:w="800" w:type="dxa"/>
            <w:tcBorders>
              <w:bottom w:val="single" w:sz="6" w:space="0" w:color="732282"/>
            </w:tcBorders>
            <w:shd w:fill="auto" w:val="clear"/>
            <w:tcMar>
              <w:bottom w:w="28" w:type="dxa"/>
            </w:tcMar>
            <w:vAlign w:val="center"/>
          </w:tcPr>
          <w:p>
            <w:pPr>
              <w:pStyle w:val="TableContents"/>
              <w:spacing w:before="0" w:after="283"/>
              <w:jc w:val="right"/>
              <w:rPr/>
            </w:pPr>
            <w:r>
              <w:rPr/>
              <w:t>383,910</w:t>
            </w:r>
          </w:p>
        </w:tc>
        <w:tc>
          <w:tcPr>
            <w:tcW w:w="215" w:type="dxa"/>
            <w:tcBorders>
              <w:bottom w:val="single" w:sz="6" w:space="0" w:color="732282"/>
            </w:tcBorders>
            <w:shd w:fill="auto" w:val="clear"/>
            <w:tcMar>
              <w:bottom w:w="28" w:type="dxa"/>
            </w:tcMar>
            <w:vAlign w:val="center"/>
          </w:tcPr>
          <w:p>
            <w:pPr>
              <w:pStyle w:val="TableContents"/>
              <w:spacing w:before="0" w:after="283"/>
              <w:rPr/>
            </w:pPr>
            <w:r>
              <w:rPr/>
              <w:t>(5) </w:t>
            </w:r>
          </w:p>
        </w:tc>
        <w:tc>
          <w:tcPr>
            <w:tcW w:w="60" w:type="dxa"/>
            <w:tcBorders>
              <w:bottom w:val="single" w:sz="6" w:space="0" w:color="732282"/>
            </w:tcBorders>
            <w:shd w:fill="auto" w:val="clear"/>
            <w:tcMar>
              <w:bottom w:w="28" w:type="dxa"/>
            </w:tcMar>
            <w:vAlign w:val="center"/>
          </w:tcPr>
          <w:p>
            <w:pPr>
              <w:pStyle w:val="TableContents"/>
              <w:spacing w:before="0" w:after="283"/>
              <w:rPr/>
            </w:pPr>
            <w:r>
              <w:rPr/>
              <w:t> </w:t>
            </w:r>
          </w:p>
        </w:tc>
        <w:tc>
          <w:tcPr>
            <w:tcW w:w="60" w:type="dxa"/>
            <w:tcBorders>
              <w:bottom w:val="single" w:sz="6" w:space="0" w:color="732282"/>
            </w:tcBorders>
            <w:shd w:fill="auto" w:val="clear"/>
            <w:tcMar>
              <w:bottom w:w="28" w:type="dxa"/>
            </w:tcMar>
            <w:vAlign w:val="center"/>
          </w:tcPr>
          <w:p>
            <w:pPr>
              <w:pStyle w:val="TableContents"/>
              <w:spacing w:before="0" w:after="283"/>
              <w:rPr/>
            </w:pPr>
            <w:r>
              <w:rPr/>
              <w:t> </w:t>
            </w:r>
          </w:p>
        </w:tc>
        <w:tc>
          <w:tcPr>
            <w:tcW w:w="980" w:type="dxa"/>
            <w:tcBorders>
              <w:bottom w:val="single" w:sz="6" w:space="0" w:color="732282"/>
            </w:tcBorders>
            <w:shd w:fill="auto" w:val="clear"/>
            <w:tcMar>
              <w:bottom w:w="28" w:type="dxa"/>
            </w:tcMar>
            <w:vAlign w:val="center"/>
          </w:tcPr>
          <w:p>
            <w:pPr>
              <w:pStyle w:val="TableContents"/>
              <w:spacing w:before="0" w:after="283"/>
              <w:jc w:val="right"/>
              <w:rPr/>
            </w:pPr>
            <w:r>
              <w:rPr/>
              <w:t>4,272,923</w:t>
            </w:r>
          </w:p>
        </w:tc>
        <w:tc>
          <w:tcPr>
            <w:tcW w:w="60" w:type="dxa"/>
            <w:tcBorders>
              <w:bottom w:val="single" w:sz="6" w:space="0" w:color="732282"/>
            </w:tcBorders>
            <w:shd w:fill="auto" w:val="clear"/>
            <w:tcMar>
              <w:bottom w:w="28" w:type="dxa"/>
            </w:tcMar>
            <w:vAlign w:val="center"/>
          </w:tcPr>
          <w:p>
            <w:pPr>
              <w:pStyle w:val="TableContents"/>
              <w:spacing w:before="0" w:after="283"/>
              <w:rPr/>
            </w:pPr>
            <w:r>
              <w:rPr/>
              <w:t> </w:t>
            </w:r>
          </w:p>
        </w:tc>
        <w:tc>
          <w:tcPr>
            <w:tcW w:w="60" w:type="dxa"/>
            <w:tcBorders>
              <w:bottom w:val="single" w:sz="6" w:space="0" w:color="732282"/>
            </w:tcBorders>
            <w:shd w:fill="auto" w:val="clear"/>
            <w:tcMar>
              <w:bottom w:w="28" w:type="dxa"/>
            </w:tcMar>
            <w:vAlign w:val="center"/>
          </w:tcPr>
          <w:p>
            <w:pPr>
              <w:pStyle w:val="TableContents"/>
              <w:spacing w:before="0" w:after="283"/>
              <w:rPr/>
            </w:pPr>
            <w:r>
              <w:rPr/>
              <w:t> </w:t>
            </w:r>
          </w:p>
        </w:tc>
        <w:tc>
          <w:tcPr>
            <w:tcW w:w="65" w:type="dxa"/>
            <w:tcBorders>
              <w:bottom w:val="single" w:sz="6" w:space="0" w:color="732282"/>
            </w:tcBorders>
            <w:shd w:fill="auto" w:val="clear"/>
            <w:tcMar>
              <w:bottom w:w="28" w:type="dxa"/>
            </w:tcMar>
            <w:vAlign w:val="center"/>
          </w:tcPr>
          <w:p>
            <w:pPr>
              <w:pStyle w:val="TableContents"/>
              <w:spacing w:before="0" w:after="283"/>
              <w:rPr/>
            </w:pPr>
            <w:r>
              <w:rPr/>
              <w:t> </w:t>
            </w:r>
          </w:p>
        </w:tc>
        <w:tc>
          <w:tcPr>
            <w:tcW w:w="1065" w:type="dxa"/>
            <w:tcBorders>
              <w:bottom w:val="single" w:sz="6" w:space="0" w:color="732282"/>
            </w:tcBorders>
            <w:shd w:fill="auto" w:val="clear"/>
            <w:tcMar>
              <w:bottom w:w="28" w:type="dxa"/>
            </w:tcMar>
            <w:vAlign w:val="center"/>
          </w:tcPr>
          <w:p>
            <w:pPr>
              <w:pStyle w:val="TableContents"/>
              <w:spacing w:before="0" w:after="283"/>
              <w:jc w:val="right"/>
              <w:rPr/>
            </w:pPr>
            <w:r>
              <w:rPr/>
              <w:t>712,976</w:t>
            </w:r>
          </w:p>
        </w:tc>
        <w:tc>
          <w:tcPr>
            <w:tcW w:w="335" w:type="dxa"/>
            <w:tcBorders>
              <w:bottom w:val="single" w:sz="6" w:space="0" w:color="732282"/>
            </w:tcBorders>
            <w:shd w:fill="auto" w:val="clear"/>
            <w:tcMar>
              <w:bottom w:w="28" w:type="dxa"/>
            </w:tcMar>
            <w:vAlign w:val="center"/>
          </w:tcPr>
          <w:p>
            <w:pPr>
              <w:pStyle w:val="TableContents"/>
              <w:spacing w:before="0" w:after="283"/>
              <w:rPr/>
            </w:pPr>
            <w:r>
              <w:rPr/>
              <w:t>(7) </w:t>
            </w:r>
          </w:p>
        </w:tc>
        <w:tc>
          <w:tcPr>
            <w:tcW w:w="60" w:type="dxa"/>
            <w:tcBorders>
              <w:bottom w:val="single" w:sz="6" w:space="0" w:color="732282"/>
            </w:tcBorders>
            <w:shd w:fill="auto" w:val="clear"/>
            <w:tcMar>
              <w:bottom w:w="28" w:type="dxa"/>
            </w:tcMar>
            <w:vAlign w:val="center"/>
          </w:tcPr>
          <w:p>
            <w:pPr>
              <w:pStyle w:val="TableContents"/>
              <w:spacing w:before="0" w:after="283"/>
              <w:rPr/>
            </w:pPr>
            <w:r>
              <w:rPr/>
              <w:t> </w:t>
            </w:r>
          </w:p>
        </w:tc>
        <w:tc>
          <w:tcPr>
            <w:tcW w:w="70" w:type="dxa"/>
            <w:tcBorders>
              <w:bottom w:val="single" w:sz="6" w:space="0" w:color="732282"/>
            </w:tcBorders>
            <w:shd w:fill="auto" w:val="clear"/>
            <w:tcMar>
              <w:bottom w:w="28" w:type="dxa"/>
            </w:tcMar>
            <w:vAlign w:val="center"/>
          </w:tcPr>
          <w:p>
            <w:pPr>
              <w:pStyle w:val="TableContents"/>
              <w:spacing w:before="0" w:after="283"/>
              <w:rPr/>
            </w:pPr>
            <w:r>
              <w:rPr/>
              <w:t> </w:t>
            </w:r>
          </w:p>
        </w:tc>
        <w:tc>
          <w:tcPr>
            <w:tcW w:w="1300" w:type="dxa"/>
            <w:tcBorders>
              <w:bottom w:val="single" w:sz="6" w:space="0" w:color="732282"/>
            </w:tcBorders>
            <w:shd w:fill="auto" w:val="clear"/>
            <w:tcMar>
              <w:bottom w:w="28" w:type="dxa"/>
            </w:tcMar>
            <w:vAlign w:val="center"/>
          </w:tcPr>
          <w:p>
            <w:pPr>
              <w:pStyle w:val="TableContents"/>
              <w:spacing w:before="0" w:after="283"/>
              <w:jc w:val="right"/>
              <w:rPr/>
            </w:pPr>
            <w:r>
              <w:rPr/>
              <w:t>7,935,423</w:t>
            </w:r>
          </w:p>
        </w:tc>
        <w:tc>
          <w:tcPr>
            <w:tcW w:w="75" w:type="dxa"/>
            <w:tcBorders>
              <w:bottom w:val="single" w:sz="6" w:space="0" w:color="732282"/>
            </w:tcBorders>
            <w:shd w:fill="auto" w:val="clear"/>
            <w:tcMar>
              <w:bottom w:w="28" w:type="dxa"/>
            </w:tcMar>
            <w:vAlign w:val="center"/>
          </w:tcPr>
          <w:p>
            <w:pPr>
              <w:pStyle w:val="TableContents"/>
              <w:spacing w:before="0" w:after="283"/>
              <w:rPr/>
            </w:pPr>
            <w:r>
              <w:rPr/>
              <w:t> </w:t>
            </w:r>
          </w:p>
        </w:tc>
      </w:tr>
    </w:tbl>
    <w:tbl>
      <w:tblPr>
        <w:tblW w:w="10205" w:type="dxa"/>
        <w:jc w:val="left"/>
        <w:tblInd w:w="0" w:type="dxa"/>
        <w:tblCellMar>
          <w:top w:w="0" w:type="dxa"/>
          <w:left w:w="0" w:type="dxa"/>
          <w:bottom w:w="0" w:type="dxa"/>
          <w:right w:w="0" w:type="dxa"/>
        </w:tblCellMar>
      </w:tblPr>
      <w:tblGrid>
        <w:gridCol w:w="256"/>
        <w:gridCol w:w="9949"/>
      </w:tblGrid>
      <w:tr>
        <w:trPr/>
        <w:tc>
          <w:tcPr>
            <w:tcW w:w="256" w:type="dxa"/>
            <w:tcBorders/>
            <w:shd w:fill="auto" w:val="clear"/>
            <w:vAlign w:val="center"/>
          </w:tcPr>
          <w:p>
            <w:pPr>
              <w:pStyle w:val="TableContents"/>
              <w:spacing w:before="0" w:after="283"/>
              <w:jc w:val="left"/>
              <w:rPr>
                <w:i/>
              </w:rPr>
            </w:pPr>
            <w:r>
              <w:rPr>
                <w:i/>
              </w:rPr>
              <w:t>(1)</w:t>
            </w:r>
          </w:p>
        </w:tc>
        <w:tc>
          <w:tcPr>
            <w:tcW w:w="9949" w:type="dxa"/>
            <w:tcBorders/>
            <w:shd w:fill="auto" w:val="clear"/>
            <w:vAlign w:val="center"/>
          </w:tcPr>
          <w:p>
            <w:pPr>
              <w:pStyle w:val="TableContents"/>
              <w:spacing w:before="0" w:after="0"/>
              <w:jc w:val="both"/>
              <w:rPr>
                <w:rFonts w:ascii="arial" w:hAnsi="arial"/>
                <w:i/>
                <w:sz w:val="18"/>
              </w:rPr>
            </w:pPr>
            <w:r>
              <w:rPr>
                <w:rFonts w:ascii="arial" w:hAnsi="arial"/>
                <w:i/>
                <w:sz w:val="18"/>
              </w:rPr>
              <w:t xml:space="preserve">Vesting dates applicable to unvested stock options are as follows, in each case, generally subject to continued employment with Viatris: on March 2, 2022, the unvested options at the $17.48 exercise price for Messrs. Malik and Mauro vested. Subject to applicable employment agreement provisions, following termination of </w:t>
            </w:r>
          </w:p>
        </w:tc>
      </w:tr>
    </w:tbl>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42 </w:t>
      </w:r>
      <w:r>
        <w:br w:type="page"/>
      </w:r>
    </w:p>
    <w:p>
      <w:pPr>
        <w:pStyle w:val="HorizontalLine"/>
        <w:rPr/>
      </w:pPr>
      <w:r>
        <w:rPr/>
      </w:r>
    </w:p>
    <w:tbl>
      <w:tblPr>
        <w:tblW w:w="10205" w:type="dxa"/>
        <w:jc w:val="left"/>
        <w:tblInd w:w="0" w:type="dxa"/>
        <w:tblCellMar>
          <w:top w:w="0" w:type="dxa"/>
          <w:left w:w="0" w:type="dxa"/>
          <w:bottom w:w="0" w:type="dxa"/>
          <w:right w:w="0" w:type="dxa"/>
        </w:tblCellMar>
      </w:tblPr>
      <w:tblGrid>
        <w:gridCol w:w="75"/>
        <w:gridCol w:w="10130"/>
      </w:tblGrid>
      <w:tr>
        <w:trPr/>
        <w:tc>
          <w:tcPr>
            <w:tcW w:w="75" w:type="dxa"/>
            <w:tcBorders/>
            <w:shd w:fill="auto" w:val="clear"/>
            <w:vAlign w:val="center"/>
          </w:tcPr>
          <w:p>
            <w:pPr>
              <w:pStyle w:val="TableContents"/>
              <w:spacing w:before="0" w:after="283"/>
              <w:rPr/>
            </w:pPr>
            <w:r>
              <w:rPr/>
              <w:t> </w:t>
            </w:r>
          </w:p>
        </w:tc>
        <w:tc>
          <w:tcPr>
            <w:tcW w:w="10130" w:type="dxa"/>
            <w:tcBorders/>
            <w:shd w:fill="auto" w:val="clear"/>
            <w:vAlign w:val="center"/>
          </w:tcPr>
          <w:p>
            <w:pPr>
              <w:pStyle w:val="TableContents"/>
              <w:spacing w:before="0" w:after="0"/>
              <w:jc w:val="both"/>
              <w:rPr>
                <w:rFonts w:ascii="arial" w:hAnsi="arial"/>
                <w:i/>
                <w:sz w:val="18"/>
              </w:rPr>
            </w:pPr>
            <w:r>
              <w:rPr>
                <w:rFonts w:ascii="arial" w:hAnsi="arial"/>
                <w:i/>
                <w:sz w:val="18"/>
              </w:rPr>
              <w:t xml:space="preserve">employment, vested stock options will generally remain exercisable for 30 days following termination, except that (i) in the case of termination because of disability, 100% of options become vested and vested options will remain exercisable for two years following termination; (ii) in the case of a termination due to a reduction in force, vested options will remain exercisable for one year following termination; (iii) in the case of death, including within two years following termination because of disability, or, in the case of options granted prior to January 1, 2017, retirement, 100% of options become vested and vested options will remain exercisable for the remainder of the original term; and (iv) in the case of an involuntary termination without cause or a voluntary resignation for good reason that occurs within two years following a change in control, 100% of options become vested (double- trigger awards) and remain exercisable for the remainder of the original term. </w:t>
            </w:r>
          </w:p>
        </w:tc>
      </w:tr>
    </w:tbl>
    <w:tbl>
      <w:tblPr>
        <w:tblW w:w="10205" w:type="dxa"/>
        <w:jc w:val="left"/>
        <w:tblInd w:w="0" w:type="dxa"/>
        <w:tblCellMar>
          <w:top w:w="0" w:type="dxa"/>
          <w:left w:w="0" w:type="dxa"/>
          <w:bottom w:w="0" w:type="dxa"/>
          <w:right w:w="0" w:type="dxa"/>
        </w:tblCellMar>
      </w:tblPr>
      <w:tblGrid>
        <w:gridCol w:w="295"/>
        <w:gridCol w:w="9910"/>
      </w:tblGrid>
      <w:tr>
        <w:trPr/>
        <w:tc>
          <w:tcPr>
            <w:tcW w:w="295" w:type="dxa"/>
            <w:tcBorders/>
            <w:shd w:fill="auto" w:val="clear"/>
            <w:vAlign w:val="center"/>
          </w:tcPr>
          <w:p>
            <w:pPr>
              <w:pStyle w:val="TableContents"/>
              <w:spacing w:before="0" w:after="283"/>
              <w:jc w:val="left"/>
              <w:rPr>
                <w:i/>
              </w:rPr>
            </w:pPr>
            <w:r>
              <w:rPr>
                <w:i/>
              </w:rPr>
              <w:t>(2)</w:t>
            </w:r>
          </w:p>
        </w:tc>
        <w:tc>
          <w:tcPr>
            <w:tcW w:w="9910" w:type="dxa"/>
            <w:tcBorders/>
            <w:shd w:fill="auto" w:val="clear"/>
            <w:vAlign w:val="center"/>
          </w:tcPr>
          <w:p>
            <w:pPr>
              <w:pStyle w:val="TableContents"/>
              <w:spacing w:before="0" w:after="0"/>
              <w:jc w:val="both"/>
              <w:rPr>
                <w:rFonts w:ascii="arial" w:hAnsi="arial"/>
                <w:i/>
                <w:sz w:val="18"/>
              </w:rPr>
            </w:pPr>
            <w:r>
              <w:rPr>
                <w:rFonts w:ascii="arial" w:hAnsi="arial"/>
                <w:i/>
                <w:sz w:val="18"/>
              </w:rPr>
              <w:t xml:space="preserve">The market value of RSUs and PRSUs was calculated using the closing price of the Company’s shares as of December 31, 2022, $11.13. </w:t>
            </w:r>
          </w:p>
        </w:tc>
      </w:tr>
    </w:tbl>
    <w:tbl>
      <w:tblPr>
        <w:tblW w:w="10205" w:type="dxa"/>
        <w:jc w:val="left"/>
        <w:tblInd w:w="0" w:type="dxa"/>
        <w:tblCellMar>
          <w:top w:w="0" w:type="dxa"/>
          <w:left w:w="0" w:type="dxa"/>
          <w:bottom w:w="0" w:type="dxa"/>
          <w:right w:w="0" w:type="dxa"/>
        </w:tblCellMar>
      </w:tblPr>
      <w:tblGrid>
        <w:gridCol w:w="238"/>
        <w:gridCol w:w="9967"/>
      </w:tblGrid>
      <w:tr>
        <w:trPr/>
        <w:tc>
          <w:tcPr>
            <w:tcW w:w="238" w:type="dxa"/>
            <w:tcBorders/>
            <w:shd w:fill="auto" w:val="clear"/>
            <w:vAlign w:val="center"/>
          </w:tcPr>
          <w:p>
            <w:pPr>
              <w:pStyle w:val="TableContents"/>
              <w:spacing w:before="0" w:after="283"/>
              <w:jc w:val="left"/>
              <w:rPr>
                <w:i/>
              </w:rPr>
            </w:pPr>
            <w:r>
              <w:rPr>
                <w:i/>
              </w:rPr>
              <w:t>(3)</w:t>
            </w:r>
          </w:p>
        </w:tc>
        <w:tc>
          <w:tcPr>
            <w:tcW w:w="9967" w:type="dxa"/>
            <w:tcBorders/>
            <w:shd w:fill="auto" w:val="clear"/>
            <w:vAlign w:val="center"/>
          </w:tcPr>
          <w:p>
            <w:pPr>
              <w:pStyle w:val="TableContents"/>
              <w:spacing w:before="0" w:after="0"/>
              <w:jc w:val="both"/>
              <w:rPr>
                <w:rFonts w:ascii="arial" w:hAnsi="arial"/>
                <w:i/>
                <w:sz w:val="18"/>
              </w:rPr>
            </w:pPr>
            <w:r>
              <w:rPr>
                <w:rFonts w:ascii="arial" w:hAnsi="arial"/>
                <w:i/>
                <w:sz w:val="18"/>
              </w:rPr>
              <w:t xml:space="preserve">In connection with the Combination, Viatris granted Make-Whole RSU awards to Messrs. Goettler and Narula to replace the Pfizer equity awards forfeited by such NEOs. These Make-Whole RSU awards have the same vesting schedule as the original Pfizer awards and will cliff-vest on the third anniversary of the original grant date. The 128,728 Make-Whole RSUs held by Mr. Goettler, and the 22,796 Make-Whole RSUs held by Mr. Narula vested on February 27, 2023. Amounts include all accrued and unvested whole share DEUs that vest only to the extent and at the same time the underlying award on which they are issued vest. In accordance with their terms, all of these awards would have vested upon an involuntary termination without cause or a voluntary resignation for good reason that occurs within two years following a change in control (double-trigger awards) or upon the executive’s death or disability. For any other termination reason, these RSUs will be forfeited. </w:t>
            </w:r>
          </w:p>
        </w:tc>
      </w:tr>
    </w:tbl>
    <w:tbl>
      <w:tblPr>
        <w:tblW w:w="10205" w:type="dxa"/>
        <w:jc w:val="left"/>
        <w:tblInd w:w="0" w:type="dxa"/>
        <w:tblCellMar>
          <w:top w:w="0" w:type="dxa"/>
          <w:left w:w="0" w:type="dxa"/>
          <w:bottom w:w="0" w:type="dxa"/>
          <w:right w:w="0" w:type="dxa"/>
        </w:tblCellMar>
      </w:tblPr>
      <w:tblGrid>
        <w:gridCol w:w="240"/>
        <w:gridCol w:w="9965"/>
      </w:tblGrid>
      <w:tr>
        <w:trPr/>
        <w:tc>
          <w:tcPr>
            <w:tcW w:w="240" w:type="dxa"/>
            <w:tcBorders/>
            <w:shd w:fill="auto" w:val="clear"/>
            <w:vAlign w:val="center"/>
          </w:tcPr>
          <w:p>
            <w:pPr>
              <w:pStyle w:val="TableContents"/>
              <w:spacing w:before="0" w:after="283"/>
              <w:jc w:val="left"/>
              <w:rPr>
                <w:i/>
              </w:rPr>
            </w:pPr>
            <w:r>
              <w:rPr>
                <w:i/>
              </w:rPr>
              <w:t>(4)</w:t>
            </w:r>
          </w:p>
        </w:tc>
        <w:tc>
          <w:tcPr>
            <w:tcW w:w="9965" w:type="dxa"/>
            <w:tcBorders/>
            <w:shd w:fill="auto" w:val="clear"/>
            <w:vAlign w:val="center"/>
          </w:tcPr>
          <w:p>
            <w:pPr>
              <w:pStyle w:val="TableContents"/>
              <w:spacing w:before="0" w:after="0"/>
              <w:jc w:val="both"/>
              <w:rPr>
                <w:rFonts w:ascii="arial" w:hAnsi="arial"/>
                <w:i/>
                <w:sz w:val="18"/>
              </w:rPr>
            </w:pPr>
            <w:r>
              <w:rPr>
                <w:rFonts w:ascii="arial" w:hAnsi="arial"/>
                <w:i/>
                <w:sz w:val="18"/>
              </w:rPr>
              <w:t xml:space="preserve">Of the 183,245 RSUs held by Mr. Goettler, 91,623 vested on March 2, 2023 and the remaining unvested RSUs were forfeited in connection with Mr. Goettler’s separation from Viatris on April 1, 2023; of the 56,383 RSUs held by Mr. Narula, 28,192 vested on March 2, 2023 and 28,191 will vest on March 2, 2024; of the 144,985 RSUs held by Mr. Malik, 72,493 vested on March 2, 2023 and 72,492 will vest on March 2, 2024; of the 64,438 RSUs held by Mr. Mauro, 32,220 vested on March 2, 2023 and 32,218 will vest on March 2, 2024; of the 217,477 RSUs held by Mr. Coury, 108,739 vested on March 2, 2023 and 108,738 will vest on March 2, 2024. Amounts include all accrued and unvested whole share DEUs that vest only to the extent and at the same time the underlying award on which they are issued vest. </w:t>
            </w:r>
          </w:p>
        </w:tc>
      </w:tr>
    </w:tbl>
    <w:tbl>
      <w:tblPr>
        <w:tblW w:w="10205" w:type="dxa"/>
        <w:jc w:val="left"/>
        <w:tblInd w:w="0" w:type="dxa"/>
        <w:tblCellMar>
          <w:top w:w="0" w:type="dxa"/>
          <w:left w:w="0" w:type="dxa"/>
          <w:bottom w:w="0" w:type="dxa"/>
          <w:right w:w="0" w:type="dxa"/>
        </w:tblCellMar>
      </w:tblPr>
      <w:tblGrid>
        <w:gridCol w:w="238"/>
        <w:gridCol w:w="9967"/>
      </w:tblGrid>
      <w:tr>
        <w:trPr/>
        <w:tc>
          <w:tcPr>
            <w:tcW w:w="238" w:type="dxa"/>
            <w:tcBorders/>
            <w:shd w:fill="auto" w:val="clear"/>
            <w:vAlign w:val="center"/>
          </w:tcPr>
          <w:p>
            <w:pPr>
              <w:pStyle w:val="TableContents"/>
              <w:spacing w:before="0" w:after="283"/>
              <w:jc w:val="left"/>
              <w:rPr>
                <w:i/>
              </w:rPr>
            </w:pPr>
            <w:r>
              <w:rPr>
                <w:i/>
              </w:rPr>
              <w:t>(5)</w:t>
            </w:r>
          </w:p>
        </w:tc>
        <w:tc>
          <w:tcPr>
            <w:tcW w:w="9967" w:type="dxa"/>
            <w:tcBorders/>
            <w:shd w:fill="auto" w:val="clear"/>
            <w:vAlign w:val="center"/>
          </w:tcPr>
          <w:p>
            <w:pPr>
              <w:pStyle w:val="TableContents"/>
              <w:spacing w:before="0" w:after="0"/>
              <w:jc w:val="both"/>
              <w:rPr>
                <w:rFonts w:ascii="arial" w:hAnsi="arial"/>
                <w:i/>
                <w:sz w:val="18"/>
              </w:rPr>
            </w:pPr>
            <w:r>
              <w:rPr>
                <w:rFonts w:ascii="arial" w:hAnsi="arial"/>
                <w:i/>
                <w:sz w:val="18"/>
              </w:rPr>
              <w:t xml:space="preserve">Of the 323,480 RSUs held by Mr. Goettler, 107,827 vested on March 4, 2023 and the remaining unvested RSUs were forfeited in connection with Mr. Goettler’s separation from Viatris on April 1, 2023; of the 120,861 RSUs held by Mr. Narula, 40,287 vested on March 4, 2023 and 40,287 will vest on each of March 4, 2024 and March 4, 2025; of the 255,940 RSUs held by Mr. Malik, 85,314 vested on March 4, 2023 and 85,313 will vest on each of March 4, 2024 and March 4, 2025; of the 113,751 RSUs held by Mr. Mauro, 37,917 vested on March 4, 2023 and 37,917 will vest on each of March 4, 2024 and March 4, 2025; of the 383,910 RSUs held by Mr. Coury, 127,970 vested on March 4, 2023 and 127,970 will vest on each of March 4, 2024 and March 4, 2025. Amounts include all accrued and unvested whole share DEUs that vest only to the extent and at the same time the underlying award on which they are issued vest. </w:t>
            </w:r>
          </w:p>
        </w:tc>
      </w:tr>
    </w:tbl>
    <w:tbl>
      <w:tblPr>
        <w:tblW w:w="10205" w:type="dxa"/>
        <w:jc w:val="left"/>
        <w:tblInd w:w="0" w:type="dxa"/>
        <w:tblCellMar>
          <w:top w:w="0" w:type="dxa"/>
          <w:left w:w="0" w:type="dxa"/>
          <w:bottom w:w="0" w:type="dxa"/>
          <w:right w:w="0" w:type="dxa"/>
        </w:tblCellMar>
      </w:tblPr>
      <w:tblGrid>
        <w:gridCol w:w="265"/>
        <w:gridCol w:w="9940"/>
      </w:tblGrid>
      <w:tr>
        <w:trPr/>
        <w:tc>
          <w:tcPr>
            <w:tcW w:w="265" w:type="dxa"/>
            <w:tcBorders/>
            <w:shd w:fill="auto" w:val="clear"/>
            <w:vAlign w:val="center"/>
          </w:tcPr>
          <w:p>
            <w:pPr>
              <w:pStyle w:val="TableContents"/>
              <w:spacing w:before="0" w:after="283"/>
              <w:jc w:val="left"/>
              <w:rPr>
                <w:i/>
              </w:rPr>
            </w:pPr>
            <w:r>
              <w:rPr>
                <w:i/>
              </w:rPr>
              <w:t>(6)</w:t>
            </w:r>
          </w:p>
        </w:tc>
        <w:tc>
          <w:tcPr>
            <w:tcW w:w="9940" w:type="dxa"/>
            <w:tcBorders/>
            <w:shd w:fill="auto" w:val="clear"/>
            <w:vAlign w:val="center"/>
          </w:tcPr>
          <w:p>
            <w:pPr>
              <w:pStyle w:val="TableContents"/>
              <w:spacing w:before="0" w:after="0"/>
              <w:jc w:val="both"/>
              <w:rPr>
                <w:rFonts w:ascii="arial" w:hAnsi="arial"/>
                <w:i/>
                <w:sz w:val="18"/>
              </w:rPr>
            </w:pPr>
            <w:r>
              <w:rPr>
                <w:rFonts w:ascii="arial" w:hAnsi="arial"/>
                <w:i/>
                <w:sz w:val="18"/>
              </w:rPr>
              <w:t xml:space="preserve">The PRSUs will vest on March 2, 2024, subject to attainment of performance goals. Amounts include all accrued and unvested whole share DEUs that vest only to the extent and at the same time the underlying award on which they are issued vest. </w:t>
            </w:r>
          </w:p>
        </w:tc>
      </w:tr>
    </w:tbl>
    <w:tbl>
      <w:tblPr>
        <w:tblW w:w="10205" w:type="dxa"/>
        <w:jc w:val="left"/>
        <w:tblInd w:w="0" w:type="dxa"/>
        <w:tblCellMar>
          <w:top w:w="0" w:type="dxa"/>
          <w:left w:w="0" w:type="dxa"/>
          <w:bottom w:w="0" w:type="dxa"/>
          <w:right w:w="0" w:type="dxa"/>
        </w:tblCellMar>
      </w:tblPr>
      <w:tblGrid>
        <w:gridCol w:w="265"/>
        <w:gridCol w:w="9940"/>
      </w:tblGrid>
      <w:tr>
        <w:trPr/>
        <w:tc>
          <w:tcPr>
            <w:tcW w:w="265" w:type="dxa"/>
            <w:tcBorders/>
            <w:shd w:fill="auto" w:val="clear"/>
            <w:vAlign w:val="center"/>
          </w:tcPr>
          <w:p>
            <w:pPr>
              <w:pStyle w:val="TableContents"/>
              <w:spacing w:before="0" w:after="283"/>
              <w:jc w:val="left"/>
              <w:rPr>
                <w:i/>
              </w:rPr>
            </w:pPr>
            <w:r>
              <w:rPr>
                <w:i/>
              </w:rPr>
              <w:t>(7)</w:t>
            </w:r>
          </w:p>
        </w:tc>
        <w:tc>
          <w:tcPr>
            <w:tcW w:w="9940" w:type="dxa"/>
            <w:tcBorders/>
            <w:shd w:fill="auto" w:val="clear"/>
            <w:vAlign w:val="center"/>
          </w:tcPr>
          <w:p>
            <w:pPr>
              <w:pStyle w:val="TableContents"/>
              <w:spacing w:before="0" w:after="0"/>
              <w:jc w:val="both"/>
              <w:rPr>
                <w:rFonts w:ascii="arial" w:hAnsi="arial"/>
                <w:i/>
                <w:sz w:val="18"/>
              </w:rPr>
            </w:pPr>
            <w:r>
              <w:rPr>
                <w:rFonts w:ascii="arial" w:hAnsi="arial"/>
                <w:i/>
                <w:sz w:val="18"/>
              </w:rPr>
              <w:t xml:space="preserve">The PRSUs will vest on March 4, 2025, subject to attainment of performance goals. Amounts include all accrued and unvested whole share DEUs that vest only to the extent and at the same time the underlying award on which they are issued vest. </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jc w:val="left"/>
              <w:rPr>
                <w:i/>
              </w:rPr>
            </w:pPr>
            <w:r>
              <w:rPr>
                <w:i/>
              </w:rPr>
              <w:t>(8)</w:t>
            </w:r>
          </w:p>
        </w:tc>
        <w:tc>
          <w:tcPr>
            <w:tcW w:w="9934" w:type="dxa"/>
            <w:tcBorders/>
            <w:shd w:fill="auto" w:val="clear"/>
            <w:vAlign w:val="center"/>
          </w:tcPr>
          <w:p>
            <w:pPr>
              <w:pStyle w:val="TableContents"/>
              <w:spacing w:before="0" w:after="0"/>
              <w:jc w:val="both"/>
              <w:rPr>
                <w:rFonts w:ascii="arial" w:hAnsi="arial"/>
                <w:i/>
                <w:sz w:val="18"/>
              </w:rPr>
            </w:pPr>
            <w:r>
              <w:rPr>
                <w:rFonts w:ascii="arial" w:hAnsi="arial"/>
                <w:i/>
                <w:sz w:val="18"/>
              </w:rPr>
              <w:t xml:space="preserve">The 52,632 RSUs held by Mr. Malik, and 24,409 RSUs held by Mr. Mauro vested on March 2, 2023. In accordance with their terms, all of these awards would have vested upon an involuntary termination without </w:t>
            </w:r>
          </w:p>
        </w:tc>
      </w:tr>
    </w:tbl>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43 </w:t>
      </w:r>
      <w:r>
        <w:br w:type="page"/>
      </w:r>
    </w:p>
    <w:p>
      <w:pPr>
        <w:pStyle w:val="HorizontalLine"/>
        <w:rPr/>
      </w:pPr>
      <w:r>
        <w:rPr/>
      </w:r>
    </w:p>
    <w:tbl>
      <w:tblPr>
        <w:tblW w:w="10205" w:type="dxa"/>
        <w:jc w:val="left"/>
        <w:tblInd w:w="0" w:type="dxa"/>
        <w:tblCellMar>
          <w:top w:w="0" w:type="dxa"/>
          <w:left w:w="0" w:type="dxa"/>
          <w:bottom w:w="0" w:type="dxa"/>
          <w:right w:w="0" w:type="dxa"/>
        </w:tblCellMar>
      </w:tblPr>
      <w:tblGrid>
        <w:gridCol w:w="75"/>
        <w:gridCol w:w="10130"/>
      </w:tblGrid>
      <w:tr>
        <w:trPr/>
        <w:tc>
          <w:tcPr>
            <w:tcW w:w="75" w:type="dxa"/>
            <w:tcBorders/>
            <w:shd w:fill="auto" w:val="clear"/>
            <w:vAlign w:val="center"/>
          </w:tcPr>
          <w:p>
            <w:pPr>
              <w:pStyle w:val="TableContents"/>
              <w:spacing w:before="0" w:after="283"/>
              <w:rPr/>
            </w:pPr>
            <w:r>
              <w:rPr/>
              <w:t> </w:t>
            </w:r>
          </w:p>
        </w:tc>
        <w:tc>
          <w:tcPr>
            <w:tcW w:w="10130" w:type="dxa"/>
            <w:tcBorders/>
            <w:shd w:fill="auto" w:val="clear"/>
            <w:vAlign w:val="center"/>
          </w:tcPr>
          <w:p>
            <w:pPr>
              <w:pStyle w:val="TableContents"/>
              <w:spacing w:before="0" w:after="0"/>
              <w:jc w:val="both"/>
              <w:rPr>
                <w:rFonts w:ascii="arial" w:hAnsi="arial"/>
                <w:i/>
                <w:sz w:val="18"/>
              </w:rPr>
            </w:pPr>
            <w:r>
              <w:rPr>
                <w:rFonts w:ascii="arial" w:hAnsi="arial"/>
                <w:i/>
                <w:sz w:val="18"/>
              </w:rPr>
              <w:t xml:space="preserve">cause or a voluntary resignation for good reason that occurs within two years following a change in control (double-trigger awards) or upon the executive’s death or disability. </w:t>
            </w:r>
          </w:p>
        </w:tc>
      </w:tr>
    </w:tbl>
    <w:tbl>
      <w:tblPr>
        <w:tblW w:w="10205" w:type="dxa"/>
        <w:jc w:val="left"/>
        <w:tblInd w:w="0" w:type="dxa"/>
        <w:tblCellMar>
          <w:top w:w="0" w:type="dxa"/>
          <w:left w:w="0" w:type="dxa"/>
          <w:bottom w:w="0" w:type="dxa"/>
          <w:right w:w="0" w:type="dxa"/>
        </w:tblCellMar>
      </w:tblPr>
      <w:tblGrid>
        <w:gridCol w:w="249"/>
        <w:gridCol w:w="9956"/>
      </w:tblGrid>
      <w:tr>
        <w:trPr/>
        <w:tc>
          <w:tcPr>
            <w:tcW w:w="249" w:type="dxa"/>
            <w:tcBorders/>
            <w:shd w:fill="auto" w:val="clear"/>
            <w:vAlign w:val="center"/>
          </w:tcPr>
          <w:p>
            <w:pPr>
              <w:pStyle w:val="TableContents"/>
              <w:spacing w:before="0" w:after="283"/>
              <w:jc w:val="left"/>
              <w:rPr>
                <w:i/>
              </w:rPr>
            </w:pPr>
            <w:r>
              <w:rPr>
                <w:i/>
              </w:rPr>
              <w:t>(9)</w:t>
            </w:r>
          </w:p>
        </w:tc>
        <w:tc>
          <w:tcPr>
            <w:tcW w:w="9956" w:type="dxa"/>
            <w:tcBorders/>
            <w:shd w:fill="auto" w:val="clear"/>
            <w:vAlign w:val="center"/>
          </w:tcPr>
          <w:p>
            <w:pPr>
              <w:pStyle w:val="TableContents"/>
              <w:spacing w:before="0" w:after="0"/>
              <w:jc w:val="both"/>
              <w:rPr>
                <w:rFonts w:ascii="arial" w:hAnsi="arial"/>
                <w:i/>
                <w:sz w:val="18"/>
              </w:rPr>
            </w:pPr>
            <w:r>
              <w:rPr>
                <w:rFonts w:ascii="arial" w:hAnsi="arial"/>
                <w:i/>
                <w:sz w:val="18"/>
              </w:rPr>
              <w:t xml:space="preserve">The 197,369 RSUs held by Mr. Malik, and 91,534 RSUs held by Mr. Mauro vested on March 2, 2023 which represents 100% of their original target PRSUs. In accordance with their terms, all of these awards would have vested upon an involuntary termination without cause or a voluntary resignation for good reason that occurs within two years following a change in control (double-trigger awards) or upon the executive’s death or disability. </w:t>
            </w:r>
          </w:p>
        </w:tc>
      </w:tr>
    </w:tbl>
    <w:tbl>
      <w:tblPr>
        <w:tblW w:w="10205" w:type="dxa"/>
        <w:jc w:val="left"/>
        <w:tblInd w:w="0" w:type="dxa"/>
        <w:tblCellMar>
          <w:top w:w="0" w:type="dxa"/>
          <w:left w:w="0" w:type="dxa"/>
          <w:bottom w:w="0" w:type="dxa"/>
          <w:right w:w="0" w:type="dxa"/>
        </w:tblCellMar>
      </w:tblPr>
      <w:tblGrid>
        <w:gridCol w:w="361"/>
        <w:gridCol w:w="9844"/>
      </w:tblGrid>
      <w:tr>
        <w:trPr/>
        <w:tc>
          <w:tcPr>
            <w:tcW w:w="361" w:type="dxa"/>
            <w:tcBorders/>
            <w:shd w:fill="auto" w:val="clear"/>
            <w:vAlign w:val="center"/>
          </w:tcPr>
          <w:p>
            <w:pPr>
              <w:pStyle w:val="TableContents"/>
              <w:spacing w:before="0" w:after="283"/>
              <w:jc w:val="left"/>
              <w:rPr>
                <w:i/>
              </w:rPr>
            </w:pPr>
            <w:r>
              <w:rPr>
                <w:i/>
              </w:rPr>
              <w:t>(10)</w:t>
            </w:r>
          </w:p>
        </w:tc>
        <w:tc>
          <w:tcPr>
            <w:tcW w:w="9844" w:type="dxa"/>
            <w:tcBorders/>
            <w:shd w:fill="auto" w:val="clear"/>
            <w:vAlign w:val="center"/>
          </w:tcPr>
          <w:p>
            <w:pPr>
              <w:pStyle w:val="TableContents"/>
              <w:spacing w:before="0" w:after="0"/>
              <w:jc w:val="both"/>
              <w:rPr>
                <w:rFonts w:ascii="arial" w:hAnsi="arial"/>
                <w:i/>
                <w:sz w:val="18"/>
              </w:rPr>
            </w:pPr>
            <w:r>
              <w:rPr>
                <w:rFonts w:ascii="arial" w:hAnsi="arial"/>
                <w:i/>
                <w:sz w:val="18"/>
              </w:rPr>
              <w:t xml:space="preserve">The PRSUs were granted on November 23, 2020 and are divided into five separate vesting tranches requiring share price appreciation and shareholder returns (including dividends and other distributions) of 25%, 50%, 75%, 100% and 150% from the date of grant through December 30, 2025. In the case of the first three tranches, the PRSUs are subject to a retention requirement through the first anniversary of achieving the shareholder return goal, and in the case of the final two tranches, the PRSUs are subject to a retention requirement through the term of the award. The PRSUs would vest and be settled in full upon termination of employment without cause, resignation for good reason, disability, or death. </w:t>
            </w:r>
          </w:p>
        </w:tc>
      </w:tr>
    </w:tbl>
    <w:p>
      <w:pPr>
        <w:pStyle w:val="TextBody"/>
        <w:spacing w:before="240" w:after="0"/>
        <w:jc w:val="left"/>
        <w:rPr>
          <w:rFonts w:ascii="arial" w:hAnsi="arial"/>
          <w:b/>
          <w:color w:val="732282"/>
          <w:sz w:val="20"/>
        </w:rPr>
      </w:pPr>
      <w:r>
        <w:rPr>
          <w:rFonts w:ascii="arial" w:hAnsi="arial"/>
          <w:b/>
          <w:color w:val="732282"/>
          <w:sz w:val="20"/>
        </w:rPr>
        <w:t xml:space="preserve">Option Exercises and Stock Vested for 2022 </w:t>
      </w:r>
    </w:p>
    <w:p>
      <w:pPr>
        <w:pStyle w:val="TextBody"/>
        <w:spacing w:before="120" w:after="0"/>
        <w:jc w:val="both"/>
        <w:rPr>
          <w:rFonts w:ascii="arial" w:hAnsi="arial"/>
          <w:sz w:val="18"/>
        </w:rPr>
      </w:pPr>
      <w:r>
        <w:rPr>
          <w:rFonts w:ascii="arial" w:hAnsi="arial"/>
          <w:sz w:val="18"/>
        </w:rPr>
        <w:t xml:space="preserve">The option awards and stock awards reflected in the table below were exercised or became vested for the NEOs during 2022. </w:t>
      </w:r>
    </w:p>
    <w:p>
      <w:pPr>
        <w:pStyle w:val="TextBody"/>
        <w:spacing w:before="0" w:after="0"/>
        <w:jc w:val="left"/>
        <w:rPr/>
      </w:pPr>
      <w:r>
        <w:rPr/>
        <w:t> </w:t>
      </w:r>
    </w:p>
    <w:tbl>
      <w:tblPr>
        <w:tblW w:w="6078" w:type="dxa"/>
        <w:jc w:val="left"/>
        <w:tblInd w:w="0" w:type="dxa"/>
        <w:tblCellMar>
          <w:top w:w="0" w:type="dxa"/>
          <w:left w:w="0" w:type="dxa"/>
          <w:bottom w:w="0" w:type="dxa"/>
          <w:right w:w="0" w:type="dxa"/>
        </w:tblCellMar>
      </w:tblPr>
      <w:tblGrid>
        <w:gridCol w:w="1370"/>
        <w:gridCol w:w="60"/>
        <w:gridCol w:w="174"/>
        <w:gridCol w:w="761"/>
        <w:gridCol w:w="124"/>
        <w:gridCol w:w="124"/>
        <w:gridCol w:w="172"/>
        <w:gridCol w:w="763"/>
        <w:gridCol w:w="60"/>
        <w:gridCol w:w="120"/>
        <w:gridCol w:w="60"/>
        <w:gridCol w:w="60"/>
        <w:gridCol w:w="60"/>
        <w:gridCol w:w="60"/>
        <w:gridCol w:w="61"/>
        <w:gridCol w:w="814"/>
        <w:gridCol w:w="60"/>
        <w:gridCol w:w="60"/>
        <w:gridCol w:w="60"/>
        <w:gridCol w:w="980"/>
        <w:gridCol w:w="75"/>
      </w:tblGrid>
      <w:tr>
        <w:trPr/>
        <w:tc>
          <w:tcPr>
            <w:tcW w:w="13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761"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76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370" w:type="dxa"/>
            <w:tcBorders/>
            <w:shd w:fill="auto" w:val="clear"/>
            <w:vAlign w:val="center"/>
          </w:tcPr>
          <w:p>
            <w:pPr>
              <w:pStyle w:val="TableContents"/>
              <w:spacing w:before="0" w:after="283"/>
              <w:rPr/>
            </w:pPr>
            <w:r>
              <w:rPr/>
              <w:t> </w:t>
            </w:r>
          </w:p>
        </w:tc>
        <w:tc>
          <w:tcPr>
            <w:tcW w:w="60" w:type="dxa"/>
            <w:tcBorders/>
            <w:shd w:fill="231161" w:val="clear"/>
            <w:vAlign w:val="center"/>
          </w:tcPr>
          <w:p>
            <w:pPr>
              <w:pStyle w:val="TableContents"/>
              <w:spacing w:before="0" w:after="283"/>
              <w:rPr/>
            </w:pPr>
            <w:r>
              <w:rPr/>
              <w:t> </w:t>
            </w:r>
          </w:p>
        </w:tc>
        <w:tc>
          <w:tcPr>
            <w:tcW w:w="2118" w:type="dxa"/>
            <w:gridSpan w:val="6"/>
            <w:tcBorders/>
            <w:shd w:fill="231161" w:val="clear"/>
            <w:vAlign w:val="center"/>
          </w:tcPr>
          <w:p>
            <w:pPr>
              <w:pStyle w:val="TableContents"/>
              <w:spacing w:before="0" w:after="283"/>
              <w:jc w:val="center"/>
              <w:rPr>
                <w:b/>
                <w:color w:val="FFFFFF"/>
              </w:rPr>
            </w:pPr>
            <w:r>
              <w:rPr>
                <w:b/>
                <w:color w:val="FFFFFF"/>
              </w:rPr>
              <w:t>Option Awards</w:t>
            </w:r>
          </w:p>
        </w:tc>
        <w:tc>
          <w:tcPr>
            <w:tcW w:w="60" w:type="dxa"/>
            <w:tcBorders/>
            <w:shd w:fill="231161"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120" w:type="dxa"/>
            <w:gridSpan w:val="2"/>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231161" w:val="clear"/>
            <w:vAlign w:val="center"/>
          </w:tcPr>
          <w:p>
            <w:pPr>
              <w:pStyle w:val="TableContents"/>
              <w:spacing w:before="0" w:after="283"/>
              <w:rPr/>
            </w:pPr>
            <w:r>
              <w:rPr/>
              <w:t> </w:t>
            </w:r>
          </w:p>
        </w:tc>
        <w:tc>
          <w:tcPr>
            <w:tcW w:w="2035" w:type="dxa"/>
            <w:gridSpan w:val="6"/>
            <w:tcBorders/>
            <w:shd w:fill="231161" w:val="clear"/>
            <w:vAlign w:val="center"/>
          </w:tcPr>
          <w:p>
            <w:pPr>
              <w:pStyle w:val="TableContents"/>
              <w:spacing w:before="0" w:after="283"/>
              <w:jc w:val="center"/>
              <w:rPr>
                <w:b/>
                <w:color w:val="FFFFFF"/>
              </w:rPr>
            </w:pPr>
            <w:r>
              <w:rPr>
                <w:b/>
                <w:color w:val="FFFFFF"/>
              </w:rPr>
              <w:t>Stock Awards</w:t>
            </w:r>
          </w:p>
        </w:tc>
        <w:tc>
          <w:tcPr>
            <w:tcW w:w="75" w:type="dxa"/>
            <w:tcBorders/>
            <w:shd w:fill="231161" w:val="clear"/>
            <w:vAlign w:val="center"/>
          </w:tcPr>
          <w:p>
            <w:pPr>
              <w:pStyle w:val="TableContents"/>
              <w:spacing w:before="0" w:after="283"/>
              <w:rPr/>
            </w:pPr>
            <w:r>
              <w:rPr/>
              <w:t> </w:t>
            </w:r>
          </w:p>
        </w:tc>
      </w:tr>
      <w:tr>
        <w:trPr/>
        <w:tc>
          <w:tcPr>
            <w:tcW w:w="1370" w:type="dxa"/>
            <w:tcBorders/>
            <w:shd w:fill="444444" w:val="clear"/>
            <w:vAlign w:val="center"/>
          </w:tcPr>
          <w:p>
            <w:pPr>
              <w:pStyle w:val="TableContents"/>
              <w:spacing w:before="0" w:after="283"/>
              <w:rPr>
                <w:b/>
                <w:color w:val="FFFFFF"/>
              </w:rPr>
            </w:pPr>
            <w:r>
              <w:rPr>
                <w:b/>
                <w:color w:val="FFFFFF"/>
              </w:rPr>
              <w:t>Name</w:t>
            </w:r>
          </w:p>
        </w:tc>
        <w:tc>
          <w:tcPr>
            <w:tcW w:w="60" w:type="dxa"/>
            <w:tcBorders/>
            <w:shd w:fill="444444" w:val="clear"/>
            <w:vAlign w:val="center"/>
          </w:tcPr>
          <w:p>
            <w:pPr>
              <w:pStyle w:val="TableContents"/>
              <w:spacing w:before="0" w:after="283"/>
              <w:rPr/>
            </w:pPr>
            <w:r>
              <w:rPr/>
              <w:t> </w:t>
            </w:r>
          </w:p>
        </w:tc>
        <w:tc>
          <w:tcPr>
            <w:tcW w:w="935" w:type="dxa"/>
            <w:gridSpan w:val="2"/>
            <w:tcBorders/>
            <w:shd w:fill="444444" w:val="clear"/>
            <w:vAlign w:val="center"/>
          </w:tcPr>
          <w:p>
            <w:pPr>
              <w:pStyle w:val="TableContents"/>
              <w:spacing w:before="0" w:after="0"/>
              <w:jc w:val="right"/>
              <w:rPr>
                <w:rFonts w:ascii="arial" w:hAnsi="arial"/>
                <w:b/>
                <w:color w:val="FFFFFF"/>
                <w:sz w:val="16"/>
              </w:rPr>
            </w:pPr>
            <w:r>
              <w:rPr>
                <w:rFonts w:ascii="arial" w:hAnsi="arial"/>
                <w:b/>
                <w:color w:val="FFFFFF"/>
                <w:sz w:val="16"/>
              </w:rPr>
              <w:t>Number of</w:t>
            </w:r>
          </w:p>
          <w:p>
            <w:pPr>
              <w:pStyle w:val="TableContents"/>
              <w:spacing w:before="0" w:after="0"/>
              <w:jc w:val="right"/>
              <w:rPr>
                <w:rFonts w:ascii="arial" w:hAnsi="arial"/>
                <w:b/>
                <w:color w:val="FFFFFF"/>
                <w:sz w:val="16"/>
              </w:rPr>
            </w:pPr>
            <w:r>
              <w:rPr>
                <w:rFonts w:ascii="arial" w:hAnsi="arial"/>
                <w:b/>
                <w:color w:val="FFFFFF"/>
                <w:sz w:val="16"/>
              </w:rPr>
              <w:t>Shares</w:t>
            </w:r>
          </w:p>
          <w:p>
            <w:pPr>
              <w:pStyle w:val="TableContents"/>
              <w:spacing w:before="0" w:after="0"/>
              <w:jc w:val="right"/>
              <w:rPr>
                <w:rFonts w:ascii="arial" w:hAnsi="arial"/>
                <w:b/>
                <w:color w:val="FFFFFF"/>
                <w:sz w:val="16"/>
              </w:rPr>
            </w:pPr>
            <w:r>
              <w:rPr>
                <w:rFonts w:ascii="arial" w:hAnsi="arial"/>
                <w:b/>
                <w:color w:val="FFFFFF"/>
                <w:sz w:val="16"/>
              </w:rPr>
              <w:t>Acquired</w:t>
              <w:br/>
              <w:t>on</w:t>
            </w:r>
          </w:p>
          <w:p>
            <w:pPr>
              <w:pStyle w:val="TableContents"/>
              <w:spacing w:before="0" w:after="20"/>
              <w:jc w:val="right"/>
              <w:rPr>
                <w:rFonts w:ascii="arial" w:hAnsi="arial"/>
                <w:b/>
                <w:color w:val="FFFFFF"/>
                <w:sz w:val="16"/>
              </w:rPr>
            </w:pPr>
            <w:r>
              <w:rPr>
                <w:rFonts w:ascii="arial" w:hAnsi="arial"/>
                <w:b/>
                <w:color w:val="FFFFFF"/>
                <w:sz w:val="16"/>
              </w:rPr>
              <w:t>Exercise (#)</w:t>
            </w:r>
          </w:p>
        </w:tc>
        <w:tc>
          <w:tcPr>
            <w:tcW w:w="124" w:type="dxa"/>
            <w:tcBorders/>
            <w:shd w:fill="444444" w:val="clear"/>
            <w:vAlign w:val="center"/>
          </w:tcPr>
          <w:p>
            <w:pPr>
              <w:pStyle w:val="TableContents"/>
              <w:spacing w:before="0" w:after="283"/>
              <w:rPr/>
            </w:pPr>
            <w:r>
              <w:rPr/>
              <w:t> </w:t>
            </w:r>
          </w:p>
        </w:tc>
        <w:tc>
          <w:tcPr>
            <w:tcW w:w="124" w:type="dxa"/>
            <w:tcBorders/>
            <w:shd w:fill="444444" w:val="clear"/>
            <w:vAlign w:val="center"/>
          </w:tcPr>
          <w:p>
            <w:pPr>
              <w:pStyle w:val="TableContents"/>
              <w:spacing w:before="0" w:after="283"/>
              <w:rPr/>
            </w:pPr>
            <w:r>
              <w:rPr/>
              <w:t> </w:t>
            </w:r>
          </w:p>
        </w:tc>
        <w:tc>
          <w:tcPr>
            <w:tcW w:w="935" w:type="dxa"/>
            <w:gridSpan w:val="2"/>
            <w:tcBorders/>
            <w:shd w:fill="444444" w:val="clear"/>
            <w:vAlign w:val="center"/>
          </w:tcPr>
          <w:p>
            <w:pPr>
              <w:pStyle w:val="TableContents"/>
              <w:spacing w:before="0" w:after="0"/>
              <w:jc w:val="right"/>
              <w:rPr>
                <w:rFonts w:ascii="arial" w:hAnsi="arial"/>
                <w:b/>
                <w:color w:val="FFFFFF"/>
                <w:sz w:val="16"/>
              </w:rPr>
            </w:pPr>
            <w:r>
              <w:rPr>
                <w:rFonts w:ascii="arial" w:hAnsi="arial"/>
                <w:b/>
                <w:color w:val="FFFFFF"/>
                <w:sz w:val="16"/>
              </w:rPr>
              <w:t>Value</w:t>
            </w:r>
          </w:p>
          <w:p>
            <w:pPr>
              <w:pStyle w:val="TableContents"/>
              <w:spacing w:before="0" w:after="0"/>
              <w:jc w:val="right"/>
              <w:rPr>
                <w:rFonts w:ascii="arial" w:hAnsi="arial"/>
                <w:b/>
                <w:color w:val="FFFFFF"/>
                <w:sz w:val="16"/>
              </w:rPr>
            </w:pPr>
            <w:r>
              <w:rPr>
                <w:rFonts w:ascii="arial" w:hAnsi="arial"/>
                <w:b/>
                <w:color w:val="FFFFFF"/>
                <w:sz w:val="16"/>
              </w:rPr>
              <w:t>Realized</w:t>
              <w:br/>
              <w:t>on</w:t>
            </w:r>
          </w:p>
          <w:p>
            <w:pPr>
              <w:pStyle w:val="TableContents"/>
              <w:spacing w:before="0" w:after="20"/>
              <w:jc w:val="right"/>
              <w:rPr>
                <w:rFonts w:ascii="arial" w:hAnsi="arial"/>
                <w:b/>
                <w:color w:val="FFFFFF"/>
                <w:sz w:val="16"/>
              </w:rPr>
            </w:pPr>
            <w:r>
              <w:rPr>
                <w:rFonts w:ascii="arial" w:hAnsi="arial"/>
                <w:b/>
                <w:color w:val="FFFFFF"/>
                <w:sz w:val="16"/>
              </w:rPr>
              <w:t>Exercise ($)</w:t>
            </w:r>
          </w:p>
        </w:tc>
        <w:tc>
          <w:tcPr>
            <w:tcW w:w="60" w:type="dxa"/>
            <w:tcBorders/>
            <w:shd w:fill="444444"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120" w:type="dxa"/>
            <w:gridSpan w:val="2"/>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444444" w:val="clear"/>
            <w:vAlign w:val="center"/>
          </w:tcPr>
          <w:p>
            <w:pPr>
              <w:pStyle w:val="TableContents"/>
              <w:spacing w:before="0" w:after="283"/>
              <w:rPr/>
            </w:pPr>
            <w:r>
              <w:rPr/>
              <w:t> </w:t>
            </w:r>
          </w:p>
        </w:tc>
        <w:tc>
          <w:tcPr>
            <w:tcW w:w="875" w:type="dxa"/>
            <w:gridSpan w:val="2"/>
            <w:tcBorders/>
            <w:shd w:fill="444444" w:val="clear"/>
            <w:vAlign w:val="center"/>
          </w:tcPr>
          <w:p>
            <w:pPr>
              <w:pStyle w:val="TableContents"/>
              <w:spacing w:before="0" w:after="0"/>
              <w:jc w:val="right"/>
              <w:rPr>
                <w:rFonts w:ascii="arial" w:hAnsi="arial"/>
                <w:b/>
                <w:color w:val="FFFFFF"/>
                <w:sz w:val="16"/>
              </w:rPr>
            </w:pPr>
            <w:r>
              <w:rPr>
                <w:rFonts w:ascii="arial" w:hAnsi="arial"/>
                <w:b/>
                <w:color w:val="FFFFFF"/>
                <w:sz w:val="16"/>
              </w:rPr>
              <w:t>Number</w:t>
              <w:br/>
              <w:t>of Shares</w:t>
            </w:r>
          </w:p>
          <w:p>
            <w:pPr>
              <w:pStyle w:val="TableContents"/>
              <w:spacing w:before="0" w:after="0"/>
              <w:jc w:val="right"/>
              <w:rPr>
                <w:rFonts w:ascii="arial" w:hAnsi="arial"/>
                <w:b/>
                <w:color w:val="FFFFFF"/>
                <w:sz w:val="16"/>
              </w:rPr>
            </w:pPr>
            <w:r>
              <w:rPr>
                <w:rFonts w:ascii="arial" w:hAnsi="arial"/>
                <w:b/>
                <w:color w:val="FFFFFF"/>
                <w:sz w:val="16"/>
              </w:rPr>
              <w:t>Acquired</w:t>
              <w:br/>
              <w:t>on</w:t>
            </w:r>
          </w:p>
          <w:p>
            <w:pPr>
              <w:pStyle w:val="TableContents"/>
              <w:spacing w:before="0" w:after="20"/>
              <w:jc w:val="right"/>
              <w:rPr>
                <w:rFonts w:ascii="arial" w:hAnsi="arial"/>
                <w:b/>
                <w:color w:val="FFFFFF"/>
                <w:sz w:val="16"/>
              </w:rPr>
            </w:pPr>
            <w:r>
              <w:rPr>
                <w:rFonts w:ascii="arial" w:hAnsi="arial"/>
                <w:b/>
                <w:color w:val="FFFFFF"/>
                <w:sz w:val="16"/>
              </w:rPr>
              <w:t>Vesting (#)</w:t>
            </w:r>
          </w:p>
        </w:tc>
        <w:tc>
          <w:tcPr>
            <w:tcW w:w="60" w:type="dxa"/>
            <w:tcBorders/>
            <w:shd w:fill="444444" w:val="clear"/>
            <w:vAlign w:val="center"/>
          </w:tcPr>
          <w:p>
            <w:pPr>
              <w:pStyle w:val="TableContents"/>
              <w:spacing w:before="0" w:after="283"/>
              <w:rPr/>
            </w:pPr>
            <w:r>
              <w:rPr/>
              <w:t> </w:t>
            </w:r>
          </w:p>
        </w:tc>
        <w:tc>
          <w:tcPr>
            <w:tcW w:w="60" w:type="dxa"/>
            <w:tcBorders/>
            <w:shd w:fill="444444" w:val="clear"/>
            <w:vAlign w:val="center"/>
          </w:tcPr>
          <w:p>
            <w:pPr>
              <w:pStyle w:val="TableContents"/>
              <w:spacing w:before="0" w:after="283"/>
              <w:rPr/>
            </w:pPr>
            <w:r>
              <w:rPr/>
              <w:t> </w:t>
            </w:r>
          </w:p>
        </w:tc>
        <w:tc>
          <w:tcPr>
            <w:tcW w:w="1040" w:type="dxa"/>
            <w:gridSpan w:val="2"/>
            <w:tcBorders/>
            <w:shd w:fill="444444" w:val="clear"/>
            <w:vAlign w:val="center"/>
          </w:tcPr>
          <w:p>
            <w:pPr>
              <w:pStyle w:val="TableContents"/>
              <w:spacing w:before="0" w:after="0"/>
              <w:jc w:val="right"/>
              <w:rPr>
                <w:rFonts w:ascii="arial" w:hAnsi="arial"/>
                <w:b/>
                <w:color w:val="FFFFFF"/>
                <w:sz w:val="16"/>
              </w:rPr>
            </w:pPr>
            <w:r>
              <w:rPr>
                <w:rFonts w:ascii="arial" w:hAnsi="arial"/>
                <w:b/>
                <w:color w:val="FFFFFF"/>
                <w:sz w:val="16"/>
              </w:rPr>
              <w:t>Value</w:t>
            </w:r>
          </w:p>
          <w:p>
            <w:pPr>
              <w:pStyle w:val="TableContents"/>
              <w:spacing w:before="0" w:after="0"/>
              <w:jc w:val="right"/>
              <w:rPr>
                <w:rFonts w:ascii="arial" w:hAnsi="arial"/>
                <w:b/>
                <w:color w:val="FFFFFF"/>
                <w:sz w:val="16"/>
              </w:rPr>
            </w:pPr>
            <w:r>
              <w:rPr>
                <w:rFonts w:ascii="arial" w:hAnsi="arial"/>
                <w:b/>
                <w:color w:val="FFFFFF"/>
                <w:sz w:val="16"/>
              </w:rPr>
              <w:t>Realized</w:t>
              <w:br/>
              <w:t>on</w:t>
            </w:r>
          </w:p>
          <w:p>
            <w:pPr>
              <w:pStyle w:val="TableContents"/>
              <w:spacing w:before="0" w:after="20"/>
              <w:jc w:val="right"/>
              <w:rPr>
                <w:rFonts w:ascii="arial" w:hAnsi="arial"/>
                <w:b/>
                <w:color w:val="FFFFFF"/>
                <w:sz w:val="16"/>
              </w:rPr>
            </w:pPr>
            <w:r>
              <w:rPr>
                <w:rFonts w:ascii="arial" w:hAnsi="arial"/>
                <w:b/>
                <w:color w:val="FFFFFF"/>
                <w:sz w:val="16"/>
              </w:rPr>
              <w:t>Vesting ($)</w:t>
            </w:r>
          </w:p>
        </w:tc>
        <w:tc>
          <w:tcPr>
            <w:tcW w:w="75" w:type="dxa"/>
            <w:tcBorders/>
            <w:shd w:fill="444444" w:val="clear"/>
            <w:vAlign w:val="center"/>
          </w:tcPr>
          <w:p>
            <w:pPr>
              <w:pStyle w:val="TableContents"/>
              <w:spacing w:before="0" w:after="283"/>
              <w:rPr/>
            </w:pPr>
            <w:r>
              <w:rPr/>
              <w:t> </w:t>
            </w:r>
          </w:p>
        </w:tc>
      </w:tr>
      <w:tr>
        <w:trPr/>
        <w:tc>
          <w:tcPr>
            <w:tcW w:w="1370" w:type="dxa"/>
            <w:tcBorders/>
            <w:shd w:fill="EAEAEA" w:val="clear"/>
            <w:vAlign w:val="center"/>
          </w:tcPr>
          <w:p>
            <w:pPr>
              <w:pStyle w:val="TableContents"/>
              <w:spacing w:before="0" w:after="0"/>
              <w:rPr>
                <w:rFonts w:ascii="arial" w:hAnsi="arial"/>
                <w:sz w:val="18"/>
              </w:rPr>
            </w:pPr>
            <w:r>
              <w:rPr>
                <w:rFonts w:ascii="arial" w:hAnsi="arial"/>
                <w:sz w:val="18"/>
              </w:rPr>
              <w:t>Michael Goettler</w:t>
            </w:r>
          </w:p>
        </w:tc>
        <w:tc>
          <w:tcPr>
            <w:tcW w:w="60" w:type="dxa"/>
            <w:tcBorders/>
            <w:shd w:fill="EAEAEA" w:val="clear"/>
            <w:vAlign w:val="center"/>
          </w:tcPr>
          <w:p>
            <w:pPr>
              <w:pStyle w:val="TableContents"/>
              <w:spacing w:before="0" w:after="283"/>
              <w:rPr/>
            </w:pPr>
            <w:r>
              <w:rPr/>
              <w:t> </w:t>
            </w:r>
          </w:p>
        </w:tc>
        <w:tc>
          <w:tcPr>
            <w:tcW w:w="174" w:type="dxa"/>
            <w:tcBorders/>
            <w:shd w:fill="EAEAEA" w:val="clear"/>
            <w:vAlign w:val="center"/>
          </w:tcPr>
          <w:p>
            <w:pPr>
              <w:pStyle w:val="TableContents"/>
              <w:spacing w:before="0" w:after="283"/>
              <w:rPr/>
            </w:pPr>
            <w:r>
              <w:rPr/>
              <w:t> </w:t>
            </w:r>
          </w:p>
        </w:tc>
        <w:tc>
          <w:tcPr>
            <w:tcW w:w="761" w:type="dxa"/>
            <w:tcBorders/>
            <w:shd w:fill="EAEAEA" w:val="clear"/>
            <w:vAlign w:val="center"/>
          </w:tcPr>
          <w:p>
            <w:pPr>
              <w:pStyle w:val="TableContents"/>
              <w:spacing w:before="0" w:after="283"/>
              <w:jc w:val="right"/>
              <w:rPr/>
            </w:pPr>
            <w:r>
              <w:rPr/>
              <w:t>—</w:t>
            </w:r>
          </w:p>
        </w:tc>
        <w:tc>
          <w:tcPr>
            <w:tcW w:w="124" w:type="dxa"/>
            <w:tcBorders/>
            <w:shd w:fill="EAEAEA" w:val="clear"/>
            <w:vAlign w:val="center"/>
          </w:tcPr>
          <w:p>
            <w:pPr>
              <w:pStyle w:val="TableContents"/>
              <w:spacing w:before="0" w:after="283"/>
              <w:rPr/>
            </w:pPr>
            <w:r>
              <w:rPr/>
              <w:t> </w:t>
            </w:r>
          </w:p>
        </w:tc>
        <w:tc>
          <w:tcPr>
            <w:tcW w:w="124" w:type="dxa"/>
            <w:tcBorders/>
            <w:shd w:fill="EAEAEA" w:val="clear"/>
            <w:vAlign w:val="center"/>
          </w:tcPr>
          <w:p>
            <w:pPr>
              <w:pStyle w:val="TableContents"/>
              <w:spacing w:before="0" w:after="283"/>
              <w:rPr/>
            </w:pPr>
            <w:r>
              <w:rPr/>
              <w:t> </w:t>
            </w:r>
          </w:p>
        </w:tc>
        <w:tc>
          <w:tcPr>
            <w:tcW w:w="172" w:type="dxa"/>
            <w:tcBorders/>
            <w:shd w:fill="EAEAEA" w:val="clear"/>
            <w:vAlign w:val="center"/>
          </w:tcPr>
          <w:p>
            <w:pPr>
              <w:pStyle w:val="TableContents"/>
              <w:spacing w:before="0" w:after="283"/>
              <w:rPr/>
            </w:pPr>
            <w:r>
              <w:rPr/>
              <w:t> </w:t>
            </w:r>
          </w:p>
        </w:tc>
        <w:tc>
          <w:tcPr>
            <w:tcW w:w="763" w:type="dxa"/>
            <w:tcBorders/>
            <w:shd w:fill="EAEAEA" w:val="clear"/>
            <w:vAlign w:val="center"/>
          </w:tcPr>
          <w:p>
            <w:pPr>
              <w:pStyle w:val="TableContents"/>
              <w:spacing w:before="0" w:after="283"/>
              <w:jc w:val="right"/>
              <w:rPr/>
            </w:pPr>
            <w:r>
              <w:rPr/>
              <w:t>—</w:t>
            </w:r>
          </w:p>
        </w:tc>
        <w:tc>
          <w:tcPr>
            <w:tcW w:w="60" w:type="dxa"/>
            <w:tcBorders/>
            <w:shd w:fill="EAEAEA"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sz w:val="4"/>
                <w:szCs w:val="4"/>
              </w:rPr>
            </w:pPr>
            <w:r>
              <w:rPr>
                <w:sz w:val="4"/>
                <w:szCs w:val="4"/>
              </w:rPr>
            </w:r>
          </w:p>
        </w:tc>
        <w:tc>
          <w:tcPr>
            <w:tcW w:w="60" w:type="dxa"/>
            <w:tcBorders/>
            <w:shd w:fill="FFFFFF" w:val="clear"/>
            <w:vAlign w:val="center"/>
          </w:tcPr>
          <w:p>
            <w:pPr>
              <w:pStyle w:val="TableContents"/>
              <w:spacing w:before="0" w:after="283"/>
              <w:rPr>
                <w:sz w:val="4"/>
                <w:szCs w:val="4"/>
              </w:rPr>
            </w:pPr>
            <w:r>
              <w:rPr>
                <w:sz w:val="4"/>
                <w:szCs w:val="4"/>
              </w:rPr>
            </w:r>
          </w:p>
        </w:tc>
        <w:tc>
          <w:tcPr>
            <w:tcW w:w="60" w:type="dxa"/>
            <w:tcBorders/>
            <w:shd w:fill="FFFFFF" w:val="clear"/>
            <w:vAlign w:val="center"/>
          </w:tcPr>
          <w:p>
            <w:pPr>
              <w:pStyle w:val="TableContents"/>
              <w:spacing w:before="0" w:after="283"/>
              <w:rPr>
                <w:sz w:val="4"/>
                <w:szCs w:val="4"/>
              </w:rPr>
            </w:pPr>
            <w:r>
              <w:rPr>
                <w:sz w:val="4"/>
                <w:szCs w:val="4"/>
              </w:rPr>
            </w:r>
          </w:p>
        </w:tc>
        <w:tc>
          <w:tcPr>
            <w:tcW w:w="60" w:type="dxa"/>
            <w:tcBorders/>
            <w:shd w:fill="EAEAEA" w:val="clear"/>
            <w:vAlign w:val="center"/>
          </w:tcPr>
          <w:p>
            <w:pPr>
              <w:pStyle w:val="TableContents"/>
              <w:spacing w:before="0" w:after="283"/>
              <w:rPr/>
            </w:pPr>
            <w:r>
              <w:rPr/>
              <w:t> </w:t>
            </w:r>
          </w:p>
        </w:tc>
        <w:tc>
          <w:tcPr>
            <w:tcW w:w="61" w:type="dxa"/>
            <w:tcBorders/>
            <w:shd w:fill="EAEAEA" w:val="clear"/>
            <w:vAlign w:val="center"/>
          </w:tcPr>
          <w:p>
            <w:pPr>
              <w:pStyle w:val="TableContents"/>
              <w:spacing w:before="0" w:after="283"/>
              <w:rPr/>
            </w:pPr>
            <w:r>
              <w:rPr/>
              <w:t> </w:t>
            </w:r>
          </w:p>
        </w:tc>
        <w:tc>
          <w:tcPr>
            <w:tcW w:w="814" w:type="dxa"/>
            <w:tcBorders/>
            <w:shd w:fill="EAEAEA" w:val="clear"/>
            <w:vAlign w:val="center"/>
          </w:tcPr>
          <w:p>
            <w:pPr>
              <w:pStyle w:val="TableContents"/>
              <w:spacing w:before="0" w:after="283"/>
              <w:jc w:val="right"/>
              <w:rPr/>
            </w:pPr>
            <w:r>
              <w:rPr/>
              <w:t>142,825</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980" w:type="dxa"/>
            <w:tcBorders/>
            <w:shd w:fill="EAEAEA" w:val="clear"/>
            <w:vAlign w:val="center"/>
          </w:tcPr>
          <w:p>
            <w:pPr>
              <w:pStyle w:val="TableContents"/>
              <w:spacing w:before="0" w:after="283"/>
              <w:jc w:val="right"/>
              <w:rPr/>
            </w:pPr>
            <w:r>
              <w:rPr/>
              <w:t>1,526,030</w:t>
            </w:r>
          </w:p>
        </w:tc>
        <w:tc>
          <w:tcPr>
            <w:tcW w:w="75" w:type="dxa"/>
            <w:tcBorders/>
            <w:shd w:fill="EAEAEA" w:val="clear"/>
            <w:vAlign w:val="center"/>
          </w:tcPr>
          <w:p>
            <w:pPr>
              <w:pStyle w:val="TableContents"/>
              <w:spacing w:before="0" w:after="283"/>
              <w:rPr/>
            </w:pPr>
            <w:r>
              <w:rPr/>
              <w:t> </w:t>
            </w:r>
          </w:p>
        </w:tc>
      </w:tr>
      <w:tr>
        <w:trPr/>
        <w:tc>
          <w:tcPr>
            <w:tcW w:w="1370" w:type="dxa"/>
            <w:tcBorders/>
            <w:shd w:fill="auto" w:val="clear"/>
            <w:vAlign w:val="center"/>
          </w:tcPr>
          <w:p>
            <w:pPr>
              <w:pStyle w:val="TableContents"/>
              <w:spacing w:before="0" w:after="0"/>
              <w:rPr>
                <w:rFonts w:ascii="arial" w:hAnsi="arial"/>
                <w:sz w:val="18"/>
              </w:rPr>
            </w:pPr>
            <w:r>
              <w:rPr>
                <w:rFonts w:ascii="arial" w:hAnsi="arial"/>
                <w:sz w:val="18"/>
              </w:rPr>
              <w:t>Sanjeev Narula</w:t>
            </w:r>
          </w:p>
        </w:tc>
        <w:tc>
          <w:tcPr>
            <w:tcW w:w="60"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761" w:type="dxa"/>
            <w:tcBorders/>
            <w:shd w:fill="auto" w:val="clear"/>
            <w:vAlign w:val="center"/>
          </w:tcPr>
          <w:p>
            <w:pPr>
              <w:pStyle w:val="TableContents"/>
              <w:spacing w:before="0" w:after="283"/>
              <w:jc w:val="right"/>
              <w:rPr/>
            </w:pPr>
            <w:r>
              <w:rPr/>
              <w:t>—</w:t>
            </w:r>
          </w:p>
        </w:tc>
        <w:tc>
          <w:tcPr>
            <w:tcW w:w="124"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172" w:type="dxa"/>
            <w:tcBorders/>
            <w:shd w:fill="auto" w:val="clear"/>
            <w:vAlign w:val="center"/>
          </w:tcPr>
          <w:p>
            <w:pPr>
              <w:pStyle w:val="TableContents"/>
              <w:spacing w:before="0" w:after="283"/>
              <w:rPr/>
            </w:pPr>
            <w:r>
              <w:rPr/>
              <w:t> </w:t>
            </w:r>
          </w:p>
        </w:tc>
        <w:tc>
          <w:tcPr>
            <w:tcW w:w="763"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sz w:val="4"/>
                <w:szCs w:val="4"/>
              </w:rPr>
            </w:pPr>
            <w:r>
              <w:rPr>
                <w:sz w:val="4"/>
                <w:szCs w:val="4"/>
              </w:rPr>
            </w:r>
          </w:p>
        </w:tc>
        <w:tc>
          <w:tcPr>
            <w:tcW w:w="60" w:type="dxa"/>
            <w:tcBorders/>
            <w:shd w:fill="FFFFFF" w:val="clear"/>
            <w:vAlign w:val="center"/>
          </w:tcPr>
          <w:p>
            <w:pPr>
              <w:pStyle w:val="TableContents"/>
              <w:spacing w:before="0" w:after="283"/>
              <w:rPr>
                <w:sz w:val="4"/>
                <w:szCs w:val="4"/>
              </w:rPr>
            </w:pPr>
            <w:r>
              <w:rPr>
                <w:sz w:val="4"/>
                <w:szCs w:val="4"/>
              </w:rPr>
            </w:r>
          </w:p>
        </w:tc>
        <w:tc>
          <w:tcPr>
            <w:tcW w:w="60" w:type="dxa"/>
            <w:tcBorders/>
            <w:shd w:fill="FFFFFF"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814" w:type="dxa"/>
            <w:tcBorders/>
            <w:shd w:fill="auto" w:val="clear"/>
            <w:vAlign w:val="center"/>
          </w:tcPr>
          <w:p>
            <w:pPr>
              <w:pStyle w:val="TableContents"/>
              <w:spacing w:before="0" w:after="283"/>
              <w:jc w:val="right"/>
              <w:rPr/>
            </w:pPr>
            <w:r>
              <w:rPr/>
              <w:t>26,751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280,350</w:t>
            </w:r>
          </w:p>
        </w:tc>
        <w:tc>
          <w:tcPr>
            <w:tcW w:w="75" w:type="dxa"/>
            <w:tcBorders/>
            <w:shd w:fill="auto" w:val="clear"/>
            <w:vAlign w:val="center"/>
          </w:tcPr>
          <w:p>
            <w:pPr>
              <w:pStyle w:val="TableContents"/>
              <w:spacing w:before="0" w:after="283"/>
              <w:rPr/>
            </w:pPr>
            <w:r>
              <w:rPr/>
              <w:t> </w:t>
            </w:r>
          </w:p>
        </w:tc>
      </w:tr>
      <w:tr>
        <w:trPr/>
        <w:tc>
          <w:tcPr>
            <w:tcW w:w="1370" w:type="dxa"/>
            <w:tcBorders/>
            <w:shd w:fill="EAEAEA" w:val="clear"/>
            <w:vAlign w:val="center"/>
          </w:tcPr>
          <w:p>
            <w:pPr>
              <w:pStyle w:val="TableContents"/>
              <w:spacing w:before="0" w:after="0"/>
              <w:rPr>
                <w:rFonts w:ascii="arial" w:hAnsi="arial"/>
                <w:sz w:val="18"/>
              </w:rPr>
            </w:pPr>
            <w:r>
              <w:rPr>
                <w:rFonts w:ascii="arial" w:hAnsi="arial"/>
                <w:sz w:val="18"/>
              </w:rPr>
              <w:t>Rajiv Malik</w:t>
            </w:r>
          </w:p>
        </w:tc>
        <w:tc>
          <w:tcPr>
            <w:tcW w:w="60" w:type="dxa"/>
            <w:tcBorders/>
            <w:shd w:fill="EAEAEA" w:val="clear"/>
            <w:vAlign w:val="center"/>
          </w:tcPr>
          <w:p>
            <w:pPr>
              <w:pStyle w:val="TableContents"/>
              <w:spacing w:before="0" w:after="283"/>
              <w:rPr/>
            </w:pPr>
            <w:r>
              <w:rPr/>
              <w:t> </w:t>
            </w:r>
          </w:p>
        </w:tc>
        <w:tc>
          <w:tcPr>
            <w:tcW w:w="174" w:type="dxa"/>
            <w:tcBorders/>
            <w:shd w:fill="EAEAEA" w:val="clear"/>
            <w:vAlign w:val="center"/>
          </w:tcPr>
          <w:p>
            <w:pPr>
              <w:pStyle w:val="TableContents"/>
              <w:spacing w:before="0" w:after="283"/>
              <w:rPr/>
            </w:pPr>
            <w:r>
              <w:rPr/>
              <w:t> </w:t>
            </w:r>
          </w:p>
        </w:tc>
        <w:tc>
          <w:tcPr>
            <w:tcW w:w="761" w:type="dxa"/>
            <w:tcBorders/>
            <w:shd w:fill="EAEAEA" w:val="clear"/>
            <w:vAlign w:val="center"/>
          </w:tcPr>
          <w:p>
            <w:pPr>
              <w:pStyle w:val="TableContents"/>
              <w:spacing w:before="0" w:after="283"/>
              <w:jc w:val="right"/>
              <w:rPr/>
            </w:pPr>
            <w:r>
              <w:rPr/>
              <w:t>—</w:t>
            </w:r>
          </w:p>
        </w:tc>
        <w:tc>
          <w:tcPr>
            <w:tcW w:w="124" w:type="dxa"/>
            <w:tcBorders/>
            <w:shd w:fill="EAEAEA" w:val="clear"/>
            <w:vAlign w:val="center"/>
          </w:tcPr>
          <w:p>
            <w:pPr>
              <w:pStyle w:val="TableContents"/>
              <w:spacing w:before="0" w:after="283"/>
              <w:rPr/>
            </w:pPr>
            <w:r>
              <w:rPr/>
              <w:t> </w:t>
            </w:r>
          </w:p>
        </w:tc>
        <w:tc>
          <w:tcPr>
            <w:tcW w:w="124" w:type="dxa"/>
            <w:tcBorders/>
            <w:shd w:fill="EAEAEA" w:val="clear"/>
            <w:vAlign w:val="center"/>
          </w:tcPr>
          <w:p>
            <w:pPr>
              <w:pStyle w:val="TableContents"/>
              <w:spacing w:before="0" w:after="283"/>
              <w:rPr/>
            </w:pPr>
            <w:r>
              <w:rPr/>
              <w:t> </w:t>
            </w:r>
          </w:p>
        </w:tc>
        <w:tc>
          <w:tcPr>
            <w:tcW w:w="172" w:type="dxa"/>
            <w:tcBorders/>
            <w:shd w:fill="EAEAEA" w:val="clear"/>
            <w:vAlign w:val="center"/>
          </w:tcPr>
          <w:p>
            <w:pPr>
              <w:pStyle w:val="TableContents"/>
              <w:spacing w:before="0" w:after="283"/>
              <w:rPr/>
            </w:pPr>
            <w:r>
              <w:rPr/>
              <w:t> </w:t>
            </w:r>
          </w:p>
        </w:tc>
        <w:tc>
          <w:tcPr>
            <w:tcW w:w="763" w:type="dxa"/>
            <w:tcBorders/>
            <w:shd w:fill="EAEAEA" w:val="clear"/>
            <w:vAlign w:val="center"/>
          </w:tcPr>
          <w:p>
            <w:pPr>
              <w:pStyle w:val="TableContents"/>
              <w:spacing w:before="0" w:after="283"/>
              <w:jc w:val="right"/>
              <w:rPr/>
            </w:pPr>
            <w:r>
              <w:rPr/>
              <w:t>—</w:t>
            </w:r>
          </w:p>
        </w:tc>
        <w:tc>
          <w:tcPr>
            <w:tcW w:w="60" w:type="dxa"/>
            <w:tcBorders/>
            <w:shd w:fill="EAEAEA"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sz w:val="4"/>
                <w:szCs w:val="4"/>
              </w:rPr>
            </w:pPr>
            <w:r>
              <w:rPr>
                <w:sz w:val="4"/>
                <w:szCs w:val="4"/>
              </w:rPr>
            </w:r>
          </w:p>
        </w:tc>
        <w:tc>
          <w:tcPr>
            <w:tcW w:w="60" w:type="dxa"/>
            <w:tcBorders/>
            <w:shd w:fill="FFFFFF" w:val="clear"/>
            <w:vAlign w:val="center"/>
          </w:tcPr>
          <w:p>
            <w:pPr>
              <w:pStyle w:val="TableContents"/>
              <w:spacing w:before="0" w:after="283"/>
              <w:rPr>
                <w:sz w:val="4"/>
                <w:szCs w:val="4"/>
              </w:rPr>
            </w:pPr>
            <w:r>
              <w:rPr>
                <w:sz w:val="4"/>
                <w:szCs w:val="4"/>
              </w:rPr>
            </w:r>
          </w:p>
        </w:tc>
        <w:tc>
          <w:tcPr>
            <w:tcW w:w="60" w:type="dxa"/>
            <w:tcBorders/>
            <w:shd w:fill="FFFFFF" w:val="clear"/>
            <w:vAlign w:val="center"/>
          </w:tcPr>
          <w:p>
            <w:pPr>
              <w:pStyle w:val="TableContents"/>
              <w:spacing w:before="0" w:after="283"/>
              <w:rPr>
                <w:sz w:val="4"/>
                <w:szCs w:val="4"/>
              </w:rPr>
            </w:pPr>
            <w:r>
              <w:rPr>
                <w:sz w:val="4"/>
                <w:szCs w:val="4"/>
              </w:rPr>
            </w:r>
          </w:p>
        </w:tc>
        <w:tc>
          <w:tcPr>
            <w:tcW w:w="60" w:type="dxa"/>
            <w:tcBorders/>
            <w:shd w:fill="EAEAEA" w:val="clear"/>
            <w:vAlign w:val="center"/>
          </w:tcPr>
          <w:p>
            <w:pPr>
              <w:pStyle w:val="TableContents"/>
              <w:spacing w:before="0" w:after="283"/>
              <w:rPr/>
            </w:pPr>
            <w:r>
              <w:rPr/>
              <w:t> </w:t>
            </w:r>
          </w:p>
        </w:tc>
        <w:tc>
          <w:tcPr>
            <w:tcW w:w="61" w:type="dxa"/>
            <w:tcBorders/>
            <w:shd w:fill="EAEAEA" w:val="clear"/>
            <w:vAlign w:val="center"/>
          </w:tcPr>
          <w:p>
            <w:pPr>
              <w:pStyle w:val="TableContents"/>
              <w:spacing w:before="0" w:after="283"/>
              <w:rPr/>
            </w:pPr>
            <w:r>
              <w:rPr/>
              <w:t> </w:t>
            </w:r>
          </w:p>
        </w:tc>
        <w:tc>
          <w:tcPr>
            <w:tcW w:w="814" w:type="dxa"/>
            <w:tcBorders/>
            <w:shd w:fill="EAEAEA" w:val="clear"/>
            <w:vAlign w:val="center"/>
          </w:tcPr>
          <w:p>
            <w:pPr>
              <w:pStyle w:val="TableContents"/>
              <w:spacing w:before="0" w:after="283"/>
              <w:jc w:val="right"/>
              <w:rPr/>
            </w:pPr>
            <w:r>
              <w:rPr/>
              <w:t>280,617</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60" w:type="dxa"/>
            <w:tcBorders/>
            <w:shd w:fill="EAEAEA" w:val="clear"/>
            <w:vAlign w:val="center"/>
          </w:tcPr>
          <w:p>
            <w:pPr>
              <w:pStyle w:val="TableContents"/>
              <w:spacing w:before="0" w:after="283"/>
              <w:rPr/>
            </w:pPr>
            <w:r>
              <w:rPr/>
              <w:t> </w:t>
            </w:r>
          </w:p>
        </w:tc>
        <w:tc>
          <w:tcPr>
            <w:tcW w:w="980" w:type="dxa"/>
            <w:tcBorders/>
            <w:shd w:fill="EAEAEA" w:val="clear"/>
            <w:vAlign w:val="center"/>
          </w:tcPr>
          <w:p>
            <w:pPr>
              <w:pStyle w:val="TableContents"/>
              <w:spacing w:before="0" w:after="283"/>
              <w:jc w:val="right"/>
              <w:rPr/>
            </w:pPr>
            <w:r>
              <w:rPr/>
              <w:t>2,940,866</w:t>
            </w:r>
          </w:p>
        </w:tc>
        <w:tc>
          <w:tcPr>
            <w:tcW w:w="75" w:type="dxa"/>
            <w:tcBorders/>
            <w:shd w:fill="EAEAEA" w:val="clear"/>
            <w:vAlign w:val="center"/>
          </w:tcPr>
          <w:p>
            <w:pPr>
              <w:pStyle w:val="TableContents"/>
              <w:spacing w:before="0" w:after="283"/>
              <w:rPr/>
            </w:pPr>
            <w:r>
              <w:rPr/>
              <w:t> </w:t>
            </w:r>
          </w:p>
        </w:tc>
      </w:tr>
      <w:tr>
        <w:trPr/>
        <w:tc>
          <w:tcPr>
            <w:tcW w:w="1370" w:type="dxa"/>
            <w:tcBorders/>
            <w:shd w:fill="auto" w:val="clear"/>
            <w:vAlign w:val="center"/>
          </w:tcPr>
          <w:p>
            <w:pPr>
              <w:pStyle w:val="TableContents"/>
              <w:spacing w:before="0" w:after="0"/>
              <w:rPr>
                <w:rFonts w:ascii="arial" w:hAnsi="arial"/>
                <w:sz w:val="18"/>
              </w:rPr>
            </w:pPr>
            <w:r>
              <w:rPr>
                <w:rFonts w:ascii="arial" w:hAnsi="arial"/>
                <w:sz w:val="18"/>
              </w:rPr>
              <w:t>Anthony Mauro</w:t>
            </w:r>
          </w:p>
        </w:tc>
        <w:tc>
          <w:tcPr>
            <w:tcW w:w="60" w:type="dxa"/>
            <w:tcBorders/>
            <w:shd w:fill="auto" w:val="clear"/>
            <w:vAlign w:val="center"/>
          </w:tcPr>
          <w:p>
            <w:pPr>
              <w:pStyle w:val="TableContents"/>
              <w:spacing w:before="0" w:after="283"/>
              <w:rPr/>
            </w:pPr>
            <w:r>
              <w:rPr/>
              <w:t> </w:t>
            </w:r>
          </w:p>
        </w:tc>
        <w:tc>
          <w:tcPr>
            <w:tcW w:w="174" w:type="dxa"/>
            <w:tcBorders/>
            <w:shd w:fill="auto" w:val="clear"/>
            <w:vAlign w:val="center"/>
          </w:tcPr>
          <w:p>
            <w:pPr>
              <w:pStyle w:val="TableContents"/>
              <w:spacing w:before="0" w:after="283"/>
              <w:rPr/>
            </w:pPr>
            <w:r>
              <w:rPr/>
              <w:t> </w:t>
            </w:r>
          </w:p>
        </w:tc>
        <w:tc>
          <w:tcPr>
            <w:tcW w:w="761" w:type="dxa"/>
            <w:tcBorders/>
            <w:shd w:fill="auto" w:val="clear"/>
            <w:vAlign w:val="center"/>
          </w:tcPr>
          <w:p>
            <w:pPr>
              <w:pStyle w:val="TableContents"/>
              <w:spacing w:before="0" w:after="283"/>
              <w:jc w:val="right"/>
              <w:rPr/>
            </w:pPr>
            <w:r>
              <w:rPr/>
              <w:t>—</w:t>
            </w:r>
          </w:p>
        </w:tc>
        <w:tc>
          <w:tcPr>
            <w:tcW w:w="124" w:type="dxa"/>
            <w:tcBorders/>
            <w:shd w:fill="auto" w:val="clear"/>
            <w:vAlign w:val="center"/>
          </w:tcPr>
          <w:p>
            <w:pPr>
              <w:pStyle w:val="TableContents"/>
              <w:spacing w:before="0" w:after="283"/>
              <w:rPr/>
            </w:pPr>
            <w:r>
              <w:rPr/>
              <w:t> </w:t>
            </w:r>
          </w:p>
        </w:tc>
        <w:tc>
          <w:tcPr>
            <w:tcW w:w="124" w:type="dxa"/>
            <w:tcBorders/>
            <w:shd w:fill="auto" w:val="clear"/>
            <w:vAlign w:val="center"/>
          </w:tcPr>
          <w:p>
            <w:pPr>
              <w:pStyle w:val="TableContents"/>
              <w:spacing w:before="0" w:after="283"/>
              <w:rPr/>
            </w:pPr>
            <w:r>
              <w:rPr/>
              <w:t> </w:t>
            </w:r>
          </w:p>
        </w:tc>
        <w:tc>
          <w:tcPr>
            <w:tcW w:w="172" w:type="dxa"/>
            <w:tcBorders/>
            <w:shd w:fill="auto" w:val="clear"/>
            <w:vAlign w:val="center"/>
          </w:tcPr>
          <w:p>
            <w:pPr>
              <w:pStyle w:val="TableContents"/>
              <w:spacing w:before="0" w:after="283"/>
              <w:rPr/>
            </w:pPr>
            <w:r>
              <w:rPr/>
              <w:t> </w:t>
            </w:r>
          </w:p>
        </w:tc>
        <w:tc>
          <w:tcPr>
            <w:tcW w:w="763"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sz w:val="4"/>
                <w:szCs w:val="4"/>
              </w:rPr>
            </w:pPr>
            <w:r>
              <w:rPr>
                <w:sz w:val="4"/>
                <w:szCs w:val="4"/>
              </w:rPr>
            </w:r>
          </w:p>
        </w:tc>
        <w:tc>
          <w:tcPr>
            <w:tcW w:w="60" w:type="dxa"/>
            <w:tcBorders/>
            <w:shd w:fill="FFFFFF" w:val="clear"/>
            <w:vAlign w:val="center"/>
          </w:tcPr>
          <w:p>
            <w:pPr>
              <w:pStyle w:val="TableContents"/>
              <w:spacing w:before="0" w:after="283"/>
              <w:rPr>
                <w:sz w:val="4"/>
                <w:szCs w:val="4"/>
              </w:rPr>
            </w:pPr>
            <w:r>
              <w:rPr>
                <w:sz w:val="4"/>
                <w:szCs w:val="4"/>
              </w:rPr>
            </w:r>
          </w:p>
        </w:tc>
        <w:tc>
          <w:tcPr>
            <w:tcW w:w="60" w:type="dxa"/>
            <w:tcBorders/>
            <w:shd w:fill="FFFFFF"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814" w:type="dxa"/>
            <w:tcBorders/>
            <w:shd w:fill="auto" w:val="clear"/>
            <w:vAlign w:val="center"/>
          </w:tcPr>
          <w:p>
            <w:pPr>
              <w:pStyle w:val="TableContents"/>
              <w:spacing w:before="0" w:after="283"/>
              <w:jc w:val="right"/>
              <w:rPr/>
            </w:pPr>
            <w:r>
              <w:rPr/>
              <w:t>128,813</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1,349,960</w:t>
            </w:r>
          </w:p>
        </w:tc>
        <w:tc>
          <w:tcPr>
            <w:tcW w:w="75" w:type="dxa"/>
            <w:tcBorders/>
            <w:shd w:fill="auto" w:val="clear"/>
            <w:vAlign w:val="center"/>
          </w:tcPr>
          <w:p>
            <w:pPr>
              <w:pStyle w:val="TableContents"/>
              <w:spacing w:before="0" w:after="283"/>
              <w:rPr/>
            </w:pPr>
            <w:r>
              <w:rPr/>
              <w:t> </w:t>
            </w:r>
          </w:p>
        </w:tc>
      </w:tr>
      <w:tr>
        <w:trPr/>
        <w:tc>
          <w:tcPr>
            <w:tcW w:w="1370" w:type="dxa"/>
            <w:tcBorders>
              <w:bottom w:val="single" w:sz="6" w:space="0" w:color="732282"/>
            </w:tcBorders>
            <w:shd w:fill="EAEAEA" w:val="clear"/>
            <w:tcMar>
              <w:bottom w:w="28" w:type="dxa"/>
            </w:tcMar>
            <w:vAlign w:val="center"/>
          </w:tcPr>
          <w:p>
            <w:pPr>
              <w:pStyle w:val="TableContents"/>
              <w:spacing w:before="0" w:after="0"/>
              <w:rPr>
                <w:rFonts w:ascii="arial" w:hAnsi="arial"/>
                <w:sz w:val="18"/>
              </w:rPr>
            </w:pPr>
            <w:r>
              <w:rPr>
                <w:rFonts w:ascii="arial" w:hAnsi="arial"/>
                <w:sz w:val="18"/>
              </w:rPr>
              <w:t>Robert J. Coury</w:t>
            </w:r>
          </w:p>
        </w:tc>
        <w:tc>
          <w:tcPr>
            <w:tcW w:w="60" w:type="dxa"/>
            <w:tcBorders>
              <w:bottom w:val="single" w:sz="6" w:space="0" w:color="732282"/>
            </w:tcBorders>
            <w:shd w:fill="EAEAEA" w:val="clear"/>
            <w:tcMar>
              <w:bottom w:w="28" w:type="dxa"/>
            </w:tcMar>
            <w:vAlign w:val="center"/>
          </w:tcPr>
          <w:p>
            <w:pPr>
              <w:pStyle w:val="TableContents"/>
              <w:spacing w:before="0" w:after="283"/>
              <w:rPr/>
            </w:pPr>
            <w:r>
              <w:rPr/>
              <w:t> </w:t>
            </w:r>
          </w:p>
        </w:tc>
        <w:tc>
          <w:tcPr>
            <w:tcW w:w="174" w:type="dxa"/>
            <w:tcBorders>
              <w:bottom w:val="single" w:sz="6" w:space="0" w:color="732282"/>
            </w:tcBorders>
            <w:shd w:fill="EAEAEA" w:val="clear"/>
            <w:tcMar>
              <w:bottom w:w="28" w:type="dxa"/>
            </w:tcMar>
            <w:vAlign w:val="center"/>
          </w:tcPr>
          <w:p>
            <w:pPr>
              <w:pStyle w:val="TableContents"/>
              <w:spacing w:before="0" w:after="283"/>
              <w:rPr/>
            </w:pPr>
            <w:r>
              <w:rPr/>
              <w:t> </w:t>
            </w:r>
          </w:p>
        </w:tc>
        <w:tc>
          <w:tcPr>
            <w:tcW w:w="761" w:type="dxa"/>
            <w:tcBorders>
              <w:bottom w:val="single" w:sz="6" w:space="0" w:color="732282"/>
            </w:tcBorders>
            <w:shd w:fill="EAEAEA" w:val="clear"/>
            <w:tcMar>
              <w:bottom w:w="28" w:type="dxa"/>
            </w:tcMar>
            <w:vAlign w:val="center"/>
          </w:tcPr>
          <w:p>
            <w:pPr>
              <w:pStyle w:val="TableContents"/>
              <w:spacing w:before="0" w:after="283"/>
              <w:jc w:val="right"/>
              <w:rPr/>
            </w:pPr>
            <w:r>
              <w:rPr/>
              <w:t>—</w:t>
            </w:r>
          </w:p>
        </w:tc>
        <w:tc>
          <w:tcPr>
            <w:tcW w:w="124" w:type="dxa"/>
            <w:tcBorders>
              <w:bottom w:val="single" w:sz="6" w:space="0" w:color="732282"/>
            </w:tcBorders>
            <w:shd w:fill="EAEAEA" w:val="clear"/>
            <w:tcMar>
              <w:bottom w:w="28" w:type="dxa"/>
            </w:tcMar>
            <w:vAlign w:val="center"/>
          </w:tcPr>
          <w:p>
            <w:pPr>
              <w:pStyle w:val="TableContents"/>
              <w:spacing w:before="0" w:after="283"/>
              <w:rPr/>
            </w:pPr>
            <w:r>
              <w:rPr/>
              <w:t> </w:t>
            </w:r>
          </w:p>
        </w:tc>
        <w:tc>
          <w:tcPr>
            <w:tcW w:w="124" w:type="dxa"/>
            <w:tcBorders>
              <w:bottom w:val="single" w:sz="6" w:space="0" w:color="732282"/>
            </w:tcBorders>
            <w:shd w:fill="EAEAEA" w:val="clear"/>
            <w:tcMar>
              <w:bottom w:w="28" w:type="dxa"/>
            </w:tcMar>
            <w:vAlign w:val="center"/>
          </w:tcPr>
          <w:p>
            <w:pPr>
              <w:pStyle w:val="TableContents"/>
              <w:spacing w:before="0" w:after="283"/>
              <w:rPr/>
            </w:pPr>
            <w:r>
              <w:rPr/>
              <w:t> </w:t>
            </w:r>
          </w:p>
        </w:tc>
        <w:tc>
          <w:tcPr>
            <w:tcW w:w="172" w:type="dxa"/>
            <w:tcBorders>
              <w:bottom w:val="single" w:sz="6" w:space="0" w:color="732282"/>
            </w:tcBorders>
            <w:shd w:fill="EAEAEA" w:val="clear"/>
            <w:tcMar>
              <w:bottom w:w="28" w:type="dxa"/>
            </w:tcMar>
            <w:vAlign w:val="center"/>
          </w:tcPr>
          <w:p>
            <w:pPr>
              <w:pStyle w:val="TableContents"/>
              <w:spacing w:before="0" w:after="283"/>
              <w:rPr/>
            </w:pPr>
            <w:r>
              <w:rPr/>
              <w:t> </w:t>
            </w:r>
          </w:p>
        </w:tc>
        <w:tc>
          <w:tcPr>
            <w:tcW w:w="763" w:type="dxa"/>
            <w:tcBorders>
              <w:bottom w:val="single" w:sz="6" w:space="0" w:color="732282"/>
            </w:tcBorders>
            <w:shd w:fill="EAEAEA" w:val="clear"/>
            <w:tcMar>
              <w:bottom w:w="28" w:type="dxa"/>
            </w:tcMar>
            <w:vAlign w:val="center"/>
          </w:tcPr>
          <w:p>
            <w:pPr>
              <w:pStyle w:val="TableContents"/>
              <w:spacing w:before="0" w:after="283"/>
              <w:jc w:val="right"/>
              <w:rPr/>
            </w:pPr>
            <w:r>
              <w:rPr/>
              <w:t>—</w:t>
            </w:r>
          </w:p>
        </w:tc>
        <w:tc>
          <w:tcPr>
            <w:tcW w:w="60" w:type="dxa"/>
            <w:tcBorders>
              <w:bottom w:val="single" w:sz="6" w:space="0" w:color="732282"/>
            </w:tcBorders>
            <w:shd w:fill="EAEAEA" w:val="clear"/>
            <w:tcMar>
              <w:bottom w:w="28" w:type="dxa"/>
            </w:tcMar>
            <w:vAlign w:val="center"/>
          </w:tcPr>
          <w:p>
            <w:pPr>
              <w:pStyle w:val="TableContents"/>
              <w:spacing w:before="0" w:after="283"/>
              <w:rPr/>
            </w:pPr>
            <w:r>
              <w:rPr/>
              <w:t> </w:t>
            </w:r>
          </w:p>
        </w:tc>
        <w:tc>
          <w:tcPr>
            <w:tcW w:w="120" w:type="dxa"/>
            <w:tcBorders>
              <w:bottom w:val="single" w:sz="6" w:space="0" w:color="732282"/>
            </w:tcBorders>
            <w:shd w:fill="FFFFFF" w:val="clear"/>
            <w:tcMar>
              <w:bottom w:w="28" w:type="dxa"/>
            </w:tcMar>
            <w:vAlign w:val="center"/>
          </w:tcPr>
          <w:p>
            <w:pPr>
              <w:pStyle w:val="TableContents"/>
              <w:spacing w:before="0" w:after="283"/>
              <w:rPr/>
            </w:pPr>
            <w:r>
              <w:rPr/>
              <w:t>  </w:t>
            </w:r>
          </w:p>
        </w:tc>
        <w:tc>
          <w:tcPr>
            <w:tcW w:w="60" w:type="dxa"/>
            <w:tcBorders>
              <w:bottom w:val="single" w:sz="6" w:space="0" w:color="732282"/>
            </w:tcBorders>
            <w:shd w:fill="FFFFFF" w:val="clear"/>
            <w:tcMar>
              <w:bottom w:w="28" w:type="dxa"/>
            </w:tcMar>
            <w:vAlign w:val="center"/>
          </w:tcPr>
          <w:p>
            <w:pPr>
              <w:pStyle w:val="TableContents"/>
              <w:spacing w:before="0" w:after="283"/>
              <w:rPr/>
            </w:pPr>
            <w:r>
              <w:rPr/>
              <w:t> </w:t>
            </w:r>
          </w:p>
        </w:tc>
        <w:tc>
          <w:tcPr>
            <w:tcW w:w="60" w:type="dxa"/>
            <w:tcBorders>
              <w:bottom w:val="single" w:sz="6" w:space="0" w:color="732282"/>
            </w:tcBorders>
            <w:shd w:fill="FFFFFF" w:val="clear"/>
            <w:tcMar>
              <w:bottom w:w="28" w:type="dxa"/>
            </w:tcMar>
            <w:vAlign w:val="center"/>
          </w:tcPr>
          <w:p>
            <w:pPr>
              <w:pStyle w:val="TableContents"/>
              <w:spacing w:before="0" w:after="283"/>
              <w:rPr/>
            </w:pPr>
            <w:r>
              <w:rPr/>
              <w:t> </w:t>
            </w:r>
          </w:p>
        </w:tc>
        <w:tc>
          <w:tcPr>
            <w:tcW w:w="60" w:type="dxa"/>
            <w:tcBorders>
              <w:bottom w:val="single" w:sz="6" w:space="0" w:color="732282"/>
            </w:tcBorders>
            <w:shd w:fill="FFFFFF" w:val="clear"/>
            <w:tcMar>
              <w:bottom w:w="28" w:type="dxa"/>
            </w:tcMar>
            <w:vAlign w:val="center"/>
          </w:tcPr>
          <w:p>
            <w:pPr>
              <w:pStyle w:val="TableContents"/>
              <w:spacing w:before="0" w:after="283"/>
              <w:rPr/>
            </w:pPr>
            <w:r>
              <w:rPr/>
              <w:t> </w:t>
            </w:r>
          </w:p>
        </w:tc>
        <w:tc>
          <w:tcPr>
            <w:tcW w:w="60" w:type="dxa"/>
            <w:tcBorders>
              <w:bottom w:val="single" w:sz="6" w:space="0" w:color="732282"/>
            </w:tcBorders>
            <w:shd w:fill="EAEAEA" w:val="clear"/>
            <w:tcMar>
              <w:bottom w:w="28" w:type="dxa"/>
            </w:tcMar>
            <w:vAlign w:val="center"/>
          </w:tcPr>
          <w:p>
            <w:pPr>
              <w:pStyle w:val="TableContents"/>
              <w:spacing w:before="0" w:after="283"/>
              <w:rPr/>
            </w:pPr>
            <w:r>
              <w:rPr/>
              <w:t> </w:t>
            </w:r>
          </w:p>
        </w:tc>
        <w:tc>
          <w:tcPr>
            <w:tcW w:w="61" w:type="dxa"/>
            <w:tcBorders>
              <w:bottom w:val="single" w:sz="6" w:space="0" w:color="732282"/>
            </w:tcBorders>
            <w:shd w:fill="EAEAEA" w:val="clear"/>
            <w:tcMar>
              <w:bottom w:w="28" w:type="dxa"/>
            </w:tcMar>
            <w:vAlign w:val="center"/>
          </w:tcPr>
          <w:p>
            <w:pPr>
              <w:pStyle w:val="TableContents"/>
              <w:spacing w:before="0" w:after="283"/>
              <w:rPr/>
            </w:pPr>
            <w:r>
              <w:rPr/>
              <w:t> </w:t>
            </w:r>
          </w:p>
        </w:tc>
        <w:tc>
          <w:tcPr>
            <w:tcW w:w="814" w:type="dxa"/>
            <w:tcBorders>
              <w:bottom w:val="single" w:sz="6" w:space="0" w:color="732282"/>
            </w:tcBorders>
            <w:shd w:fill="EAEAEA" w:val="clear"/>
            <w:tcMar>
              <w:bottom w:w="28" w:type="dxa"/>
            </w:tcMar>
            <w:vAlign w:val="center"/>
          </w:tcPr>
          <w:p>
            <w:pPr>
              <w:pStyle w:val="TableContents"/>
              <w:spacing w:before="0" w:after="283"/>
              <w:jc w:val="right"/>
              <w:rPr/>
            </w:pPr>
            <w:r>
              <w:rPr/>
              <w:t>103,179</w:t>
            </w:r>
          </w:p>
        </w:tc>
        <w:tc>
          <w:tcPr>
            <w:tcW w:w="60" w:type="dxa"/>
            <w:tcBorders>
              <w:bottom w:val="single" w:sz="6" w:space="0" w:color="732282"/>
            </w:tcBorders>
            <w:shd w:fill="EAEAEA" w:val="clear"/>
            <w:tcMar>
              <w:bottom w:w="28" w:type="dxa"/>
            </w:tcMar>
            <w:vAlign w:val="center"/>
          </w:tcPr>
          <w:p>
            <w:pPr>
              <w:pStyle w:val="TableContents"/>
              <w:spacing w:before="0" w:after="283"/>
              <w:rPr/>
            </w:pPr>
            <w:r>
              <w:rPr/>
              <w:t> </w:t>
            </w:r>
          </w:p>
        </w:tc>
        <w:tc>
          <w:tcPr>
            <w:tcW w:w="60" w:type="dxa"/>
            <w:tcBorders>
              <w:bottom w:val="single" w:sz="6" w:space="0" w:color="732282"/>
            </w:tcBorders>
            <w:shd w:fill="EAEAEA" w:val="clear"/>
            <w:tcMar>
              <w:bottom w:w="28" w:type="dxa"/>
            </w:tcMar>
            <w:vAlign w:val="center"/>
          </w:tcPr>
          <w:p>
            <w:pPr>
              <w:pStyle w:val="TableContents"/>
              <w:spacing w:before="0" w:after="283"/>
              <w:rPr/>
            </w:pPr>
            <w:r>
              <w:rPr/>
              <w:t> </w:t>
            </w:r>
          </w:p>
        </w:tc>
        <w:tc>
          <w:tcPr>
            <w:tcW w:w="60" w:type="dxa"/>
            <w:tcBorders>
              <w:bottom w:val="single" w:sz="6" w:space="0" w:color="732282"/>
            </w:tcBorders>
            <w:shd w:fill="EAEAEA" w:val="clear"/>
            <w:tcMar>
              <w:bottom w:w="28" w:type="dxa"/>
            </w:tcMar>
            <w:vAlign w:val="center"/>
          </w:tcPr>
          <w:p>
            <w:pPr>
              <w:pStyle w:val="TableContents"/>
              <w:spacing w:before="0" w:after="283"/>
              <w:rPr/>
            </w:pPr>
            <w:r>
              <w:rPr/>
              <w:t> </w:t>
            </w:r>
          </w:p>
        </w:tc>
        <w:tc>
          <w:tcPr>
            <w:tcW w:w="980" w:type="dxa"/>
            <w:tcBorders>
              <w:bottom w:val="single" w:sz="6" w:space="0" w:color="732282"/>
            </w:tcBorders>
            <w:shd w:fill="EAEAEA" w:val="clear"/>
            <w:tcMar>
              <w:bottom w:w="28" w:type="dxa"/>
            </w:tcMar>
            <w:vAlign w:val="center"/>
          </w:tcPr>
          <w:p>
            <w:pPr>
              <w:pStyle w:val="TableContents"/>
              <w:spacing w:before="0" w:after="283"/>
              <w:jc w:val="right"/>
              <w:rPr/>
            </w:pPr>
            <w:r>
              <w:rPr/>
              <w:t>1,081,316</w:t>
            </w:r>
          </w:p>
        </w:tc>
        <w:tc>
          <w:tcPr>
            <w:tcW w:w="75" w:type="dxa"/>
            <w:tcBorders>
              <w:bottom w:val="single" w:sz="6" w:space="0" w:color="732282"/>
            </w:tcBorders>
            <w:shd w:fill="EAEAEA" w:val="clear"/>
            <w:tcMar>
              <w:bottom w:w="28" w:type="dxa"/>
            </w:tcMar>
            <w:vAlign w:val="center"/>
          </w:tcPr>
          <w:p>
            <w:pPr>
              <w:pStyle w:val="TableContents"/>
              <w:spacing w:before="0" w:after="283"/>
              <w:rPr/>
            </w:pPr>
            <w:r>
              <w:rPr/>
              <w:t> </w:t>
            </w:r>
          </w:p>
        </w:tc>
      </w:tr>
    </w:tbl>
    <w:p>
      <w:pPr>
        <w:pStyle w:val="TextBody"/>
        <w:spacing w:before="240" w:after="0"/>
        <w:jc w:val="left"/>
        <w:rPr>
          <w:rFonts w:ascii="arial" w:hAnsi="arial"/>
          <w:b/>
          <w:color w:val="732282"/>
          <w:sz w:val="20"/>
        </w:rPr>
      </w:pPr>
      <w:r>
        <w:rPr>
          <w:rFonts w:ascii="arial" w:hAnsi="arial"/>
          <w:b/>
          <w:color w:val="732282"/>
          <w:sz w:val="20"/>
        </w:rPr>
        <w:t xml:space="preserve">Pension Benefits for 2022 </w:t>
      </w:r>
    </w:p>
    <w:p>
      <w:pPr>
        <w:pStyle w:val="TextBody"/>
        <w:spacing w:before="120" w:after="0"/>
        <w:jc w:val="both"/>
        <w:rPr>
          <w:rFonts w:ascii="arial" w:hAnsi="arial"/>
          <w:sz w:val="18"/>
        </w:rPr>
      </w:pPr>
      <w:r>
        <w:rPr>
          <w:rFonts w:ascii="arial" w:hAnsi="arial"/>
          <w:sz w:val="18"/>
        </w:rPr>
        <w:t xml:space="preserve">The following table summarizes Mr. Malik’s benefits as of December 31, 2022 under The Executive Plan for Rajiv Malik (the “Executive Plan”) and Mr. Malik’s Retirement Benefit Agreement (the “Malik RBA”). The Malik RBA was frozen in November 2020. Mr. Malik will not accrue any additional benefits pursuant to the agreement. The Executive Plan is a deferred compensation plan to which the Company no longer contributes, though the value of the benefit may change depending on the performance of investments. The Company does not sponsor any other defined benefit pension programs covering the NEOs. </w:t>
      </w:r>
    </w:p>
    <w:p>
      <w:pPr>
        <w:pStyle w:val="TextBody"/>
        <w:spacing w:before="0" w:after="0"/>
        <w:jc w:val="left"/>
        <w:rPr/>
      </w:pPr>
      <w:r>
        <w:rPr/>
        <w:t> </w:t>
      </w:r>
    </w:p>
    <w:tbl>
      <w:tblPr>
        <w:tblW w:w="8440" w:type="dxa"/>
        <w:jc w:val="left"/>
        <w:tblInd w:w="0" w:type="dxa"/>
        <w:tblCellMar>
          <w:top w:w="0" w:type="dxa"/>
          <w:left w:w="0" w:type="dxa"/>
          <w:bottom w:w="0" w:type="dxa"/>
          <w:right w:w="0" w:type="dxa"/>
        </w:tblCellMar>
      </w:tblPr>
      <w:tblGrid>
        <w:gridCol w:w="1370"/>
        <w:gridCol w:w="120"/>
        <w:gridCol w:w="3665"/>
        <w:gridCol w:w="120"/>
        <w:gridCol w:w="161"/>
        <w:gridCol w:w="699"/>
        <w:gridCol w:w="60"/>
        <w:gridCol w:w="120"/>
        <w:gridCol w:w="61"/>
        <w:gridCol w:w="1009"/>
        <w:gridCol w:w="60"/>
        <w:gridCol w:w="120"/>
        <w:gridCol w:w="150"/>
        <w:gridCol w:w="650"/>
        <w:gridCol w:w="75"/>
      </w:tblGrid>
      <w:tr>
        <w:trPr/>
        <w:tc>
          <w:tcPr>
            <w:tcW w:w="13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66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69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sz w:val="4"/>
                <w:szCs w:val="4"/>
              </w:rPr>
            </w:pPr>
            <w:r>
              <w:rPr>
                <w:sz w:val="4"/>
                <w:szCs w:val="4"/>
              </w:rPr>
            </w:r>
          </w:p>
        </w:tc>
        <w:tc>
          <w:tcPr>
            <w:tcW w:w="100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65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370" w:type="dxa"/>
            <w:tcBorders/>
            <w:shd w:fill="444444" w:val="clear"/>
            <w:vAlign w:val="center"/>
          </w:tcPr>
          <w:p>
            <w:pPr>
              <w:pStyle w:val="TableContents"/>
              <w:spacing w:before="0" w:after="283"/>
              <w:rPr>
                <w:b/>
                <w:color w:val="FFFFFF"/>
              </w:rPr>
            </w:pPr>
            <w:r>
              <w:rPr>
                <w:b/>
                <w:color w:val="FFFFFF"/>
              </w:rPr>
              <w:t>Name</w:t>
            </w:r>
          </w:p>
        </w:tc>
        <w:tc>
          <w:tcPr>
            <w:tcW w:w="120" w:type="dxa"/>
            <w:tcBorders/>
            <w:shd w:fill="444444" w:val="clear"/>
            <w:vAlign w:val="center"/>
          </w:tcPr>
          <w:p>
            <w:pPr>
              <w:pStyle w:val="TableContents"/>
              <w:spacing w:before="0" w:after="283"/>
              <w:rPr/>
            </w:pPr>
            <w:r>
              <w:rPr/>
              <w:t>  </w:t>
            </w:r>
          </w:p>
        </w:tc>
        <w:tc>
          <w:tcPr>
            <w:tcW w:w="3665" w:type="dxa"/>
            <w:tcBorders/>
            <w:shd w:fill="444444" w:val="clear"/>
            <w:vAlign w:val="center"/>
          </w:tcPr>
          <w:p>
            <w:pPr>
              <w:pStyle w:val="TableContents"/>
              <w:spacing w:before="0" w:after="283"/>
              <w:jc w:val="right"/>
              <w:rPr>
                <w:b/>
                <w:color w:val="FFFFFF"/>
              </w:rPr>
            </w:pPr>
            <w:r>
              <w:rPr>
                <w:b/>
                <w:color w:val="FFFFFF"/>
              </w:rPr>
              <w:t>Plan Name(1)</w:t>
            </w:r>
          </w:p>
        </w:tc>
        <w:tc>
          <w:tcPr>
            <w:tcW w:w="120" w:type="dxa"/>
            <w:tcBorders/>
            <w:shd w:fill="444444" w:val="clear"/>
            <w:vAlign w:val="center"/>
          </w:tcPr>
          <w:p>
            <w:pPr>
              <w:pStyle w:val="TableContents"/>
              <w:spacing w:before="0" w:after="283"/>
              <w:rPr/>
            </w:pPr>
            <w:r>
              <w:rPr/>
              <w:t>  </w:t>
            </w:r>
          </w:p>
        </w:tc>
        <w:tc>
          <w:tcPr>
            <w:tcW w:w="860" w:type="dxa"/>
            <w:gridSpan w:val="2"/>
            <w:tcBorders/>
            <w:shd w:fill="444444" w:val="clear"/>
            <w:vAlign w:val="center"/>
          </w:tcPr>
          <w:p>
            <w:pPr>
              <w:pStyle w:val="TableContents"/>
              <w:spacing w:before="0" w:after="0"/>
              <w:jc w:val="right"/>
              <w:rPr>
                <w:rFonts w:ascii="arial" w:hAnsi="arial"/>
                <w:b/>
                <w:color w:val="FFFFFF"/>
                <w:sz w:val="16"/>
              </w:rPr>
            </w:pPr>
            <w:r>
              <w:rPr>
                <w:rFonts w:ascii="arial" w:hAnsi="arial"/>
                <w:b/>
                <w:color w:val="FFFFFF"/>
                <w:sz w:val="16"/>
              </w:rPr>
              <w:t>Number of</w:t>
            </w:r>
          </w:p>
          <w:p>
            <w:pPr>
              <w:pStyle w:val="TableContents"/>
              <w:spacing w:before="0" w:after="0"/>
              <w:jc w:val="right"/>
              <w:rPr>
                <w:rFonts w:ascii="arial" w:hAnsi="arial"/>
                <w:b/>
                <w:color w:val="FFFFFF"/>
                <w:sz w:val="16"/>
              </w:rPr>
            </w:pPr>
            <w:r>
              <w:rPr>
                <w:rFonts w:ascii="arial" w:hAnsi="arial"/>
                <w:b/>
                <w:color w:val="FFFFFF"/>
                <w:sz w:val="16"/>
              </w:rPr>
              <w:t>Years of</w:t>
            </w:r>
          </w:p>
          <w:p>
            <w:pPr>
              <w:pStyle w:val="TableContents"/>
              <w:spacing w:before="0" w:after="0"/>
              <w:jc w:val="right"/>
              <w:rPr>
                <w:rFonts w:ascii="arial" w:hAnsi="arial"/>
                <w:b/>
                <w:color w:val="FFFFFF"/>
                <w:sz w:val="16"/>
              </w:rPr>
            </w:pPr>
            <w:r>
              <w:rPr>
                <w:rFonts w:ascii="arial" w:hAnsi="arial"/>
                <w:b/>
                <w:color w:val="FFFFFF"/>
                <w:sz w:val="16"/>
              </w:rPr>
              <w:t>Credited</w:t>
            </w:r>
          </w:p>
          <w:p>
            <w:pPr>
              <w:pStyle w:val="TableContents"/>
              <w:spacing w:before="0" w:after="20"/>
              <w:jc w:val="right"/>
              <w:rPr>
                <w:rFonts w:ascii="arial" w:hAnsi="arial"/>
                <w:b/>
                <w:color w:val="FFFFFF"/>
                <w:sz w:val="16"/>
              </w:rPr>
            </w:pPr>
            <w:r>
              <w:rPr>
                <w:rFonts w:ascii="arial" w:hAnsi="arial"/>
                <w:b/>
                <w:color w:val="FFFFFF"/>
                <w:sz w:val="16"/>
              </w:rPr>
              <w:t>Service (#)</w:t>
            </w:r>
          </w:p>
        </w:tc>
        <w:tc>
          <w:tcPr>
            <w:tcW w:w="60" w:type="dxa"/>
            <w:tcBorders/>
            <w:shd w:fill="444444" w:val="clear"/>
            <w:vAlign w:val="center"/>
          </w:tcPr>
          <w:p>
            <w:pPr>
              <w:pStyle w:val="TableContents"/>
              <w:spacing w:before="0" w:after="283"/>
              <w:rPr/>
            </w:pPr>
            <w:r>
              <w:rPr/>
              <w:t> </w:t>
            </w:r>
          </w:p>
        </w:tc>
        <w:tc>
          <w:tcPr>
            <w:tcW w:w="120" w:type="dxa"/>
            <w:tcBorders/>
            <w:shd w:fill="444444" w:val="clear"/>
            <w:vAlign w:val="center"/>
          </w:tcPr>
          <w:p>
            <w:pPr>
              <w:pStyle w:val="TableContents"/>
              <w:spacing w:before="0" w:after="283"/>
              <w:rPr/>
            </w:pPr>
            <w:r>
              <w:rPr/>
              <w:t>  </w:t>
            </w:r>
          </w:p>
        </w:tc>
        <w:tc>
          <w:tcPr>
            <w:tcW w:w="1070" w:type="dxa"/>
            <w:gridSpan w:val="2"/>
            <w:tcBorders/>
            <w:shd w:fill="444444" w:val="clear"/>
            <w:vAlign w:val="center"/>
          </w:tcPr>
          <w:p>
            <w:pPr>
              <w:pStyle w:val="TableContents"/>
              <w:spacing w:before="0" w:after="0"/>
              <w:jc w:val="right"/>
              <w:rPr>
                <w:rFonts w:ascii="arial" w:hAnsi="arial"/>
                <w:b/>
                <w:color w:val="FFFFFF"/>
                <w:sz w:val="16"/>
              </w:rPr>
            </w:pPr>
            <w:r>
              <w:rPr>
                <w:rFonts w:ascii="arial" w:hAnsi="arial"/>
                <w:b/>
                <w:color w:val="FFFFFF"/>
                <w:sz w:val="16"/>
              </w:rPr>
              <w:t>Present</w:t>
            </w:r>
          </w:p>
          <w:p>
            <w:pPr>
              <w:pStyle w:val="TableContents"/>
              <w:spacing w:before="0" w:after="0"/>
              <w:jc w:val="right"/>
              <w:rPr>
                <w:rFonts w:ascii="arial" w:hAnsi="arial"/>
                <w:b/>
                <w:color w:val="FFFFFF"/>
                <w:sz w:val="16"/>
              </w:rPr>
            </w:pPr>
            <w:r>
              <w:rPr>
                <w:rFonts w:ascii="arial" w:hAnsi="arial"/>
                <w:b/>
                <w:color w:val="FFFFFF"/>
                <w:sz w:val="16"/>
              </w:rPr>
              <w:t>Value of</w:t>
            </w:r>
          </w:p>
          <w:p>
            <w:pPr>
              <w:pStyle w:val="TableContents"/>
              <w:spacing w:before="0" w:after="0"/>
              <w:jc w:val="right"/>
              <w:rPr>
                <w:rFonts w:ascii="arial" w:hAnsi="arial"/>
                <w:b/>
                <w:color w:val="FFFFFF"/>
                <w:sz w:val="16"/>
              </w:rPr>
            </w:pPr>
            <w:r>
              <w:rPr>
                <w:rFonts w:ascii="arial" w:hAnsi="arial"/>
                <w:b/>
                <w:color w:val="FFFFFF"/>
                <w:sz w:val="16"/>
              </w:rPr>
              <w:t>Accumulated</w:t>
            </w:r>
          </w:p>
          <w:p>
            <w:pPr>
              <w:pStyle w:val="TableContents"/>
              <w:spacing w:before="0" w:after="20"/>
              <w:jc w:val="right"/>
              <w:rPr>
                <w:rFonts w:ascii="arial" w:hAnsi="arial"/>
                <w:b/>
                <w:color w:val="FFFFFF"/>
                <w:sz w:val="16"/>
              </w:rPr>
            </w:pPr>
            <w:r>
              <w:rPr>
                <w:rFonts w:ascii="arial" w:hAnsi="arial"/>
                <w:b/>
                <w:color w:val="FFFFFF"/>
                <w:sz w:val="16"/>
              </w:rPr>
              <w:t>Benefit ($)(2)</w:t>
            </w:r>
          </w:p>
        </w:tc>
        <w:tc>
          <w:tcPr>
            <w:tcW w:w="60" w:type="dxa"/>
            <w:tcBorders/>
            <w:shd w:fill="444444" w:val="clear"/>
            <w:vAlign w:val="center"/>
          </w:tcPr>
          <w:p>
            <w:pPr>
              <w:pStyle w:val="TableContents"/>
              <w:spacing w:before="0" w:after="283"/>
              <w:rPr/>
            </w:pPr>
            <w:r>
              <w:rPr/>
              <w:t> </w:t>
            </w:r>
          </w:p>
        </w:tc>
        <w:tc>
          <w:tcPr>
            <w:tcW w:w="120" w:type="dxa"/>
            <w:tcBorders/>
            <w:shd w:fill="444444" w:val="clear"/>
            <w:vAlign w:val="center"/>
          </w:tcPr>
          <w:p>
            <w:pPr>
              <w:pStyle w:val="TableContents"/>
              <w:spacing w:before="0" w:after="283"/>
              <w:rPr/>
            </w:pPr>
            <w:r>
              <w:rPr/>
              <w:t>  </w:t>
            </w:r>
          </w:p>
        </w:tc>
        <w:tc>
          <w:tcPr>
            <w:tcW w:w="800" w:type="dxa"/>
            <w:gridSpan w:val="2"/>
            <w:tcBorders/>
            <w:shd w:fill="444444" w:val="clear"/>
            <w:vAlign w:val="center"/>
          </w:tcPr>
          <w:p>
            <w:pPr>
              <w:pStyle w:val="TableContents"/>
              <w:spacing w:before="0" w:after="0"/>
              <w:jc w:val="right"/>
              <w:rPr>
                <w:rFonts w:ascii="arial" w:hAnsi="arial"/>
                <w:b/>
                <w:color w:val="FFFFFF"/>
                <w:sz w:val="16"/>
              </w:rPr>
            </w:pPr>
            <w:r>
              <w:rPr>
                <w:rFonts w:ascii="arial" w:hAnsi="arial"/>
                <w:b/>
                <w:color w:val="FFFFFF"/>
                <w:sz w:val="16"/>
              </w:rPr>
              <w:t>Payments</w:t>
            </w:r>
          </w:p>
          <w:p>
            <w:pPr>
              <w:pStyle w:val="TableContents"/>
              <w:spacing w:before="0" w:after="0"/>
              <w:jc w:val="right"/>
              <w:rPr>
                <w:rFonts w:ascii="arial" w:hAnsi="arial"/>
                <w:b/>
                <w:color w:val="FFFFFF"/>
                <w:sz w:val="16"/>
              </w:rPr>
            </w:pPr>
            <w:r>
              <w:rPr>
                <w:rFonts w:ascii="arial" w:hAnsi="arial"/>
                <w:b/>
                <w:color w:val="FFFFFF"/>
                <w:sz w:val="16"/>
              </w:rPr>
              <w:t>During</w:t>
            </w:r>
          </w:p>
          <w:p>
            <w:pPr>
              <w:pStyle w:val="TableContents"/>
              <w:spacing w:before="0" w:after="0"/>
              <w:jc w:val="right"/>
              <w:rPr>
                <w:rFonts w:ascii="arial" w:hAnsi="arial"/>
                <w:b/>
                <w:color w:val="FFFFFF"/>
                <w:sz w:val="16"/>
              </w:rPr>
            </w:pPr>
            <w:r>
              <w:rPr>
                <w:rFonts w:ascii="arial" w:hAnsi="arial"/>
                <w:b/>
                <w:color w:val="FFFFFF"/>
                <w:sz w:val="16"/>
              </w:rPr>
              <w:t>Last</w:t>
              <w:br/>
              <w:t>Fiscal</w:t>
            </w:r>
          </w:p>
          <w:p>
            <w:pPr>
              <w:pStyle w:val="TableContents"/>
              <w:spacing w:before="0" w:after="20"/>
              <w:jc w:val="right"/>
              <w:rPr>
                <w:rFonts w:ascii="arial" w:hAnsi="arial"/>
                <w:b/>
                <w:color w:val="FFFFFF"/>
                <w:sz w:val="16"/>
              </w:rPr>
            </w:pPr>
            <w:r>
              <w:rPr>
                <w:rFonts w:ascii="arial" w:hAnsi="arial"/>
                <w:b/>
                <w:color w:val="FFFFFF"/>
                <w:sz w:val="16"/>
              </w:rPr>
              <w:t>Year ($)</w:t>
            </w:r>
          </w:p>
        </w:tc>
        <w:tc>
          <w:tcPr>
            <w:tcW w:w="75" w:type="dxa"/>
            <w:tcBorders/>
            <w:shd w:fill="444444" w:val="clear"/>
            <w:vAlign w:val="center"/>
          </w:tcPr>
          <w:p>
            <w:pPr>
              <w:pStyle w:val="TableContents"/>
              <w:spacing w:before="0" w:after="283"/>
              <w:rPr/>
            </w:pPr>
            <w:r>
              <w:rPr/>
              <w:t> </w:t>
            </w:r>
          </w:p>
        </w:tc>
      </w:tr>
      <w:tr>
        <w:trPr/>
        <w:tc>
          <w:tcPr>
            <w:tcW w:w="1370" w:type="dxa"/>
            <w:tcBorders/>
            <w:shd w:fill="E5E5E5" w:val="clear"/>
            <w:vAlign w:val="center"/>
          </w:tcPr>
          <w:p>
            <w:pPr>
              <w:pStyle w:val="TableContents"/>
              <w:spacing w:before="0" w:after="0"/>
              <w:rPr>
                <w:rFonts w:ascii="arial" w:hAnsi="arial"/>
                <w:sz w:val="18"/>
              </w:rPr>
            </w:pPr>
            <w:r>
              <w:rPr>
                <w:rFonts w:ascii="arial" w:hAnsi="arial"/>
                <w:sz w:val="18"/>
              </w:rPr>
              <w:t>Michael Goettler</w:t>
            </w:r>
          </w:p>
        </w:tc>
        <w:tc>
          <w:tcPr>
            <w:tcW w:w="120" w:type="dxa"/>
            <w:tcBorders/>
            <w:shd w:fill="E5E5E5" w:val="clear"/>
            <w:vAlign w:val="center"/>
          </w:tcPr>
          <w:p>
            <w:pPr>
              <w:pStyle w:val="TableContents"/>
              <w:spacing w:before="0" w:after="283"/>
              <w:rPr/>
            </w:pPr>
            <w:r>
              <w:rPr/>
              <w:t>  </w:t>
            </w:r>
          </w:p>
        </w:tc>
        <w:tc>
          <w:tcPr>
            <w:tcW w:w="3665" w:type="dxa"/>
            <w:tcBorders/>
            <w:shd w:fill="E5E5E5" w:val="clear"/>
            <w:vAlign w:val="center"/>
          </w:tcPr>
          <w:p>
            <w:pPr>
              <w:pStyle w:val="TableContents"/>
              <w:spacing w:before="0" w:after="283"/>
              <w:jc w:val="right"/>
              <w:rPr/>
            </w:pPr>
            <w:r>
              <w:rPr/>
              <w:t>N/A</w:t>
            </w:r>
          </w:p>
        </w:tc>
        <w:tc>
          <w:tcPr>
            <w:tcW w:w="120" w:type="dxa"/>
            <w:tcBorders/>
            <w:shd w:fill="E5E5E5" w:val="clear"/>
            <w:vAlign w:val="center"/>
          </w:tcPr>
          <w:p>
            <w:pPr>
              <w:pStyle w:val="TableContents"/>
              <w:spacing w:before="0" w:after="283"/>
              <w:rPr/>
            </w:pPr>
            <w:r>
              <w:rPr/>
              <w:t>  </w:t>
            </w:r>
          </w:p>
        </w:tc>
        <w:tc>
          <w:tcPr>
            <w:tcW w:w="161" w:type="dxa"/>
            <w:tcBorders/>
            <w:shd w:fill="E5E5E5" w:val="clear"/>
            <w:vAlign w:val="center"/>
          </w:tcPr>
          <w:p>
            <w:pPr>
              <w:pStyle w:val="TableContents"/>
              <w:spacing w:before="0" w:after="283"/>
              <w:rPr/>
            </w:pPr>
            <w:r>
              <w:rPr/>
              <w:t> </w:t>
            </w:r>
          </w:p>
        </w:tc>
        <w:tc>
          <w:tcPr>
            <w:tcW w:w="699" w:type="dxa"/>
            <w:tcBorders/>
            <w:shd w:fill="E5E5E5" w:val="clear"/>
            <w:vAlign w:val="center"/>
          </w:tcPr>
          <w:p>
            <w:pPr>
              <w:pStyle w:val="TableContents"/>
              <w:spacing w:before="0" w:after="283"/>
              <w:jc w:val="right"/>
              <w:rPr/>
            </w:pPr>
            <w:r>
              <w:rPr/>
              <w:t>N/A</w:t>
            </w:r>
          </w:p>
        </w:tc>
        <w:tc>
          <w:tcPr>
            <w:tcW w:w="60" w:type="dxa"/>
            <w:tcBorders/>
            <w:shd w:fill="E5E5E5" w:val="clear"/>
            <w:vAlign w:val="center"/>
          </w:tcPr>
          <w:p>
            <w:pPr>
              <w:pStyle w:val="TableContents"/>
              <w:spacing w:before="0" w:after="283"/>
              <w:rPr/>
            </w:pPr>
            <w:r>
              <w:rPr/>
              <w:t> </w:t>
            </w:r>
          </w:p>
        </w:tc>
        <w:tc>
          <w:tcPr>
            <w:tcW w:w="120" w:type="dxa"/>
            <w:tcBorders/>
            <w:shd w:fill="E5E5E5" w:val="clear"/>
            <w:vAlign w:val="center"/>
          </w:tcPr>
          <w:p>
            <w:pPr>
              <w:pStyle w:val="TableContents"/>
              <w:spacing w:before="0" w:after="283"/>
              <w:rPr/>
            </w:pPr>
            <w:r>
              <w:rPr/>
              <w:t>  </w:t>
            </w:r>
          </w:p>
        </w:tc>
        <w:tc>
          <w:tcPr>
            <w:tcW w:w="61" w:type="dxa"/>
            <w:tcBorders/>
            <w:shd w:fill="E5E5E5" w:val="clear"/>
            <w:vAlign w:val="center"/>
          </w:tcPr>
          <w:p>
            <w:pPr>
              <w:pStyle w:val="TableContents"/>
              <w:spacing w:before="0" w:after="283"/>
              <w:rPr/>
            </w:pPr>
            <w:r>
              <w:rPr/>
              <w:t> </w:t>
            </w:r>
          </w:p>
        </w:tc>
        <w:tc>
          <w:tcPr>
            <w:tcW w:w="1009" w:type="dxa"/>
            <w:tcBorders/>
            <w:shd w:fill="E5E5E5" w:val="clear"/>
            <w:vAlign w:val="center"/>
          </w:tcPr>
          <w:p>
            <w:pPr>
              <w:pStyle w:val="TableContents"/>
              <w:spacing w:before="0" w:after="283"/>
              <w:jc w:val="right"/>
              <w:rPr/>
            </w:pPr>
            <w:r>
              <w:rPr/>
              <w:t>—</w:t>
            </w:r>
          </w:p>
        </w:tc>
        <w:tc>
          <w:tcPr>
            <w:tcW w:w="60" w:type="dxa"/>
            <w:tcBorders/>
            <w:shd w:fill="E5E5E5" w:val="clear"/>
            <w:vAlign w:val="center"/>
          </w:tcPr>
          <w:p>
            <w:pPr>
              <w:pStyle w:val="TableContents"/>
              <w:spacing w:before="0" w:after="283"/>
              <w:rPr/>
            </w:pPr>
            <w:r>
              <w:rPr/>
              <w:t> </w:t>
            </w:r>
          </w:p>
        </w:tc>
        <w:tc>
          <w:tcPr>
            <w:tcW w:w="120" w:type="dxa"/>
            <w:tcBorders/>
            <w:shd w:fill="E5E5E5" w:val="clear"/>
            <w:vAlign w:val="center"/>
          </w:tcPr>
          <w:p>
            <w:pPr>
              <w:pStyle w:val="TableContents"/>
              <w:spacing w:before="0" w:after="283"/>
              <w:rPr/>
            </w:pPr>
            <w:r>
              <w:rPr/>
              <w:t>  </w:t>
            </w:r>
          </w:p>
        </w:tc>
        <w:tc>
          <w:tcPr>
            <w:tcW w:w="150" w:type="dxa"/>
            <w:tcBorders/>
            <w:shd w:fill="E5E5E5" w:val="clear"/>
            <w:vAlign w:val="center"/>
          </w:tcPr>
          <w:p>
            <w:pPr>
              <w:pStyle w:val="TableContents"/>
              <w:spacing w:before="0" w:after="283"/>
              <w:rPr/>
            </w:pPr>
            <w:r>
              <w:rPr/>
              <w:t> </w:t>
            </w:r>
          </w:p>
        </w:tc>
        <w:tc>
          <w:tcPr>
            <w:tcW w:w="650" w:type="dxa"/>
            <w:tcBorders/>
            <w:shd w:fill="E5E5E5" w:val="clear"/>
            <w:vAlign w:val="center"/>
          </w:tcPr>
          <w:p>
            <w:pPr>
              <w:pStyle w:val="TableContents"/>
              <w:spacing w:before="0" w:after="283"/>
              <w:jc w:val="right"/>
              <w:rPr/>
            </w:pPr>
            <w:r>
              <w:rPr/>
              <w:t>—</w:t>
            </w:r>
          </w:p>
        </w:tc>
        <w:tc>
          <w:tcPr>
            <w:tcW w:w="75" w:type="dxa"/>
            <w:tcBorders/>
            <w:shd w:fill="E5E5E5" w:val="clear"/>
            <w:vAlign w:val="center"/>
          </w:tcPr>
          <w:p>
            <w:pPr>
              <w:pStyle w:val="TableContents"/>
              <w:spacing w:before="0" w:after="283"/>
              <w:rPr/>
            </w:pPr>
            <w:r>
              <w:rPr/>
              <w:t> </w:t>
            </w:r>
          </w:p>
        </w:tc>
      </w:tr>
      <w:tr>
        <w:trPr/>
        <w:tc>
          <w:tcPr>
            <w:tcW w:w="1370" w:type="dxa"/>
            <w:tcBorders/>
            <w:shd w:fill="auto" w:val="clear"/>
            <w:vAlign w:val="center"/>
          </w:tcPr>
          <w:p>
            <w:pPr>
              <w:pStyle w:val="TableContents"/>
              <w:spacing w:before="0" w:after="0"/>
              <w:rPr>
                <w:rFonts w:ascii="arial" w:hAnsi="arial"/>
                <w:sz w:val="18"/>
              </w:rPr>
            </w:pPr>
            <w:r>
              <w:rPr>
                <w:rFonts w:ascii="arial" w:hAnsi="arial"/>
                <w:sz w:val="18"/>
              </w:rPr>
              <w:t>Sanjeev Narula</w:t>
            </w:r>
          </w:p>
        </w:tc>
        <w:tc>
          <w:tcPr>
            <w:tcW w:w="120" w:type="dxa"/>
            <w:tcBorders/>
            <w:shd w:fill="auto" w:val="clear"/>
            <w:vAlign w:val="center"/>
          </w:tcPr>
          <w:p>
            <w:pPr>
              <w:pStyle w:val="TableContents"/>
              <w:spacing w:before="0" w:after="283"/>
              <w:rPr/>
            </w:pPr>
            <w:r>
              <w:rPr/>
              <w:t>  </w:t>
            </w:r>
          </w:p>
        </w:tc>
        <w:tc>
          <w:tcPr>
            <w:tcW w:w="3665" w:type="dxa"/>
            <w:tcBorders/>
            <w:shd w:fill="auto" w:val="clear"/>
            <w:vAlign w:val="center"/>
          </w:tcPr>
          <w:p>
            <w:pPr>
              <w:pStyle w:val="TableContents"/>
              <w:spacing w:before="0" w:after="283"/>
              <w:jc w:val="right"/>
              <w:rPr/>
            </w:pPr>
            <w:r>
              <w:rPr/>
              <w:t>N/A</w:t>
            </w:r>
          </w:p>
        </w:tc>
        <w:tc>
          <w:tcPr>
            <w:tcW w:w="120" w:type="dxa"/>
            <w:tcBorders/>
            <w:shd w:fill="auto" w:val="clear"/>
            <w:vAlign w:val="center"/>
          </w:tcPr>
          <w:p>
            <w:pPr>
              <w:pStyle w:val="TableContents"/>
              <w:spacing w:before="0" w:after="283"/>
              <w:rPr/>
            </w:pPr>
            <w:r>
              <w:rPr/>
              <w:t>  </w:t>
            </w:r>
          </w:p>
        </w:tc>
        <w:tc>
          <w:tcPr>
            <w:tcW w:w="161" w:type="dxa"/>
            <w:tcBorders/>
            <w:shd w:fill="auto" w:val="clear"/>
            <w:vAlign w:val="center"/>
          </w:tcPr>
          <w:p>
            <w:pPr>
              <w:pStyle w:val="TableContents"/>
              <w:spacing w:before="0" w:after="283"/>
              <w:rPr/>
            </w:pPr>
            <w:r>
              <w:rPr/>
              <w:t> </w:t>
            </w:r>
          </w:p>
        </w:tc>
        <w:tc>
          <w:tcPr>
            <w:tcW w:w="699" w:type="dxa"/>
            <w:tcBorders/>
            <w:shd w:fill="auto" w:val="clear"/>
            <w:vAlign w:val="center"/>
          </w:tcPr>
          <w:p>
            <w:pPr>
              <w:pStyle w:val="TableContents"/>
              <w:spacing w:before="0" w:after="283"/>
              <w:jc w:val="right"/>
              <w:rPr/>
            </w:pPr>
            <w:r>
              <w:rPr/>
              <w:t>N/A</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1009"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pPr>
            <w:r>
              <w:rPr/>
              <w:t> </w:t>
            </w:r>
          </w:p>
        </w:tc>
        <w:tc>
          <w:tcPr>
            <w:tcW w:w="650" w:type="dxa"/>
            <w:tcBorders/>
            <w:shd w:fill="auto" w:val="clear"/>
            <w:vAlign w:val="center"/>
          </w:tcPr>
          <w:p>
            <w:pPr>
              <w:pStyle w:val="TableContents"/>
              <w:spacing w:before="0" w:after="283"/>
              <w:jc w:val="right"/>
              <w:rPr/>
            </w:pPr>
            <w:r>
              <w:rPr/>
              <w:t>—</w:t>
            </w:r>
          </w:p>
        </w:tc>
        <w:tc>
          <w:tcPr>
            <w:tcW w:w="75" w:type="dxa"/>
            <w:tcBorders/>
            <w:shd w:fill="auto" w:val="clear"/>
            <w:vAlign w:val="center"/>
          </w:tcPr>
          <w:p>
            <w:pPr>
              <w:pStyle w:val="TableContents"/>
              <w:spacing w:before="0" w:after="283"/>
              <w:rPr/>
            </w:pPr>
            <w:r>
              <w:rPr/>
              <w:t> </w:t>
            </w:r>
          </w:p>
        </w:tc>
      </w:tr>
      <w:tr>
        <w:trPr/>
        <w:tc>
          <w:tcPr>
            <w:tcW w:w="1370" w:type="dxa"/>
            <w:tcBorders/>
            <w:shd w:fill="E5E5E5" w:val="clear"/>
            <w:vAlign w:val="center"/>
          </w:tcPr>
          <w:p>
            <w:pPr>
              <w:pStyle w:val="TableContents"/>
              <w:spacing w:before="0" w:after="0"/>
              <w:rPr>
                <w:rFonts w:ascii="arial" w:hAnsi="arial"/>
                <w:sz w:val="18"/>
              </w:rPr>
            </w:pPr>
            <w:r>
              <w:rPr>
                <w:rFonts w:ascii="arial" w:hAnsi="arial"/>
                <w:sz w:val="18"/>
              </w:rPr>
              <w:t>Rajiv Malik</w:t>
            </w:r>
          </w:p>
        </w:tc>
        <w:tc>
          <w:tcPr>
            <w:tcW w:w="120" w:type="dxa"/>
            <w:tcBorders/>
            <w:shd w:fill="E5E5E5" w:val="clear"/>
            <w:vAlign w:val="center"/>
          </w:tcPr>
          <w:p>
            <w:pPr>
              <w:pStyle w:val="TableContents"/>
              <w:spacing w:before="0" w:after="283"/>
              <w:rPr/>
            </w:pPr>
            <w:r>
              <w:rPr/>
              <w:t>  </w:t>
            </w:r>
          </w:p>
        </w:tc>
        <w:tc>
          <w:tcPr>
            <w:tcW w:w="3665" w:type="dxa"/>
            <w:tcBorders/>
            <w:shd w:fill="E5E5E5" w:val="clear"/>
            <w:vAlign w:val="center"/>
          </w:tcPr>
          <w:p>
            <w:pPr>
              <w:pStyle w:val="TableContents"/>
              <w:spacing w:before="0" w:after="283"/>
              <w:jc w:val="right"/>
              <w:rPr/>
            </w:pPr>
            <w:r>
              <w:rPr/>
              <w:t>The Executive Plan for Rajiv Malik(3)</w:t>
            </w:r>
          </w:p>
        </w:tc>
        <w:tc>
          <w:tcPr>
            <w:tcW w:w="120" w:type="dxa"/>
            <w:tcBorders/>
            <w:shd w:fill="E5E5E5" w:val="clear"/>
            <w:vAlign w:val="center"/>
          </w:tcPr>
          <w:p>
            <w:pPr>
              <w:pStyle w:val="TableContents"/>
              <w:spacing w:before="0" w:after="283"/>
              <w:rPr/>
            </w:pPr>
            <w:r>
              <w:rPr/>
              <w:t>  </w:t>
            </w:r>
          </w:p>
        </w:tc>
        <w:tc>
          <w:tcPr>
            <w:tcW w:w="161" w:type="dxa"/>
            <w:tcBorders/>
            <w:shd w:fill="E5E5E5" w:val="clear"/>
            <w:vAlign w:val="center"/>
          </w:tcPr>
          <w:p>
            <w:pPr>
              <w:pStyle w:val="TableContents"/>
              <w:spacing w:before="0" w:after="283"/>
              <w:rPr/>
            </w:pPr>
            <w:r>
              <w:rPr/>
              <w:t> </w:t>
            </w:r>
          </w:p>
        </w:tc>
        <w:tc>
          <w:tcPr>
            <w:tcW w:w="699" w:type="dxa"/>
            <w:tcBorders/>
            <w:shd w:fill="E5E5E5" w:val="clear"/>
            <w:vAlign w:val="center"/>
          </w:tcPr>
          <w:p>
            <w:pPr>
              <w:pStyle w:val="TableContents"/>
              <w:spacing w:before="0" w:after="283"/>
              <w:jc w:val="right"/>
              <w:rPr/>
            </w:pPr>
            <w:r>
              <w:rPr/>
              <w:t>N/A</w:t>
            </w:r>
          </w:p>
        </w:tc>
        <w:tc>
          <w:tcPr>
            <w:tcW w:w="60" w:type="dxa"/>
            <w:tcBorders/>
            <w:shd w:fill="E5E5E5" w:val="clear"/>
            <w:vAlign w:val="center"/>
          </w:tcPr>
          <w:p>
            <w:pPr>
              <w:pStyle w:val="TableContents"/>
              <w:spacing w:before="0" w:after="283"/>
              <w:rPr/>
            </w:pPr>
            <w:r>
              <w:rPr/>
              <w:t> </w:t>
            </w:r>
          </w:p>
        </w:tc>
        <w:tc>
          <w:tcPr>
            <w:tcW w:w="120" w:type="dxa"/>
            <w:tcBorders/>
            <w:shd w:fill="E5E5E5" w:val="clear"/>
            <w:vAlign w:val="center"/>
          </w:tcPr>
          <w:p>
            <w:pPr>
              <w:pStyle w:val="TableContents"/>
              <w:spacing w:before="0" w:after="283"/>
              <w:rPr/>
            </w:pPr>
            <w:r>
              <w:rPr/>
              <w:t>  </w:t>
            </w:r>
          </w:p>
        </w:tc>
        <w:tc>
          <w:tcPr>
            <w:tcW w:w="61" w:type="dxa"/>
            <w:tcBorders/>
            <w:shd w:fill="E5E5E5" w:val="clear"/>
            <w:vAlign w:val="center"/>
          </w:tcPr>
          <w:p>
            <w:pPr>
              <w:pStyle w:val="TableContents"/>
              <w:spacing w:before="0" w:after="283"/>
              <w:rPr/>
            </w:pPr>
            <w:r>
              <w:rPr/>
              <w:t> </w:t>
            </w:r>
          </w:p>
        </w:tc>
        <w:tc>
          <w:tcPr>
            <w:tcW w:w="1009" w:type="dxa"/>
            <w:tcBorders/>
            <w:shd w:fill="E5E5E5" w:val="clear"/>
            <w:vAlign w:val="center"/>
          </w:tcPr>
          <w:p>
            <w:pPr>
              <w:pStyle w:val="TableContents"/>
              <w:spacing w:before="0" w:after="283"/>
              <w:jc w:val="right"/>
              <w:rPr/>
            </w:pPr>
            <w:r>
              <w:rPr/>
              <w:t>433,475</w:t>
            </w:r>
          </w:p>
        </w:tc>
        <w:tc>
          <w:tcPr>
            <w:tcW w:w="60" w:type="dxa"/>
            <w:tcBorders/>
            <w:shd w:fill="E5E5E5" w:val="clear"/>
            <w:vAlign w:val="center"/>
          </w:tcPr>
          <w:p>
            <w:pPr>
              <w:pStyle w:val="TableContents"/>
              <w:spacing w:before="0" w:after="283"/>
              <w:rPr/>
            </w:pPr>
            <w:r>
              <w:rPr/>
              <w:t> </w:t>
            </w:r>
          </w:p>
        </w:tc>
        <w:tc>
          <w:tcPr>
            <w:tcW w:w="120" w:type="dxa"/>
            <w:tcBorders/>
            <w:shd w:fill="E5E5E5" w:val="clear"/>
            <w:vAlign w:val="center"/>
          </w:tcPr>
          <w:p>
            <w:pPr>
              <w:pStyle w:val="TableContents"/>
              <w:spacing w:before="0" w:after="283"/>
              <w:rPr/>
            </w:pPr>
            <w:r>
              <w:rPr/>
              <w:t>  </w:t>
            </w:r>
          </w:p>
        </w:tc>
        <w:tc>
          <w:tcPr>
            <w:tcW w:w="150" w:type="dxa"/>
            <w:tcBorders/>
            <w:shd w:fill="E5E5E5" w:val="clear"/>
            <w:vAlign w:val="center"/>
          </w:tcPr>
          <w:p>
            <w:pPr>
              <w:pStyle w:val="TableContents"/>
              <w:spacing w:before="0" w:after="283"/>
              <w:rPr/>
            </w:pPr>
            <w:r>
              <w:rPr/>
              <w:t> </w:t>
            </w:r>
          </w:p>
        </w:tc>
        <w:tc>
          <w:tcPr>
            <w:tcW w:w="650" w:type="dxa"/>
            <w:tcBorders/>
            <w:shd w:fill="E5E5E5" w:val="clear"/>
            <w:vAlign w:val="center"/>
          </w:tcPr>
          <w:p>
            <w:pPr>
              <w:pStyle w:val="TableContents"/>
              <w:spacing w:before="0" w:after="283"/>
              <w:jc w:val="right"/>
              <w:rPr/>
            </w:pPr>
            <w:r>
              <w:rPr/>
              <w:t>—</w:t>
            </w:r>
          </w:p>
        </w:tc>
        <w:tc>
          <w:tcPr>
            <w:tcW w:w="75" w:type="dxa"/>
            <w:tcBorders/>
            <w:shd w:fill="E5E5E5" w:val="clear"/>
            <w:vAlign w:val="center"/>
          </w:tcPr>
          <w:p>
            <w:pPr>
              <w:pStyle w:val="TableContents"/>
              <w:spacing w:before="0" w:after="283"/>
              <w:rPr/>
            </w:pPr>
            <w:r>
              <w:rPr/>
              <w:t> </w:t>
            </w:r>
          </w:p>
        </w:tc>
      </w:tr>
      <w:tr>
        <w:trPr/>
        <w:tc>
          <w:tcPr>
            <w:tcW w:w="1370" w:type="dxa"/>
            <w:tcBorders/>
            <w:shd w:fill="auto" w:val="clear"/>
            <w:vAlign w:val="center"/>
          </w:tcPr>
          <w:p>
            <w:pPr>
              <w:pStyle w:val="TableContents"/>
              <w:spacing w:before="0" w:after="0"/>
              <w:rPr>
                <w:rFonts w:ascii="arial" w:hAnsi="arial"/>
                <w:sz w:val="18"/>
              </w:rPr>
            </w:pPr>
            <w:r>
              <w:rPr>
                <w:rFonts w:ascii="arial" w:hAnsi="arial"/>
                <w:sz w:val="18"/>
              </w:rPr>
              <w:t>Rajiv Malik</w:t>
            </w:r>
          </w:p>
        </w:tc>
        <w:tc>
          <w:tcPr>
            <w:tcW w:w="120" w:type="dxa"/>
            <w:tcBorders/>
            <w:shd w:fill="auto" w:val="clear"/>
            <w:vAlign w:val="center"/>
          </w:tcPr>
          <w:p>
            <w:pPr>
              <w:pStyle w:val="TableContents"/>
              <w:spacing w:before="0" w:after="283"/>
              <w:rPr/>
            </w:pPr>
            <w:r>
              <w:rPr/>
              <w:t>  </w:t>
            </w:r>
          </w:p>
        </w:tc>
        <w:tc>
          <w:tcPr>
            <w:tcW w:w="3665" w:type="dxa"/>
            <w:tcBorders/>
            <w:shd w:fill="auto" w:val="clear"/>
            <w:vAlign w:val="center"/>
          </w:tcPr>
          <w:p>
            <w:pPr>
              <w:pStyle w:val="TableContents"/>
              <w:spacing w:before="0" w:after="283"/>
              <w:jc w:val="right"/>
              <w:rPr/>
            </w:pPr>
            <w:r>
              <w:rPr/>
              <w:t>Retirement Benefit Agreement(4)</w:t>
            </w:r>
          </w:p>
        </w:tc>
        <w:tc>
          <w:tcPr>
            <w:tcW w:w="120" w:type="dxa"/>
            <w:tcBorders/>
            <w:shd w:fill="auto" w:val="clear"/>
            <w:vAlign w:val="center"/>
          </w:tcPr>
          <w:p>
            <w:pPr>
              <w:pStyle w:val="TableContents"/>
              <w:spacing w:before="0" w:after="283"/>
              <w:rPr/>
            </w:pPr>
            <w:r>
              <w:rPr/>
              <w:t>  </w:t>
            </w:r>
          </w:p>
        </w:tc>
        <w:tc>
          <w:tcPr>
            <w:tcW w:w="161" w:type="dxa"/>
            <w:tcBorders/>
            <w:shd w:fill="auto" w:val="clear"/>
            <w:vAlign w:val="center"/>
          </w:tcPr>
          <w:p>
            <w:pPr>
              <w:pStyle w:val="TableContents"/>
              <w:spacing w:before="0" w:after="283"/>
              <w:rPr/>
            </w:pPr>
            <w:r>
              <w:rPr/>
              <w:t> </w:t>
            </w:r>
          </w:p>
        </w:tc>
        <w:tc>
          <w:tcPr>
            <w:tcW w:w="699" w:type="dxa"/>
            <w:tcBorders/>
            <w:shd w:fill="auto" w:val="clear"/>
            <w:vAlign w:val="center"/>
          </w:tcPr>
          <w:p>
            <w:pPr>
              <w:pStyle w:val="TableContents"/>
              <w:spacing w:before="0" w:after="283"/>
              <w:jc w:val="right"/>
              <w:rPr/>
            </w:pPr>
            <w:r>
              <w:rPr/>
              <w:t>16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1009" w:type="dxa"/>
            <w:tcBorders/>
            <w:shd w:fill="auto" w:val="clear"/>
            <w:vAlign w:val="center"/>
          </w:tcPr>
          <w:p>
            <w:pPr>
              <w:pStyle w:val="TableContents"/>
              <w:spacing w:before="0" w:after="283"/>
              <w:jc w:val="right"/>
              <w:rPr/>
            </w:pPr>
            <w:r>
              <w:rPr/>
              <w:t>5,342,449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pPr>
            <w:r>
              <w:rPr/>
              <w:t> </w:t>
            </w:r>
          </w:p>
        </w:tc>
        <w:tc>
          <w:tcPr>
            <w:tcW w:w="650" w:type="dxa"/>
            <w:tcBorders/>
            <w:shd w:fill="auto" w:val="clear"/>
            <w:vAlign w:val="center"/>
          </w:tcPr>
          <w:p>
            <w:pPr>
              <w:pStyle w:val="TableContents"/>
              <w:spacing w:before="0" w:after="283"/>
              <w:jc w:val="right"/>
              <w:rPr/>
            </w:pPr>
            <w:r>
              <w:rPr/>
              <w:t>—</w:t>
            </w:r>
          </w:p>
        </w:tc>
        <w:tc>
          <w:tcPr>
            <w:tcW w:w="75" w:type="dxa"/>
            <w:tcBorders/>
            <w:shd w:fill="auto" w:val="clear"/>
            <w:vAlign w:val="center"/>
          </w:tcPr>
          <w:p>
            <w:pPr>
              <w:pStyle w:val="TableContents"/>
              <w:spacing w:before="0" w:after="283"/>
              <w:rPr/>
            </w:pPr>
            <w:r>
              <w:rPr/>
              <w:t> </w:t>
            </w:r>
          </w:p>
        </w:tc>
      </w:tr>
      <w:tr>
        <w:trPr/>
        <w:tc>
          <w:tcPr>
            <w:tcW w:w="1370" w:type="dxa"/>
            <w:tcBorders/>
            <w:shd w:fill="E5E5E5" w:val="clear"/>
            <w:vAlign w:val="center"/>
          </w:tcPr>
          <w:p>
            <w:pPr>
              <w:pStyle w:val="TableContents"/>
              <w:spacing w:before="0" w:after="0"/>
              <w:rPr>
                <w:rFonts w:ascii="arial" w:hAnsi="arial"/>
                <w:sz w:val="18"/>
              </w:rPr>
            </w:pPr>
            <w:r>
              <w:rPr>
                <w:rFonts w:ascii="arial" w:hAnsi="arial"/>
                <w:sz w:val="18"/>
              </w:rPr>
              <w:t>Anthony Mauro</w:t>
            </w:r>
          </w:p>
        </w:tc>
        <w:tc>
          <w:tcPr>
            <w:tcW w:w="120" w:type="dxa"/>
            <w:tcBorders/>
            <w:shd w:fill="E5E5E5" w:val="clear"/>
            <w:vAlign w:val="center"/>
          </w:tcPr>
          <w:p>
            <w:pPr>
              <w:pStyle w:val="TableContents"/>
              <w:spacing w:before="0" w:after="283"/>
              <w:rPr/>
            </w:pPr>
            <w:r>
              <w:rPr/>
              <w:t>  </w:t>
            </w:r>
          </w:p>
        </w:tc>
        <w:tc>
          <w:tcPr>
            <w:tcW w:w="3665" w:type="dxa"/>
            <w:tcBorders/>
            <w:shd w:fill="E5E5E5" w:val="clear"/>
            <w:vAlign w:val="center"/>
          </w:tcPr>
          <w:p>
            <w:pPr>
              <w:pStyle w:val="TableContents"/>
              <w:spacing w:before="0" w:after="283"/>
              <w:jc w:val="right"/>
              <w:rPr/>
            </w:pPr>
            <w:r>
              <w:rPr/>
              <w:t>N/A</w:t>
            </w:r>
          </w:p>
        </w:tc>
        <w:tc>
          <w:tcPr>
            <w:tcW w:w="120" w:type="dxa"/>
            <w:tcBorders/>
            <w:shd w:fill="E5E5E5" w:val="clear"/>
            <w:vAlign w:val="center"/>
          </w:tcPr>
          <w:p>
            <w:pPr>
              <w:pStyle w:val="TableContents"/>
              <w:spacing w:before="0" w:after="283"/>
              <w:rPr/>
            </w:pPr>
            <w:r>
              <w:rPr/>
              <w:t>  </w:t>
            </w:r>
          </w:p>
        </w:tc>
        <w:tc>
          <w:tcPr>
            <w:tcW w:w="161" w:type="dxa"/>
            <w:tcBorders/>
            <w:shd w:fill="E5E5E5" w:val="clear"/>
            <w:vAlign w:val="center"/>
          </w:tcPr>
          <w:p>
            <w:pPr>
              <w:pStyle w:val="TableContents"/>
              <w:spacing w:before="0" w:after="283"/>
              <w:rPr/>
            </w:pPr>
            <w:r>
              <w:rPr/>
              <w:t> </w:t>
            </w:r>
          </w:p>
        </w:tc>
        <w:tc>
          <w:tcPr>
            <w:tcW w:w="699" w:type="dxa"/>
            <w:tcBorders/>
            <w:shd w:fill="E5E5E5" w:val="clear"/>
            <w:vAlign w:val="center"/>
          </w:tcPr>
          <w:p>
            <w:pPr>
              <w:pStyle w:val="TableContents"/>
              <w:spacing w:before="0" w:after="283"/>
              <w:jc w:val="right"/>
              <w:rPr/>
            </w:pPr>
            <w:r>
              <w:rPr/>
              <w:t>N/A</w:t>
            </w:r>
          </w:p>
        </w:tc>
        <w:tc>
          <w:tcPr>
            <w:tcW w:w="60" w:type="dxa"/>
            <w:tcBorders/>
            <w:shd w:fill="E5E5E5" w:val="clear"/>
            <w:vAlign w:val="center"/>
          </w:tcPr>
          <w:p>
            <w:pPr>
              <w:pStyle w:val="TableContents"/>
              <w:spacing w:before="0" w:after="283"/>
              <w:rPr/>
            </w:pPr>
            <w:r>
              <w:rPr/>
              <w:t> </w:t>
            </w:r>
          </w:p>
        </w:tc>
        <w:tc>
          <w:tcPr>
            <w:tcW w:w="120" w:type="dxa"/>
            <w:tcBorders/>
            <w:shd w:fill="E5E5E5" w:val="clear"/>
            <w:vAlign w:val="center"/>
          </w:tcPr>
          <w:p>
            <w:pPr>
              <w:pStyle w:val="TableContents"/>
              <w:spacing w:before="0" w:after="283"/>
              <w:rPr/>
            </w:pPr>
            <w:r>
              <w:rPr/>
              <w:t>  </w:t>
            </w:r>
          </w:p>
        </w:tc>
        <w:tc>
          <w:tcPr>
            <w:tcW w:w="61" w:type="dxa"/>
            <w:tcBorders/>
            <w:shd w:fill="E5E5E5" w:val="clear"/>
            <w:vAlign w:val="center"/>
          </w:tcPr>
          <w:p>
            <w:pPr>
              <w:pStyle w:val="TableContents"/>
              <w:spacing w:before="0" w:after="283"/>
              <w:rPr/>
            </w:pPr>
            <w:r>
              <w:rPr/>
              <w:t> </w:t>
            </w:r>
          </w:p>
        </w:tc>
        <w:tc>
          <w:tcPr>
            <w:tcW w:w="1009" w:type="dxa"/>
            <w:tcBorders/>
            <w:shd w:fill="E5E5E5" w:val="clear"/>
            <w:vAlign w:val="center"/>
          </w:tcPr>
          <w:p>
            <w:pPr>
              <w:pStyle w:val="TableContents"/>
              <w:spacing w:before="0" w:after="283"/>
              <w:jc w:val="right"/>
              <w:rPr/>
            </w:pPr>
            <w:r>
              <w:rPr/>
              <w:t>—</w:t>
            </w:r>
          </w:p>
        </w:tc>
        <w:tc>
          <w:tcPr>
            <w:tcW w:w="60" w:type="dxa"/>
            <w:tcBorders/>
            <w:shd w:fill="E5E5E5" w:val="clear"/>
            <w:vAlign w:val="center"/>
          </w:tcPr>
          <w:p>
            <w:pPr>
              <w:pStyle w:val="TableContents"/>
              <w:spacing w:before="0" w:after="283"/>
              <w:rPr/>
            </w:pPr>
            <w:r>
              <w:rPr/>
              <w:t> </w:t>
            </w:r>
          </w:p>
        </w:tc>
        <w:tc>
          <w:tcPr>
            <w:tcW w:w="120" w:type="dxa"/>
            <w:tcBorders/>
            <w:shd w:fill="E5E5E5" w:val="clear"/>
            <w:vAlign w:val="center"/>
          </w:tcPr>
          <w:p>
            <w:pPr>
              <w:pStyle w:val="TableContents"/>
              <w:spacing w:before="0" w:after="283"/>
              <w:rPr/>
            </w:pPr>
            <w:r>
              <w:rPr/>
              <w:t>  </w:t>
            </w:r>
          </w:p>
        </w:tc>
        <w:tc>
          <w:tcPr>
            <w:tcW w:w="150" w:type="dxa"/>
            <w:tcBorders/>
            <w:shd w:fill="E5E5E5" w:val="clear"/>
            <w:vAlign w:val="center"/>
          </w:tcPr>
          <w:p>
            <w:pPr>
              <w:pStyle w:val="TableContents"/>
              <w:spacing w:before="0" w:after="283"/>
              <w:rPr/>
            </w:pPr>
            <w:r>
              <w:rPr/>
              <w:t> </w:t>
            </w:r>
          </w:p>
        </w:tc>
        <w:tc>
          <w:tcPr>
            <w:tcW w:w="650" w:type="dxa"/>
            <w:tcBorders/>
            <w:shd w:fill="E5E5E5" w:val="clear"/>
            <w:vAlign w:val="center"/>
          </w:tcPr>
          <w:p>
            <w:pPr>
              <w:pStyle w:val="TableContents"/>
              <w:spacing w:before="0" w:after="283"/>
              <w:jc w:val="right"/>
              <w:rPr/>
            </w:pPr>
            <w:r>
              <w:rPr/>
              <w:t>—</w:t>
            </w:r>
          </w:p>
        </w:tc>
        <w:tc>
          <w:tcPr>
            <w:tcW w:w="75" w:type="dxa"/>
            <w:tcBorders/>
            <w:shd w:fill="E5E5E5" w:val="clear"/>
            <w:vAlign w:val="center"/>
          </w:tcPr>
          <w:p>
            <w:pPr>
              <w:pStyle w:val="TableContents"/>
              <w:spacing w:before="0" w:after="283"/>
              <w:rPr/>
            </w:pPr>
            <w:r>
              <w:rPr/>
              <w:t> </w:t>
            </w:r>
          </w:p>
        </w:tc>
      </w:tr>
      <w:tr>
        <w:trPr/>
        <w:tc>
          <w:tcPr>
            <w:tcW w:w="1370" w:type="dxa"/>
            <w:tcBorders/>
            <w:shd w:fill="auto" w:val="clear"/>
            <w:vAlign w:val="center"/>
          </w:tcPr>
          <w:p>
            <w:pPr>
              <w:pStyle w:val="TableContents"/>
              <w:spacing w:before="0" w:after="0"/>
              <w:rPr>
                <w:rFonts w:ascii="arial" w:hAnsi="arial"/>
                <w:sz w:val="18"/>
              </w:rPr>
            </w:pPr>
            <w:r>
              <w:rPr>
                <w:rFonts w:ascii="arial" w:hAnsi="arial"/>
                <w:sz w:val="18"/>
              </w:rPr>
              <w:t>Robert J. Coury</w:t>
            </w:r>
          </w:p>
        </w:tc>
        <w:tc>
          <w:tcPr>
            <w:tcW w:w="120" w:type="dxa"/>
            <w:tcBorders/>
            <w:shd w:fill="auto" w:val="clear"/>
            <w:vAlign w:val="center"/>
          </w:tcPr>
          <w:p>
            <w:pPr>
              <w:pStyle w:val="TableContents"/>
              <w:spacing w:before="0" w:after="283"/>
              <w:rPr/>
            </w:pPr>
            <w:r>
              <w:rPr/>
              <w:t>  </w:t>
            </w:r>
          </w:p>
        </w:tc>
        <w:tc>
          <w:tcPr>
            <w:tcW w:w="3665" w:type="dxa"/>
            <w:tcBorders/>
            <w:shd w:fill="auto" w:val="clear"/>
            <w:vAlign w:val="center"/>
          </w:tcPr>
          <w:p>
            <w:pPr>
              <w:pStyle w:val="TableContents"/>
              <w:spacing w:before="0" w:after="283"/>
              <w:jc w:val="right"/>
              <w:rPr/>
            </w:pPr>
            <w:r>
              <w:rPr/>
              <w:t>N/A</w:t>
            </w:r>
          </w:p>
        </w:tc>
        <w:tc>
          <w:tcPr>
            <w:tcW w:w="120" w:type="dxa"/>
            <w:tcBorders/>
            <w:shd w:fill="auto" w:val="clear"/>
            <w:vAlign w:val="center"/>
          </w:tcPr>
          <w:p>
            <w:pPr>
              <w:pStyle w:val="TableContents"/>
              <w:spacing w:before="0" w:after="283"/>
              <w:rPr/>
            </w:pPr>
            <w:r>
              <w:rPr/>
              <w:t>  </w:t>
            </w:r>
          </w:p>
        </w:tc>
        <w:tc>
          <w:tcPr>
            <w:tcW w:w="161" w:type="dxa"/>
            <w:tcBorders/>
            <w:shd w:fill="auto" w:val="clear"/>
            <w:vAlign w:val="center"/>
          </w:tcPr>
          <w:p>
            <w:pPr>
              <w:pStyle w:val="TableContents"/>
              <w:spacing w:before="0" w:after="283"/>
              <w:rPr/>
            </w:pPr>
            <w:r>
              <w:rPr/>
              <w:t> </w:t>
            </w:r>
          </w:p>
        </w:tc>
        <w:tc>
          <w:tcPr>
            <w:tcW w:w="699" w:type="dxa"/>
            <w:tcBorders/>
            <w:shd w:fill="auto" w:val="clear"/>
            <w:vAlign w:val="center"/>
          </w:tcPr>
          <w:p>
            <w:pPr>
              <w:pStyle w:val="TableContents"/>
              <w:spacing w:before="0" w:after="283"/>
              <w:jc w:val="right"/>
              <w:rPr/>
            </w:pPr>
            <w:r>
              <w:rPr/>
              <w:t>N/A</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1009"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50" w:type="dxa"/>
            <w:tcBorders/>
            <w:shd w:fill="auto" w:val="clear"/>
            <w:vAlign w:val="center"/>
          </w:tcPr>
          <w:p>
            <w:pPr>
              <w:pStyle w:val="TableContents"/>
              <w:spacing w:before="0" w:after="283"/>
              <w:rPr/>
            </w:pPr>
            <w:r>
              <w:rPr/>
              <w:t> </w:t>
            </w:r>
          </w:p>
        </w:tc>
        <w:tc>
          <w:tcPr>
            <w:tcW w:w="650" w:type="dxa"/>
            <w:tcBorders/>
            <w:shd w:fill="auto" w:val="clear"/>
            <w:vAlign w:val="center"/>
          </w:tcPr>
          <w:p>
            <w:pPr>
              <w:pStyle w:val="TableContents"/>
              <w:spacing w:before="0" w:after="283"/>
              <w:jc w:val="right"/>
              <w:rPr/>
            </w:pPr>
            <w:r>
              <w:rPr/>
              <w:t>—</w:t>
            </w:r>
          </w:p>
        </w:tc>
        <w:tc>
          <w:tcPr>
            <w:tcW w:w="75" w:type="dxa"/>
            <w:tcBorders/>
            <w:shd w:fill="auto" w:val="cle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44 </w:t>
      </w:r>
      <w:r>
        <w:br w:type="page"/>
      </w:r>
    </w:p>
    <w:p>
      <w:pPr>
        <w:pStyle w:val="HorizontalLine"/>
        <w:rPr/>
      </w:pPr>
      <w:r>
        <w:rPr/>
      </w:r>
    </w:p>
    <w:tbl>
      <w:tblPr>
        <w:tblW w:w="8380" w:type="dxa"/>
        <w:jc w:val="left"/>
        <w:tblInd w:w="0" w:type="dxa"/>
        <w:tblCellMar>
          <w:top w:w="0" w:type="dxa"/>
          <w:left w:w="0" w:type="dxa"/>
          <w:bottom w:w="0" w:type="dxa"/>
          <w:right w:w="0" w:type="dxa"/>
        </w:tblCellMar>
      </w:tblPr>
      <w:tblGrid>
        <w:gridCol w:w="305"/>
        <w:gridCol w:w="8075"/>
      </w:tblGrid>
      <w:tr>
        <w:trPr/>
        <w:tc>
          <w:tcPr>
            <w:tcW w:w="305" w:type="dxa"/>
            <w:tcBorders/>
            <w:shd w:fill="auto" w:val="clear"/>
            <w:vAlign w:val="center"/>
          </w:tcPr>
          <w:p>
            <w:pPr>
              <w:pStyle w:val="TableContents"/>
              <w:spacing w:before="0" w:after="283"/>
              <w:jc w:val="left"/>
              <w:rPr>
                <w:i/>
              </w:rPr>
            </w:pPr>
            <w:r>
              <w:rPr>
                <w:i/>
              </w:rPr>
              <w:t>(1)</w:t>
            </w:r>
          </w:p>
        </w:tc>
        <w:tc>
          <w:tcPr>
            <w:tcW w:w="8075" w:type="dxa"/>
            <w:tcBorders/>
            <w:shd w:fill="auto" w:val="clear"/>
            <w:vAlign w:val="center"/>
          </w:tcPr>
          <w:p>
            <w:pPr>
              <w:pStyle w:val="TableContents"/>
              <w:spacing w:before="0" w:after="0"/>
              <w:jc w:val="both"/>
              <w:rPr>
                <w:rFonts w:ascii="arial" w:hAnsi="arial"/>
                <w:i/>
                <w:sz w:val="18"/>
              </w:rPr>
            </w:pPr>
            <w:r>
              <w:rPr>
                <w:rFonts w:ascii="arial" w:hAnsi="arial"/>
                <w:i/>
                <w:sz w:val="18"/>
              </w:rPr>
              <w:t xml:space="preserve">Messrs. Goettler, Narula, Mauro and Coury are not party to a defined benefit pension arrangement. </w:t>
            </w:r>
          </w:p>
        </w:tc>
      </w:tr>
    </w:tbl>
    <w:tbl>
      <w:tblPr>
        <w:tblW w:w="9475" w:type="dxa"/>
        <w:jc w:val="left"/>
        <w:tblInd w:w="0" w:type="dxa"/>
        <w:tblCellMar>
          <w:top w:w="0" w:type="dxa"/>
          <w:left w:w="0" w:type="dxa"/>
          <w:bottom w:w="0" w:type="dxa"/>
          <w:right w:w="0" w:type="dxa"/>
        </w:tblCellMar>
      </w:tblPr>
      <w:tblGrid>
        <w:gridCol w:w="305"/>
        <w:gridCol w:w="9170"/>
      </w:tblGrid>
      <w:tr>
        <w:trPr/>
        <w:tc>
          <w:tcPr>
            <w:tcW w:w="305" w:type="dxa"/>
            <w:tcBorders/>
            <w:shd w:fill="auto" w:val="clear"/>
            <w:vAlign w:val="center"/>
          </w:tcPr>
          <w:p>
            <w:pPr>
              <w:pStyle w:val="TableContents"/>
              <w:spacing w:before="0" w:after="283"/>
              <w:jc w:val="left"/>
              <w:rPr>
                <w:i/>
              </w:rPr>
            </w:pPr>
            <w:r>
              <w:rPr>
                <w:i/>
              </w:rPr>
              <w:t>(2)</w:t>
            </w:r>
          </w:p>
        </w:tc>
        <w:tc>
          <w:tcPr>
            <w:tcW w:w="9170" w:type="dxa"/>
            <w:tcBorders/>
            <w:shd w:fill="auto" w:val="clear"/>
            <w:vAlign w:val="center"/>
          </w:tcPr>
          <w:p>
            <w:pPr>
              <w:pStyle w:val="TableContents"/>
              <w:spacing w:before="0" w:after="0"/>
              <w:jc w:val="both"/>
              <w:rPr>
                <w:rFonts w:ascii="arial" w:hAnsi="arial"/>
                <w:i/>
                <w:sz w:val="18"/>
              </w:rPr>
            </w:pPr>
            <w:r>
              <w:rPr>
                <w:rFonts w:ascii="arial" w:hAnsi="arial"/>
                <w:i/>
                <w:sz w:val="18"/>
              </w:rPr>
              <w:t xml:space="preserve">See pages 33 and 37 of this Amendment for further information on the value of the accumulated pension benefit. </w:t>
            </w:r>
          </w:p>
        </w:tc>
      </w:tr>
    </w:tbl>
    <w:tbl>
      <w:tblPr>
        <w:tblW w:w="10205" w:type="dxa"/>
        <w:jc w:val="left"/>
        <w:tblInd w:w="0" w:type="dxa"/>
        <w:tblCellMar>
          <w:top w:w="0" w:type="dxa"/>
          <w:left w:w="0" w:type="dxa"/>
          <w:bottom w:w="0" w:type="dxa"/>
          <w:right w:w="0" w:type="dxa"/>
        </w:tblCellMar>
      </w:tblPr>
      <w:tblGrid>
        <w:gridCol w:w="300"/>
        <w:gridCol w:w="9905"/>
      </w:tblGrid>
      <w:tr>
        <w:trPr/>
        <w:tc>
          <w:tcPr>
            <w:tcW w:w="300" w:type="dxa"/>
            <w:tcBorders/>
            <w:shd w:fill="auto" w:val="clear"/>
            <w:vAlign w:val="center"/>
          </w:tcPr>
          <w:p>
            <w:pPr>
              <w:pStyle w:val="TableContents"/>
              <w:spacing w:before="0" w:after="283"/>
              <w:jc w:val="left"/>
              <w:rPr>
                <w:i/>
              </w:rPr>
            </w:pPr>
            <w:r>
              <w:rPr>
                <w:i/>
              </w:rPr>
              <w:t>(3)</w:t>
            </w:r>
          </w:p>
        </w:tc>
        <w:tc>
          <w:tcPr>
            <w:tcW w:w="9905" w:type="dxa"/>
            <w:tcBorders/>
            <w:shd w:fill="auto" w:val="clear"/>
            <w:vAlign w:val="center"/>
          </w:tcPr>
          <w:p>
            <w:pPr>
              <w:pStyle w:val="TableContents"/>
              <w:spacing w:before="0" w:after="0"/>
              <w:jc w:val="both"/>
              <w:rPr>
                <w:rFonts w:ascii="arial" w:hAnsi="arial"/>
                <w:i/>
                <w:sz w:val="18"/>
              </w:rPr>
            </w:pPr>
            <w:r>
              <w:rPr>
                <w:rFonts w:ascii="arial" w:hAnsi="arial"/>
                <w:i/>
                <w:sz w:val="18"/>
              </w:rPr>
              <w:t xml:space="preserve">This is a deferred compensation plan established for the benefit of Mr. Malik. The Company is no longer contributing to this plan. </w:t>
            </w:r>
          </w:p>
        </w:tc>
      </w:tr>
    </w:tbl>
    <w:tbl>
      <w:tblPr>
        <w:tblW w:w="8995" w:type="dxa"/>
        <w:jc w:val="left"/>
        <w:tblInd w:w="0" w:type="dxa"/>
        <w:tblCellMar>
          <w:top w:w="0" w:type="dxa"/>
          <w:left w:w="0" w:type="dxa"/>
          <w:bottom w:w="0" w:type="dxa"/>
          <w:right w:w="0" w:type="dxa"/>
        </w:tblCellMar>
      </w:tblPr>
      <w:tblGrid>
        <w:gridCol w:w="305"/>
        <w:gridCol w:w="8690"/>
      </w:tblGrid>
      <w:tr>
        <w:trPr/>
        <w:tc>
          <w:tcPr>
            <w:tcW w:w="305" w:type="dxa"/>
            <w:tcBorders/>
            <w:shd w:fill="auto" w:val="clear"/>
            <w:vAlign w:val="center"/>
          </w:tcPr>
          <w:p>
            <w:pPr>
              <w:pStyle w:val="TableContents"/>
              <w:spacing w:before="0" w:after="283"/>
              <w:jc w:val="left"/>
              <w:rPr>
                <w:i/>
              </w:rPr>
            </w:pPr>
            <w:r>
              <w:rPr>
                <w:i/>
              </w:rPr>
              <w:t>(4)</w:t>
            </w:r>
          </w:p>
        </w:tc>
        <w:tc>
          <w:tcPr>
            <w:tcW w:w="8690" w:type="dxa"/>
            <w:tcBorders/>
            <w:shd w:fill="auto" w:val="clear"/>
            <w:vAlign w:val="center"/>
          </w:tcPr>
          <w:p>
            <w:pPr>
              <w:pStyle w:val="TableContents"/>
              <w:spacing w:before="0" w:after="0"/>
              <w:jc w:val="both"/>
              <w:rPr>
                <w:rFonts w:ascii="arial" w:hAnsi="arial"/>
                <w:i/>
                <w:sz w:val="18"/>
              </w:rPr>
            </w:pPr>
            <w:r>
              <w:rPr>
                <w:rFonts w:ascii="arial" w:hAnsi="arial"/>
                <w:i/>
                <w:sz w:val="18"/>
              </w:rPr>
              <w:t xml:space="preserve">The Malik RBA has been frozen. Mr. Malik no longer accrues any additional benefits under the agreement. </w:t>
            </w:r>
          </w:p>
        </w:tc>
      </w:tr>
    </w:tbl>
    <w:p>
      <w:pPr>
        <w:pStyle w:val="TextBody"/>
        <w:spacing w:before="240" w:after="0"/>
        <w:jc w:val="left"/>
        <w:rPr>
          <w:rFonts w:ascii="arial" w:hAnsi="arial"/>
          <w:b/>
          <w:color w:val="732282"/>
          <w:sz w:val="20"/>
        </w:rPr>
      </w:pPr>
      <w:r>
        <w:rPr>
          <w:rFonts w:ascii="arial" w:hAnsi="arial"/>
          <w:b/>
          <w:color w:val="732282"/>
          <w:sz w:val="20"/>
        </w:rPr>
        <w:t xml:space="preserve">Nonqualified Deferred Compensation </w:t>
      </w:r>
    </w:p>
    <w:p>
      <w:pPr>
        <w:pStyle w:val="TextBody"/>
        <w:spacing w:before="120" w:after="0"/>
        <w:jc w:val="both"/>
        <w:rPr>
          <w:rFonts w:ascii="arial" w:hAnsi="arial"/>
          <w:sz w:val="18"/>
        </w:rPr>
      </w:pPr>
      <w:r>
        <w:rPr>
          <w:rFonts w:ascii="arial" w:hAnsi="arial"/>
          <w:sz w:val="18"/>
        </w:rPr>
        <w:t xml:space="preserve">The following table sets forth information relating to the Restoration Plan for 2022. </w:t>
      </w:r>
    </w:p>
    <w:p>
      <w:pPr>
        <w:pStyle w:val="TextBody"/>
        <w:spacing w:before="0" w:after="0"/>
        <w:jc w:val="left"/>
        <w:rPr/>
      </w:pPr>
      <w:r>
        <w:rPr/>
        <w:t> </w:t>
      </w:r>
    </w:p>
    <w:tbl>
      <w:tblPr>
        <w:tblW w:w="8830" w:type="dxa"/>
        <w:jc w:val="left"/>
        <w:tblInd w:w="0" w:type="dxa"/>
        <w:tblCellMar>
          <w:top w:w="0" w:type="dxa"/>
          <w:left w:w="0" w:type="dxa"/>
          <w:bottom w:w="0" w:type="dxa"/>
          <w:right w:w="0" w:type="dxa"/>
        </w:tblCellMar>
      </w:tblPr>
      <w:tblGrid>
        <w:gridCol w:w="1370"/>
        <w:gridCol w:w="120"/>
        <w:gridCol w:w="60"/>
        <w:gridCol w:w="980"/>
        <w:gridCol w:w="60"/>
        <w:gridCol w:w="120"/>
        <w:gridCol w:w="78"/>
        <w:gridCol w:w="1052"/>
        <w:gridCol w:w="60"/>
        <w:gridCol w:w="120"/>
        <w:gridCol w:w="78"/>
        <w:gridCol w:w="1052"/>
        <w:gridCol w:w="60"/>
        <w:gridCol w:w="120"/>
        <w:gridCol w:w="60"/>
        <w:gridCol w:w="875"/>
        <w:gridCol w:w="155"/>
        <w:gridCol w:w="60"/>
        <w:gridCol w:w="197"/>
        <w:gridCol w:w="858"/>
        <w:gridCol w:w="60"/>
        <w:gridCol w:w="120"/>
        <w:gridCol w:w="60"/>
        <w:gridCol w:w="980"/>
        <w:gridCol w:w="75"/>
      </w:tblGrid>
      <w:tr>
        <w:trPr/>
        <w:tc>
          <w:tcPr>
            <w:tcW w:w="13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c>
          <w:tcPr>
            <w:tcW w:w="105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c>
          <w:tcPr>
            <w:tcW w:w="105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85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370" w:type="dxa"/>
            <w:tcBorders/>
            <w:shd w:fill="444444" w:val="clear"/>
            <w:vAlign w:val="center"/>
          </w:tcPr>
          <w:p>
            <w:pPr>
              <w:pStyle w:val="TableContents"/>
              <w:spacing w:before="0" w:after="283"/>
              <w:rPr>
                <w:b/>
                <w:color w:val="FFFFFF"/>
              </w:rPr>
            </w:pPr>
            <w:r>
              <w:rPr>
                <w:b/>
                <w:color w:val="FFFFFF"/>
              </w:rPr>
              <w:t>Name</w:t>
            </w:r>
          </w:p>
        </w:tc>
        <w:tc>
          <w:tcPr>
            <w:tcW w:w="120" w:type="dxa"/>
            <w:tcBorders/>
            <w:shd w:fill="444444" w:val="clear"/>
            <w:vAlign w:val="center"/>
          </w:tcPr>
          <w:p>
            <w:pPr>
              <w:pStyle w:val="TableContents"/>
              <w:spacing w:before="0" w:after="283"/>
              <w:rPr/>
            </w:pPr>
            <w:r>
              <w:rPr/>
              <w:t>  </w:t>
            </w:r>
          </w:p>
        </w:tc>
        <w:tc>
          <w:tcPr>
            <w:tcW w:w="1040" w:type="dxa"/>
            <w:gridSpan w:val="2"/>
            <w:tcBorders/>
            <w:shd w:fill="444444" w:val="clear"/>
            <w:vAlign w:val="center"/>
          </w:tcPr>
          <w:p>
            <w:pPr>
              <w:pStyle w:val="TableContents"/>
              <w:spacing w:before="0" w:after="0"/>
              <w:jc w:val="right"/>
              <w:rPr>
                <w:rFonts w:ascii="arial" w:hAnsi="arial"/>
                <w:b/>
                <w:color w:val="FFFFFF"/>
                <w:sz w:val="16"/>
              </w:rPr>
            </w:pPr>
            <w:r>
              <w:rPr>
                <w:rFonts w:ascii="arial" w:hAnsi="arial"/>
                <w:b/>
                <w:color w:val="FFFFFF"/>
                <w:sz w:val="16"/>
              </w:rPr>
              <w:t>Aggregate</w:t>
            </w:r>
          </w:p>
          <w:p>
            <w:pPr>
              <w:pStyle w:val="TableContents"/>
              <w:spacing w:before="0" w:after="0"/>
              <w:jc w:val="right"/>
              <w:rPr>
                <w:rFonts w:ascii="arial" w:hAnsi="arial"/>
                <w:b/>
                <w:color w:val="FFFFFF"/>
                <w:sz w:val="16"/>
              </w:rPr>
            </w:pPr>
            <w:r>
              <w:rPr>
                <w:rFonts w:ascii="arial" w:hAnsi="arial"/>
                <w:b/>
                <w:color w:val="FFFFFF"/>
                <w:sz w:val="16"/>
              </w:rPr>
              <w:t>Balance</w:t>
            </w:r>
          </w:p>
          <w:p>
            <w:pPr>
              <w:pStyle w:val="TableContents"/>
              <w:spacing w:before="0" w:after="0"/>
              <w:jc w:val="right"/>
              <w:rPr>
                <w:rFonts w:ascii="arial" w:hAnsi="arial"/>
                <w:b/>
                <w:color w:val="FFFFFF"/>
                <w:sz w:val="16"/>
              </w:rPr>
            </w:pPr>
            <w:r>
              <w:rPr>
                <w:rFonts w:ascii="arial" w:hAnsi="arial"/>
                <w:b/>
                <w:color w:val="FFFFFF"/>
                <w:sz w:val="16"/>
              </w:rPr>
              <w:t>at Last</w:t>
            </w:r>
          </w:p>
          <w:p>
            <w:pPr>
              <w:pStyle w:val="TableContents"/>
              <w:spacing w:before="0" w:after="0"/>
              <w:jc w:val="right"/>
              <w:rPr>
                <w:rFonts w:ascii="arial" w:hAnsi="arial"/>
                <w:b/>
                <w:color w:val="FFFFFF"/>
                <w:sz w:val="16"/>
              </w:rPr>
            </w:pPr>
            <w:r>
              <w:rPr>
                <w:rFonts w:ascii="arial" w:hAnsi="arial"/>
                <w:b/>
                <w:color w:val="FFFFFF"/>
                <w:sz w:val="16"/>
              </w:rPr>
              <w:t>FYE</w:t>
            </w:r>
          </w:p>
          <w:p>
            <w:pPr>
              <w:pStyle w:val="TableContents"/>
              <w:spacing w:before="0" w:after="20"/>
              <w:jc w:val="right"/>
              <w:rPr>
                <w:rFonts w:ascii="arial" w:hAnsi="arial"/>
                <w:b/>
                <w:color w:val="FFFFFF"/>
                <w:sz w:val="16"/>
              </w:rPr>
            </w:pPr>
            <w:r>
              <w:rPr>
                <w:rFonts w:ascii="arial" w:hAnsi="arial"/>
                <w:b/>
                <w:color w:val="FFFFFF"/>
                <w:sz w:val="16"/>
              </w:rPr>
              <w:t>($)</w:t>
            </w:r>
          </w:p>
        </w:tc>
        <w:tc>
          <w:tcPr>
            <w:tcW w:w="60" w:type="dxa"/>
            <w:tcBorders/>
            <w:shd w:fill="444444" w:val="clear"/>
            <w:vAlign w:val="center"/>
          </w:tcPr>
          <w:p>
            <w:pPr>
              <w:pStyle w:val="TableContents"/>
              <w:spacing w:before="0" w:after="283"/>
              <w:rPr/>
            </w:pPr>
            <w:r>
              <w:rPr/>
              <w:t> </w:t>
            </w:r>
          </w:p>
        </w:tc>
        <w:tc>
          <w:tcPr>
            <w:tcW w:w="120" w:type="dxa"/>
            <w:tcBorders/>
            <w:shd w:fill="444444" w:val="clear"/>
            <w:vAlign w:val="center"/>
          </w:tcPr>
          <w:p>
            <w:pPr>
              <w:pStyle w:val="TableContents"/>
              <w:spacing w:before="0" w:after="283"/>
              <w:rPr/>
            </w:pPr>
            <w:r>
              <w:rPr/>
              <w:t>  </w:t>
            </w:r>
          </w:p>
        </w:tc>
        <w:tc>
          <w:tcPr>
            <w:tcW w:w="1130" w:type="dxa"/>
            <w:gridSpan w:val="2"/>
            <w:tcBorders/>
            <w:shd w:fill="444444" w:val="clear"/>
            <w:vAlign w:val="center"/>
          </w:tcPr>
          <w:p>
            <w:pPr>
              <w:pStyle w:val="TableContents"/>
              <w:spacing w:before="0" w:after="0"/>
              <w:jc w:val="right"/>
              <w:rPr>
                <w:rFonts w:ascii="arial" w:hAnsi="arial"/>
                <w:b/>
                <w:color w:val="FFFFFF"/>
                <w:sz w:val="16"/>
              </w:rPr>
            </w:pPr>
            <w:r>
              <w:rPr>
                <w:rFonts w:ascii="arial" w:hAnsi="arial"/>
                <w:b/>
                <w:color w:val="FFFFFF"/>
                <w:sz w:val="16"/>
              </w:rPr>
              <w:t>Executive</w:t>
            </w:r>
          </w:p>
          <w:p>
            <w:pPr>
              <w:pStyle w:val="TableContents"/>
              <w:spacing w:before="0" w:after="0"/>
              <w:jc w:val="right"/>
              <w:rPr>
                <w:rFonts w:ascii="arial" w:hAnsi="arial"/>
                <w:b/>
                <w:color w:val="FFFFFF"/>
                <w:sz w:val="16"/>
              </w:rPr>
            </w:pPr>
            <w:r>
              <w:rPr>
                <w:rFonts w:ascii="arial" w:hAnsi="arial"/>
                <w:b/>
                <w:color w:val="FFFFFF"/>
                <w:sz w:val="16"/>
              </w:rPr>
              <w:t>Contributions</w:t>
            </w:r>
          </w:p>
          <w:p>
            <w:pPr>
              <w:pStyle w:val="TableContents"/>
              <w:spacing w:before="0" w:after="0"/>
              <w:jc w:val="right"/>
              <w:rPr>
                <w:rFonts w:ascii="arial" w:hAnsi="arial"/>
                <w:b/>
                <w:color w:val="FFFFFF"/>
                <w:sz w:val="16"/>
              </w:rPr>
            </w:pPr>
            <w:r>
              <w:rPr>
                <w:rFonts w:ascii="arial" w:hAnsi="arial"/>
                <w:b/>
                <w:color w:val="FFFFFF"/>
                <w:sz w:val="16"/>
              </w:rPr>
              <w:t>in Last FY</w:t>
            </w:r>
          </w:p>
          <w:p>
            <w:pPr>
              <w:pStyle w:val="TableContents"/>
              <w:spacing w:before="0" w:after="20"/>
              <w:jc w:val="right"/>
              <w:rPr>
                <w:rFonts w:ascii="arial" w:hAnsi="arial"/>
                <w:b/>
                <w:color w:val="FFFFFF"/>
                <w:sz w:val="16"/>
              </w:rPr>
            </w:pPr>
            <w:r>
              <w:rPr>
                <w:rFonts w:ascii="arial" w:hAnsi="arial"/>
                <w:b/>
                <w:color w:val="FFFFFF"/>
                <w:sz w:val="16"/>
              </w:rPr>
              <w:t>($)</w:t>
            </w:r>
          </w:p>
        </w:tc>
        <w:tc>
          <w:tcPr>
            <w:tcW w:w="60" w:type="dxa"/>
            <w:tcBorders/>
            <w:shd w:fill="444444" w:val="clear"/>
            <w:vAlign w:val="center"/>
          </w:tcPr>
          <w:p>
            <w:pPr>
              <w:pStyle w:val="TableContents"/>
              <w:spacing w:before="0" w:after="283"/>
              <w:rPr/>
            </w:pPr>
            <w:r>
              <w:rPr/>
              <w:t> </w:t>
            </w:r>
          </w:p>
        </w:tc>
        <w:tc>
          <w:tcPr>
            <w:tcW w:w="120" w:type="dxa"/>
            <w:tcBorders/>
            <w:shd w:fill="444444" w:val="clear"/>
            <w:vAlign w:val="center"/>
          </w:tcPr>
          <w:p>
            <w:pPr>
              <w:pStyle w:val="TableContents"/>
              <w:spacing w:before="0" w:after="283"/>
              <w:rPr/>
            </w:pPr>
            <w:r>
              <w:rPr/>
              <w:t>  </w:t>
            </w:r>
          </w:p>
        </w:tc>
        <w:tc>
          <w:tcPr>
            <w:tcW w:w="1130" w:type="dxa"/>
            <w:gridSpan w:val="2"/>
            <w:tcBorders/>
            <w:shd w:fill="444444" w:val="clear"/>
            <w:vAlign w:val="center"/>
          </w:tcPr>
          <w:p>
            <w:pPr>
              <w:pStyle w:val="TableContents"/>
              <w:spacing w:before="0" w:after="0"/>
              <w:jc w:val="right"/>
              <w:rPr>
                <w:rFonts w:ascii="arial" w:hAnsi="arial"/>
                <w:b/>
                <w:color w:val="FFFFFF"/>
                <w:sz w:val="16"/>
              </w:rPr>
            </w:pPr>
            <w:r>
              <w:rPr>
                <w:rFonts w:ascii="arial" w:hAnsi="arial"/>
                <w:b/>
                <w:color w:val="FFFFFF"/>
                <w:sz w:val="16"/>
              </w:rPr>
              <w:t>Company</w:t>
            </w:r>
          </w:p>
          <w:p>
            <w:pPr>
              <w:pStyle w:val="TableContents"/>
              <w:spacing w:before="0" w:after="0"/>
              <w:jc w:val="right"/>
              <w:rPr>
                <w:rFonts w:ascii="arial" w:hAnsi="arial"/>
                <w:b/>
                <w:color w:val="FFFFFF"/>
                <w:sz w:val="16"/>
              </w:rPr>
            </w:pPr>
            <w:r>
              <w:rPr>
                <w:rFonts w:ascii="arial" w:hAnsi="arial"/>
                <w:b/>
                <w:color w:val="FFFFFF"/>
                <w:sz w:val="16"/>
              </w:rPr>
              <w:t>Profit Sharing</w:t>
            </w:r>
          </w:p>
          <w:p>
            <w:pPr>
              <w:pStyle w:val="TableContents"/>
              <w:spacing w:before="0" w:after="0"/>
              <w:jc w:val="right"/>
              <w:rPr>
                <w:rFonts w:ascii="arial" w:hAnsi="arial"/>
                <w:b/>
                <w:color w:val="FFFFFF"/>
                <w:sz w:val="16"/>
              </w:rPr>
            </w:pPr>
            <w:r>
              <w:rPr>
                <w:rFonts w:ascii="arial" w:hAnsi="arial"/>
                <w:b/>
                <w:color w:val="FFFFFF"/>
                <w:sz w:val="16"/>
              </w:rPr>
              <w:t>and Match</w:t>
            </w:r>
          </w:p>
          <w:p>
            <w:pPr>
              <w:pStyle w:val="TableContents"/>
              <w:spacing w:before="0" w:after="0"/>
              <w:jc w:val="right"/>
              <w:rPr>
                <w:rFonts w:ascii="arial" w:hAnsi="arial"/>
                <w:b/>
                <w:color w:val="FFFFFF"/>
                <w:sz w:val="16"/>
              </w:rPr>
            </w:pPr>
            <w:r>
              <w:rPr>
                <w:rFonts w:ascii="arial" w:hAnsi="arial"/>
                <w:b/>
                <w:color w:val="FFFFFF"/>
                <w:sz w:val="16"/>
              </w:rPr>
              <w:t>Contributions</w:t>
            </w:r>
          </w:p>
          <w:p>
            <w:pPr>
              <w:pStyle w:val="TableContents"/>
              <w:spacing w:before="0" w:after="0"/>
              <w:jc w:val="right"/>
              <w:rPr>
                <w:rFonts w:ascii="arial" w:hAnsi="arial"/>
                <w:b/>
                <w:color w:val="FFFFFF"/>
                <w:sz w:val="16"/>
              </w:rPr>
            </w:pPr>
            <w:r>
              <w:rPr>
                <w:rFonts w:ascii="arial" w:hAnsi="arial"/>
                <w:b/>
                <w:color w:val="FFFFFF"/>
                <w:sz w:val="16"/>
              </w:rPr>
              <w:t>in Last FY</w:t>
            </w:r>
          </w:p>
          <w:p>
            <w:pPr>
              <w:pStyle w:val="TableContents"/>
              <w:spacing w:before="0" w:after="20"/>
              <w:jc w:val="right"/>
              <w:rPr>
                <w:rFonts w:ascii="arial" w:hAnsi="arial"/>
                <w:b/>
                <w:color w:val="FFFFFF"/>
                <w:sz w:val="16"/>
              </w:rPr>
            </w:pPr>
            <w:r>
              <w:rPr>
                <w:rFonts w:ascii="arial" w:hAnsi="arial"/>
                <w:b/>
                <w:color w:val="FFFFFF"/>
                <w:sz w:val="16"/>
              </w:rPr>
              <w:t>($)</w:t>
            </w:r>
          </w:p>
        </w:tc>
        <w:tc>
          <w:tcPr>
            <w:tcW w:w="60" w:type="dxa"/>
            <w:tcBorders/>
            <w:shd w:fill="444444" w:val="clear"/>
            <w:vAlign w:val="center"/>
          </w:tcPr>
          <w:p>
            <w:pPr>
              <w:pStyle w:val="TableContents"/>
              <w:spacing w:before="0" w:after="283"/>
              <w:rPr/>
            </w:pPr>
            <w:r>
              <w:rPr/>
              <w:t> </w:t>
            </w:r>
          </w:p>
        </w:tc>
        <w:tc>
          <w:tcPr>
            <w:tcW w:w="120" w:type="dxa"/>
            <w:tcBorders/>
            <w:shd w:fill="444444" w:val="clear"/>
            <w:vAlign w:val="center"/>
          </w:tcPr>
          <w:p>
            <w:pPr>
              <w:pStyle w:val="TableContents"/>
              <w:spacing w:before="0" w:after="283"/>
              <w:rPr/>
            </w:pPr>
            <w:r>
              <w:rPr/>
              <w:t>  </w:t>
            </w:r>
          </w:p>
        </w:tc>
        <w:tc>
          <w:tcPr>
            <w:tcW w:w="935" w:type="dxa"/>
            <w:gridSpan w:val="2"/>
            <w:tcBorders/>
            <w:shd w:fill="444444" w:val="clear"/>
            <w:vAlign w:val="center"/>
          </w:tcPr>
          <w:p>
            <w:pPr>
              <w:pStyle w:val="TableContents"/>
              <w:spacing w:before="0" w:after="0"/>
              <w:jc w:val="right"/>
              <w:rPr>
                <w:rFonts w:ascii="arial" w:hAnsi="arial"/>
                <w:b/>
                <w:color w:val="FFFFFF"/>
                <w:sz w:val="16"/>
              </w:rPr>
            </w:pPr>
            <w:r>
              <w:rPr>
                <w:rFonts w:ascii="arial" w:hAnsi="arial"/>
                <w:b/>
                <w:color w:val="FFFFFF"/>
                <w:sz w:val="16"/>
              </w:rPr>
              <w:t>Aggregate</w:t>
            </w:r>
          </w:p>
          <w:p>
            <w:pPr>
              <w:pStyle w:val="TableContents"/>
              <w:spacing w:before="0" w:after="0"/>
              <w:jc w:val="right"/>
              <w:rPr>
                <w:rFonts w:ascii="arial" w:hAnsi="arial"/>
                <w:b/>
                <w:color w:val="FFFFFF"/>
                <w:sz w:val="16"/>
              </w:rPr>
            </w:pPr>
            <w:r>
              <w:rPr>
                <w:rFonts w:ascii="arial" w:hAnsi="arial"/>
                <w:b/>
                <w:color w:val="FFFFFF"/>
                <w:sz w:val="16"/>
              </w:rPr>
              <w:t>Earnings</w:t>
            </w:r>
          </w:p>
          <w:p>
            <w:pPr>
              <w:pStyle w:val="TableContents"/>
              <w:spacing w:before="0" w:after="0"/>
              <w:jc w:val="right"/>
              <w:rPr>
                <w:rFonts w:ascii="arial" w:hAnsi="arial"/>
                <w:b/>
                <w:color w:val="FFFFFF"/>
                <w:sz w:val="16"/>
              </w:rPr>
            </w:pPr>
            <w:r>
              <w:rPr>
                <w:rFonts w:ascii="arial" w:hAnsi="arial"/>
                <w:b/>
                <w:color w:val="FFFFFF"/>
                <w:sz w:val="16"/>
              </w:rPr>
              <w:t>(Loss) in</w:t>
            </w:r>
          </w:p>
          <w:p>
            <w:pPr>
              <w:pStyle w:val="TableContents"/>
              <w:spacing w:before="0" w:after="0"/>
              <w:jc w:val="right"/>
              <w:rPr>
                <w:rFonts w:ascii="arial" w:hAnsi="arial"/>
                <w:b/>
                <w:color w:val="FFFFFF"/>
                <w:sz w:val="16"/>
              </w:rPr>
            </w:pPr>
            <w:r>
              <w:rPr>
                <w:rFonts w:ascii="arial" w:hAnsi="arial"/>
                <w:b/>
                <w:color w:val="FFFFFF"/>
                <w:sz w:val="16"/>
              </w:rPr>
              <w:t>Last FY</w:t>
            </w:r>
          </w:p>
          <w:p>
            <w:pPr>
              <w:pStyle w:val="TableContents"/>
              <w:spacing w:before="0" w:after="20"/>
              <w:jc w:val="right"/>
              <w:rPr>
                <w:rFonts w:ascii="arial" w:hAnsi="arial"/>
                <w:b/>
                <w:color w:val="FFFFFF"/>
                <w:sz w:val="16"/>
              </w:rPr>
            </w:pPr>
            <w:r>
              <w:rPr>
                <w:rFonts w:ascii="arial" w:hAnsi="arial"/>
                <w:b/>
                <w:color w:val="FFFFFF"/>
                <w:sz w:val="16"/>
              </w:rPr>
              <w:t>($)</w:t>
            </w:r>
          </w:p>
        </w:tc>
        <w:tc>
          <w:tcPr>
            <w:tcW w:w="155" w:type="dxa"/>
            <w:tcBorders/>
            <w:shd w:fill="444444" w:val="clear"/>
            <w:vAlign w:val="center"/>
          </w:tcPr>
          <w:p>
            <w:pPr>
              <w:pStyle w:val="TableContents"/>
              <w:spacing w:before="0" w:after="283"/>
              <w:rPr/>
            </w:pPr>
            <w:r>
              <w:rPr/>
              <w:t> </w:t>
            </w:r>
          </w:p>
        </w:tc>
        <w:tc>
          <w:tcPr>
            <w:tcW w:w="60" w:type="dxa"/>
            <w:tcBorders/>
            <w:shd w:fill="444444" w:val="clear"/>
            <w:vAlign w:val="center"/>
          </w:tcPr>
          <w:p>
            <w:pPr>
              <w:pStyle w:val="TableContents"/>
              <w:spacing w:before="0" w:after="283"/>
              <w:rPr/>
            </w:pPr>
            <w:r>
              <w:rPr/>
              <w:t> </w:t>
            </w:r>
          </w:p>
        </w:tc>
        <w:tc>
          <w:tcPr>
            <w:tcW w:w="1055" w:type="dxa"/>
            <w:gridSpan w:val="2"/>
            <w:tcBorders/>
            <w:shd w:fill="444444" w:val="clear"/>
            <w:vAlign w:val="center"/>
          </w:tcPr>
          <w:p>
            <w:pPr>
              <w:pStyle w:val="TableContents"/>
              <w:spacing w:before="0" w:after="0"/>
              <w:jc w:val="right"/>
              <w:rPr>
                <w:rFonts w:ascii="arial" w:hAnsi="arial"/>
                <w:b/>
                <w:color w:val="FFFFFF"/>
                <w:sz w:val="16"/>
              </w:rPr>
            </w:pPr>
            <w:r>
              <w:rPr>
                <w:rFonts w:ascii="arial" w:hAnsi="arial"/>
                <w:b/>
                <w:color w:val="FFFFFF"/>
                <w:sz w:val="16"/>
              </w:rPr>
              <w:t>Aggregate</w:t>
            </w:r>
          </w:p>
          <w:p>
            <w:pPr>
              <w:pStyle w:val="TableContents"/>
              <w:spacing w:before="0" w:after="0"/>
              <w:jc w:val="right"/>
              <w:rPr>
                <w:rFonts w:ascii="arial" w:hAnsi="arial"/>
                <w:b/>
                <w:color w:val="FFFFFF"/>
                <w:sz w:val="16"/>
              </w:rPr>
            </w:pPr>
            <w:r>
              <w:rPr>
                <w:rFonts w:ascii="arial" w:hAnsi="arial"/>
                <w:b/>
                <w:color w:val="FFFFFF"/>
                <w:sz w:val="16"/>
              </w:rPr>
              <w:t>Withdrawals/</w:t>
            </w:r>
          </w:p>
          <w:p>
            <w:pPr>
              <w:pStyle w:val="TableContents"/>
              <w:spacing w:before="0" w:after="0"/>
              <w:jc w:val="right"/>
              <w:rPr>
                <w:rFonts w:ascii="arial" w:hAnsi="arial"/>
                <w:b/>
                <w:color w:val="FFFFFF"/>
                <w:sz w:val="16"/>
              </w:rPr>
            </w:pPr>
            <w:r>
              <w:rPr>
                <w:rFonts w:ascii="arial" w:hAnsi="arial"/>
                <w:b/>
                <w:color w:val="FFFFFF"/>
                <w:sz w:val="16"/>
              </w:rPr>
              <w:t>Distributions</w:t>
            </w:r>
          </w:p>
          <w:p>
            <w:pPr>
              <w:pStyle w:val="TableContents"/>
              <w:spacing w:before="0" w:after="20"/>
              <w:jc w:val="right"/>
              <w:rPr>
                <w:rFonts w:ascii="arial" w:hAnsi="arial"/>
                <w:b/>
                <w:color w:val="FFFFFF"/>
                <w:sz w:val="16"/>
              </w:rPr>
            </w:pPr>
            <w:r>
              <w:rPr>
                <w:rFonts w:ascii="arial" w:hAnsi="arial"/>
                <w:b/>
                <w:color w:val="FFFFFF"/>
                <w:sz w:val="16"/>
              </w:rPr>
              <w:t>($)</w:t>
            </w:r>
          </w:p>
        </w:tc>
        <w:tc>
          <w:tcPr>
            <w:tcW w:w="60" w:type="dxa"/>
            <w:tcBorders/>
            <w:shd w:fill="444444" w:val="clear"/>
            <w:vAlign w:val="center"/>
          </w:tcPr>
          <w:p>
            <w:pPr>
              <w:pStyle w:val="TableContents"/>
              <w:spacing w:before="0" w:after="283"/>
              <w:rPr/>
            </w:pPr>
            <w:r>
              <w:rPr/>
              <w:t> </w:t>
            </w:r>
          </w:p>
        </w:tc>
        <w:tc>
          <w:tcPr>
            <w:tcW w:w="120" w:type="dxa"/>
            <w:tcBorders/>
            <w:shd w:fill="444444" w:val="clear"/>
            <w:vAlign w:val="center"/>
          </w:tcPr>
          <w:p>
            <w:pPr>
              <w:pStyle w:val="TableContents"/>
              <w:spacing w:before="0" w:after="283"/>
              <w:rPr/>
            </w:pPr>
            <w:r>
              <w:rPr/>
              <w:t>  </w:t>
            </w:r>
          </w:p>
        </w:tc>
        <w:tc>
          <w:tcPr>
            <w:tcW w:w="1040" w:type="dxa"/>
            <w:gridSpan w:val="2"/>
            <w:tcBorders/>
            <w:shd w:fill="444444" w:val="clear"/>
            <w:vAlign w:val="center"/>
          </w:tcPr>
          <w:p>
            <w:pPr>
              <w:pStyle w:val="TableContents"/>
              <w:spacing w:before="0" w:after="0"/>
              <w:jc w:val="right"/>
              <w:rPr>
                <w:rFonts w:ascii="arial" w:hAnsi="arial"/>
                <w:b/>
                <w:color w:val="FFFFFF"/>
                <w:sz w:val="16"/>
              </w:rPr>
            </w:pPr>
            <w:r>
              <w:rPr>
                <w:rFonts w:ascii="arial" w:hAnsi="arial"/>
                <w:b/>
                <w:color w:val="FFFFFF"/>
                <w:sz w:val="16"/>
              </w:rPr>
              <w:t>Aggregate</w:t>
            </w:r>
          </w:p>
          <w:p>
            <w:pPr>
              <w:pStyle w:val="TableContents"/>
              <w:spacing w:before="0" w:after="0"/>
              <w:jc w:val="right"/>
              <w:rPr>
                <w:rFonts w:ascii="arial" w:hAnsi="arial"/>
                <w:b/>
                <w:color w:val="FFFFFF"/>
                <w:sz w:val="16"/>
              </w:rPr>
            </w:pPr>
            <w:r>
              <w:rPr>
                <w:rFonts w:ascii="arial" w:hAnsi="arial"/>
                <w:b/>
                <w:color w:val="FFFFFF"/>
                <w:sz w:val="16"/>
              </w:rPr>
              <w:t>Balance</w:t>
            </w:r>
          </w:p>
          <w:p>
            <w:pPr>
              <w:pStyle w:val="TableContents"/>
              <w:spacing w:before="0" w:after="0"/>
              <w:jc w:val="right"/>
              <w:rPr>
                <w:rFonts w:ascii="arial" w:hAnsi="arial"/>
                <w:b/>
                <w:color w:val="FFFFFF"/>
                <w:sz w:val="16"/>
              </w:rPr>
            </w:pPr>
            <w:r>
              <w:rPr>
                <w:rFonts w:ascii="arial" w:hAnsi="arial"/>
                <w:b/>
                <w:color w:val="FFFFFF"/>
                <w:sz w:val="16"/>
              </w:rPr>
              <w:t>at FYE</w:t>
            </w:r>
          </w:p>
          <w:p>
            <w:pPr>
              <w:pStyle w:val="TableContents"/>
              <w:spacing w:before="0" w:after="20"/>
              <w:jc w:val="right"/>
              <w:rPr>
                <w:rFonts w:ascii="arial" w:hAnsi="arial"/>
                <w:b/>
                <w:color w:val="FFFFFF"/>
                <w:sz w:val="16"/>
              </w:rPr>
            </w:pPr>
            <w:r>
              <w:rPr>
                <w:rFonts w:ascii="arial" w:hAnsi="arial"/>
                <w:b/>
                <w:color w:val="FFFFFF"/>
                <w:sz w:val="16"/>
              </w:rPr>
              <w:t>($)</w:t>
            </w:r>
          </w:p>
        </w:tc>
        <w:tc>
          <w:tcPr>
            <w:tcW w:w="75" w:type="dxa"/>
            <w:tcBorders/>
            <w:shd w:fill="444444" w:val="clear"/>
            <w:vAlign w:val="center"/>
          </w:tcPr>
          <w:p>
            <w:pPr>
              <w:pStyle w:val="TableContents"/>
              <w:spacing w:before="0" w:after="283"/>
              <w:rPr/>
            </w:pPr>
            <w:r>
              <w:rPr/>
              <w:t> </w:t>
            </w:r>
          </w:p>
        </w:tc>
      </w:tr>
      <w:tr>
        <w:trPr/>
        <w:tc>
          <w:tcPr>
            <w:tcW w:w="1370" w:type="dxa"/>
            <w:tcBorders/>
            <w:shd w:fill="E5E5E5" w:val="clear"/>
            <w:vAlign w:val="center"/>
          </w:tcPr>
          <w:p>
            <w:pPr>
              <w:pStyle w:val="TableContents"/>
              <w:spacing w:before="0" w:after="0"/>
              <w:rPr>
                <w:rFonts w:ascii="arial" w:hAnsi="arial"/>
                <w:sz w:val="18"/>
              </w:rPr>
            </w:pPr>
            <w:r>
              <w:rPr>
                <w:rFonts w:ascii="arial" w:hAnsi="arial"/>
                <w:sz w:val="18"/>
              </w:rPr>
              <w:t>Michael Goettler</w:t>
            </w:r>
          </w:p>
        </w:tc>
        <w:tc>
          <w:tcPr>
            <w:tcW w:w="12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980" w:type="dxa"/>
            <w:tcBorders/>
            <w:shd w:fill="E5E5E5" w:val="clear"/>
            <w:vAlign w:val="center"/>
          </w:tcPr>
          <w:p>
            <w:pPr>
              <w:pStyle w:val="TableContents"/>
              <w:spacing w:before="0" w:after="283"/>
              <w:jc w:val="right"/>
              <w:rPr/>
            </w:pPr>
            <w:r>
              <w:rPr/>
              <w:t>166,659</w:t>
            </w:r>
          </w:p>
        </w:tc>
        <w:tc>
          <w:tcPr>
            <w:tcW w:w="60" w:type="dxa"/>
            <w:tcBorders/>
            <w:shd w:fill="E5E5E5" w:val="clear"/>
            <w:vAlign w:val="center"/>
          </w:tcPr>
          <w:p>
            <w:pPr>
              <w:pStyle w:val="TableContents"/>
              <w:spacing w:before="0" w:after="283"/>
              <w:rPr/>
            </w:pPr>
            <w:r>
              <w:rPr/>
              <w:t> </w:t>
            </w:r>
          </w:p>
        </w:tc>
        <w:tc>
          <w:tcPr>
            <w:tcW w:w="120" w:type="dxa"/>
            <w:tcBorders/>
            <w:shd w:fill="E5E5E5" w:val="clear"/>
            <w:vAlign w:val="center"/>
          </w:tcPr>
          <w:p>
            <w:pPr>
              <w:pStyle w:val="TableContents"/>
              <w:spacing w:before="0" w:after="283"/>
              <w:rPr/>
            </w:pPr>
            <w:r>
              <w:rPr/>
              <w:t>  </w:t>
            </w:r>
          </w:p>
        </w:tc>
        <w:tc>
          <w:tcPr>
            <w:tcW w:w="78" w:type="dxa"/>
            <w:tcBorders/>
            <w:shd w:fill="E5E5E5" w:val="clear"/>
            <w:vAlign w:val="center"/>
          </w:tcPr>
          <w:p>
            <w:pPr>
              <w:pStyle w:val="TableContents"/>
              <w:spacing w:before="0" w:after="283"/>
              <w:rPr/>
            </w:pPr>
            <w:r>
              <w:rPr/>
              <w:t> </w:t>
            </w:r>
          </w:p>
        </w:tc>
        <w:tc>
          <w:tcPr>
            <w:tcW w:w="1052" w:type="dxa"/>
            <w:tcBorders/>
            <w:shd w:fill="E5E5E5" w:val="clear"/>
            <w:vAlign w:val="center"/>
          </w:tcPr>
          <w:p>
            <w:pPr>
              <w:pStyle w:val="TableContents"/>
              <w:spacing w:before="0" w:after="283"/>
              <w:jc w:val="right"/>
              <w:rPr/>
            </w:pPr>
            <w:r>
              <w:rPr/>
              <w:t>188,445</w:t>
            </w:r>
          </w:p>
        </w:tc>
        <w:tc>
          <w:tcPr>
            <w:tcW w:w="60" w:type="dxa"/>
            <w:tcBorders/>
            <w:shd w:fill="E5E5E5" w:val="clear"/>
            <w:vAlign w:val="center"/>
          </w:tcPr>
          <w:p>
            <w:pPr>
              <w:pStyle w:val="TableContents"/>
              <w:spacing w:before="0" w:after="283"/>
              <w:rPr/>
            </w:pPr>
            <w:r>
              <w:rPr/>
              <w:t> </w:t>
            </w:r>
          </w:p>
        </w:tc>
        <w:tc>
          <w:tcPr>
            <w:tcW w:w="120" w:type="dxa"/>
            <w:tcBorders/>
            <w:shd w:fill="E5E5E5" w:val="clear"/>
            <w:vAlign w:val="center"/>
          </w:tcPr>
          <w:p>
            <w:pPr>
              <w:pStyle w:val="TableContents"/>
              <w:spacing w:before="0" w:after="283"/>
              <w:rPr/>
            </w:pPr>
            <w:r>
              <w:rPr/>
              <w:t>  </w:t>
            </w:r>
          </w:p>
        </w:tc>
        <w:tc>
          <w:tcPr>
            <w:tcW w:w="78" w:type="dxa"/>
            <w:tcBorders/>
            <w:shd w:fill="E5E5E5" w:val="clear"/>
            <w:vAlign w:val="center"/>
          </w:tcPr>
          <w:p>
            <w:pPr>
              <w:pStyle w:val="TableContents"/>
              <w:spacing w:before="0" w:after="283"/>
              <w:rPr/>
            </w:pPr>
            <w:r>
              <w:rPr/>
              <w:t> </w:t>
            </w:r>
          </w:p>
        </w:tc>
        <w:tc>
          <w:tcPr>
            <w:tcW w:w="1052" w:type="dxa"/>
            <w:tcBorders/>
            <w:shd w:fill="E5E5E5" w:val="clear"/>
            <w:vAlign w:val="center"/>
          </w:tcPr>
          <w:p>
            <w:pPr>
              <w:pStyle w:val="TableContents"/>
              <w:spacing w:before="0" w:after="283"/>
              <w:jc w:val="right"/>
              <w:rPr/>
            </w:pPr>
            <w:r>
              <w:rPr/>
              <w:t>325,761</w:t>
            </w:r>
          </w:p>
        </w:tc>
        <w:tc>
          <w:tcPr>
            <w:tcW w:w="60" w:type="dxa"/>
            <w:tcBorders/>
            <w:shd w:fill="E5E5E5" w:val="clear"/>
            <w:vAlign w:val="center"/>
          </w:tcPr>
          <w:p>
            <w:pPr>
              <w:pStyle w:val="TableContents"/>
              <w:spacing w:before="0" w:after="283"/>
              <w:rPr/>
            </w:pPr>
            <w:r>
              <w:rPr/>
              <w:t> </w:t>
            </w:r>
          </w:p>
        </w:tc>
        <w:tc>
          <w:tcPr>
            <w:tcW w:w="12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875" w:type="dxa"/>
            <w:tcBorders/>
            <w:shd w:fill="E5E5E5" w:val="clear"/>
            <w:vAlign w:val="center"/>
          </w:tcPr>
          <w:p>
            <w:pPr>
              <w:pStyle w:val="TableContents"/>
              <w:spacing w:before="0" w:after="283"/>
              <w:jc w:val="right"/>
              <w:rPr/>
            </w:pPr>
            <w:r>
              <w:rPr/>
              <w:t>(69,356</w:t>
            </w:r>
          </w:p>
        </w:tc>
        <w:tc>
          <w:tcPr>
            <w:tcW w:w="155"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197" w:type="dxa"/>
            <w:tcBorders/>
            <w:shd w:fill="E5E5E5" w:val="clear"/>
            <w:vAlign w:val="center"/>
          </w:tcPr>
          <w:p>
            <w:pPr>
              <w:pStyle w:val="TableContents"/>
              <w:spacing w:before="0" w:after="283"/>
              <w:rPr/>
            </w:pPr>
            <w:r>
              <w:rPr/>
              <w:t> </w:t>
            </w:r>
          </w:p>
        </w:tc>
        <w:tc>
          <w:tcPr>
            <w:tcW w:w="858" w:type="dxa"/>
            <w:tcBorders/>
            <w:shd w:fill="E5E5E5" w:val="clear"/>
            <w:vAlign w:val="center"/>
          </w:tcPr>
          <w:p>
            <w:pPr>
              <w:pStyle w:val="TableContents"/>
              <w:spacing w:before="0" w:after="283"/>
              <w:jc w:val="right"/>
              <w:rPr/>
            </w:pPr>
            <w:r>
              <w:rPr/>
              <w:t>—</w:t>
            </w:r>
          </w:p>
        </w:tc>
        <w:tc>
          <w:tcPr>
            <w:tcW w:w="60" w:type="dxa"/>
            <w:tcBorders/>
            <w:shd w:fill="E5E5E5" w:val="clear"/>
            <w:vAlign w:val="center"/>
          </w:tcPr>
          <w:p>
            <w:pPr>
              <w:pStyle w:val="TableContents"/>
              <w:spacing w:before="0" w:after="283"/>
              <w:rPr/>
            </w:pPr>
            <w:r>
              <w:rPr/>
              <w:t> </w:t>
            </w:r>
          </w:p>
        </w:tc>
        <w:tc>
          <w:tcPr>
            <w:tcW w:w="12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980" w:type="dxa"/>
            <w:tcBorders/>
            <w:shd w:fill="E5E5E5" w:val="clear"/>
            <w:vAlign w:val="center"/>
          </w:tcPr>
          <w:p>
            <w:pPr>
              <w:pStyle w:val="TableContents"/>
              <w:spacing w:before="0" w:after="283"/>
              <w:jc w:val="right"/>
              <w:rPr/>
            </w:pPr>
            <w:r>
              <w:rPr/>
              <w:t>611,509</w:t>
            </w:r>
          </w:p>
        </w:tc>
        <w:tc>
          <w:tcPr>
            <w:tcW w:w="75" w:type="dxa"/>
            <w:tcBorders/>
            <w:shd w:fill="E5E5E5" w:val="clear"/>
            <w:vAlign w:val="center"/>
          </w:tcPr>
          <w:p>
            <w:pPr>
              <w:pStyle w:val="TableContents"/>
              <w:spacing w:before="0" w:after="283"/>
              <w:rPr/>
            </w:pPr>
            <w:r>
              <w:rPr/>
              <w:t> </w:t>
            </w:r>
          </w:p>
        </w:tc>
      </w:tr>
      <w:tr>
        <w:trPr/>
        <w:tc>
          <w:tcPr>
            <w:tcW w:w="1370" w:type="dxa"/>
            <w:tcBorders/>
            <w:shd w:fill="auto" w:val="clear"/>
            <w:vAlign w:val="center"/>
          </w:tcPr>
          <w:p>
            <w:pPr>
              <w:pStyle w:val="TableContents"/>
              <w:spacing w:before="0" w:after="0"/>
              <w:rPr>
                <w:rFonts w:ascii="arial" w:hAnsi="arial"/>
                <w:sz w:val="18"/>
              </w:rPr>
            </w:pPr>
            <w:r>
              <w:rPr>
                <w:rFonts w:ascii="arial" w:hAnsi="arial"/>
                <w:sz w:val="18"/>
              </w:rPr>
              <w:t>Sanjeev Narula</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52,988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052" w:type="dxa"/>
            <w:tcBorders/>
            <w:shd w:fill="auto" w:val="clear"/>
            <w:vAlign w:val="center"/>
          </w:tcPr>
          <w:p>
            <w:pPr>
              <w:pStyle w:val="TableContents"/>
              <w:spacing w:before="0" w:after="283"/>
              <w:jc w:val="right"/>
              <w:rPr/>
            </w:pPr>
            <w:r>
              <w:rPr/>
              <w:t>82,398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052" w:type="dxa"/>
            <w:tcBorders/>
            <w:shd w:fill="auto" w:val="clear"/>
            <w:vAlign w:val="center"/>
          </w:tcPr>
          <w:p>
            <w:pPr>
              <w:pStyle w:val="TableContents"/>
              <w:spacing w:before="0" w:after="283"/>
              <w:jc w:val="right"/>
              <w:rPr/>
            </w:pPr>
            <w:r>
              <w:rPr/>
              <w:t>141,034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(23,400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7" w:type="dxa"/>
            <w:tcBorders/>
            <w:shd w:fill="auto" w:val="clear"/>
            <w:vAlign w:val="center"/>
          </w:tcPr>
          <w:p>
            <w:pPr>
              <w:pStyle w:val="TableContents"/>
              <w:spacing w:before="0" w:after="283"/>
              <w:rPr/>
            </w:pPr>
            <w:r>
              <w:rPr/>
              <w:t> </w:t>
            </w:r>
          </w:p>
        </w:tc>
        <w:tc>
          <w:tcPr>
            <w:tcW w:w="858"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253,020</w:t>
            </w:r>
          </w:p>
        </w:tc>
        <w:tc>
          <w:tcPr>
            <w:tcW w:w="75" w:type="dxa"/>
            <w:tcBorders/>
            <w:shd w:fill="auto" w:val="clear"/>
            <w:vAlign w:val="center"/>
          </w:tcPr>
          <w:p>
            <w:pPr>
              <w:pStyle w:val="TableContents"/>
              <w:spacing w:before="0" w:after="283"/>
              <w:rPr/>
            </w:pPr>
            <w:r>
              <w:rPr/>
              <w:t> </w:t>
            </w:r>
          </w:p>
        </w:tc>
      </w:tr>
      <w:tr>
        <w:trPr/>
        <w:tc>
          <w:tcPr>
            <w:tcW w:w="1370" w:type="dxa"/>
            <w:tcBorders/>
            <w:shd w:fill="E5E5E5" w:val="clear"/>
            <w:vAlign w:val="center"/>
          </w:tcPr>
          <w:p>
            <w:pPr>
              <w:pStyle w:val="TableContents"/>
              <w:spacing w:before="0" w:after="0"/>
              <w:rPr>
                <w:rFonts w:ascii="arial" w:hAnsi="arial"/>
                <w:sz w:val="18"/>
              </w:rPr>
            </w:pPr>
            <w:r>
              <w:rPr>
                <w:rFonts w:ascii="arial" w:hAnsi="arial"/>
                <w:sz w:val="18"/>
              </w:rPr>
              <w:t>Rajiv Malik</w:t>
            </w:r>
          </w:p>
        </w:tc>
        <w:tc>
          <w:tcPr>
            <w:tcW w:w="12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980" w:type="dxa"/>
            <w:tcBorders/>
            <w:shd w:fill="E5E5E5" w:val="clear"/>
            <w:vAlign w:val="center"/>
          </w:tcPr>
          <w:p>
            <w:pPr>
              <w:pStyle w:val="TableContents"/>
              <w:spacing w:before="0" w:after="283"/>
              <w:jc w:val="right"/>
              <w:rPr/>
            </w:pPr>
            <w:r>
              <w:rPr/>
              <w:t>1,020,325</w:t>
            </w:r>
          </w:p>
        </w:tc>
        <w:tc>
          <w:tcPr>
            <w:tcW w:w="60" w:type="dxa"/>
            <w:tcBorders/>
            <w:shd w:fill="E5E5E5" w:val="clear"/>
            <w:vAlign w:val="center"/>
          </w:tcPr>
          <w:p>
            <w:pPr>
              <w:pStyle w:val="TableContents"/>
              <w:spacing w:before="0" w:after="283"/>
              <w:rPr/>
            </w:pPr>
            <w:r>
              <w:rPr/>
              <w:t> </w:t>
            </w:r>
          </w:p>
        </w:tc>
        <w:tc>
          <w:tcPr>
            <w:tcW w:w="120" w:type="dxa"/>
            <w:tcBorders/>
            <w:shd w:fill="E5E5E5" w:val="clear"/>
            <w:vAlign w:val="center"/>
          </w:tcPr>
          <w:p>
            <w:pPr>
              <w:pStyle w:val="TableContents"/>
              <w:spacing w:before="0" w:after="283"/>
              <w:rPr/>
            </w:pPr>
            <w:r>
              <w:rPr/>
              <w:t>  </w:t>
            </w:r>
          </w:p>
        </w:tc>
        <w:tc>
          <w:tcPr>
            <w:tcW w:w="78" w:type="dxa"/>
            <w:tcBorders/>
            <w:shd w:fill="E5E5E5" w:val="clear"/>
            <w:vAlign w:val="center"/>
          </w:tcPr>
          <w:p>
            <w:pPr>
              <w:pStyle w:val="TableContents"/>
              <w:spacing w:before="0" w:after="283"/>
              <w:rPr/>
            </w:pPr>
            <w:r>
              <w:rPr/>
              <w:t> </w:t>
            </w:r>
          </w:p>
        </w:tc>
        <w:tc>
          <w:tcPr>
            <w:tcW w:w="1052" w:type="dxa"/>
            <w:tcBorders/>
            <w:shd w:fill="E5E5E5" w:val="clear"/>
            <w:vAlign w:val="center"/>
          </w:tcPr>
          <w:p>
            <w:pPr>
              <w:pStyle w:val="TableContents"/>
              <w:spacing w:before="0" w:after="283"/>
              <w:jc w:val="right"/>
              <w:rPr/>
            </w:pPr>
            <w:r>
              <w:rPr/>
              <w:t>—</w:t>
            </w:r>
          </w:p>
        </w:tc>
        <w:tc>
          <w:tcPr>
            <w:tcW w:w="60" w:type="dxa"/>
            <w:tcBorders/>
            <w:shd w:fill="E5E5E5" w:val="clear"/>
            <w:vAlign w:val="center"/>
          </w:tcPr>
          <w:p>
            <w:pPr>
              <w:pStyle w:val="TableContents"/>
              <w:spacing w:before="0" w:after="283"/>
              <w:rPr/>
            </w:pPr>
            <w:r>
              <w:rPr/>
              <w:t> </w:t>
            </w:r>
          </w:p>
        </w:tc>
        <w:tc>
          <w:tcPr>
            <w:tcW w:w="120" w:type="dxa"/>
            <w:tcBorders/>
            <w:shd w:fill="E5E5E5" w:val="clear"/>
            <w:vAlign w:val="center"/>
          </w:tcPr>
          <w:p>
            <w:pPr>
              <w:pStyle w:val="TableContents"/>
              <w:spacing w:before="0" w:after="283"/>
              <w:rPr/>
            </w:pPr>
            <w:r>
              <w:rPr/>
              <w:t>  </w:t>
            </w:r>
          </w:p>
        </w:tc>
        <w:tc>
          <w:tcPr>
            <w:tcW w:w="78" w:type="dxa"/>
            <w:tcBorders/>
            <w:shd w:fill="E5E5E5" w:val="clear"/>
            <w:vAlign w:val="center"/>
          </w:tcPr>
          <w:p>
            <w:pPr>
              <w:pStyle w:val="TableContents"/>
              <w:spacing w:before="0" w:after="283"/>
              <w:rPr/>
            </w:pPr>
            <w:r>
              <w:rPr/>
              <w:t> </w:t>
            </w:r>
          </w:p>
        </w:tc>
        <w:tc>
          <w:tcPr>
            <w:tcW w:w="1052" w:type="dxa"/>
            <w:tcBorders/>
            <w:shd w:fill="E5E5E5" w:val="clear"/>
            <w:vAlign w:val="center"/>
          </w:tcPr>
          <w:p>
            <w:pPr>
              <w:pStyle w:val="TableContents"/>
              <w:spacing w:before="0" w:after="283"/>
              <w:jc w:val="right"/>
              <w:rPr/>
            </w:pPr>
            <w:r>
              <w:rPr/>
              <w:t>224,509</w:t>
            </w:r>
          </w:p>
        </w:tc>
        <w:tc>
          <w:tcPr>
            <w:tcW w:w="60" w:type="dxa"/>
            <w:tcBorders/>
            <w:shd w:fill="E5E5E5" w:val="clear"/>
            <w:vAlign w:val="center"/>
          </w:tcPr>
          <w:p>
            <w:pPr>
              <w:pStyle w:val="TableContents"/>
              <w:spacing w:before="0" w:after="283"/>
              <w:rPr/>
            </w:pPr>
            <w:r>
              <w:rPr/>
              <w:t> </w:t>
            </w:r>
          </w:p>
        </w:tc>
        <w:tc>
          <w:tcPr>
            <w:tcW w:w="12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875" w:type="dxa"/>
            <w:tcBorders/>
            <w:shd w:fill="E5E5E5" w:val="clear"/>
            <w:vAlign w:val="center"/>
          </w:tcPr>
          <w:p>
            <w:pPr>
              <w:pStyle w:val="TableContents"/>
              <w:spacing w:before="0" w:after="283"/>
              <w:jc w:val="right"/>
              <w:rPr/>
            </w:pPr>
            <w:r>
              <w:rPr/>
              <w:t>(208,190</w:t>
            </w:r>
          </w:p>
        </w:tc>
        <w:tc>
          <w:tcPr>
            <w:tcW w:w="155"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197" w:type="dxa"/>
            <w:tcBorders/>
            <w:shd w:fill="E5E5E5" w:val="clear"/>
            <w:vAlign w:val="center"/>
          </w:tcPr>
          <w:p>
            <w:pPr>
              <w:pStyle w:val="TableContents"/>
              <w:spacing w:before="0" w:after="283"/>
              <w:rPr/>
            </w:pPr>
            <w:r>
              <w:rPr/>
              <w:t> </w:t>
            </w:r>
          </w:p>
        </w:tc>
        <w:tc>
          <w:tcPr>
            <w:tcW w:w="858" w:type="dxa"/>
            <w:tcBorders/>
            <w:shd w:fill="E5E5E5" w:val="clear"/>
            <w:vAlign w:val="center"/>
          </w:tcPr>
          <w:p>
            <w:pPr>
              <w:pStyle w:val="TableContents"/>
              <w:spacing w:before="0" w:after="283"/>
              <w:jc w:val="right"/>
              <w:rPr/>
            </w:pPr>
            <w:r>
              <w:rPr/>
              <w:t>—</w:t>
            </w:r>
          </w:p>
        </w:tc>
        <w:tc>
          <w:tcPr>
            <w:tcW w:w="60" w:type="dxa"/>
            <w:tcBorders/>
            <w:shd w:fill="E5E5E5" w:val="clear"/>
            <w:vAlign w:val="center"/>
          </w:tcPr>
          <w:p>
            <w:pPr>
              <w:pStyle w:val="TableContents"/>
              <w:spacing w:before="0" w:after="283"/>
              <w:rPr/>
            </w:pPr>
            <w:r>
              <w:rPr/>
              <w:t> </w:t>
            </w:r>
          </w:p>
        </w:tc>
        <w:tc>
          <w:tcPr>
            <w:tcW w:w="12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980" w:type="dxa"/>
            <w:tcBorders/>
            <w:shd w:fill="E5E5E5" w:val="clear"/>
            <w:vAlign w:val="center"/>
          </w:tcPr>
          <w:p>
            <w:pPr>
              <w:pStyle w:val="TableContents"/>
              <w:spacing w:before="0" w:after="283"/>
              <w:jc w:val="right"/>
              <w:rPr/>
            </w:pPr>
            <w:r>
              <w:rPr/>
              <w:t>1,036,644</w:t>
            </w:r>
          </w:p>
        </w:tc>
        <w:tc>
          <w:tcPr>
            <w:tcW w:w="75" w:type="dxa"/>
            <w:tcBorders/>
            <w:shd w:fill="E5E5E5" w:val="clear"/>
            <w:vAlign w:val="center"/>
          </w:tcPr>
          <w:p>
            <w:pPr>
              <w:pStyle w:val="TableContents"/>
              <w:spacing w:before="0" w:after="283"/>
              <w:rPr/>
            </w:pPr>
            <w:r>
              <w:rPr/>
              <w:t> </w:t>
            </w:r>
          </w:p>
        </w:tc>
      </w:tr>
      <w:tr>
        <w:trPr/>
        <w:tc>
          <w:tcPr>
            <w:tcW w:w="1370" w:type="dxa"/>
            <w:tcBorders/>
            <w:shd w:fill="auto" w:val="clear"/>
            <w:vAlign w:val="center"/>
          </w:tcPr>
          <w:p>
            <w:pPr>
              <w:pStyle w:val="TableContents"/>
              <w:spacing w:before="0" w:after="0"/>
              <w:rPr>
                <w:rFonts w:ascii="arial" w:hAnsi="arial"/>
                <w:sz w:val="18"/>
              </w:rPr>
            </w:pPr>
            <w:r>
              <w:rPr>
                <w:rFonts w:ascii="arial" w:hAnsi="arial"/>
                <w:sz w:val="18"/>
              </w:rPr>
              <w:t>Anthony Mauro</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2,868,785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052" w:type="dxa"/>
            <w:tcBorders/>
            <w:shd w:fill="auto" w:val="clear"/>
            <w:vAlign w:val="center"/>
          </w:tcPr>
          <w:p>
            <w:pPr>
              <w:pStyle w:val="TableContents"/>
              <w:spacing w:before="0" w:after="283"/>
              <w:jc w:val="right"/>
              <w:rPr/>
            </w:pPr>
            <w:r>
              <w:rPr/>
              <w:t>89,930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052" w:type="dxa"/>
            <w:tcBorders/>
            <w:shd w:fill="auto" w:val="clear"/>
            <w:vAlign w:val="center"/>
          </w:tcPr>
          <w:p>
            <w:pPr>
              <w:pStyle w:val="TableContents"/>
              <w:spacing w:before="0" w:after="283"/>
              <w:jc w:val="right"/>
              <w:rPr/>
            </w:pPr>
            <w:r>
              <w:rPr/>
              <w:t>229,330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(110,605</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7" w:type="dxa"/>
            <w:tcBorders/>
            <w:shd w:fill="auto" w:val="clear"/>
            <w:vAlign w:val="center"/>
          </w:tcPr>
          <w:p>
            <w:pPr>
              <w:pStyle w:val="TableContents"/>
              <w:spacing w:before="0" w:after="283"/>
              <w:rPr/>
            </w:pPr>
            <w:r>
              <w:rPr/>
              <w:t> </w:t>
            </w:r>
          </w:p>
        </w:tc>
        <w:tc>
          <w:tcPr>
            <w:tcW w:w="858"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3,077,440</w:t>
            </w:r>
          </w:p>
        </w:tc>
        <w:tc>
          <w:tcPr>
            <w:tcW w:w="75" w:type="dxa"/>
            <w:tcBorders/>
            <w:shd w:fill="auto" w:val="clear"/>
            <w:vAlign w:val="center"/>
          </w:tcPr>
          <w:p>
            <w:pPr>
              <w:pStyle w:val="TableContents"/>
              <w:spacing w:before="0" w:after="283"/>
              <w:rPr/>
            </w:pPr>
            <w:r>
              <w:rPr/>
              <w:t> </w:t>
            </w:r>
          </w:p>
        </w:tc>
      </w:tr>
      <w:tr>
        <w:trPr/>
        <w:tc>
          <w:tcPr>
            <w:tcW w:w="1370" w:type="dxa"/>
            <w:tcBorders/>
            <w:shd w:fill="E5E5E5" w:val="clear"/>
            <w:vAlign w:val="center"/>
          </w:tcPr>
          <w:p>
            <w:pPr>
              <w:pStyle w:val="TableContents"/>
              <w:spacing w:before="0" w:after="0"/>
              <w:rPr>
                <w:rFonts w:ascii="arial" w:hAnsi="arial"/>
                <w:sz w:val="18"/>
              </w:rPr>
            </w:pPr>
            <w:r>
              <w:rPr>
                <w:rFonts w:ascii="arial" w:hAnsi="arial"/>
                <w:sz w:val="18"/>
              </w:rPr>
              <w:t>Robert J. Coury</w:t>
            </w:r>
          </w:p>
        </w:tc>
        <w:tc>
          <w:tcPr>
            <w:tcW w:w="12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980" w:type="dxa"/>
            <w:tcBorders/>
            <w:shd w:fill="E5E5E5" w:val="clear"/>
            <w:vAlign w:val="center"/>
          </w:tcPr>
          <w:p>
            <w:pPr>
              <w:pStyle w:val="TableContents"/>
              <w:spacing w:before="0" w:after="283"/>
              <w:jc w:val="right"/>
              <w:rPr/>
            </w:pPr>
            <w:r>
              <w:rPr/>
              <w:t>655,993</w:t>
            </w:r>
          </w:p>
        </w:tc>
        <w:tc>
          <w:tcPr>
            <w:tcW w:w="60" w:type="dxa"/>
            <w:tcBorders/>
            <w:shd w:fill="E5E5E5" w:val="clear"/>
            <w:vAlign w:val="center"/>
          </w:tcPr>
          <w:p>
            <w:pPr>
              <w:pStyle w:val="TableContents"/>
              <w:spacing w:before="0" w:after="283"/>
              <w:rPr/>
            </w:pPr>
            <w:r>
              <w:rPr/>
              <w:t> </w:t>
            </w:r>
          </w:p>
        </w:tc>
        <w:tc>
          <w:tcPr>
            <w:tcW w:w="120" w:type="dxa"/>
            <w:tcBorders/>
            <w:shd w:fill="E5E5E5" w:val="clear"/>
            <w:vAlign w:val="center"/>
          </w:tcPr>
          <w:p>
            <w:pPr>
              <w:pStyle w:val="TableContents"/>
              <w:spacing w:before="0" w:after="283"/>
              <w:rPr/>
            </w:pPr>
            <w:r>
              <w:rPr/>
              <w:t>  </w:t>
            </w:r>
          </w:p>
        </w:tc>
        <w:tc>
          <w:tcPr>
            <w:tcW w:w="78" w:type="dxa"/>
            <w:tcBorders/>
            <w:shd w:fill="E5E5E5" w:val="clear"/>
            <w:vAlign w:val="center"/>
          </w:tcPr>
          <w:p>
            <w:pPr>
              <w:pStyle w:val="TableContents"/>
              <w:spacing w:before="0" w:after="283"/>
              <w:rPr/>
            </w:pPr>
            <w:r>
              <w:rPr/>
              <w:t> </w:t>
            </w:r>
          </w:p>
        </w:tc>
        <w:tc>
          <w:tcPr>
            <w:tcW w:w="1052" w:type="dxa"/>
            <w:tcBorders/>
            <w:shd w:fill="E5E5E5" w:val="clear"/>
            <w:vAlign w:val="center"/>
          </w:tcPr>
          <w:p>
            <w:pPr>
              <w:pStyle w:val="TableContents"/>
              <w:spacing w:before="0" w:after="283"/>
              <w:jc w:val="right"/>
              <w:rPr/>
            </w:pPr>
            <w:r>
              <w:rPr/>
              <w:t>265,616</w:t>
            </w:r>
          </w:p>
        </w:tc>
        <w:tc>
          <w:tcPr>
            <w:tcW w:w="60" w:type="dxa"/>
            <w:tcBorders/>
            <w:shd w:fill="E5E5E5" w:val="clear"/>
            <w:vAlign w:val="center"/>
          </w:tcPr>
          <w:p>
            <w:pPr>
              <w:pStyle w:val="TableContents"/>
              <w:spacing w:before="0" w:after="283"/>
              <w:rPr/>
            </w:pPr>
            <w:r>
              <w:rPr/>
              <w:t> </w:t>
            </w:r>
          </w:p>
        </w:tc>
        <w:tc>
          <w:tcPr>
            <w:tcW w:w="120" w:type="dxa"/>
            <w:tcBorders/>
            <w:shd w:fill="E5E5E5" w:val="clear"/>
            <w:vAlign w:val="center"/>
          </w:tcPr>
          <w:p>
            <w:pPr>
              <w:pStyle w:val="TableContents"/>
              <w:spacing w:before="0" w:after="283"/>
              <w:rPr/>
            </w:pPr>
            <w:r>
              <w:rPr/>
              <w:t>  </w:t>
            </w:r>
          </w:p>
        </w:tc>
        <w:tc>
          <w:tcPr>
            <w:tcW w:w="78" w:type="dxa"/>
            <w:tcBorders/>
            <w:shd w:fill="E5E5E5" w:val="clear"/>
            <w:vAlign w:val="center"/>
          </w:tcPr>
          <w:p>
            <w:pPr>
              <w:pStyle w:val="TableContents"/>
              <w:spacing w:before="0" w:after="283"/>
              <w:rPr/>
            </w:pPr>
            <w:r>
              <w:rPr/>
              <w:t> </w:t>
            </w:r>
          </w:p>
        </w:tc>
        <w:tc>
          <w:tcPr>
            <w:tcW w:w="1052" w:type="dxa"/>
            <w:tcBorders/>
            <w:shd w:fill="E5E5E5" w:val="clear"/>
            <w:vAlign w:val="center"/>
          </w:tcPr>
          <w:p>
            <w:pPr>
              <w:pStyle w:val="TableContents"/>
              <w:spacing w:before="0" w:after="283"/>
              <w:jc w:val="right"/>
              <w:rPr/>
            </w:pPr>
            <w:r>
              <w:rPr/>
              <w:t>678,309</w:t>
            </w:r>
          </w:p>
        </w:tc>
        <w:tc>
          <w:tcPr>
            <w:tcW w:w="60" w:type="dxa"/>
            <w:tcBorders/>
            <w:shd w:fill="E5E5E5" w:val="clear"/>
            <w:vAlign w:val="center"/>
          </w:tcPr>
          <w:p>
            <w:pPr>
              <w:pStyle w:val="TableContents"/>
              <w:spacing w:before="0" w:after="283"/>
              <w:rPr/>
            </w:pPr>
            <w:r>
              <w:rPr/>
              <w:t> </w:t>
            </w:r>
          </w:p>
        </w:tc>
        <w:tc>
          <w:tcPr>
            <w:tcW w:w="12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875" w:type="dxa"/>
            <w:tcBorders/>
            <w:shd w:fill="E5E5E5" w:val="clear"/>
            <w:vAlign w:val="center"/>
          </w:tcPr>
          <w:p>
            <w:pPr>
              <w:pStyle w:val="TableContents"/>
              <w:spacing w:before="0" w:after="283"/>
              <w:jc w:val="right"/>
              <w:rPr/>
            </w:pPr>
            <w:r>
              <w:rPr/>
              <w:t>(175,915</w:t>
            </w:r>
          </w:p>
        </w:tc>
        <w:tc>
          <w:tcPr>
            <w:tcW w:w="155"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197" w:type="dxa"/>
            <w:tcBorders/>
            <w:shd w:fill="E5E5E5" w:val="clear"/>
            <w:vAlign w:val="center"/>
          </w:tcPr>
          <w:p>
            <w:pPr>
              <w:pStyle w:val="TableContents"/>
              <w:spacing w:before="0" w:after="283"/>
              <w:rPr/>
            </w:pPr>
            <w:r>
              <w:rPr/>
              <w:t> </w:t>
            </w:r>
          </w:p>
        </w:tc>
        <w:tc>
          <w:tcPr>
            <w:tcW w:w="858" w:type="dxa"/>
            <w:tcBorders/>
            <w:shd w:fill="E5E5E5" w:val="clear"/>
            <w:vAlign w:val="center"/>
          </w:tcPr>
          <w:p>
            <w:pPr>
              <w:pStyle w:val="TableContents"/>
              <w:spacing w:before="0" w:after="283"/>
              <w:jc w:val="right"/>
              <w:rPr/>
            </w:pPr>
            <w:r>
              <w:rPr/>
              <w:t>—</w:t>
            </w:r>
          </w:p>
        </w:tc>
        <w:tc>
          <w:tcPr>
            <w:tcW w:w="60" w:type="dxa"/>
            <w:tcBorders/>
            <w:shd w:fill="E5E5E5" w:val="clear"/>
            <w:vAlign w:val="center"/>
          </w:tcPr>
          <w:p>
            <w:pPr>
              <w:pStyle w:val="TableContents"/>
              <w:spacing w:before="0" w:after="283"/>
              <w:rPr/>
            </w:pPr>
            <w:r>
              <w:rPr/>
              <w:t> </w:t>
            </w:r>
          </w:p>
        </w:tc>
        <w:tc>
          <w:tcPr>
            <w:tcW w:w="12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980" w:type="dxa"/>
            <w:tcBorders/>
            <w:shd w:fill="E5E5E5" w:val="clear"/>
            <w:vAlign w:val="center"/>
          </w:tcPr>
          <w:p>
            <w:pPr>
              <w:pStyle w:val="TableContents"/>
              <w:spacing w:before="0" w:after="283"/>
              <w:jc w:val="right"/>
              <w:rPr/>
            </w:pPr>
            <w:r>
              <w:rPr/>
              <w:t>1,424,003</w:t>
            </w:r>
          </w:p>
        </w:tc>
        <w:tc>
          <w:tcPr>
            <w:tcW w:w="75" w:type="dxa"/>
            <w:tcBorders/>
            <w:shd w:fill="E5E5E5" w:val="clear"/>
            <w:vAlign w:val="center"/>
          </w:tcPr>
          <w:p>
            <w:pPr>
              <w:pStyle w:val="TableContents"/>
              <w:spacing w:before="0" w:after="283"/>
              <w:rPr/>
            </w:pPr>
            <w:r>
              <w:rPr/>
              <w:t> </w:t>
            </w:r>
          </w:p>
        </w:tc>
      </w:tr>
    </w:tbl>
    <w:p>
      <w:pPr>
        <w:pStyle w:val="TextBody"/>
        <w:spacing w:before="240" w:after="0"/>
        <w:jc w:val="left"/>
        <w:rPr>
          <w:rFonts w:ascii="arial" w:hAnsi="arial"/>
          <w:b/>
          <w:color w:val="666666"/>
          <w:sz w:val="28"/>
        </w:rPr>
      </w:pPr>
      <w:r>
        <w:rPr>
          <w:rFonts w:ascii="arial" w:hAnsi="arial"/>
          <w:b/>
          <w:color w:val="666666"/>
          <w:sz w:val="28"/>
        </w:rPr>
        <w:t xml:space="preserve">Estimated Payments in Connection with a Termination of Employment or Change in Control </w:t>
      </w:r>
    </w:p>
    <w:p>
      <w:pPr>
        <w:pStyle w:val="TextBody"/>
        <w:pBdr>
          <w:bottom w:val="single" w:sz="2" w:space="1" w:color="732282"/>
        </w:pBdr>
        <w:spacing w:lineRule="atLeast" w:line="141" w:before="0" w:after="40"/>
        <w:jc w:val="left"/>
        <w:rPr/>
      </w:pPr>
      <w:r>
        <w:rPr/>
        <w:t> </w:t>
      </w:r>
    </w:p>
    <w:p>
      <w:pPr>
        <w:pStyle w:val="TextBody"/>
        <w:spacing w:before="240" w:after="0"/>
        <w:jc w:val="both"/>
        <w:rPr>
          <w:rFonts w:ascii="arial" w:hAnsi="arial"/>
          <w:sz w:val="18"/>
        </w:rPr>
      </w:pPr>
      <w:r>
        <w:rPr>
          <w:rFonts w:ascii="arial" w:hAnsi="arial"/>
          <w:sz w:val="18"/>
        </w:rPr>
        <w:t xml:space="preserve">The following discussion summarizes the potential payments and benefits that would have been payable to each of the NEOs upon a termination of employment on December 31, 2022 by Viatris without “cause”, by the NEO for “good reason” (each as defined in the applicable agreement), due to the NEO’s death or disability or as a result of a CIC Termination. A “CIC Termination” occurs if an NEO’s employment is terminated other than for cause or if he terminates employment for good reason, in each case, within two years following the occurrence of a change in control. The amounts discussed below exclude (i) 401(k) retirement plan contributions and distributions that are generally available to all salaried employees, (ii) payments pursuant to vested Restoration Plan balances and vested rights under Retirement Benefit Agreements, (iii) payments pursuant to awards scheduled to vest on or before December 31, 2022 by their terms, (iv) any amounts that may be due at the time of an event in respect of accrued and unpaid salary, bonuses, or vacation, and (v) the value of each NEO’s annual bonus for the 2022 completed fiscal year as the year was complete as of December 31, 2022. These are estimates only and actual amounts payable upon such terminations may be different and will only be determined upon the actual occurrence of any such event. </w:t>
      </w:r>
    </w:p>
    <w:p>
      <w:pPr>
        <w:pStyle w:val="TextBody"/>
        <w:spacing w:before="240" w:after="0"/>
        <w:jc w:val="left"/>
        <w:rPr>
          <w:rFonts w:ascii="arial" w:hAnsi="arial"/>
          <w:color w:val="732282"/>
          <w:sz w:val="20"/>
        </w:rPr>
      </w:pPr>
      <w:r>
        <w:rPr>
          <w:rFonts w:ascii="arial" w:hAnsi="arial"/>
          <w:color w:val="732282"/>
          <w:sz w:val="20"/>
        </w:rPr>
        <w:t xml:space="preserve">Michael Goettler </w:t>
      </w:r>
    </w:p>
    <w:p>
      <w:pPr>
        <w:pStyle w:val="TextBody"/>
        <w:spacing w:before="120" w:after="0"/>
        <w:jc w:val="both"/>
        <w:rPr>
          <w:rFonts w:ascii="arial" w:hAnsi="arial"/>
          <w:sz w:val="18"/>
        </w:rPr>
      </w:pPr>
      <w:r>
        <w:rPr>
          <w:rFonts w:ascii="arial" w:hAnsi="arial"/>
          <w:sz w:val="18"/>
        </w:rPr>
        <w:t xml:space="preserve">Mr. Goettler was entitled to severance payments and benefits upon certain terminations of employment pursuant to an agreement with Viatris and his equity award agreements with Viatris. </w:t>
      </w:r>
    </w:p>
    <w:p>
      <w:pPr>
        <w:pStyle w:val="TextBody"/>
        <w:spacing w:before="240" w:after="0"/>
        <w:jc w:val="both"/>
        <w:rPr>
          <w:rFonts w:ascii="arial" w:hAnsi="arial"/>
          <w:sz w:val="18"/>
        </w:rPr>
      </w:pPr>
      <w:r>
        <w:rPr>
          <w:rFonts w:ascii="arial" w:hAnsi="arial"/>
          <w:b/>
          <w:i/>
          <w:sz w:val="18"/>
        </w:rPr>
        <w:t>Termination Without Cause Absent a Change in Control.</w:t>
      </w:r>
      <w:r>
        <w:rPr>
          <w:rFonts w:ascii="arial" w:hAnsi="arial"/>
          <w:sz w:val="18"/>
        </w:rPr>
        <w:t xml:space="preserve"> If Mr. Goettler’s employment was terminated on December 31, 2022 by Viatris without cause, he would have been entitled to a payment equal to two and a half times the sum of his base salary and his target annual bonus in effect at the time of such termination, payable in equal installments. The estimated value of such payments and benefits, assuming a December 31, 2022 termination, would have been $8,125,000.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45 </w:t>
      </w:r>
      <w:r>
        <w:br w:type="page"/>
      </w:r>
    </w:p>
    <w:p>
      <w:pPr>
        <w:pStyle w:val="HorizontalLine"/>
        <w:rPr/>
      </w:pPr>
      <w:r>
        <w:rPr/>
      </w:r>
    </w:p>
    <w:p>
      <w:pPr>
        <w:pStyle w:val="TextBody"/>
        <w:spacing w:before="0" w:after="0"/>
        <w:jc w:val="both"/>
        <w:rPr>
          <w:rFonts w:ascii="arial" w:hAnsi="arial"/>
          <w:sz w:val="18"/>
        </w:rPr>
      </w:pPr>
      <w:r>
        <w:rPr>
          <w:rFonts w:ascii="arial" w:hAnsi="arial"/>
          <w:b/>
          <w:i/>
          <w:sz w:val="18"/>
        </w:rPr>
        <w:t xml:space="preserve">Termination Due to Death or Disability Absent a Change in Control. </w:t>
      </w:r>
      <w:r>
        <w:rPr>
          <w:rFonts w:ascii="arial" w:hAnsi="arial"/>
          <w:sz w:val="18"/>
        </w:rPr>
        <w:t xml:space="preserve">If Mr. Goettler’s employment was terminated on December 31, 2022 due to death or disability, he would have been entitled to full vesting of his unvested equity awards with any PRSUs vesting based on target performance. The estimated values of such equity vesting, assuming a December 31, 2022 termination, would have been $18,321,767. Mr. Goettler is not entitled to cash severance payments in connection with a termination of employment due to death or disability. </w:t>
      </w:r>
    </w:p>
    <w:p>
      <w:pPr>
        <w:pStyle w:val="TextBody"/>
        <w:spacing w:before="240" w:after="0"/>
        <w:jc w:val="both"/>
        <w:rPr>
          <w:rFonts w:ascii="arial" w:hAnsi="arial"/>
          <w:sz w:val="18"/>
        </w:rPr>
      </w:pPr>
      <w:r>
        <w:rPr>
          <w:rFonts w:ascii="arial" w:hAnsi="arial"/>
          <w:b/>
          <w:i/>
          <w:sz w:val="18"/>
        </w:rPr>
        <w:t>Termination in Connection with a Change in Control.</w:t>
      </w:r>
      <w:r>
        <w:rPr>
          <w:rFonts w:ascii="arial" w:hAnsi="arial"/>
          <w:sz w:val="18"/>
        </w:rPr>
        <w:t xml:space="preserve"> If Mr. Goettler incurred a CIC Termination on December 31, 2022, in addition to the payments and benefits provided for above, he would have been entitled to full vesting of his unvested equity awards with any PRSUs vesting based on target performance. The estimated values of such equity vesting, assuming a December 31, 2022 CIC Termination, would have been $18,321,767. </w:t>
      </w:r>
    </w:p>
    <w:p>
      <w:pPr>
        <w:pStyle w:val="TextBody"/>
        <w:spacing w:before="240" w:after="0"/>
        <w:jc w:val="left"/>
        <w:rPr>
          <w:rFonts w:ascii="arial" w:hAnsi="arial"/>
          <w:color w:val="732282"/>
          <w:sz w:val="20"/>
        </w:rPr>
      </w:pPr>
      <w:r>
        <w:rPr>
          <w:rFonts w:ascii="arial" w:hAnsi="arial"/>
          <w:color w:val="732282"/>
          <w:sz w:val="20"/>
        </w:rPr>
        <w:t xml:space="preserve">Sanjeev Narula </w:t>
      </w:r>
    </w:p>
    <w:p>
      <w:pPr>
        <w:pStyle w:val="TextBody"/>
        <w:spacing w:before="120" w:after="0"/>
        <w:jc w:val="both"/>
        <w:rPr>
          <w:rFonts w:ascii="arial" w:hAnsi="arial"/>
          <w:sz w:val="18"/>
        </w:rPr>
      </w:pPr>
      <w:r>
        <w:rPr>
          <w:rFonts w:ascii="arial" w:hAnsi="arial"/>
          <w:sz w:val="18"/>
        </w:rPr>
        <w:t xml:space="preserve">Mr. Narula is entitled to severance payments and benefits upon certain terminations of employment pursuant to the Mylan N.V. Severance Plan and Global Guidelines (which was assumed by Viatris) (the “Severance Plan”) and his equity award agreements with Viatris. </w:t>
      </w:r>
    </w:p>
    <w:p>
      <w:pPr>
        <w:pStyle w:val="TextBody"/>
        <w:spacing w:before="240" w:after="0"/>
        <w:jc w:val="both"/>
        <w:rPr>
          <w:rFonts w:ascii="arial" w:hAnsi="arial"/>
          <w:sz w:val="18"/>
        </w:rPr>
      </w:pPr>
      <w:r>
        <w:rPr>
          <w:rFonts w:ascii="arial" w:hAnsi="arial"/>
          <w:b/>
          <w:i/>
          <w:sz w:val="18"/>
        </w:rPr>
        <w:t>Termination Without Cause Absent a Change in Control.</w:t>
      </w:r>
      <w:r>
        <w:rPr>
          <w:rFonts w:ascii="arial" w:hAnsi="arial"/>
          <w:sz w:val="18"/>
        </w:rPr>
        <w:t xml:space="preserve"> If Mr. Narula’s employment was terminated on December 31, 2022 by Viatris without cause, he would have been entitled to twelve (12) months of base salary continuation and twelve (12) months of continued health and other benefits. The estimated value of such payments, assuming a December 31, 2022 termination, would have been $913,508. </w:t>
      </w:r>
    </w:p>
    <w:p>
      <w:pPr>
        <w:pStyle w:val="TextBody"/>
        <w:spacing w:before="240" w:after="0"/>
        <w:jc w:val="both"/>
        <w:rPr>
          <w:rFonts w:ascii="arial" w:hAnsi="arial"/>
          <w:sz w:val="18"/>
        </w:rPr>
      </w:pPr>
      <w:r>
        <w:rPr>
          <w:rFonts w:ascii="arial" w:hAnsi="arial"/>
          <w:b/>
          <w:i/>
          <w:sz w:val="18"/>
        </w:rPr>
        <w:t xml:space="preserve">Termination Due to Death or Disability Absent a Change in Control. </w:t>
      </w:r>
      <w:r>
        <w:rPr>
          <w:rFonts w:ascii="arial" w:hAnsi="arial"/>
          <w:sz w:val="18"/>
        </w:rPr>
        <w:t xml:space="preserve">If Mr. Narula’s employment was terminated on December 31, 2022 due to death or disability, he would have been entitled to full vesting of his unvested equity awards with any PRSUs vesting based on target performance. The estimated values of such equity vesting, assuming a December 31, 2022 termination, would have been $6,128,595. Mr. Narula is not entitled to cash severance payments in connection with a termination of employment due to death or disability. </w:t>
      </w:r>
    </w:p>
    <w:p>
      <w:pPr>
        <w:pStyle w:val="TextBody"/>
        <w:spacing w:before="240" w:after="0"/>
        <w:jc w:val="both"/>
        <w:rPr>
          <w:rFonts w:ascii="arial" w:hAnsi="arial"/>
          <w:sz w:val="18"/>
        </w:rPr>
      </w:pPr>
      <w:r>
        <w:rPr>
          <w:rFonts w:ascii="arial" w:hAnsi="arial"/>
          <w:b/>
          <w:i/>
          <w:sz w:val="18"/>
        </w:rPr>
        <w:t xml:space="preserve">Termination in Connection with a Change in Control. </w:t>
      </w:r>
      <w:r>
        <w:rPr>
          <w:rFonts w:ascii="arial" w:hAnsi="arial"/>
          <w:sz w:val="18"/>
        </w:rPr>
        <w:t xml:space="preserve">If Mr. Narula incurred a CIC Termination on December 31, 2022, he would have been entitled to (1) a payment equal to two times the sum of his base salary and his target annual bonus in effect at the time of such termination, payable in equal installments, (2) twenty-four (24) months of continued health and other benefits, and (3) full vesting of his unvested equity awards with any PRSUs vesting based on target performance. The estimated values of such payments and benefits, assuming a December 31, 2022 CIC Termination, would have been (i) $3,489,367, in respect of cash severance and other benefits and (ii) $6,128,595, in respect of the vesting of his equity awards. </w:t>
      </w:r>
    </w:p>
    <w:p>
      <w:pPr>
        <w:pStyle w:val="TextBody"/>
        <w:spacing w:before="240" w:after="0"/>
        <w:jc w:val="left"/>
        <w:rPr>
          <w:rFonts w:ascii="arial" w:hAnsi="arial"/>
          <w:color w:val="732282"/>
          <w:sz w:val="20"/>
        </w:rPr>
      </w:pPr>
      <w:r>
        <w:rPr>
          <w:rFonts w:ascii="arial" w:hAnsi="arial"/>
          <w:color w:val="732282"/>
          <w:sz w:val="20"/>
        </w:rPr>
        <w:t xml:space="preserve">Rajiv Malik </w:t>
      </w:r>
    </w:p>
    <w:p>
      <w:pPr>
        <w:pStyle w:val="TextBody"/>
        <w:spacing w:before="120" w:after="0"/>
        <w:jc w:val="both"/>
        <w:rPr>
          <w:rFonts w:ascii="arial" w:hAnsi="arial"/>
          <w:sz w:val="18"/>
        </w:rPr>
      </w:pPr>
      <w:r>
        <w:rPr>
          <w:rFonts w:ascii="arial" w:hAnsi="arial"/>
          <w:sz w:val="18"/>
        </w:rPr>
        <w:t xml:space="preserve">Mr. Malik is entitled to severance payments and benefits upon certain terminations of employment pursuant to the Severance Plan and his equity award agreements with Viatris. </w:t>
      </w:r>
    </w:p>
    <w:p>
      <w:pPr>
        <w:pStyle w:val="TextBody"/>
        <w:spacing w:before="240" w:after="0"/>
        <w:jc w:val="both"/>
        <w:rPr>
          <w:rFonts w:ascii="arial" w:hAnsi="arial"/>
          <w:sz w:val="18"/>
        </w:rPr>
      </w:pPr>
      <w:r>
        <w:rPr>
          <w:rFonts w:ascii="arial" w:hAnsi="arial"/>
          <w:b/>
          <w:i/>
          <w:sz w:val="18"/>
        </w:rPr>
        <w:t>Termination Without Cause Absent a Change in Control.</w:t>
      </w:r>
      <w:r>
        <w:rPr>
          <w:rFonts w:ascii="arial" w:hAnsi="arial"/>
          <w:sz w:val="18"/>
        </w:rPr>
        <w:t xml:space="preserve"> If Mr. Malik’s employment was terminated on December 31, 2022 by Viatris without cause, he would have been entitled to twelve (12) months of base salary continuation and twelve (12) months of continued health and other benefits. The estimated value of such payments, assuming a December 31, 2022 termination, would have been $1,263,508. Mr. Malik is also entitled to participate in the Company’s Supplemental Health Insurance Plan for certain retired executives following a termination of employment.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46 </w:t>
      </w:r>
      <w:r>
        <w:br w:type="page"/>
      </w:r>
    </w:p>
    <w:p>
      <w:pPr>
        <w:pStyle w:val="HorizontalLine"/>
        <w:rPr/>
      </w:pPr>
      <w:r>
        <w:rPr/>
      </w:r>
    </w:p>
    <w:p>
      <w:pPr>
        <w:pStyle w:val="TextBody"/>
        <w:spacing w:before="0" w:after="0"/>
        <w:jc w:val="both"/>
        <w:rPr>
          <w:rFonts w:ascii="arial" w:hAnsi="arial"/>
          <w:sz w:val="18"/>
        </w:rPr>
      </w:pPr>
      <w:r>
        <w:rPr>
          <w:rFonts w:ascii="arial" w:hAnsi="arial"/>
          <w:b/>
          <w:i/>
          <w:sz w:val="18"/>
        </w:rPr>
        <w:t xml:space="preserve">Termination Due to Death or Disability Absent a Change in Control. </w:t>
      </w:r>
      <w:r>
        <w:rPr>
          <w:rFonts w:ascii="arial" w:hAnsi="arial"/>
          <w:sz w:val="18"/>
        </w:rPr>
        <w:t xml:space="preserve">If Mr. Malik’s employment was terminated on December 31, 2022 due to death or disability, he would have been entitled to full vesting of his unvested equity awards with any PRSUs vesting based on target performance. The estimated values of such equity vesting, assuming a December 31, 2022 termination, would have been $16,145,271. Mr. Malik is not entitled to cash severance payments in connection with a termination of employment due to death or disability. </w:t>
      </w:r>
    </w:p>
    <w:p>
      <w:pPr>
        <w:pStyle w:val="TextBody"/>
        <w:spacing w:before="240" w:after="0"/>
        <w:jc w:val="both"/>
        <w:rPr>
          <w:rFonts w:ascii="arial" w:hAnsi="arial"/>
          <w:sz w:val="18"/>
        </w:rPr>
      </w:pPr>
      <w:r>
        <w:rPr>
          <w:rFonts w:ascii="arial" w:hAnsi="arial"/>
          <w:b/>
          <w:i/>
          <w:sz w:val="18"/>
        </w:rPr>
        <w:t xml:space="preserve">Termination in Connection with a Change in Control. </w:t>
      </w:r>
      <w:r>
        <w:rPr>
          <w:rFonts w:ascii="arial" w:hAnsi="arial"/>
          <w:sz w:val="18"/>
        </w:rPr>
        <w:t xml:space="preserve">If Mr. Malik incurred a CIC Termination on December 31, 2022, he would have been entitled to (1) a payment equal to two times the sum of his base salary and his target annual bonus in effect at the time of such termination, payable in equal installments, (2) twenty-four (24) months of continued health and other benefits, and (3) full vesting of his unvested equity awards with any PRSUs vesting based on target performance. The estimated values of such payments and benefits, assuming a December 31, 2022 CIC Termination, would have been (i) $5,489,367, in respect of cash severance and other benefits and (ii) $16,145,271, in respect of the vesting of his equity awards. </w:t>
      </w:r>
    </w:p>
    <w:p>
      <w:pPr>
        <w:pStyle w:val="TextBody"/>
        <w:spacing w:before="240" w:after="0"/>
        <w:jc w:val="left"/>
        <w:rPr>
          <w:rFonts w:ascii="arial" w:hAnsi="arial"/>
          <w:color w:val="732282"/>
          <w:sz w:val="20"/>
        </w:rPr>
      </w:pPr>
      <w:r>
        <w:rPr>
          <w:rFonts w:ascii="arial" w:hAnsi="arial"/>
          <w:color w:val="732282"/>
          <w:sz w:val="20"/>
        </w:rPr>
        <w:t xml:space="preserve">Anthony Mauro </w:t>
      </w:r>
    </w:p>
    <w:p>
      <w:pPr>
        <w:pStyle w:val="TextBody"/>
        <w:spacing w:before="120" w:after="0"/>
        <w:jc w:val="both"/>
        <w:rPr>
          <w:rFonts w:ascii="arial" w:hAnsi="arial"/>
          <w:sz w:val="18"/>
        </w:rPr>
      </w:pPr>
      <w:r>
        <w:rPr>
          <w:rFonts w:ascii="arial" w:hAnsi="arial"/>
          <w:sz w:val="18"/>
        </w:rPr>
        <w:t xml:space="preserve">Mr. Mauro is entitled to severance payments and benefits upon certain terminations of employment pursuant to the Severance Plan and his equity award agreements with Viatris. </w:t>
      </w:r>
    </w:p>
    <w:p>
      <w:pPr>
        <w:pStyle w:val="TextBody"/>
        <w:spacing w:before="240" w:after="0"/>
        <w:jc w:val="both"/>
        <w:rPr>
          <w:rFonts w:ascii="arial" w:hAnsi="arial"/>
          <w:sz w:val="18"/>
        </w:rPr>
      </w:pPr>
      <w:r>
        <w:rPr>
          <w:rFonts w:ascii="arial" w:hAnsi="arial"/>
          <w:b/>
          <w:i/>
          <w:sz w:val="18"/>
        </w:rPr>
        <w:t>Termination Without Cause Absent a Change in Control.</w:t>
      </w:r>
      <w:r>
        <w:rPr>
          <w:rFonts w:ascii="arial" w:hAnsi="arial"/>
          <w:sz w:val="18"/>
        </w:rPr>
        <w:t xml:space="preserve"> If Mr. Mauro’s employment was terminated on December 31, 2022 by Viatris without cause, he would have been entitled to twelve (12) months of base salary continuation and twelve (12) months of continued health and other benefits. The estimated value of such payments, assuming a December 31, 2022 termination, would have been $864,150. </w:t>
      </w:r>
    </w:p>
    <w:p>
      <w:pPr>
        <w:pStyle w:val="TextBody"/>
        <w:spacing w:before="240" w:after="0"/>
        <w:jc w:val="both"/>
        <w:rPr>
          <w:rFonts w:ascii="arial" w:hAnsi="arial"/>
          <w:sz w:val="18"/>
        </w:rPr>
      </w:pPr>
      <w:r>
        <w:rPr>
          <w:rFonts w:ascii="arial" w:hAnsi="arial"/>
          <w:b/>
          <w:i/>
          <w:sz w:val="18"/>
        </w:rPr>
        <w:t xml:space="preserve">Termination Due to Death or Disability Absent a Change in Control. </w:t>
      </w:r>
      <w:r>
        <w:rPr>
          <w:rFonts w:ascii="arial" w:hAnsi="arial"/>
          <w:sz w:val="18"/>
        </w:rPr>
        <w:t xml:space="preserve">If Mr. Mauro’s employment was terminated on December 31, 2022 due to death or disability, he would have been entitled to full vesting of his unvested equity awards with any PRSUs vesting based on target performance. The estimated values of such equity vesting, assuming a December 31, 2022 termination, would have been $7,229,457. Mr. Mauro is not entitled to cash severance payments in connection with a termination of employment due to death or disability. </w:t>
      </w:r>
    </w:p>
    <w:p>
      <w:pPr>
        <w:pStyle w:val="TextBody"/>
        <w:spacing w:before="240" w:after="0"/>
        <w:jc w:val="both"/>
        <w:rPr>
          <w:rFonts w:ascii="arial" w:hAnsi="arial"/>
          <w:sz w:val="18"/>
        </w:rPr>
      </w:pPr>
      <w:r>
        <w:rPr>
          <w:rFonts w:ascii="arial" w:hAnsi="arial"/>
          <w:b/>
          <w:i/>
          <w:sz w:val="18"/>
        </w:rPr>
        <w:t xml:space="preserve">Termination in Connection with a Change in Control. </w:t>
      </w:r>
      <w:r>
        <w:rPr>
          <w:rFonts w:ascii="arial" w:hAnsi="arial"/>
          <w:sz w:val="18"/>
        </w:rPr>
        <w:t xml:space="preserve">If Mr. Mauro incurred a CIC Termination on December 31, 2022, he would have been entitled to (1) a payment equal to two times the sum of his base salary and his target annual bonus in effect at the time of such termination, payable in equal installments, (2) twenty-four (24) months of continued health and other benefits, and (3) full vesting of his unvested equity awards with any PRSUs vesting based on target performance. The estimated values of such payments and benefits, assuming a December 31, 2022 CIC Termination, would have been (i) $3,530,715, in respect of cash severance and other benefits and (ii) $7,229,457, in respect of the vesting of his equity awards. </w:t>
      </w:r>
    </w:p>
    <w:p>
      <w:pPr>
        <w:pStyle w:val="TextBody"/>
        <w:spacing w:before="240" w:after="0"/>
        <w:jc w:val="left"/>
        <w:rPr>
          <w:rFonts w:ascii="arial" w:hAnsi="arial"/>
          <w:color w:val="732282"/>
          <w:sz w:val="20"/>
        </w:rPr>
      </w:pPr>
      <w:r>
        <w:rPr>
          <w:rFonts w:ascii="arial" w:hAnsi="arial"/>
          <w:color w:val="732282"/>
          <w:sz w:val="20"/>
        </w:rPr>
        <w:t xml:space="preserve">Robert J. Coury </w:t>
      </w:r>
    </w:p>
    <w:p>
      <w:pPr>
        <w:pStyle w:val="TextBody"/>
        <w:spacing w:before="120" w:after="0"/>
        <w:jc w:val="both"/>
        <w:rPr>
          <w:rFonts w:ascii="arial" w:hAnsi="arial"/>
          <w:sz w:val="18"/>
        </w:rPr>
      </w:pPr>
      <w:r>
        <w:rPr>
          <w:rFonts w:ascii="arial" w:hAnsi="arial"/>
          <w:sz w:val="18"/>
        </w:rPr>
        <w:t xml:space="preserve">Mr. Coury is entitled to severance payments and benefits upon certain terminations of employment pursuant to his Executive Employment Agreement and his equity award agreements with Viatris. </w:t>
      </w:r>
    </w:p>
    <w:p>
      <w:pPr>
        <w:pStyle w:val="TextBody"/>
        <w:spacing w:before="240" w:after="0"/>
        <w:jc w:val="both"/>
        <w:rPr>
          <w:rFonts w:ascii="arial" w:hAnsi="arial"/>
          <w:sz w:val="18"/>
        </w:rPr>
      </w:pPr>
      <w:r>
        <w:rPr>
          <w:rFonts w:ascii="arial" w:hAnsi="arial"/>
          <w:b/>
          <w:i/>
          <w:sz w:val="18"/>
        </w:rPr>
        <w:t>Resignation for Good Reason, Termination Without Cause or Termination Due to Death or Disability.</w:t>
      </w:r>
      <w:r>
        <w:rPr>
          <w:rFonts w:ascii="arial" w:hAnsi="arial"/>
          <w:sz w:val="18"/>
        </w:rPr>
        <w:t xml:space="preserve"> If Mr. Coury’s employment was terminated on December 31, 2022 by Viatris without cause, upon resignation for good reason, due to his death or disability (in each case, as defined in the Executive Employment Agreement) or in connection with a change in control, he would have been entitled to (1) a lump sum payment equal to three times the sum of his base salary and target or highest bonus paid, (2) three years of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47 </w:t>
      </w:r>
      <w:r>
        <w:br w:type="page"/>
      </w:r>
    </w:p>
    <w:p>
      <w:pPr>
        <w:pStyle w:val="HorizontalLine"/>
        <w:rPr/>
      </w:pPr>
      <w:r>
        <w:rPr/>
      </w:r>
    </w:p>
    <w:p>
      <w:pPr>
        <w:pStyle w:val="TextBody"/>
        <w:spacing w:before="0" w:after="0"/>
        <w:jc w:val="both"/>
        <w:rPr>
          <w:rFonts w:ascii="arial" w:hAnsi="arial"/>
          <w:sz w:val="18"/>
        </w:rPr>
      </w:pPr>
      <w:r>
        <w:rPr>
          <w:rFonts w:ascii="arial" w:hAnsi="arial"/>
          <w:sz w:val="18"/>
        </w:rPr>
        <w:t xml:space="preserve">continued health and other benefits, and (3) full vesting of his RSUs and PRSUs (including his Value Creation Incentive Award and with any PRSUs vesting based on target performance). Mr. Coury is also entitled to participate in the Company’s Supplemental Health Insurance Plan for certain retired executives following a termination of employment. The estimated values of such payments and benefits, assuming a December 31, 2022 termination, would have been (i) $20,981,368, in respect of cash severance and other benefits, and (ii) $39,148,128, in respect of the vesting of his RSUs and PRSUs. These amounts would not be enhanced if these events occurred following a change in control of Viatris.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48 </w:t>
      </w:r>
      <w:r>
        <w:br w:type="page"/>
      </w:r>
    </w:p>
    <w:p>
      <w:pPr>
        <w:pStyle w:val="HorizontalLine"/>
        <w:rPr/>
      </w:pPr>
      <w:r>
        <w:rPr/>
      </w:r>
    </w:p>
    <w:p>
      <w:pPr>
        <w:pStyle w:val="TextBody"/>
        <w:spacing w:before="0" w:after="0"/>
        <w:jc w:val="left"/>
        <w:rPr>
          <w:rFonts w:ascii="arial" w:hAnsi="arial"/>
          <w:color w:val="732282"/>
          <w:sz w:val="48"/>
        </w:rPr>
      </w:pPr>
      <w:r>
        <w:rPr>
          <w:rFonts w:ascii="arial" w:hAnsi="arial"/>
          <w:color w:val="732282"/>
          <w:sz w:val="48"/>
        </w:rPr>
        <w:t xml:space="preserve">CEO Pay Ratio </w:t>
      </w:r>
    </w:p>
    <w:p>
      <w:pPr>
        <w:pStyle w:val="TextBody"/>
        <w:spacing w:before="240" w:after="0"/>
        <w:jc w:val="both"/>
        <w:rPr>
          <w:rFonts w:ascii="arial" w:hAnsi="arial"/>
          <w:sz w:val="18"/>
        </w:rPr>
      </w:pPr>
      <w:r>
        <w:rPr>
          <w:rFonts w:ascii="arial" w:hAnsi="arial"/>
          <w:sz w:val="18"/>
        </w:rPr>
        <w:t xml:space="preserve">Pursuant to Item 402(u) of Regulation S-K, we are providing the following information about the relationship of the annual total compensation of our global employee population and the annual total compensation of our CEO for 2022, Michael Goettler. Under Instruction 2 to Item 402(u), the median-paid employee may be identified once every three years if there is no significant impact to the pay ratio disclosure. We identified our median-paid employee in 2021. In 2022, such employee received a promotion. In light of the prior median employee’s promotion during 2022 and the resulting compensation adjustment which would impact the pay ratio, a new employee representing the median-paid employee has been selected for this Amendment. </w:t>
      </w:r>
    </w:p>
    <w:p>
      <w:pPr>
        <w:pStyle w:val="TextBody"/>
        <w:spacing w:before="240" w:after="0"/>
        <w:jc w:val="both"/>
        <w:rPr>
          <w:rFonts w:ascii="arial" w:hAnsi="arial"/>
          <w:sz w:val="18"/>
        </w:rPr>
      </w:pPr>
      <w:r>
        <w:rPr>
          <w:rFonts w:ascii="arial" w:hAnsi="arial"/>
          <w:sz w:val="18"/>
        </w:rPr>
        <w:t xml:space="preserve">The pay ratio included in this information is a reasonable estimate calculated in a manner consistent with Regulation S-K Item 402(u). The ratio of Mr. Goettler’s annual total compensation for 2022, as reported in the Summary Compensation Table on page 37 in this Amendment, to the median employee annual total compensation determined on the same basis was 424:1. For 2022, the annual total compensation along with the value of employer provided benefits of our median employee was $34,858 and $14,787,272 for the CEO. </w:t>
      </w:r>
    </w:p>
    <w:p>
      <w:pPr>
        <w:pStyle w:val="TextBody"/>
        <w:spacing w:before="240" w:after="0"/>
        <w:jc w:val="both"/>
        <w:rPr>
          <w:rFonts w:ascii="arial" w:hAnsi="arial"/>
          <w:sz w:val="18"/>
        </w:rPr>
      </w:pPr>
      <w:r>
        <w:rPr>
          <w:rFonts w:ascii="arial" w:hAnsi="arial"/>
          <w:sz w:val="18"/>
        </w:rPr>
        <w:t xml:space="preserve">To identify our median employee, we prepared a list of Viatris employees throughout the world as of December 31, 2022. We chose base salary as our consistently applied compensation measure. We then calculated an annual base salary for each employee, annualizing pay for those employees who commenced work during 2022 and for any employees who were on leave for a portion of 2022. For hourly employees, we used a reasonable estimate of hours worked to determine annual base pay. We determined that as of December 31, 2022, our total number of U.S. employees was approximately 4,150 and our total number of non-U.S. employees was approximately 34,150. No employees were excluded from the employee population. </w:t>
      </w:r>
    </w:p>
    <w:p>
      <w:pPr>
        <w:pStyle w:val="TextBody"/>
        <w:spacing w:before="240" w:after="0"/>
        <w:jc w:val="both"/>
        <w:rPr>
          <w:rFonts w:ascii="arial" w:hAnsi="arial"/>
          <w:sz w:val="18"/>
        </w:rPr>
      </w:pPr>
      <w:r>
        <w:rPr>
          <w:rFonts w:ascii="arial" w:hAnsi="arial"/>
          <w:sz w:val="18"/>
        </w:rPr>
        <w:t xml:space="preserve">Our median employee is located in India, which reflects the true global nature of our organization and the fact that we are a diversified company within our peer group whose employees participate in all aspects of bringing our products to market, from R&amp;D to manufacturing. This diversification should be considered by readers who would compare our CEO Pay Ratio to those within our peer or industry group and reflects differences in pay demographics among those groups. Pay ratios may not be comparable because of different employee populations, geographic distribution of employees, and compensation practices and companies may utilize different methodologies, exclusions, estimates, and assumptions in calculating their own pay ratios </w:t>
      </w:r>
    </w:p>
    <w:p>
      <w:pPr>
        <w:pStyle w:val="TextBody"/>
        <w:spacing w:before="0" w:after="0"/>
        <w:jc w:val="left"/>
        <w:rPr/>
      </w:pPr>
      <w:r>
        <w:rPr/>
        <w:t> </w:t>
      </w:r>
    </w:p>
    <w:p>
      <w:pPr>
        <w:pStyle w:val="TextBody"/>
        <w:pBdr>
          <w:bottom w:val="single" w:sz="2" w:space="1" w:color="732282"/>
        </w:pBdr>
        <w:spacing w:lineRule="atLeast" w:line="141" w:before="0" w:after="40"/>
        <w:jc w:val="left"/>
        <w:rPr/>
      </w:pPr>
      <w:r>
        <w:rPr/>
        <w:t>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49 </w:t>
      </w:r>
      <w:r>
        <w:br w:type="page"/>
      </w:r>
    </w:p>
    <w:p>
      <w:pPr>
        <w:pStyle w:val="HorizontalLine"/>
        <w:rPr/>
      </w:pPr>
      <w:r>
        <w:rPr/>
      </w:r>
    </w:p>
    <w:p>
      <w:pPr>
        <w:pStyle w:val="TextBody"/>
        <w:spacing w:before="0" w:after="0"/>
        <w:jc w:val="left"/>
        <w:rPr>
          <w:rFonts w:ascii="arial" w:hAnsi="arial"/>
          <w:b/>
          <w:sz w:val="20"/>
        </w:rPr>
      </w:pPr>
      <w:r>
        <w:rPr>
          <w:rFonts w:ascii="arial" w:hAnsi="arial"/>
          <w:b/>
          <w:sz w:val="20"/>
        </w:rPr>
        <w:t xml:space="preserve">Non-Employee Director Compensation for 2022 </w:t>
      </w:r>
    </w:p>
    <w:p>
      <w:pPr>
        <w:pStyle w:val="TextBody"/>
        <w:spacing w:before="120" w:after="0"/>
        <w:jc w:val="both"/>
        <w:rPr>
          <w:rFonts w:ascii="arial" w:hAnsi="arial"/>
          <w:sz w:val="18"/>
        </w:rPr>
      </w:pPr>
      <w:r>
        <w:rPr>
          <w:rFonts w:ascii="arial" w:hAnsi="arial"/>
          <w:sz w:val="18"/>
        </w:rPr>
        <w:t xml:space="preserve">The following table sets forth information concerning the compensation earned by Viatris’ non-employee directors (each a “Non-Employee Director” and, together, the “Non-Employee Directors”) for 2022. Directors who are employees of Viatris (Messrs. Coury, Goettler, and Malik) receive no compensation for their Board service. A discussion of the elements of Non-Employee Director compensation follows the table. </w:t>
      </w:r>
    </w:p>
    <w:p>
      <w:pPr>
        <w:pStyle w:val="TextBody"/>
        <w:spacing w:before="0" w:after="0"/>
        <w:jc w:val="left"/>
        <w:rPr/>
      </w:pPr>
      <w:r>
        <w:rPr/>
        <w:t> </w:t>
      </w:r>
    </w:p>
    <w:tbl>
      <w:tblPr>
        <w:tblW w:w="7840" w:type="dxa"/>
        <w:jc w:val="left"/>
        <w:tblInd w:w="0" w:type="dxa"/>
        <w:tblCellMar>
          <w:top w:w="0" w:type="dxa"/>
          <w:left w:w="0" w:type="dxa"/>
          <w:bottom w:w="0" w:type="dxa"/>
          <w:right w:w="0" w:type="dxa"/>
        </w:tblCellMar>
      </w:tblPr>
      <w:tblGrid>
        <w:gridCol w:w="2600"/>
        <w:gridCol w:w="120"/>
        <w:gridCol w:w="111"/>
        <w:gridCol w:w="1484"/>
        <w:gridCol w:w="60"/>
        <w:gridCol w:w="120"/>
        <w:gridCol w:w="60"/>
        <w:gridCol w:w="800"/>
        <w:gridCol w:w="60"/>
        <w:gridCol w:w="120"/>
        <w:gridCol w:w="96"/>
        <w:gridCol w:w="1094"/>
        <w:gridCol w:w="60"/>
        <w:gridCol w:w="120"/>
        <w:gridCol w:w="60"/>
        <w:gridCol w:w="800"/>
        <w:gridCol w:w="75"/>
      </w:tblGrid>
      <w:tr>
        <w:trPr/>
        <w:tc>
          <w:tcPr>
            <w:tcW w:w="26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48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6" w:type="dxa"/>
            <w:tcBorders/>
            <w:shd w:fill="auto" w:val="clear"/>
            <w:vAlign w:val="center"/>
          </w:tcPr>
          <w:p>
            <w:pPr>
              <w:pStyle w:val="TableContents"/>
              <w:spacing w:before="0" w:after="283"/>
              <w:rPr>
                <w:sz w:val="4"/>
                <w:szCs w:val="4"/>
              </w:rPr>
            </w:pPr>
            <w:r>
              <w:rPr>
                <w:sz w:val="4"/>
                <w:szCs w:val="4"/>
              </w:rPr>
            </w:r>
          </w:p>
        </w:tc>
        <w:tc>
          <w:tcPr>
            <w:tcW w:w="109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600" w:type="dxa"/>
            <w:tcBorders>
              <w:bottom w:val="single" w:sz="8" w:space="0" w:color="732282"/>
            </w:tcBorders>
            <w:shd w:fill="auto" w:val="clear"/>
            <w:tcMar>
              <w:bottom w:w="28" w:type="dxa"/>
            </w:tcMar>
            <w:vAlign w:val="center"/>
          </w:tcPr>
          <w:p>
            <w:pPr>
              <w:pStyle w:val="TableContents"/>
              <w:spacing w:before="0" w:after="0"/>
              <w:rPr>
                <w:rFonts w:ascii="arial" w:hAnsi="arial"/>
                <w:b/>
                <w:color w:val="732282"/>
                <w:sz w:val="16"/>
              </w:rPr>
            </w:pPr>
            <w:r>
              <w:rPr>
                <w:rFonts w:ascii="arial" w:hAnsi="arial"/>
                <w:b/>
                <w:color w:val="732282"/>
                <w:sz w:val="16"/>
              </w:rPr>
              <w:t>Name</w:t>
            </w:r>
          </w:p>
        </w:tc>
        <w:tc>
          <w:tcPr>
            <w:tcW w:w="120" w:type="dxa"/>
            <w:tcBorders>
              <w:bottom w:val="single" w:sz="8" w:space="0" w:color="732282"/>
            </w:tcBorders>
            <w:shd w:fill="auto" w:val="clear"/>
            <w:tcMar>
              <w:bottom w:w="28" w:type="dxa"/>
            </w:tcMar>
            <w:vAlign w:val="center"/>
          </w:tcPr>
          <w:p>
            <w:pPr>
              <w:pStyle w:val="TableContents"/>
              <w:spacing w:before="0" w:after="283"/>
              <w:rPr/>
            </w:pPr>
            <w:r>
              <w:rPr/>
              <w:t>  </w:t>
            </w:r>
          </w:p>
        </w:tc>
        <w:tc>
          <w:tcPr>
            <w:tcW w:w="1595" w:type="dxa"/>
            <w:gridSpan w:val="2"/>
            <w:tcBorders>
              <w:bottom w:val="single" w:sz="8" w:space="0" w:color="732282"/>
            </w:tcBorders>
            <w:shd w:fill="auto" w:val="clear"/>
            <w:tcMar>
              <w:bottom w:w="28" w:type="dxa"/>
            </w:tcMar>
            <w:vAlign w:val="center"/>
          </w:tcPr>
          <w:p>
            <w:pPr>
              <w:pStyle w:val="TableContents"/>
              <w:spacing w:before="0" w:after="0"/>
              <w:jc w:val="right"/>
              <w:rPr>
                <w:rFonts w:ascii="arial" w:hAnsi="arial"/>
                <w:b/>
                <w:color w:val="732282"/>
                <w:sz w:val="16"/>
              </w:rPr>
            </w:pPr>
            <w:r>
              <w:rPr>
                <w:rFonts w:ascii="arial" w:hAnsi="arial"/>
                <w:b/>
                <w:color w:val="732282"/>
                <w:sz w:val="16"/>
              </w:rPr>
              <w:t>Fees Earned or Paid</w:t>
              <w:br/>
              <w:t>in Cash</w:t>
            </w:r>
          </w:p>
          <w:p>
            <w:pPr>
              <w:pStyle w:val="TableContents"/>
              <w:spacing w:before="0" w:after="20"/>
              <w:jc w:val="right"/>
              <w:rPr>
                <w:rFonts w:ascii="arial" w:hAnsi="arial"/>
                <w:b/>
                <w:color w:val="732282"/>
                <w:sz w:val="16"/>
              </w:rPr>
            </w:pPr>
            <w:r>
              <w:rPr>
                <w:rFonts w:ascii="arial" w:hAnsi="arial"/>
                <w:b/>
                <w:color w:val="732282"/>
                <w:sz w:val="16"/>
              </w:rPr>
              <w:t>($)</w:t>
            </w:r>
          </w:p>
        </w:tc>
        <w:tc>
          <w:tcPr>
            <w:tcW w:w="60" w:type="dxa"/>
            <w:tcBorders>
              <w:bottom w:val="single" w:sz="8" w:space="0" w:color="732282"/>
            </w:tcBorders>
            <w:shd w:fill="auto" w:val="clear"/>
            <w:tcMar>
              <w:bottom w:w="28" w:type="dxa"/>
            </w:tcMar>
            <w:vAlign w:val="center"/>
          </w:tcPr>
          <w:p>
            <w:pPr>
              <w:pStyle w:val="TableContents"/>
              <w:spacing w:before="0" w:after="283"/>
              <w:rPr/>
            </w:pPr>
            <w:r>
              <w:rPr/>
              <w:t> </w:t>
            </w:r>
          </w:p>
        </w:tc>
        <w:tc>
          <w:tcPr>
            <w:tcW w:w="120" w:type="dxa"/>
            <w:tcBorders>
              <w:bottom w:val="single" w:sz="8" w:space="0" w:color="732282"/>
            </w:tcBorders>
            <w:shd w:fill="auto" w:val="clear"/>
            <w:tcMar>
              <w:bottom w:w="28" w:type="dxa"/>
            </w:tcMar>
            <w:vAlign w:val="center"/>
          </w:tcPr>
          <w:p>
            <w:pPr>
              <w:pStyle w:val="TableContents"/>
              <w:spacing w:before="0" w:after="283"/>
              <w:rPr/>
            </w:pPr>
            <w:r>
              <w:rPr/>
              <w:t>  </w:t>
            </w:r>
          </w:p>
        </w:tc>
        <w:tc>
          <w:tcPr>
            <w:tcW w:w="860" w:type="dxa"/>
            <w:gridSpan w:val="2"/>
            <w:tcBorders>
              <w:bottom w:val="single" w:sz="8" w:space="0" w:color="732282"/>
            </w:tcBorders>
            <w:shd w:fill="auto" w:val="clear"/>
            <w:tcMar>
              <w:bottom w:w="28" w:type="dxa"/>
            </w:tcMar>
            <w:vAlign w:val="center"/>
          </w:tcPr>
          <w:p>
            <w:pPr>
              <w:pStyle w:val="TableContents"/>
              <w:spacing w:before="0" w:after="0"/>
              <w:jc w:val="right"/>
              <w:rPr>
                <w:rFonts w:ascii="arial" w:hAnsi="arial"/>
                <w:b/>
                <w:color w:val="732282"/>
                <w:sz w:val="16"/>
              </w:rPr>
            </w:pPr>
            <w:r>
              <w:rPr>
                <w:rFonts w:ascii="arial" w:hAnsi="arial"/>
                <w:b/>
                <w:color w:val="732282"/>
                <w:sz w:val="16"/>
              </w:rPr>
              <w:t>RSUs</w:t>
            </w:r>
          </w:p>
          <w:p>
            <w:pPr>
              <w:pStyle w:val="TableContents"/>
              <w:spacing w:before="0" w:after="20"/>
              <w:jc w:val="right"/>
              <w:rPr>
                <w:rFonts w:ascii="arial" w:hAnsi="arial"/>
                <w:b/>
                <w:color w:val="732282"/>
                <w:sz w:val="16"/>
              </w:rPr>
            </w:pPr>
            <w:r>
              <w:rPr>
                <w:rFonts w:ascii="arial" w:hAnsi="arial"/>
                <w:b/>
                <w:color w:val="732282"/>
                <w:sz w:val="16"/>
              </w:rPr>
              <w:t>($)(3)</w:t>
            </w:r>
          </w:p>
        </w:tc>
        <w:tc>
          <w:tcPr>
            <w:tcW w:w="60" w:type="dxa"/>
            <w:tcBorders>
              <w:bottom w:val="single" w:sz="8" w:space="0" w:color="732282"/>
            </w:tcBorders>
            <w:shd w:fill="auto" w:val="clear"/>
            <w:tcMar>
              <w:bottom w:w="28" w:type="dxa"/>
            </w:tcMar>
            <w:vAlign w:val="center"/>
          </w:tcPr>
          <w:p>
            <w:pPr>
              <w:pStyle w:val="TableContents"/>
              <w:spacing w:before="0" w:after="283"/>
              <w:rPr/>
            </w:pPr>
            <w:r>
              <w:rPr/>
              <w:t> </w:t>
            </w:r>
          </w:p>
        </w:tc>
        <w:tc>
          <w:tcPr>
            <w:tcW w:w="120" w:type="dxa"/>
            <w:tcBorders>
              <w:bottom w:val="single" w:sz="8" w:space="0" w:color="732282"/>
            </w:tcBorders>
            <w:shd w:fill="auto" w:val="clear"/>
            <w:tcMar>
              <w:bottom w:w="28" w:type="dxa"/>
            </w:tcMar>
            <w:vAlign w:val="center"/>
          </w:tcPr>
          <w:p>
            <w:pPr>
              <w:pStyle w:val="TableContents"/>
              <w:spacing w:before="0" w:after="283"/>
              <w:rPr/>
            </w:pPr>
            <w:r>
              <w:rPr/>
              <w:t>  </w:t>
            </w:r>
          </w:p>
        </w:tc>
        <w:tc>
          <w:tcPr>
            <w:tcW w:w="1190" w:type="dxa"/>
            <w:gridSpan w:val="2"/>
            <w:tcBorders>
              <w:bottom w:val="single" w:sz="8" w:space="0" w:color="732282"/>
            </w:tcBorders>
            <w:shd w:fill="auto" w:val="clear"/>
            <w:tcMar>
              <w:bottom w:w="28" w:type="dxa"/>
            </w:tcMar>
            <w:vAlign w:val="center"/>
          </w:tcPr>
          <w:p>
            <w:pPr>
              <w:pStyle w:val="TableContents"/>
              <w:spacing w:before="0" w:after="0"/>
              <w:jc w:val="right"/>
              <w:rPr>
                <w:rFonts w:ascii="arial" w:hAnsi="arial"/>
                <w:b/>
                <w:color w:val="732282"/>
                <w:sz w:val="16"/>
              </w:rPr>
            </w:pPr>
            <w:r>
              <w:rPr>
                <w:rFonts w:ascii="arial" w:hAnsi="arial"/>
                <w:b/>
                <w:color w:val="732282"/>
                <w:sz w:val="16"/>
              </w:rPr>
              <w:t>All Other</w:t>
            </w:r>
          </w:p>
          <w:p>
            <w:pPr>
              <w:pStyle w:val="TableContents"/>
              <w:spacing w:before="0" w:after="0"/>
              <w:jc w:val="right"/>
              <w:rPr>
                <w:rFonts w:ascii="arial" w:hAnsi="arial"/>
                <w:b/>
                <w:color w:val="732282"/>
                <w:sz w:val="16"/>
              </w:rPr>
            </w:pPr>
            <w:r>
              <w:rPr>
                <w:rFonts w:ascii="arial" w:hAnsi="arial"/>
                <w:b/>
                <w:color w:val="732282"/>
                <w:sz w:val="16"/>
              </w:rPr>
              <w:t>Compensation</w:t>
            </w:r>
          </w:p>
          <w:p>
            <w:pPr>
              <w:pStyle w:val="TableContents"/>
              <w:spacing w:before="0" w:after="20"/>
              <w:jc w:val="right"/>
              <w:rPr>
                <w:rFonts w:ascii="arial" w:hAnsi="arial"/>
                <w:b/>
                <w:color w:val="732282"/>
                <w:sz w:val="16"/>
              </w:rPr>
            </w:pPr>
            <w:r>
              <w:rPr>
                <w:rFonts w:ascii="arial" w:hAnsi="arial"/>
                <w:b/>
                <w:color w:val="732282"/>
                <w:sz w:val="16"/>
              </w:rPr>
              <w:t>($)(4)</w:t>
            </w:r>
          </w:p>
        </w:tc>
        <w:tc>
          <w:tcPr>
            <w:tcW w:w="60" w:type="dxa"/>
            <w:tcBorders>
              <w:bottom w:val="single" w:sz="8" w:space="0" w:color="732282"/>
            </w:tcBorders>
            <w:shd w:fill="auto" w:val="clear"/>
            <w:tcMar>
              <w:bottom w:w="28" w:type="dxa"/>
            </w:tcMar>
            <w:vAlign w:val="center"/>
          </w:tcPr>
          <w:p>
            <w:pPr>
              <w:pStyle w:val="TableContents"/>
              <w:spacing w:before="0" w:after="283"/>
              <w:rPr/>
            </w:pPr>
            <w:r>
              <w:rPr/>
              <w:t> </w:t>
            </w:r>
          </w:p>
        </w:tc>
        <w:tc>
          <w:tcPr>
            <w:tcW w:w="120" w:type="dxa"/>
            <w:tcBorders>
              <w:bottom w:val="single" w:sz="8" w:space="0" w:color="732282"/>
            </w:tcBorders>
            <w:shd w:fill="auto" w:val="clear"/>
            <w:tcMar>
              <w:bottom w:w="28" w:type="dxa"/>
            </w:tcMar>
            <w:vAlign w:val="center"/>
          </w:tcPr>
          <w:p>
            <w:pPr>
              <w:pStyle w:val="TableContents"/>
              <w:spacing w:before="0" w:after="283"/>
              <w:rPr/>
            </w:pPr>
            <w:r>
              <w:rPr/>
              <w:t>  </w:t>
            </w:r>
          </w:p>
        </w:tc>
        <w:tc>
          <w:tcPr>
            <w:tcW w:w="860" w:type="dxa"/>
            <w:gridSpan w:val="2"/>
            <w:tcBorders>
              <w:bottom w:val="single" w:sz="8" w:space="0" w:color="732282"/>
            </w:tcBorders>
            <w:shd w:fill="auto" w:val="clear"/>
            <w:tcMar>
              <w:bottom w:w="28" w:type="dxa"/>
            </w:tcMar>
            <w:vAlign w:val="center"/>
          </w:tcPr>
          <w:p>
            <w:pPr>
              <w:pStyle w:val="TableContents"/>
              <w:spacing w:before="0" w:after="0"/>
              <w:jc w:val="right"/>
              <w:rPr>
                <w:rFonts w:ascii="arial" w:hAnsi="arial"/>
                <w:b/>
                <w:color w:val="732282"/>
                <w:sz w:val="16"/>
              </w:rPr>
            </w:pPr>
            <w:r>
              <w:rPr>
                <w:rFonts w:ascii="arial" w:hAnsi="arial"/>
                <w:b/>
                <w:color w:val="732282"/>
                <w:sz w:val="16"/>
              </w:rPr>
              <w:t>Total</w:t>
            </w:r>
          </w:p>
          <w:p>
            <w:pPr>
              <w:pStyle w:val="TableContents"/>
              <w:spacing w:before="0" w:after="20"/>
              <w:jc w:val="right"/>
              <w:rPr>
                <w:rFonts w:ascii="arial" w:hAnsi="arial"/>
                <w:b/>
                <w:color w:val="732282"/>
                <w:sz w:val="16"/>
              </w:rPr>
            </w:pPr>
            <w:r>
              <w:rPr>
                <w:rFonts w:ascii="arial" w:hAnsi="arial"/>
                <w:b/>
                <w:color w:val="732282"/>
                <w:sz w:val="16"/>
              </w:rPr>
              <w:t>($)</w:t>
            </w:r>
          </w:p>
        </w:tc>
        <w:tc>
          <w:tcPr>
            <w:tcW w:w="75" w:type="dxa"/>
            <w:tcBorders>
              <w:bottom w:val="single" w:sz="8" w:space="0" w:color="732282"/>
            </w:tcBorders>
            <w:shd w:fill="auto" w:val="clear"/>
            <w:tcMar>
              <w:bottom w:w="28" w:type="dxa"/>
            </w:tcMar>
            <w:vAlign w:val="center"/>
          </w:tcPr>
          <w:p>
            <w:pPr>
              <w:pStyle w:val="TableContents"/>
              <w:spacing w:before="0" w:after="283"/>
              <w:rPr/>
            </w:pPr>
            <w:r>
              <w:rPr/>
              <w:t> </w:t>
            </w:r>
          </w:p>
        </w:tc>
      </w:tr>
      <w:tr>
        <w:trPr/>
        <w:tc>
          <w:tcPr>
            <w:tcW w:w="2600" w:type="dxa"/>
            <w:tcBorders/>
            <w:shd w:fill="E5E5E5" w:val="clear"/>
            <w:vAlign w:val="center"/>
          </w:tcPr>
          <w:p>
            <w:pPr>
              <w:pStyle w:val="TableContents"/>
              <w:spacing w:before="0" w:after="0"/>
              <w:rPr>
                <w:rFonts w:ascii="arial" w:hAnsi="arial"/>
                <w:sz w:val="20"/>
              </w:rPr>
            </w:pPr>
            <w:r>
              <w:rPr>
                <w:rFonts w:ascii="arial" w:hAnsi="arial"/>
                <w:sz w:val="20"/>
              </w:rPr>
              <w:t>W. Don Cornwell</w:t>
            </w:r>
          </w:p>
        </w:tc>
        <w:tc>
          <w:tcPr>
            <w:tcW w:w="120" w:type="dxa"/>
            <w:tcBorders/>
            <w:shd w:fill="E5E5E5" w:val="clear"/>
            <w:vAlign w:val="center"/>
          </w:tcPr>
          <w:p>
            <w:pPr>
              <w:pStyle w:val="TableContents"/>
              <w:spacing w:before="0" w:after="283"/>
              <w:rPr/>
            </w:pPr>
            <w:r>
              <w:rPr/>
              <w:t>  </w:t>
            </w:r>
          </w:p>
        </w:tc>
        <w:tc>
          <w:tcPr>
            <w:tcW w:w="111" w:type="dxa"/>
            <w:tcBorders/>
            <w:shd w:fill="E5E5E5" w:val="clear"/>
            <w:vAlign w:val="center"/>
          </w:tcPr>
          <w:p>
            <w:pPr>
              <w:pStyle w:val="TableContents"/>
              <w:spacing w:before="0" w:after="283"/>
              <w:rPr/>
            </w:pPr>
            <w:r>
              <w:rPr/>
              <w:t> </w:t>
            </w:r>
          </w:p>
        </w:tc>
        <w:tc>
          <w:tcPr>
            <w:tcW w:w="1484" w:type="dxa"/>
            <w:tcBorders/>
            <w:shd w:fill="E5E5E5" w:val="clear"/>
            <w:vAlign w:val="center"/>
          </w:tcPr>
          <w:p>
            <w:pPr>
              <w:pStyle w:val="TableContents"/>
              <w:spacing w:before="0" w:after="283"/>
              <w:jc w:val="right"/>
              <w:rPr/>
            </w:pPr>
            <w:r>
              <w:rPr/>
              <w:t>150,000</w:t>
            </w:r>
          </w:p>
        </w:tc>
        <w:tc>
          <w:tcPr>
            <w:tcW w:w="60" w:type="dxa"/>
            <w:tcBorders/>
            <w:shd w:fill="E5E5E5" w:val="clear"/>
            <w:vAlign w:val="center"/>
          </w:tcPr>
          <w:p>
            <w:pPr>
              <w:pStyle w:val="TableContents"/>
              <w:spacing w:before="0" w:after="283"/>
              <w:rPr/>
            </w:pPr>
            <w:r>
              <w:rPr/>
              <w:t> </w:t>
            </w:r>
          </w:p>
        </w:tc>
        <w:tc>
          <w:tcPr>
            <w:tcW w:w="12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800" w:type="dxa"/>
            <w:tcBorders/>
            <w:shd w:fill="E5E5E5" w:val="clear"/>
            <w:vAlign w:val="center"/>
          </w:tcPr>
          <w:p>
            <w:pPr>
              <w:pStyle w:val="TableContents"/>
              <w:spacing w:before="0" w:after="283"/>
              <w:jc w:val="right"/>
              <w:rPr/>
            </w:pPr>
            <w:r>
              <w:rPr/>
              <w:t>200,002</w:t>
            </w:r>
          </w:p>
        </w:tc>
        <w:tc>
          <w:tcPr>
            <w:tcW w:w="60" w:type="dxa"/>
            <w:tcBorders/>
            <w:shd w:fill="E5E5E5" w:val="clear"/>
            <w:vAlign w:val="center"/>
          </w:tcPr>
          <w:p>
            <w:pPr>
              <w:pStyle w:val="TableContents"/>
              <w:spacing w:before="0" w:after="283"/>
              <w:rPr/>
            </w:pPr>
            <w:r>
              <w:rPr/>
              <w:t> </w:t>
            </w:r>
          </w:p>
        </w:tc>
        <w:tc>
          <w:tcPr>
            <w:tcW w:w="120" w:type="dxa"/>
            <w:tcBorders/>
            <w:shd w:fill="E5E5E5" w:val="clear"/>
            <w:vAlign w:val="center"/>
          </w:tcPr>
          <w:p>
            <w:pPr>
              <w:pStyle w:val="TableContents"/>
              <w:spacing w:before="0" w:after="283"/>
              <w:rPr/>
            </w:pPr>
            <w:r>
              <w:rPr/>
              <w:t>  </w:t>
            </w:r>
          </w:p>
        </w:tc>
        <w:tc>
          <w:tcPr>
            <w:tcW w:w="96" w:type="dxa"/>
            <w:tcBorders/>
            <w:shd w:fill="E5E5E5" w:val="clear"/>
            <w:vAlign w:val="center"/>
          </w:tcPr>
          <w:p>
            <w:pPr>
              <w:pStyle w:val="TableContents"/>
              <w:spacing w:before="0" w:after="283"/>
              <w:rPr/>
            </w:pPr>
            <w:r>
              <w:rPr/>
              <w:t> </w:t>
            </w:r>
          </w:p>
        </w:tc>
        <w:tc>
          <w:tcPr>
            <w:tcW w:w="1094" w:type="dxa"/>
            <w:tcBorders/>
            <w:shd w:fill="E5E5E5" w:val="clear"/>
            <w:vAlign w:val="center"/>
          </w:tcPr>
          <w:p>
            <w:pPr>
              <w:pStyle w:val="TableContents"/>
              <w:spacing w:before="0" w:after="283"/>
              <w:jc w:val="right"/>
              <w:rPr/>
            </w:pPr>
            <w:r>
              <w:rPr/>
              <w:t>20,000</w:t>
            </w:r>
          </w:p>
        </w:tc>
        <w:tc>
          <w:tcPr>
            <w:tcW w:w="60" w:type="dxa"/>
            <w:tcBorders/>
            <w:shd w:fill="E5E5E5" w:val="clear"/>
            <w:vAlign w:val="center"/>
          </w:tcPr>
          <w:p>
            <w:pPr>
              <w:pStyle w:val="TableContents"/>
              <w:spacing w:before="0" w:after="283"/>
              <w:rPr/>
            </w:pPr>
            <w:r>
              <w:rPr/>
              <w:t> </w:t>
            </w:r>
          </w:p>
        </w:tc>
        <w:tc>
          <w:tcPr>
            <w:tcW w:w="12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800" w:type="dxa"/>
            <w:tcBorders/>
            <w:shd w:fill="E5E5E5" w:val="clear"/>
            <w:vAlign w:val="center"/>
          </w:tcPr>
          <w:p>
            <w:pPr>
              <w:pStyle w:val="TableContents"/>
              <w:spacing w:before="0" w:after="283"/>
              <w:jc w:val="right"/>
              <w:rPr/>
            </w:pPr>
            <w:r>
              <w:rPr/>
              <w:t>370,002</w:t>
            </w:r>
          </w:p>
        </w:tc>
        <w:tc>
          <w:tcPr>
            <w:tcW w:w="75" w:type="dxa"/>
            <w:tcBorders/>
            <w:shd w:fill="E5E5E5" w:val="clear"/>
            <w:vAlign w:val="center"/>
          </w:tcPr>
          <w:p>
            <w:pPr>
              <w:pStyle w:val="TableContents"/>
              <w:spacing w:before="0" w:after="283"/>
              <w:rPr/>
            </w:pPr>
            <w:r>
              <w:rPr/>
              <w:t> </w:t>
            </w:r>
          </w:p>
        </w:tc>
      </w:tr>
      <w:tr>
        <w:trPr/>
        <w:tc>
          <w:tcPr>
            <w:tcW w:w="2600" w:type="dxa"/>
            <w:tcBorders/>
            <w:shd w:fill="auto" w:val="clear"/>
            <w:vAlign w:val="center"/>
          </w:tcPr>
          <w:p>
            <w:pPr>
              <w:pStyle w:val="TableContents"/>
              <w:spacing w:before="0" w:after="0"/>
              <w:rPr>
                <w:rFonts w:ascii="arial" w:hAnsi="arial"/>
                <w:sz w:val="20"/>
              </w:rPr>
            </w:pPr>
            <w:r>
              <w:rPr>
                <w:rFonts w:ascii="arial" w:hAnsi="arial"/>
                <w:sz w:val="20"/>
              </w:rPr>
              <w:t>JoEllen Lyons Dillon</w:t>
            </w:r>
          </w:p>
        </w:tc>
        <w:tc>
          <w:tcPr>
            <w:tcW w:w="120" w:type="dxa"/>
            <w:tcBorders/>
            <w:shd w:fill="auto" w:val="clear"/>
            <w:vAlign w:val="center"/>
          </w:tcPr>
          <w:p>
            <w:pPr>
              <w:pStyle w:val="TableContents"/>
              <w:spacing w:before="0" w:after="283"/>
              <w:rPr/>
            </w:pPr>
            <w:r>
              <w:rPr/>
              <w:t>  </w:t>
            </w:r>
          </w:p>
        </w:tc>
        <w:tc>
          <w:tcPr>
            <w:tcW w:w="111" w:type="dxa"/>
            <w:tcBorders/>
            <w:shd w:fill="auto" w:val="clear"/>
            <w:vAlign w:val="center"/>
          </w:tcPr>
          <w:p>
            <w:pPr>
              <w:pStyle w:val="TableContents"/>
              <w:spacing w:before="0" w:after="283"/>
              <w:rPr/>
            </w:pPr>
            <w:r>
              <w:rPr/>
              <w:t> </w:t>
            </w:r>
          </w:p>
        </w:tc>
        <w:tc>
          <w:tcPr>
            <w:tcW w:w="1484" w:type="dxa"/>
            <w:tcBorders/>
            <w:shd w:fill="auto" w:val="clear"/>
            <w:vAlign w:val="center"/>
          </w:tcPr>
          <w:p>
            <w:pPr>
              <w:pStyle w:val="TableContents"/>
              <w:spacing w:before="0" w:after="283"/>
              <w:jc w:val="right"/>
              <w:rPr/>
            </w:pPr>
            <w:r>
              <w:rPr/>
              <w:t>200,000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200,002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1094"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400,002</w:t>
            </w:r>
          </w:p>
        </w:tc>
        <w:tc>
          <w:tcPr>
            <w:tcW w:w="75" w:type="dxa"/>
            <w:tcBorders/>
            <w:shd w:fill="auto" w:val="clear"/>
            <w:vAlign w:val="center"/>
          </w:tcPr>
          <w:p>
            <w:pPr>
              <w:pStyle w:val="TableContents"/>
              <w:spacing w:before="0" w:after="283"/>
              <w:rPr/>
            </w:pPr>
            <w:r>
              <w:rPr/>
              <w:t> </w:t>
            </w:r>
          </w:p>
        </w:tc>
      </w:tr>
      <w:tr>
        <w:trPr/>
        <w:tc>
          <w:tcPr>
            <w:tcW w:w="2600" w:type="dxa"/>
            <w:tcBorders/>
            <w:shd w:fill="E5E5E5" w:val="clear"/>
            <w:vAlign w:val="center"/>
          </w:tcPr>
          <w:p>
            <w:pPr>
              <w:pStyle w:val="TableContents"/>
              <w:spacing w:before="0" w:after="0"/>
              <w:rPr>
                <w:rFonts w:ascii="arial" w:hAnsi="arial"/>
                <w:sz w:val="20"/>
              </w:rPr>
            </w:pPr>
            <w:r>
              <w:rPr>
                <w:rFonts w:ascii="arial" w:hAnsi="arial"/>
                <w:sz w:val="20"/>
              </w:rPr>
              <w:t>Neil Dimick</w:t>
            </w:r>
          </w:p>
        </w:tc>
        <w:tc>
          <w:tcPr>
            <w:tcW w:w="120" w:type="dxa"/>
            <w:tcBorders/>
            <w:shd w:fill="E5E5E5" w:val="clear"/>
            <w:vAlign w:val="center"/>
          </w:tcPr>
          <w:p>
            <w:pPr>
              <w:pStyle w:val="TableContents"/>
              <w:spacing w:before="0" w:after="283"/>
              <w:rPr/>
            </w:pPr>
            <w:r>
              <w:rPr/>
              <w:t>  </w:t>
            </w:r>
          </w:p>
        </w:tc>
        <w:tc>
          <w:tcPr>
            <w:tcW w:w="111" w:type="dxa"/>
            <w:tcBorders/>
            <w:shd w:fill="E5E5E5" w:val="clear"/>
            <w:vAlign w:val="center"/>
          </w:tcPr>
          <w:p>
            <w:pPr>
              <w:pStyle w:val="TableContents"/>
              <w:spacing w:before="0" w:after="283"/>
              <w:rPr/>
            </w:pPr>
            <w:r>
              <w:rPr/>
              <w:t> </w:t>
            </w:r>
          </w:p>
        </w:tc>
        <w:tc>
          <w:tcPr>
            <w:tcW w:w="1484" w:type="dxa"/>
            <w:tcBorders/>
            <w:shd w:fill="E5E5E5" w:val="clear"/>
            <w:vAlign w:val="center"/>
          </w:tcPr>
          <w:p>
            <w:pPr>
              <w:pStyle w:val="TableContents"/>
              <w:spacing w:before="0" w:after="283"/>
              <w:jc w:val="right"/>
              <w:rPr/>
            </w:pPr>
            <w:r>
              <w:rPr/>
              <w:t>200,000</w:t>
            </w:r>
          </w:p>
        </w:tc>
        <w:tc>
          <w:tcPr>
            <w:tcW w:w="60" w:type="dxa"/>
            <w:tcBorders/>
            <w:shd w:fill="E5E5E5" w:val="clear"/>
            <w:vAlign w:val="center"/>
          </w:tcPr>
          <w:p>
            <w:pPr>
              <w:pStyle w:val="TableContents"/>
              <w:spacing w:before="0" w:after="283"/>
              <w:rPr/>
            </w:pPr>
            <w:r>
              <w:rPr/>
              <w:t> </w:t>
            </w:r>
          </w:p>
        </w:tc>
        <w:tc>
          <w:tcPr>
            <w:tcW w:w="12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800" w:type="dxa"/>
            <w:tcBorders/>
            <w:shd w:fill="E5E5E5" w:val="clear"/>
            <w:vAlign w:val="center"/>
          </w:tcPr>
          <w:p>
            <w:pPr>
              <w:pStyle w:val="TableContents"/>
              <w:spacing w:before="0" w:after="283"/>
              <w:jc w:val="right"/>
              <w:rPr/>
            </w:pPr>
            <w:r>
              <w:rPr/>
              <w:t>200,002</w:t>
            </w:r>
          </w:p>
        </w:tc>
        <w:tc>
          <w:tcPr>
            <w:tcW w:w="60" w:type="dxa"/>
            <w:tcBorders/>
            <w:shd w:fill="E5E5E5" w:val="clear"/>
            <w:vAlign w:val="center"/>
          </w:tcPr>
          <w:p>
            <w:pPr>
              <w:pStyle w:val="TableContents"/>
              <w:spacing w:before="0" w:after="283"/>
              <w:rPr/>
            </w:pPr>
            <w:r>
              <w:rPr/>
              <w:t> </w:t>
            </w:r>
          </w:p>
        </w:tc>
        <w:tc>
          <w:tcPr>
            <w:tcW w:w="120" w:type="dxa"/>
            <w:tcBorders/>
            <w:shd w:fill="E5E5E5" w:val="clear"/>
            <w:vAlign w:val="center"/>
          </w:tcPr>
          <w:p>
            <w:pPr>
              <w:pStyle w:val="TableContents"/>
              <w:spacing w:before="0" w:after="283"/>
              <w:rPr/>
            </w:pPr>
            <w:r>
              <w:rPr/>
              <w:t>  </w:t>
            </w:r>
          </w:p>
        </w:tc>
        <w:tc>
          <w:tcPr>
            <w:tcW w:w="96" w:type="dxa"/>
            <w:tcBorders/>
            <w:shd w:fill="E5E5E5" w:val="clear"/>
            <w:vAlign w:val="center"/>
          </w:tcPr>
          <w:p>
            <w:pPr>
              <w:pStyle w:val="TableContents"/>
              <w:spacing w:before="0" w:after="283"/>
              <w:rPr/>
            </w:pPr>
            <w:r>
              <w:rPr/>
              <w:t> </w:t>
            </w:r>
          </w:p>
        </w:tc>
        <w:tc>
          <w:tcPr>
            <w:tcW w:w="1094" w:type="dxa"/>
            <w:tcBorders/>
            <w:shd w:fill="E5E5E5" w:val="clear"/>
            <w:vAlign w:val="center"/>
          </w:tcPr>
          <w:p>
            <w:pPr>
              <w:pStyle w:val="TableContents"/>
              <w:spacing w:before="0" w:after="283"/>
              <w:jc w:val="right"/>
              <w:rPr/>
            </w:pPr>
            <w:r>
              <w:rPr/>
              <w:t>—</w:t>
            </w:r>
          </w:p>
        </w:tc>
        <w:tc>
          <w:tcPr>
            <w:tcW w:w="60" w:type="dxa"/>
            <w:tcBorders/>
            <w:shd w:fill="E5E5E5" w:val="clear"/>
            <w:vAlign w:val="center"/>
          </w:tcPr>
          <w:p>
            <w:pPr>
              <w:pStyle w:val="TableContents"/>
              <w:spacing w:before="0" w:after="283"/>
              <w:rPr/>
            </w:pPr>
            <w:r>
              <w:rPr/>
              <w:t> </w:t>
            </w:r>
          </w:p>
        </w:tc>
        <w:tc>
          <w:tcPr>
            <w:tcW w:w="12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800" w:type="dxa"/>
            <w:tcBorders/>
            <w:shd w:fill="E5E5E5" w:val="clear"/>
            <w:vAlign w:val="center"/>
          </w:tcPr>
          <w:p>
            <w:pPr>
              <w:pStyle w:val="TableContents"/>
              <w:spacing w:before="0" w:after="283"/>
              <w:jc w:val="right"/>
              <w:rPr/>
            </w:pPr>
            <w:r>
              <w:rPr/>
              <w:t>400,002</w:t>
            </w:r>
          </w:p>
        </w:tc>
        <w:tc>
          <w:tcPr>
            <w:tcW w:w="75" w:type="dxa"/>
            <w:tcBorders/>
            <w:shd w:fill="E5E5E5" w:val="clear"/>
            <w:vAlign w:val="center"/>
          </w:tcPr>
          <w:p>
            <w:pPr>
              <w:pStyle w:val="TableContents"/>
              <w:spacing w:before="0" w:after="283"/>
              <w:rPr/>
            </w:pPr>
            <w:r>
              <w:rPr/>
              <w:t> </w:t>
            </w:r>
          </w:p>
        </w:tc>
      </w:tr>
      <w:tr>
        <w:trPr/>
        <w:tc>
          <w:tcPr>
            <w:tcW w:w="2600" w:type="dxa"/>
            <w:tcBorders/>
            <w:shd w:fill="auto" w:val="clear"/>
            <w:vAlign w:val="center"/>
          </w:tcPr>
          <w:p>
            <w:pPr>
              <w:pStyle w:val="TableContents"/>
              <w:spacing w:before="0" w:after="0"/>
              <w:rPr>
                <w:rFonts w:ascii="arial" w:hAnsi="arial"/>
                <w:sz w:val="20"/>
              </w:rPr>
            </w:pPr>
            <w:r>
              <w:rPr>
                <w:rFonts w:ascii="arial" w:hAnsi="arial"/>
                <w:sz w:val="20"/>
              </w:rPr>
              <w:t>Elisha W. Finney(1)</w:t>
            </w:r>
          </w:p>
        </w:tc>
        <w:tc>
          <w:tcPr>
            <w:tcW w:w="120" w:type="dxa"/>
            <w:tcBorders/>
            <w:shd w:fill="auto" w:val="clear"/>
            <w:vAlign w:val="center"/>
          </w:tcPr>
          <w:p>
            <w:pPr>
              <w:pStyle w:val="TableContents"/>
              <w:spacing w:before="0" w:after="283"/>
              <w:rPr/>
            </w:pPr>
            <w:r>
              <w:rPr/>
              <w:t>  </w:t>
            </w:r>
          </w:p>
        </w:tc>
        <w:tc>
          <w:tcPr>
            <w:tcW w:w="111" w:type="dxa"/>
            <w:tcBorders/>
            <w:shd w:fill="auto" w:val="clear"/>
            <w:vAlign w:val="center"/>
          </w:tcPr>
          <w:p>
            <w:pPr>
              <w:pStyle w:val="TableContents"/>
              <w:spacing w:before="0" w:after="283"/>
              <w:rPr/>
            </w:pPr>
            <w:r>
              <w:rPr/>
              <w:t> </w:t>
            </w:r>
          </w:p>
        </w:tc>
        <w:tc>
          <w:tcPr>
            <w:tcW w:w="1484"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1094"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w:t>
            </w:r>
          </w:p>
        </w:tc>
        <w:tc>
          <w:tcPr>
            <w:tcW w:w="75" w:type="dxa"/>
            <w:tcBorders/>
            <w:shd w:fill="auto" w:val="clear"/>
            <w:vAlign w:val="center"/>
          </w:tcPr>
          <w:p>
            <w:pPr>
              <w:pStyle w:val="TableContents"/>
              <w:spacing w:before="0" w:after="283"/>
              <w:rPr/>
            </w:pPr>
            <w:r>
              <w:rPr/>
              <w:t> </w:t>
            </w:r>
          </w:p>
        </w:tc>
      </w:tr>
      <w:tr>
        <w:trPr/>
        <w:tc>
          <w:tcPr>
            <w:tcW w:w="2600" w:type="dxa"/>
            <w:tcBorders/>
            <w:shd w:fill="E5E5E5" w:val="clear"/>
            <w:vAlign w:val="center"/>
          </w:tcPr>
          <w:p>
            <w:pPr>
              <w:pStyle w:val="TableContents"/>
              <w:spacing w:before="0" w:after="0"/>
              <w:rPr>
                <w:rFonts w:ascii="arial" w:hAnsi="arial"/>
                <w:sz w:val="20"/>
              </w:rPr>
            </w:pPr>
            <w:r>
              <w:rPr>
                <w:rFonts w:ascii="arial" w:hAnsi="arial"/>
                <w:sz w:val="20"/>
              </w:rPr>
              <w:t>Melina Higgins</w:t>
            </w:r>
          </w:p>
        </w:tc>
        <w:tc>
          <w:tcPr>
            <w:tcW w:w="120" w:type="dxa"/>
            <w:tcBorders/>
            <w:shd w:fill="E5E5E5" w:val="clear"/>
            <w:vAlign w:val="center"/>
          </w:tcPr>
          <w:p>
            <w:pPr>
              <w:pStyle w:val="TableContents"/>
              <w:spacing w:before="0" w:after="283"/>
              <w:rPr/>
            </w:pPr>
            <w:r>
              <w:rPr/>
              <w:t>  </w:t>
            </w:r>
          </w:p>
        </w:tc>
        <w:tc>
          <w:tcPr>
            <w:tcW w:w="111" w:type="dxa"/>
            <w:tcBorders/>
            <w:shd w:fill="E5E5E5" w:val="clear"/>
            <w:vAlign w:val="center"/>
          </w:tcPr>
          <w:p>
            <w:pPr>
              <w:pStyle w:val="TableContents"/>
              <w:spacing w:before="0" w:after="283"/>
              <w:rPr/>
            </w:pPr>
            <w:r>
              <w:rPr/>
              <w:t> </w:t>
            </w:r>
          </w:p>
        </w:tc>
        <w:tc>
          <w:tcPr>
            <w:tcW w:w="1484" w:type="dxa"/>
            <w:tcBorders/>
            <w:shd w:fill="E5E5E5" w:val="clear"/>
            <w:vAlign w:val="center"/>
          </w:tcPr>
          <w:p>
            <w:pPr>
              <w:pStyle w:val="TableContents"/>
              <w:spacing w:before="0" w:after="283"/>
              <w:jc w:val="right"/>
              <w:rPr/>
            </w:pPr>
            <w:r>
              <w:rPr/>
              <w:t>225,000</w:t>
            </w:r>
          </w:p>
        </w:tc>
        <w:tc>
          <w:tcPr>
            <w:tcW w:w="60" w:type="dxa"/>
            <w:tcBorders/>
            <w:shd w:fill="E5E5E5" w:val="clear"/>
            <w:vAlign w:val="center"/>
          </w:tcPr>
          <w:p>
            <w:pPr>
              <w:pStyle w:val="TableContents"/>
              <w:spacing w:before="0" w:after="283"/>
              <w:rPr/>
            </w:pPr>
            <w:r>
              <w:rPr/>
              <w:t> </w:t>
            </w:r>
          </w:p>
        </w:tc>
        <w:tc>
          <w:tcPr>
            <w:tcW w:w="12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800" w:type="dxa"/>
            <w:tcBorders/>
            <w:shd w:fill="E5E5E5" w:val="clear"/>
            <w:vAlign w:val="center"/>
          </w:tcPr>
          <w:p>
            <w:pPr>
              <w:pStyle w:val="TableContents"/>
              <w:spacing w:before="0" w:after="283"/>
              <w:jc w:val="right"/>
              <w:rPr/>
            </w:pPr>
            <w:r>
              <w:rPr/>
              <w:t>200,002</w:t>
            </w:r>
          </w:p>
        </w:tc>
        <w:tc>
          <w:tcPr>
            <w:tcW w:w="60" w:type="dxa"/>
            <w:tcBorders/>
            <w:shd w:fill="E5E5E5" w:val="clear"/>
            <w:vAlign w:val="center"/>
          </w:tcPr>
          <w:p>
            <w:pPr>
              <w:pStyle w:val="TableContents"/>
              <w:spacing w:before="0" w:after="283"/>
              <w:rPr/>
            </w:pPr>
            <w:r>
              <w:rPr/>
              <w:t> </w:t>
            </w:r>
          </w:p>
        </w:tc>
        <w:tc>
          <w:tcPr>
            <w:tcW w:w="120" w:type="dxa"/>
            <w:tcBorders/>
            <w:shd w:fill="E5E5E5" w:val="clear"/>
            <w:vAlign w:val="center"/>
          </w:tcPr>
          <w:p>
            <w:pPr>
              <w:pStyle w:val="TableContents"/>
              <w:spacing w:before="0" w:after="283"/>
              <w:rPr/>
            </w:pPr>
            <w:r>
              <w:rPr/>
              <w:t>  </w:t>
            </w:r>
          </w:p>
        </w:tc>
        <w:tc>
          <w:tcPr>
            <w:tcW w:w="96" w:type="dxa"/>
            <w:tcBorders/>
            <w:shd w:fill="E5E5E5" w:val="clear"/>
            <w:vAlign w:val="center"/>
          </w:tcPr>
          <w:p>
            <w:pPr>
              <w:pStyle w:val="TableContents"/>
              <w:spacing w:before="0" w:after="283"/>
              <w:rPr/>
            </w:pPr>
            <w:r>
              <w:rPr/>
              <w:t> </w:t>
            </w:r>
          </w:p>
        </w:tc>
        <w:tc>
          <w:tcPr>
            <w:tcW w:w="1094" w:type="dxa"/>
            <w:tcBorders/>
            <w:shd w:fill="E5E5E5" w:val="clear"/>
            <w:vAlign w:val="center"/>
          </w:tcPr>
          <w:p>
            <w:pPr>
              <w:pStyle w:val="TableContents"/>
              <w:spacing w:before="0" w:after="283"/>
              <w:jc w:val="right"/>
              <w:rPr/>
            </w:pPr>
            <w:r>
              <w:rPr/>
              <w:t>20,000</w:t>
            </w:r>
          </w:p>
        </w:tc>
        <w:tc>
          <w:tcPr>
            <w:tcW w:w="60" w:type="dxa"/>
            <w:tcBorders/>
            <w:shd w:fill="E5E5E5" w:val="clear"/>
            <w:vAlign w:val="center"/>
          </w:tcPr>
          <w:p>
            <w:pPr>
              <w:pStyle w:val="TableContents"/>
              <w:spacing w:before="0" w:after="283"/>
              <w:rPr/>
            </w:pPr>
            <w:r>
              <w:rPr/>
              <w:t> </w:t>
            </w:r>
          </w:p>
        </w:tc>
        <w:tc>
          <w:tcPr>
            <w:tcW w:w="12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800" w:type="dxa"/>
            <w:tcBorders/>
            <w:shd w:fill="E5E5E5" w:val="clear"/>
            <w:vAlign w:val="center"/>
          </w:tcPr>
          <w:p>
            <w:pPr>
              <w:pStyle w:val="TableContents"/>
              <w:spacing w:before="0" w:after="283"/>
              <w:jc w:val="right"/>
              <w:rPr/>
            </w:pPr>
            <w:r>
              <w:rPr/>
              <w:t>445,002</w:t>
            </w:r>
          </w:p>
        </w:tc>
        <w:tc>
          <w:tcPr>
            <w:tcW w:w="75" w:type="dxa"/>
            <w:tcBorders/>
            <w:shd w:fill="E5E5E5" w:val="clear"/>
            <w:vAlign w:val="center"/>
          </w:tcPr>
          <w:p>
            <w:pPr>
              <w:pStyle w:val="TableContents"/>
              <w:spacing w:before="0" w:after="283"/>
              <w:rPr/>
            </w:pPr>
            <w:r>
              <w:rPr/>
              <w:t> </w:t>
            </w:r>
          </w:p>
        </w:tc>
      </w:tr>
      <w:tr>
        <w:trPr/>
        <w:tc>
          <w:tcPr>
            <w:tcW w:w="2600" w:type="dxa"/>
            <w:tcBorders/>
            <w:shd w:fill="auto" w:val="clear"/>
            <w:vAlign w:val="center"/>
          </w:tcPr>
          <w:p>
            <w:pPr>
              <w:pStyle w:val="TableContents"/>
              <w:spacing w:before="0" w:after="0"/>
              <w:rPr>
                <w:rFonts w:ascii="arial" w:hAnsi="arial"/>
                <w:sz w:val="20"/>
              </w:rPr>
            </w:pPr>
            <w:r>
              <w:rPr>
                <w:rFonts w:ascii="arial" w:hAnsi="arial"/>
                <w:sz w:val="20"/>
              </w:rPr>
              <w:t>James Kilts</w:t>
            </w:r>
          </w:p>
        </w:tc>
        <w:tc>
          <w:tcPr>
            <w:tcW w:w="120" w:type="dxa"/>
            <w:tcBorders/>
            <w:shd w:fill="auto" w:val="clear"/>
            <w:vAlign w:val="center"/>
          </w:tcPr>
          <w:p>
            <w:pPr>
              <w:pStyle w:val="TableContents"/>
              <w:spacing w:before="0" w:after="283"/>
              <w:rPr/>
            </w:pPr>
            <w:r>
              <w:rPr/>
              <w:t>  </w:t>
            </w:r>
          </w:p>
        </w:tc>
        <w:tc>
          <w:tcPr>
            <w:tcW w:w="111" w:type="dxa"/>
            <w:tcBorders/>
            <w:shd w:fill="auto" w:val="clear"/>
            <w:vAlign w:val="center"/>
          </w:tcPr>
          <w:p>
            <w:pPr>
              <w:pStyle w:val="TableContents"/>
              <w:spacing w:before="0" w:after="283"/>
              <w:rPr/>
            </w:pPr>
            <w:r>
              <w:rPr/>
              <w:t> </w:t>
            </w:r>
          </w:p>
        </w:tc>
        <w:tc>
          <w:tcPr>
            <w:tcW w:w="1484" w:type="dxa"/>
            <w:tcBorders/>
            <w:shd w:fill="auto" w:val="clear"/>
            <w:vAlign w:val="center"/>
          </w:tcPr>
          <w:p>
            <w:pPr>
              <w:pStyle w:val="TableContents"/>
              <w:spacing w:before="0" w:after="283"/>
              <w:jc w:val="right"/>
              <w:rPr/>
            </w:pPr>
            <w:r>
              <w:rPr/>
              <w:t>150,000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200,002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1094" w:type="dxa"/>
            <w:tcBorders/>
            <w:shd w:fill="auto" w:val="clear"/>
            <w:vAlign w:val="center"/>
          </w:tcPr>
          <w:p>
            <w:pPr>
              <w:pStyle w:val="TableContents"/>
              <w:spacing w:before="0" w:after="283"/>
              <w:jc w:val="right"/>
              <w:rPr/>
            </w:pPr>
            <w:r>
              <w:rPr/>
              <w:t>20,000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370,002</w:t>
            </w:r>
          </w:p>
        </w:tc>
        <w:tc>
          <w:tcPr>
            <w:tcW w:w="75" w:type="dxa"/>
            <w:tcBorders/>
            <w:shd w:fill="auto" w:val="clear"/>
            <w:vAlign w:val="center"/>
          </w:tcPr>
          <w:p>
            <w:pPr>
              <w:pStyle w:val="TableContents"/>
              <w:spacing w:before="0" w:after="283"/>
              <w:rPr/>
            </w:pPr>
            <w:r>
              <w:rPr/>
              <w:t> </w:t>
            </w:r>
          </w:p>
        </w:tc>
      </w:tr>
      <w:tr>
        <w:trPr/>
        <w:tc>
          <w:tcPr>
            <w:tcW w:w="2600" w:type="dxa"/>
            <w:tcBorders/>
            <w:shd w:fill="E5E5E5" w:val="clear"/>
            <w:vAlign w:val="center"/>
          </w:tcPr>
          <w:p>
            <w:pPr>
              <w:pStyle w:val="TableContents"/>
              <w:spacing w:before="0" w:after="0"/>
              <w:rPr>
                <w:rFonts w:ascii="arial" w:hAnsi="arial"/>
                <w:sz w:val="20"/>
              </w:rPr>
            </w:pPr>
            <w:r>
              <w:rPr>
                <w:rFonts w:ascii="arial" w:hAnsi="arial"/>
                <w:sz w:val="20"/>
              </w:rPr>
              <w:t>Harry A. Korman</w:t>
            </w:r>
          </w:p>
        </w:tc>
        <w:tc>
          <w:tcPr>
            <w:tcW w:w="120" w:type="dxa"/>
            <w:tcBorders/>
            <w:shd w:fill="E5E5E5" w:val="clear"/>
            <w:vAlign w:val="center"/>
          </w:tcPr>
          <w:p>
            <w:pPr>
              <w:pStyle w:val="TableContents"/>
              <w:spacing w:before="0" w:after="283"/>
              <w:rPr/>
            </w:pPr>
            <w:r>
              <w:rPr/>
              <w:t>  </w:t>
            </w:r>
          </w:p>
        </w:tc>
        <w:tc>
          <w:tcPr>
            <w:tcW w:w="111" w:type="dxa"/>
            <w:tcBorders/>
            <w:shd w:fill="E5E5E5" w:val="clear"/>
            <w:vAlign w:val="center"/>
          </w:tcPr>
          <w:p>
            <w:pPr>
              <w:pStyle w:val="TableContents"/>
              <w:spacing w:before="0" w:after="283"/>
              <w:rPr/>
            </w:pPr>
            <w:r>
              <w:rPr/>
              <w:t> </w:t>
            </w:r>
          </w:p>
        </w:tc>
        <w:tc>
          <w:tcPr>
            <w:tcW w:w="1484" w:type="dxa"/>
            <w:tcBorders/>
            <w:shd w:fill="E5E5E5" w:val="clear"/>
            <w:vAlign w:val="center"/>
          </w:tcPr>
          <w:p>
            <w:pPr>
              <w:pStyle w:val="TableContents"/>
              <w:spacing w:before="0" w:after="283"/>
              <w:jc w:val="right"/>
              <w:rPr/>
            </w:pPr>
            <w:r>
              <w:rPr/>
              <w:t>175,000</w:t>
            </w:r>
          </w:p>
        </w:tc>
        <w:tc>
          <w:tcPr>
            <w:tcW w:w="60" w:type="dxa"/>
            <w:tcBorders/>
            <w:shd w:fill="E5E5E5" w:val="clear"/>
            <w:vAlign w:val="center"/>
          </w:tcPr>
          <w:p>
            <w:pPr>
              <w:pStyle w:val="TableContents"/>
              <w:spacing w:before="0" w:after="283"/>
              <w:rPr/>
            </w:pPr>
            <w:r>
              <w:rPr/>
              <w:t> </w:t>
            </w:r>
          </w:p>
        </w:tc>
        <w:tc>
          <w:tcPr>
            <w:tcW w:w="12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800" w:type="dxa"/>
            <w:tcBorders/>
            <w:shd w:fill="E5E5E5" w:val="clear"/>
            <w:vAlign w:val="center"/>
          </w:tcPr>
          <w:p>
            <w:pPr>
              <w:pStyle w:val="TableContents"/>
              <w:spacing w:before="0" w:after="283"/>
              <w:jc w:val="right"/>
              <w:rPr/>
            </w:pPr>
            <w:r>
              <w:rPr/>
              <w:t>200,002</w:t>
            </w:r>
          </w:p>
        </w:tc>
        <w:tc>
          <w:tcPr>
            <w:tcW w:w="60" w:type="dxa"/>
            <w:tcBorders/>
            <w:shd w:fill="E5E5E5" w:val="clear"/>
            <w:vAlign w:val="center"/>
          </w:tcPr>
          <w:p>
            <w:pPr>
              <w:pStyle w:val="TableContents"/>
              <w:spacing w:before="0" w:after="283"/>
              <w:rPr/>
            </w:pPr>
            <w:r>
              <w:rPr/>
              <w:t> </w:t>
            </w:r>
          </w:p>
        </w:tc>
        <w:tc>
          <w:tcPr>
            <w:tcW w:w="120" w:type="dxa"/>
            <w:tcBorders/>
            <w:shd w:fill="E5E5E5" w:val="clear"/>
            <w:vAlign w:val="center"/>
          </w:tcPr>
          <w:p>
            <w:pPr>
              <w:pStyle w:val="TableContents"/>
              <w:spacing w:before="0" w:after="283"/>
              <w:rPr/>
            </w:pPr>
            <w:r>
              <w:rPr/>
              <w:t>  </w:t>
            </w:r>
          </w:p>
        </w:tc>
        <w:tc>
          <w:tcPr>
            <w:tcW w:w="96" w:type="dxa"/>
            <w:tcBorders/>
            <w:shd w:fill="E5E5E5" w:val="clear"/>
            <w:vAlign w:val="center"/>
          </w:tcPr>
          <w:p>
            <w:pPr>
              <w:pStyle w:val="TableContents"/>
              <w:spacing w:before="0" w:after="283"/>
              <w:rPr/>
            </w:pPr>
            <w:r>
              <w:rPr/>
              <w:t> </w:t>
            </w:r>
          </w:p>
        </w:tc>
        <w:tc>
          <w:tcPr>
            <w:tcW w:w="1094" w:type="dxa"/>
            <w:tcBorders/>
            <w:shd w:fill="E5E5E5" w:val="clear"/>
            <w:vAlign w:val="center"/>
          </w:tcPr>
          <w:p>
            <w:pPr>
              <w:pStyle w:val="TableContents"/>
              <w:spacing w:before="0" w:after="283"/>
              <w:jc w:val="right"/>
              <w:rPr/>
            </w:pPr>
            <w:r>
              <w:rPr/>
              <w:t>—</w:t>
            </w:r>
          </w:p>
        </w:tc>
        <w:tc>
          <w:tcPr>
            <w:tcW w:w="60" w:type="dxa"/>
            <w:tcBorders/>
            <w:shd w:fill="E5E5E5" w:val="clear"/>
            <w:vAlign w:val="center"/>
          </w:tcPr>
          <w:p>
            <w:pPr>
              <w:pStyle w:val="TableContents"/>
              <w:spacing w:before="0" w:after="283"/>
              <w:rPr/>
            </w:pPr>
            <w:r>
              <w:rPr/>
              <w:t> </w:t>
            </w:r>
          </w:p>
        </w:tc>
        <w:tc>
          <w:tcPr>
            <w:tcW w:w="12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800" w:type="dxa"/>
            <w:tcBorders/>
            <w:shd w:fill="E5E5E5" w:val="clear"/>
            <w:vAlign w:val="center"/>
          </w:tcPr>
          <w:p>
            <w:pPr>
              <w:pStyle w:val="TableContents"/>
              <w:spacing w:before="0" w:after="283"/>
              <w:jc w:val="right"/>
              <w:rPr/>
            </w:pPr>
            <w:r>
              <w:rPr/>
              <w:t>375,002</w:t>
            </w:r>
          </w:p>
        </w:tc>
        <w:tc>
          <w:tcPr>
            <w:tcW w:w="75" w:type="dxa"/>
            <w:tcBorders/>
            <w:shd w:fill="E5E5E5" w:val="clear"/>
            <w:vAlign w:val="center"/>
          </w:tcPr>
          <w:p>
            <w:pPr>
              <w:pStyle w:val="TableContents"/>
              <w:spacing w:before="0" w:after="283"/>
              <w:rPr/>
            </w:pPr>
            <w:r>
              <w:rPr/>
              <w:t> </w:t>
            </w:r>
          </w:p>
        </w:tc>
      </w:tr>
      <w:tr>
        <w:trPr/>
        <w:tc>
          <w:tcPr>
            <w:tcW w:w="2600" w:type="dxa"/>
            <w:tcBorders/>
            <w:shd w:fill="auto" w:val="clear"/>
            <w:vAlign w:val="center"/>
          </w:tcPr>
          <w:p>
            <w:pPr>
              <w:pStyle w:val="TableContents"/>
              <w:spacing w:before="0" w:after="0"/>
              <w:rPr>
                <w:rFonts w:ascii="arial" w:hAnsi="arial"/>
                <w:sz w:val="20"/>
              </w:rPr>
            </w:pPr>
            <w:r>
              <w:rPr>
                <w:rFonts w:ascii="arial" w:hAnsi="arial"/>
                <w:sz w:val="20"/>
              </w:rPr>
              <w:t>Richard Mark</w:t>
            </w:r>
          </w:p>
        </w:tc>
        <w:tc>
          <w:tcPr>
            <w:tcW w:w="120" w:type="dxa"/>
            <w:tcBorders/>
            <w:shd w:fill="auto" w:val="clear"/>
            <w:vAlign w:val="center"/>
          </w:tcPr>
          <w:p>
            <w:pPr>
              <w:pStyle w:val="TableContents"/>
              <w:spacing w:before="0" w:after="283"/>
              <w:rPr/>
            </w:pPr>
            <w:r>
              <w:rPr/>
              <w:t>  </w:t>
            </w:r>
          </w:p>
        </w:tc>
        <w:tc>
          <w:tcPr>
            <w:tcW w:w="111" w:type="dxa"/>
            <w:tcBorders/>
            <w:shd w:fill="auto" w:val="clear"/>
            <w:vAlign w:val="center"/>
          </w:tcPr>
          <w:p>
            <w:pPr>
              <w:pStyle w:val="TableContents"/>
              <w:spacing w:before="0" w:after="283"/>
              <w:rPr/>
            </w:pPr>
            <w:r>
              <w:rPr/>
              <w:t> </w:t>
            </w:r>
          </w:p>
        </w:tc>
        <w:tc>
          <w:tcPr>
            <w:tcW w:w="1484" w:type="dxa"/>
            <w:tcBorders/>
            <w:shd w:fill="auto" w:val="clear"/>
            <w:vAlign w:val="center"/>
          </w:tcPr>
          <w:p>
            <w:pPr>
              <w:pStyle w:val="TableContents"/>
              <w:spacing w:before="0" w:after="283"/>
              <w:jc w:val="right"/>
              <w:rPr/>
            </w:pPr>
            <w:r>
              <w:rPr/>
              <w:t>150,000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200,002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1094" w:type="dxa"/>
            <w:tcBorders/>
            <w:shd w:fill="auto" w:val="clear"/>
            <w:vAlign w:val="center"/>
          </w:tcPr>
          <w:p>
            <w:pPr>
              <w:pStyle w:val="TableContents"/>
              <w:spacing w:before="0" w:after="283"/>
              <w:jc w:val="right"/>
              <w:rPr/>
            </w:pPr>
            <w:r>
              <w:rPr/>
              <w:t>15,000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365,002</w:t>
            </w:r>
          </w:p>
        </w:tc>
        <w:tc>
          <w:tcPr>
            <w:tcW w:w="75" w:type="dxa"/>
            <w:tcBorders/>
            <w:shd w:fill="auto" w:val="clear"/>
            <w:vAlign w:val="center"/>
          </w:tcPr>
          <w:p>
            <w:pPr>
              <w:pStyle w:val="TableContents"/>
              <w:spacing w:before="0" w:after="283"/>
              <w:rPr/>
            </w:pPr>
            <w:r>
              <w:rPr/>
              <w:t> </w:t>
            </w:r>
          </w:p>
        </w:tc>
      </w:tr>
      <w:tr>
        <w:trPr/>
        <w:tc>
          <w:tcPr>
            <w:tcW w:w="2600" w:type="dxa"/>
            <w:tcBorders/>
            <w:shd w:fill="E5E5E5" w:val="clear"/>
            <w:vAlign w:val="center"/>
          </w:tcPr>
          <w:p>
            <w:pPr>
              <w:pStyle w:val="TableContents"/>
              <w:spacing w:before="0" w:after="0"/>
              <w:rPr>
                <w:rFonts w:ascii="arial" w:hAnsi="arial"/>
                <w:sz w:val="20"/>
              </w:rPr>
            </w:pPr>
            <w:r>
              <w:rPr>
                <w:rFonts w:ascii="arial" w:hAnsi="arial"/>
                <w:sz w:val="20"/>
              </w:rPr>
              <w:t>Mark W. Parrish</w:t>
            </w:r>
          </w:p>
        </w:tc>
        <w:tc>
          <w:tcPr>
            <w:tcW w:w="120" w:type="dxa"/>
            <w:tcBorders/>
            <w:shd w:fill="E5E5E5" w:val="clear"/>
            <w:vAlign w:val="center"/>
          </w:tcPr>
          <w:p>
            <w:pPr>
              <w:pStyle w:val="TableContents"/>
              <w:spacing w:before="0" w:after="283"/>
              <w:rPr/>
            </w:pPr>
            <w:r>
              <w:rPr/>
              <w:t>  </w:t>
            </w:r>
          </w:p>
        </w:tc>
        <w:tc>
          <w:tcPr>
            <w:tcW w:w="111" w:type="dxa"/>
            <w:tcBorders/>
            <w:shd w:fill="E5E5E5" w:val="clear"/>
            <w:vAlign w:val="center"/>
          </w:tcPr>
          <w:p>
            <w:pPr>
              <w:pStyle w:val="TableContents"/>
              <w:spacing w:before="0" w:after="283"/>
              <w:rPr/>
            </w:pPr>
            <w:r>
              <w:rPr/>
              <w:t> </w:t>
            </w:r>
          </w:p>
        </w:tc>
        <w:tc>
          <w:tcPr>
            <w:tcW w:w="1484" w:type="dxa"/>
            <w:tcBorders/>
            <w:shd w:fill="E5E5E5" w:val="clear"/>
            <w:vAlign w:val="center"/>
          </w:tcPr>
          <w:p>
            <w:pPr>
              <w:pStyle w:val="TableContents"/>
              <w:spacing w:before="0" w:after="283"/>
              <w:jc w:val="right"/>
              <w:rPr/>
            </w:pPr>
            <w:r>
              <w:rPr/>
              <w:t>250,000</w:t>
            </w:r>
          </w:p>
        </w:tc>
        <w:tc>
          <w:tcPr>
            <w:tcW w:w="60" w:type="dxa"/>
            <w:tcBorders/>
            <w:shd w:fill="E5E5E5" w:val="clear"/>
            <w:vAlign w:val="center"/>
          </w:tcPr>
          <w:p>
            <w:pPr>
              <w:pStyle w:val="TableContents"/>
              <w:spacing w:before="0" w:after="283"/>
              <w:rPr/>
            </w:pPr>
            <w:r>
              <w:rPr/>
              <w:t> </w:t>
            </w:r>
          </w:p>
        </w:tc>
        <w:tc>
          <w:tcPr>
            <w:tcW w:w="12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800" w:type="dxa"/>
            <w:tcBorders/>
            <w:shd w:fill="E5E5E5" w:val="clear"/>
            <w:vAlign w:val="center"/>
          </w:tcPr>
          <w:p>
            <w:pPr>
              <w:pStyle w:val="TableContents"/>
              <w:spacing w:before="0" w:after="283"/>
              <w:jc w:val="right"/>
              <w:rPr/>
            </w:pPr>
            <w:r>
              <w:rPr/>
              <w:t>200,002</w:t>
            </w:r>
          </w:p>
        </w:tc>
        <w:tc>
          <w:tcPr>
            <w:tcW w:w="60" w:type="dxa"/>
            <w:tcBorders/>
            <w:shd w:fill="E5E5E5" w:val="clear"/>
            <w:vAlign w:val="center"/>
          </w:tcPr>
          <w:p>
            <w:pPr>
              <w:pStyle w:val="TableContents"/>
              <w:spacing w:before="0" w:after="283"/>
              <w:rPr/>
            </w:pPr>
            <w:r>
              <w:rPr/>
              <w:t> </w:t>
            </w:r>
          </w:p>
        </w:tc>
        <w:tc>
          <w:tcPr>
            <w:tcW w:w="120" w:type="dxa"/>
            <w:tcBorders/>
            <w:shd w:fill="E5E5E5" w:val="clear"/>
            <w:vAlign w:val="center"/>
          </w:tcPr>
          <w:p>
            <w:pPr>
              <w:pStyle w:val="TableContents"/>
              <w:spacing w:before="0" w:after="283"/>
              <w:rPr/>
            </w:pPr>
            <w:r>
              <w:rPr/>
              <w:t>  </w:t>
            </w:r>
          </w:p>
        </w:tc>
        <w:tc>
          <w:tcPr>
            <w:tcW w:w="96" w:type="dxa"/>
            <w:tcBorders/>
            <w:shd w:fill="E5E5E5" w:val="clear"/>
            <w:vAlign w:val="center"/>
          </w:tcPr>
          <w:p>
            <w:pPr>
              <w:pStyle w:val="TableContents"/>
              <w:spacing w:before="0" w:after="283"/>
              <w:rPr/>
            </w:pPr>
            <w:r>
              <w:rPr/>
              <w:t> </w:t>
            </w:r>
          </w:p>
        </w:tc>
        <w:tc>
          <w:tcPr>
            <w:tcW w:w="1094" w:type="dxa"/>
            <w:tcBorders/>
            <w:shd w:fill="E5E5E5" w:val="clear"/>
            <w:vAlign w:val="center"/>
          </w:tcPr>
          <w:p>
            <w:pPr>
              <w:pStyle w:val="TableContents"/>
              <w:spacing w:before="0" w:after="283"/>
              <w:jc w:val="right"/>
              <w:rPr/>
            </w:pPr>
            <w:r>
              <w:rPr/>
              <w:t>—</w:t>
            </w:r>
          </w:p>
        </w:tc>
        <w:tc>
          <w:tcPr>
            <w:tcW w:w="60" w:type="dxa"/>
            <w:tcBorders/>
            <w:shd w:fill="E5E5E5" w:val="clear"/>
            <w:vAlign w:val="center"/>
          </w:tcPr>
          <w:p>
            <w:pPr>
              <w:pStyle w:val="TableContents"/>
              <w:spacing w:before="0" w:after="283"/>
              <w:rPr/>
            </w:pPr>
            <w:r>
              <w:rPr/>
              <w:t> </w:t>
            </w:r>
          </w:p>
        </w:tc>
        <w:tc>
          <w:tcPr>
            <w:tcW w:w="12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800" w:type="dxa"/>
            <w:tcBorders/>
            <w:shd w:fill="E5E5E5" w:val="clear"/>
            <w:vAlign w:val="center"/>
          </w:tcPr>
          <w:p>
            <w:pPr>
              <w:pStyle w:val="TableContents"/>
              <w:spacing w:before="0" w:after="283"/>
              <w:jc w:val="right"/>
              <w:rPr/>
            </w:pPr>
            <w:r>
              <w:rPr/>
              <w:t>450,002</w:t>
            </w:r>
          </w:p>
        </w:tc>
        <w:tc>
          <w:tcPr>
            <w:tcW w:w="75" w:type="dxa"/>
            <w:tcBorders/>
            <w:shd w:fill="E5E5E5" w:val="clear"/>
            <w:vAlign w:val="center"/>
          </w:tcPr>
          <w:p>
            <w:pPr>
              <w:pStyle w:val="TableContents"/>
              <w:spacing w:before="0" w:after="283"/>
              <w:rPr/>
            </w:pPr>
            <w:r>
              <w:rPr/>
              <w:t> </w:t>
            </w:r>
          </w:p>
        </w:tc>
      </w:tr>
      <w:tr>
        <w:trPr/>
        <w:tc>
          <w:tcPr>
            <w:tcW w:w="2600" w:type="dxa"/>
            <w:tcBorders/>
            <w:shd w:fill="auto" w:val="clear"/>
            <w:vAlign w:val="center"/>
          </w:tcPr>
          <w:p>
            <w:pPr>
              <w:pStyle w:val="TableContents"/>
              <w:spacing w:before="0" w:after="0"/>
              <w:rPr>
                <w:rFonts w:ascii="arial" w:hAnsi="arial"/>
                <w:sz w:val="20"/>
              </w:rPr>
            </w:pPr>
            <w:r>
              <w:rPr>
                <w:rFonts w:ascii="arial" w:hAnsi="arial"/>
                <w:sz w:val="20"/>
              </w:rPr>
              <w:t>Ian Read</w:t>
            </w:r>
          </w:p>
        </w:tc>
        <w:tc>
          <w:tcPr>
            <w:tcW w:w="120" w:type="dxa"/>
            <w:tcBorders/>
            <w:shd w:fill="auto" w:val="clear"/>
            <w:vAlign w:val="center"/>
          </w:tcPr>
          <w:p>
            <w:pPr>
              <w:pStyle w:val="TableContents"/>
              <w:spacing w:before="0" w:after="283"/>
              <w:rPr/>
            </w:pPr>
            <w:r>
              <w:rPr/>
              <w:t>  </w:t>
            </w:r>
          </w:p>
        </w:tc>
        <w:tc>
          <w:tcPr>
            <w:tcW w:w="111" w:type="dxa"/>
            <w:tcBorders/>
            <w:shd w:fill="auto" w:val="clear"/>
            <w:vAlign w:val="center"/>
          </w:tcPr>
          <w:p>
            <w:pPr>
              <w:pStyle w:val="TableContents"/>
              <w:spacing w:before="0" w:after="283"/>
              <w:rPr/>
            </w:pPr>
            <w:r>
              <w:rPr/>
              <w:t> </w:t>
            </w:r>
          </w:p>
        </w:tc>
        <w:tc>
          <w:tcPr>
            <w:tcW w:w="1484" w:type="dxa"/>
            <w:tcBorders/>
            <w:shd w:fill="auto" w:val="clear"/>
            <w:vAlign w:val="center"/>
          </w:tcPr>
          <w:p>
            <w:pPr>
              <w:pStyle w:val="TableContents"/>
              <w:spacing w:before="0" w:after="283"/>
              <w:jc w:val="right"/>
              <w:rPr/>
            </w:pPr>
            <w:r>
              <w:rPr/>
              <w:t>175,000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200,002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1094"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375,002</w:t>
            </w:r>
          </w:p>
        </w:tc>
        <w:tc>
          <w:tcPr>
            <w:tcW w:w="75" w:type="dxa"/>
            <w:tcBorders/>
            <w:shd w:fill="auto" w:val="clear"/>
            <w:vAlign w:val="center"/>
          </w:tcPr>
          <w:p>
            <w:pPr>
              <w:pStyle w:val="TableContents"/>
              <w:spacing w:before="0" w:after="283"/>
              <w:rPr/>
            </w:pPr>
            <w:r>
              <w:rPr/>
              <w:t> </w:t>
            </w:r>
          </w:p>
        </w:tc>
      </w:tr>
      <w:tr>
        <w:trPr/>
        <w:tc>
          <w:tcPr>
            <w:tcW w:w="2600" w:type="dxa"/>
            <w:tcBorders/>
            <w:shd w:fill="E5E5E5" w:val="clear"/>
            <w:vAlign w:val="center"/>
          </w:tcPr>
          <w:p>
            <w:pPr>
              <w:pStyle w:val="TableContents"/>
              <w:spacing w:before="0" w:after="0"/>
              <w:rPr>
                <w:rFonts w:ascii="arial" w:hAnsi="arial"/>
                <w:sz w:val="20"/>
              </w:rPr>
            </w:pPr>
            <w:r>
              <w:rPr>
                <w:rFonts w:ascii="arial" w:hAnsi="arial"/>
                <w:sz w:val="20"/>
              </w:rPr>
              <w:t>Scott A. Smith(1)</w:t>
            </w:r>
          </w:p>
        </w:tc>
        <w:tc>
          <w:tcPr>
            <w:tcW w:w="120" w:type="dxa"/>
            <w:tcBorders/>
            <w:shd w:fill="E5E5E5" w:val="clear"/>
            <w:vAlign w:val="center"/>
          </w:tcPr>
          <w:p>
            <w:pPr>
              <w:pStyle w:val="TableContents"/>
              <w:spacing w:before="0" w:after="283"/>
              <w:rPr/>
            </w:pPr>
            <w:r>
              <w:rPr/>
              <w:t>  </w:t>
            </w:r>
          </w:p>
        </w:tc>
        <w:tc>
          <w:tcPr>
            <w:tcW w:w="111" w:type="dxa"/>
            <w:tcBorders/>
            <w:shd w:fill="E5E5E5" w:val="clear"/>
            <w:vAlign w:val="center"/>
          </w:tcPr>
          <w:p>
            <w:pPr>
              <w:pStyle w:val="TableContents"/>
              <w:spacing w:before="0" w:after="283"/>
              <w:rPr/>
            </w:pPr>
            <w:r>
              <w:rPr/>
              <w:t> </w:t>
            </w:r>
          </w:p>
        </w:tc>
        <w:tc>
          <w:tcPr>
            <w:tcW w:w="1484" w:type="dxa"/>
            <w:tcBorders/>
            <w:shd w:fill="E5E5E5" w:val="clear"/>
            <w:vAlign w:val="center"/>
          </w:tcPr>
          <w:p>
            <w:pPr>
              <w:pStyle w:val="TableContents"/>
              <w:spacing w:before="0" w:after="283"/>
              <w:jc w:val="right"/>
              <w:rPr/>
            </w:pPr>
            <w:r>
              <w:rPr/>
              <w:t>—</w:t>
            </w:r>
          </w:p>
        </w:tc>
        <w:tc>
          <w:tcPr>
            <w:tcW w:w="60" w:type="dxa"/>
            <w:tcBorders/>
            <w:shd w:fill="E5E5E5" w:val="clear"/>
            <w:vAlign w:val="center"/>
          </w:tcPr>
          <w:p>
            <w:pPr>
              <w:pStyle w:val="TableContents"/>
              <w:spacing w:before="0" w:after="283"/>
              <w:rPr/>
            </w:pPr>
            <w:r>
              <w:rPr/>
              <w:t> </w:t>
            </w:r>
          </w:p>
        </w:tc>
        <w:tc>
          <w:tcPr>
            <w:tcW w:w="12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800" w:type="dxa"/>
            <w:tcBorders/>
            <w:shd w:fill="E5E5E5" w:val="clear"/>
            <w:vAlign w:val="center"/>
          </w:tcPr>
          <w:p>
            <w:pPr>
              <w:pStyle w:val="TableContents"/>
              <w:spacing w:before="0" w:after="283"/>
              <w:jc w:val="right"/>
              <w:rPr/>
            </w:pPr>
            <w:r>
              <w:rPr/>
              <w:t>—</w:t>
            </w:r>
          </w:p>
        </w:tc>
        <w:tc>
          <w:tcPr>
            <w:tcW w:w="60" w:type="dxa"/>
            <w:tcBorders/>
            <w:shd w:fill="E5E5E5" w:val="clear"/>
            <w:vAlign w:val="center"/>
          </w:tcPr>
          <w:p>
            <w:pPr>
              <w:pStyle w:val="TableContents"/>
              <w:spacing w:before="0" w:after="283"/>
              <w:rPr/>
            </w:pPr>
            <w:r>
              <w:rPr/>
              <w:t> </w:t>
            </w:r>
          </w:p>
        </w:tc>
        <w:tc>
          <w:tcPr>
            <w:tcW w:w="120" w:type="dxa"/>
            <w:tcBorders/>
            <w:shd w:fill="E5E5E5" w:val="clear"/>
            <w:vAlign w:val="center"/>
          </w:tcPr>
          <w:p>
            <w:pPr>
              <w:pStyle w:val="TableContents"/>
              <w:spacing w:before="0" w:after="283"/>
              <w:rPr/>
            </w:pPr>
            <w:r>
              <w:rPr/>
              <w:t>  </w:t>
            </w:r>
          </w:p>
        </w:tc>
        <w:tc>
          <w:tcPr>
            <w:tcW w:w="96" w:type="dxa"/>
            <w:tcBorders/>
            <w:shd w:fill="E5E5E5" w:val="clear"/>
            <w:vAlign w:val="center"/>
          </w:tcPr>
          <w:p>
            <w:pPr>
              <w:pStyle w:val="TableContents"/>
              <w:spacing w:before="0" w:after="283"/>
              <w:rPr/>
            </w:pPr>
            <w:r>
              <w:rPr/>
              <w:t> </w:t>
            </w:r>
          </w:p>
        </w:tc>
        <w:tc>
          <w:tcPr>
            <w:tcW w:w="1094" w:type="dxa"/>
            <w:tcBorders/>
            <w:shd w:fill="E5E5E5" w:val="clear"/>
            <w:vAlign w:val="center"/>
          </w:tcPr>
          <w:p>
            <w:pPr>
              <w:pStyle w:val="TableContents"/>
              <w:spacing w:before="0" w:after="283"/>
              <w:jc w:val="right"/>
              <w:rPr/>
            </w:pPr>
            <w:r>
              <w:rPr/>
              <w:t>—</w:t>
            </w:r>
          </w:p>
        </w:tc>
        <w:tc>
          <w:tcPr>
            <w:tcW w:w="60" w:type="dxa"/>
            <w:tcBorders/>
            <w:shd w:fill="E5E5E5" w:val="clear"/>
            <w:vAlign w:val="center"/>
          </w:tcPr>
          <w:p>
            <w:pPr>
              <w:pStyle w:val="TableContents"/>
              <w:spacing w:before="0" w:after="283"/>
              <w:rPr/>
            </w:pPr>
            <w:r>
              <w:rPr/>
              <w:t> </w:t>
            </w:r>
          </w:p>
        </w:tc>
        <w:tc>
          <w:tcPr>
            <w:tcW w:w="12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800" w:type="dxa"/>
            <w:tcBorders/>
            <w:shd w:fill="E5E5E5" w:val="clear"/>
            <w:vAlign w:val="center"/>
          </w:tcPr>
          <w:p>
            <w:pPr>
              <w:pStyle w:val="TableContents"/>
              <w:spacing w:before="0" w:after="283"/>
              <w:jc w:val="right"/>
              <w:rPr/>
            </w:pPr>
            <w:r>
              <w:rPr/>
              <w:t>—</w:t>
            </w:r>
          </w:p>
        </w:tc>
        <w:tc>
          <w:tcPr>
            <w:tcW w:w="75" w:type="dxa"/>
            <w:tcBorders/>
            <w:shd w:fill="E5E5E5" w:val="clear"/>
            <w:vAlign w:val="center"/>
          </w:tcPr>
          <w:p>
            <w:pPr>
              <w:pStyle w:val="TableContents"/>
              <w:spacing w:before="0" w:after="283"/>
              <w:rPr/>
            </w:pPr>
            <w:r>
              <w:rPr/>
              <w:t> </w:t>
            </w:r>
          </w:p>
        </w:tc>
      </w:tr>
      <w:tr>
        <w:trPr/>
        <w:tc>
          <w:tcPr>
            <w:tcW w:w="2600" w:type="dxa"/>
            <w:tcBorders>
              <w:bottom w:val="single" w:sz="6" w:space="0" w:color="732282"/>
            </w:tcBorders>
            <w:shd w:fill="auto" w:val="clear"/>
            <w:tcMar>
              <w:bottom w:w="28" w:type="dxa"/>
            </w:tcMar>
            <w:vAlign w:val="center"/>
          </w:tcPr>
          <w:p>
            <w:pPr>
              <w:pStyle w:val="TableContents"/>
              <w:spacing w:before="0" w:after="0"/>
              <w:rPr>
                <w:rFonts w:ascii="arial" w:hAnsi="arial"/>
                <w:sz w:val="20"/>
              </w:rPr>
            </w:pPr>
            <w:r>
              <w:rPr>
                <w:rFonts w:ascii="arial" w:hAnsi="arial"/>
                <w:sz w:val="20"/>
              </w:rPr>
              <w:t>Pauline van der Meer Mohr(2)</w:t>
            </w:r>
          </w:p>
        </w:tc>
        <w:tc>
          <w:tcPr>
            <w:tcW w:w="120" w:type="dxa"/>
            <w:tcBorders>
              <w:bottom w:val="single" w:sz="6" w:space="0" w:color="732282"/>
            </w:tcBorders>
            <w:shd w:fill="auto" w:val="clear"/>
            <w:tcMar>
              <w:bottom w:w="28" w:type="dxa"/>
            </w:tcMar>
            <w:vAlign w:val="center"/>
          </w:tcPr>
          <w:p>
            <w:pPr>
              <w:pStyle w:val="TableContents"/>
              <w:spacing w:before="0" w:after="283"/>
              <w:rPr/>
            </w:pPr>
            <w:r>
              <w:rPr/>
              <w:t>  </w:t>
            </w:r>
          </w:p>
        </w:tc>
        <w:tc>
          <w:tcPr>
            <w:tcW w:w="111" w:type="dxa"/>
            <w:tcBorders>
              <w:bottom w:val="single" w:sz="6" w:space="0" w:color="732282"/>
            </w:tcBorders>
            <w:shd w:fill="auto" w:val="clear"/>
            <w:tcMar>
              <w:bottom w:w="28" w:type="dxa"/>
            </w:tcMar>
            <w:vAlign w:val="center"/>
          </w:tcPr>
          <w:p>
            <w:pPr>
              <w:pStyle w:val="TableContents"/>
              <w:spacing w:before="0" w:after="283"/>
              <w:rPr/>
            </w:pPr>
            <w:r>
              <w:rPr/>
              <w:t> </w:t>
            </w:r>
          </w:p>
        </w:tc>
        <w:tc>
          <w:tcPr>
            <w:tcW w:w="1484" w:type="dxa"/>
            <w:tcBorders>
              <w:bottom w:val="single" w:sz="6" w:space="0" w:color="732282"/>
            </w:tcBorders>
            <w:shd w:fill="auto" w:val="clear"/>
            <w:tcMar>
              <w:bottom w:w="28" w:type="dxa"/>
            </w:tcMar>
            <w:vAlign w:val="center"/>
          </w:tcPr>
          <w:p>
            <w:pPr>
              <w:pStyle w:val="TableContents"/>
              <w:spacing w:before="0" w:after="283"/>
              <w:jc w:val="right"/>
              <w:rPr/>
            </w:pPr>
            <w:r>
              <w:rPr/>
              <w:t>150,000</w:t>
            </w:r>
          </w:p>
        </w:tc>
        <w:tc>
          <w:tcPr>
            <w:tcW w:w="60" w:type="dxa"/>
            <w:tcBorders>
              <w:bottom w:val="single" w:sz="6" w:space="0" w:color="732282"/>
            </w:tcBorders>
            <w:shd w:fill="auto" w:val="clear"/>
            <w:tcMar>
              <w:bottom w:w="28" w:type="dxa"/>
            </w:tcMar>
            <w:vAlign w:val="center"/>
          </w:tcPr>
          <w:p>
            <w:pPr>
              <w:pStyle w:val="TableContents"/>
              <w:spacing w:before="0" w:after="283"/>
              <w:rPr/>
            </w:pPr>
            <w:r>
              <w:rPr/>
              <w:t> </w:t>
            </w:r>
          </w:p>
        </w:tc>
        <w:tc>
          <w:tcPr>
            <w:tcW w:w="120" w:type="dxa"/>
            <w:tcBorders>
              <w:bottom w:val="single" w:sz="6" w:space="0" w:color="732282"/>
            </w:tcBorders>
            <w:shd w:fill="auto" w:val="clear"/>
            <w:tcMar>
              <w:bottom w:w="28" w:type="dxa"/>
            </w:tcMar>
            <w:vAlign w:val="center"/>
          </w:tcPr>
          <w:p>
            <w:pPr>
              <w:pStyle w:val="TableContents"/>
              <w:spacing w:before="0" w:after="283"/>
              <w:rPr/>
            </w:pPr>
            <w:r>
              <w:rPr/>
              <w:t>  </w:t>
            </w:r>
          </w:p>
        </w:tc>
        <w:tc>
          <w:tcPr>
            <w:tcW w:w="60" w:type="dxa"/>
            <w:tcBorders>
              <w:bottom w:val="single" w:sz="6" w:space="0" w:color="732282"/>
            </w:tcBorders>
            <w:shd w:fill="auto" w:val="clear"/>
            <w:tcMar>
              <w:bottom w:w="28" w:type="dxa"/>
            </w:tcMar>
            <w:vAlign w:val="center"/>
          </w:tcPr>
          <w:p>
            <w:pPr>
              <w:pStyle w:val="TableContents"/>
              <w:spacing w:before="0" w:after="283"/>
              <w:rPr/>
            </w:pPr>
            <w:r>
              <w:rPr/>
              <w:t> </w:t>
            </w:r>
          </w:p>
        </w:tc>
        <w:tc>
          <w:tcPr>
            <w:tcW w:w="800" w:type="dxa"/>
            <w:tcBorders>
              <w:bottom w:val="single" w:sz="6" w:space="0" w:color="732282"/>
            </w:tcBorders>
            <w:shd w:fill="auto" w:val="clear"/>
            <w:tcMar>
              <w:bottom w:w="28" w:type="dxa"/>
            </w:tcMar>
            <w:vAlign w:val="center"/>
          </w:tcPr>
          <w:p>
            <w:pPr>
              <w:pStyle w:val="TableContents"/>
              <w:spacing w:before="0" w:after="283"/>
              <w:jc w:val="right"/>
              <w:rPr/>
            </w:pPr>
            <w:r>
              <w:rPr/>
              <w:t>200,002</w:t>
            </w:r>
          </w:p>
        </w:tc>
        <w:tc>
          <w:tcPr>
            <w:tcW w:w="60" w:type="dxa"/>
            <w:tcBorders>
              <w:bottom w:val="single" w:sz="6" w:space="0" w:color="732282"/>
            </w:tcBorders>
            <w:shd w:fill="auto" w:val="clear"/>
            <w:tcMar>
              <w:bottom w:w="28" w:type="dxa"/>
            </w:tcMar>
            <w:vAlign w:val="center"/>
          </w:tcPr>
          <w:p>
            <w:pPr>
              <w:pStyle w:val="TableContents"/>
              <w:spacing w:before="0" w:after="283"/>
              <w:rPr/>
            </w:pPr>
            <w:r>
              <w:rPr/>
              <w:t> </w:t>
            </w:r>
          </w:p>
        </w:tc>
        <w:tc>
          <w:tcPr>
            <w:tcW w:w="120" w:type="dxa"/>
            <w:tcBorders>
              <w:bottom w:val="single" w:sz="6" w:space="0" w:color="732282"/>
            </w:tcBorders>
            <w:shd w:fill="auto" w:val="clear"/>
            <w:tcMar>
              <w:bottom w:w="28" w:type="dxa"/>
            </w:tcMar>
            <w:vAlign w:val="center"/>
          </w:tcPr>
          <w:p>
            <w:pPr>
              <w:pStyle w:val="TableContents"/>
              <w:spacing w:before="0" w:after="283"/>
              <w:rPr/>
            </w:pPr>
            <w:r>
              <w:rPr/>
              <w:t>  </w:t>
            </w:r>
          </w:p>
        </w:tc>
        <w:tc>
          <w:tcPr>
            <w:tcW w:w="96" w:type="dxa"/>
            <w:tcBorders>
              <w:bottom w:val="single" w:sz="6" w:space="0" w:color="732282"/>
            </w:tcBorders>
            <w:shd w:fill="auto" w:val="clear"/>
            <w:tcMar>
              <w:bottom w:w="28" w:type="dxa"/>
            </w:tcMar>
            <w:vAlign w:val="center"/>
          </w:tcPr>
          <w:p>
            <w:pPr>
              <w:pStyle w:val="TableContents"/>
              <w:spacing w:before="0" w:after="283"/>
              <w:rPr/>
            </w:pPr>
            <w:r>
              <w:rPr/>
              <w:t> </w:t>
            </w:r>
          </w:p>
        </w:tc>
        <w:tc>
          <w:tcPr>
            <w:tcW w:w="1094" w:type="dxa"/>
            <w:tcBorders>
              <w:bottom w:val="single" w:sz="6" w:space="0" w:color="732282"/>
            </w:tcBorders>
            <w:shd w:fill="auto" w:val="clear"/>
            <w:tcMar>
              <w:bottom w:w="28" w:type="dxa"/>
            </w:tcMar>
            <w:vAlign w:val="center"/>
          </w:tcPr>
          <w:p>
            <w:pPr>
              <w:pStyle w:val="TableContents"/>
              <w:spacing w:before="0" w:after="283"/>
              <w:jc w:val="right"/>
              <w:rPr/>
            </w:pPr>
            <w:r>
              <w:rPr/>
              <w:t>—</w:t>
            </w:r>
          </w:p>
        </w:tc>
        <w:tc>
          <w:tcPr>
            <w:tcW w:w="60" w:type="dxa"/>
            <w:tcBorders>
              <w:bottom w:val="single" w:sz="6" w:space="0" w:color="732282"/>
            </w:tcBorders>
            <w:shd w:fill="auto" w:val="clear"/>
            <w:tcMar>
              <w:bottom w:w="28" w:type="dxa"/>
            </w:tcMar>
            <w:vAlign w:val="center"/>
          </w:tcPr>
          <w:p>
            <w:pPr>
              <w:pStyle w:val="TableContents"/>
              <w:spacing w:before="0" w:after="283"/>
              <w:rPr/>
            </w:pPr>
            <w:r>
              <w:rPr/>
              <w:t> </w:t>
            </w:r>
          </w:p>
        </w:tc>
        <w:tc>
          <w:tcPr>
            <w:tcW w:w="120" w:type="dxa"/>
            <w:tcBorders>
              <w:bottom w:val="single" w:sz="6" w:space="0" w:color="732282"/>
            </w:tcBorders>
            <w:shd w:fill="auto" w:val="clear"/>
            <w:tcMar>
              <w:bottom w:w="28" w:type="dxa"/>
            </w:tcMar>
            <w:vAlign w:val="center"/>
          </w:tcPr>
          <w:p>
            <w:pPr>
              <w:pStyle w:val="TableContents"/>
              <w:spacing w:before="0" w:after="283"/>
              <w:rPr/>
            </w:pPr>
            <w:r>
              <w:rPr/>
              <w:t>  </w:t>
            </w:r>
          </w:p>
        </w:tc>
        <w:tc>
          <w:tcPr>
            <w:tcW w:w="60" w:type="dxa"/>
            <w:tcBorders>
              <w:bottom w:val="single" w:sz="6" w:space="0" w:color="732282"/>
            </w:tcBorders>
            <w:shd w:fill="auto" w:val="clear"/>
            <w:tcMar>
              <w:bottom w:w="28" w:type="dxa"/>
            </w:tcMar>
            <w:vAlign w:val="center"/>
          </w:tcPr>
          <w:p>
            <w:pPr>
              <w:pStyle w:val="TableContents"/>
              <w:spacing w:before="0" w:after="283"/>
              <w:rPr/>
            </w:pPr>
            <w:r>
              <w:rPr/>
              <w:t> </w:t>
            </w:r>
          </w:p>
        </w:tc>
        <w:tc>
          <w:tcPr>
            <w:tcW w:w="800" w:type="dxa"/>
            <w:tcBorders>
              <w:bottom w:val="single" w:sz="6" w:space="0" w:color="732282"/>
            </w:tcBorders>
            <w:shd w:fill="auto" w:val="clear"/>
            <w:tcMar>
              <w:bottom w:w="28" w:type="dxa"/>
            </w:tcMar>
            <w:vAlign w:val="center"/>
          </w:tcPr>
          <w:p>
            <w:pPr>
              <w:pStyle w:val="TableContents"/>
              <w:spacing w:before="0" w:after="283"/>
              <w:jc w:val="right"/>
              <w:rPr/>
            </w:pPr>
            <w:r>
              <w:rPr/>
              <w:t>350,002</w:t>
            </w:r>
          </w:p>
        </w:tc>
        <w:tc>
          <w:tcPr>
            <w:tcW w:w="75" w:type="dxa"/>
            <w:tcBorders>
              <w:bottom w:val="single" w:sz="6" w:space="0" w:color="732282"/>
            </w:tcBorders>
            <w:shd w:fill="auto" w:val="clear"/>
            <w:tcMar>
              <w:bottom w:w="28" w:type="dxa"/>
            </w:tcMar>
            <w:vAlign w:val="center"/>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10205" w:type="dxa"/>
        <w:jc w:val="left"/>
        <w:tblInd w:w="0" w:type="dxa"/>
        <w:tblCellMar>
          <w:top w:w="0" w:type="dxa"/>
          <w:left w:w="0" w:type="dxa"/>
          <w:bottom w:w="0" w:type="dxa"/>
          <w:right w:w="0" w:type="dxa"/>
        </w:tblCellMar>
      </w:tblPr>
      <w:tblGrid>
        <w:gridCol w:w="260"/>
        <w:gridCol w:w="9945"/>
      </w:tblGrid>
      <w:tr>
        <w:trPr/>
        <w:tc>
          <w:tcPr>
            <w:tcW w:w="260" w:type="dxa"/>
            <w:tcBorders/>
            <w:shd w:fill="auto" w:val="clear"/>
            <w:vAlign w:val="center"/>
          </w:tcPr>
          <w:p>
            <w:pPr>
              <w:pStyle w:val="TableContents"/>
              <w:spacing w:before="0" w:after="283"/>
              <w:jc w:val="left"/>
              <w:rPr>
                <w:i/>
              </w:rPr>
            </w:pPr>
            <w:r>
              <w:rPr>
                <w:i/>
              </w:rPr>
              <w:t>(1)</w:t>
            </w:r>
          </w:p>
        </w:tc>
        <w:tc>
          <w:tcPr>
            <w:tcW w:w="9945" w:type="dxa"/>
            <w:tcBorders/>
            <w:shd w:fill="auto" w:val="clear"/>
            <w:vAlign w:val="center"/>
          </w:tcPr>
          <w:p>
            <w:pPr>
              <w:pStyle w:val="TableContents"/>
              <w:spacing w:before="0" w:after="0"/>
              <w:jc w:val="both"/>
              <w:rPr>
                <w:rFonts w:ascii="arial" w:hAnsi="arial"/>
                <w:i/>
                <w:sz w:val="18"/>
              </w:rPr>
            </w:pPr>
            <w:r>
              <w:rPr>
                <w:rFonts w:ascii="arial" w:hAnsi="arial"/>
                <w:i/>
                <w:sz w:val="18"/>
              </w:rPr>
              <w:t xml:space="preserve">On December 29, 2022 Messrs. Dimick and Read retired from the Board and Ms. Finney and Mr. Smith were appointed to the Board. Ms. Finney and Mr. Smith did not receive compensation for their Board service in 2022 because their service did not begin until December 29, 2022. </w:t>
            </w:r>
          </w:p>
        </w:tc>
      </w:tr>
    </w:tbl>
    <w:tbl>
      <w:tblPr>
        <w:tblW w:w="10205" w:type="dxa"/>
        <w:jc w:val="left"/>
        <w:tblInd w:w="0" w:type="dxa"/>
        <w:tblCellMar>
          <w:top w:w="0" w:type="dxa"/>
          <w:left w:w="0" w:type="dxa"/>
          <w:bottom w:w="0" w:type="dxa"/>
          <w:right w:w="0" w:type="dxa"/>
        </w:tblCellMar>
      </w:tblPr>
      <w:tblGrid>
        <w:gridCol w:w="280"/>
        <w:gridCol w:w="9925"/>
      </w:tblGrid>
      <w:tr>
        <w:trPr/>
        <w:tc>
          <w:tcPr>
            <w:tcW w:w="280" w:type="dxa"/>
            <w:tcBorders/>
            <w:shd w:fill="auto" w:val="clear"/>
            <w:vAlign w:val="center"/>
          </w:tcPr>
          <w:p>
            <w:pPr>
              <w:pStyle w:val="TableContents"/>
              <w:spacing w:before="0" w:after="283"/>
              <w:jc w:val="left"/>
              <w:rPr>
                <w:i/>
              </w:rPr>
            </w:pPr>
            <w:r>
              <w:rPr>
                <w:i/>
              </w:rPr>
              <w:t>(2)</w:t>
            </w:r>
          </w:p>
        </w:tc>
        <w:tc>
          <w:tcPr>
            <w:tcW w:w="9925" w:type="dxa"/>
            <w:tcBorders/>
            <w:shd w:fill="auto" w:val="clear"/>
            <w:vAlign w:val="center"/>
          </w:tcPr>
          <w:p>
            <w:pPr>
              <w:pStyle w:val="TableContents"/>
              <w:spacing w:before="0" w:after="0"/>
              <w:jc w:val="both"/>
              <w:rPr>
                <w:rFonts w:ascii="arial" w:hAnsi="arial"/>
                <w:i/>
                <w:sz w:val="18"/>
              </w:rPr>
            </w:pPr>
            <w:r>
              <w:rPr>
                <w:rFonts w:ascii="arial" w:hAnsi="arial"/>
                <w:i/>
                <w:sz w:val="18"/>
              </w:rPr>
              <w:t xml:space="preserve">Fees earned by Ms. van der Meer Mohr were paid in Euros. Such amounts were converted into Euros using the monthly conversion rate in effect when each payment was made. </w:t>
            </w:r>
          </w:p>
        </w:tc>
      </w:tr>
    </w:tbl>
    <w:tbl>
      <w:tblPr>
        <w:tblW w:w="10205" w:type="dxa"/>
        <w:jc w:val="left"/>
        <w:tblInd w:w="0" w:type="dxa"/>
        <w:tblCellMar>
          <w:top w:w="0" w:type="dxa"/>
          <w:left w:w="0" w:type="dxa"/>
          <w:bottom w:w="0" w:type="dxa"/>
          <w:right w:w="0" w:type="dxa"/>
        </w:tblCellMar>
      </w:tblPr>
      <w:tblGrid>
        <w:gridCol w:w="236"/>
        <w:gridCol w:w="9969"/>
      </w:tblGrid>
      <w:tr>
        <w:trPr/>
        <w:tc>
          <w:tcPr>
            <w:tcW w:w="236" w:type="dxa"/>
            <w:tcBorders/>
            <w:shd w:fill="auto" w:val="clear"/>
            <w:vAlign w:val="center"/>
          </w:tcPr>
          <w:p>
            <w:pPr>
              <w:pStyle w:val="TableContents"/>
              <w:spacing w:before="0" w:after="283"/>
              <w:jc w:val="left"/>
              <w:rPr>
                <w:i/>
              </w:rPr>
            </w:pPr>
            <w:r>
              <w:rPr>
                <w:i/>
              </w:rPr>
              <w:t>(3)</w:t>
            </w:r>
          </w:p>
        </w:tc>
        <w:tc>
          <w:tcPr>
            <w:tcW w:w="9969" w:type="dxa"/>
            <w:tcBorders/>
            <w:shd w:fill="auto" w:val="clear"/>
            <w:vAlign w:val="center"/>
          </w:tcPr>
          <w:p>
            <w:pPr>
              <w:pStyle w:val="TableContents"/>
              <w:spacing w:before="0" w:after="0"/>
              <w:jc w:val="both"/>
              <w:rPr>
                <w:rFonts w:ascii="arial" w:hAnsi="arial"/>
                <w:i/>
                <w:sz w:val="18"/>
              </w:rPr>
            </w:pPr>
            <w:r>
              <w:rPr>
                <w:rFonts w:ascii="arial" w:hAnsi="arial"/>
                <w:i/>
                <w:sz w:val="18"/>
              </w:rPr>
              <w:t xml:space="preserve">Represents the grant date fair value of the specific award granted to the Non-Employee Director. RSU awards granted in 2022 vested on March 4, 2023. For information regarding assumptions used in determining the amounts reflected in the table above, please refer to Note 14 to the Company’s Consolidated Financial Statements contained in the Form 10-K. The number of unvested RSUs held by each of the Non-Employee Directors, as of December 31, 2022, were as follows: Mr. Cornwell; 20,313, Ms. Dillon, 20,313; Mr. Dimick, 0; Ms. Finney, 0; Ms. Higgins, 20,313; Mr. Kilts, 20,313; Mr. Korman, 20,313; Mr. Mark, 20,313; Mr. Parrish, 20,313; Mr. Read, 0; Mr. Smith, 0; and Ms. van der Meer Mohr, 20,313. Amounts include all accrued and unvested whole share DEUs that vest only to the extent and at the same time the underlying award on which they are issued vest. The aggregate number of shares subject to stock options held by the Non-Employee Directors, as of December 31, 2022, were as follows: Ms. Dillon, 24,780; Mr. Dimick, 24,780; Ms. Higgins, 31,403; Mr. Korman, 26,504; Mr. Mark, 12,260; Mr. Parrish, 24,780; and Ms. van der Meer Mohr, 13,949. </w:t>
            </w:r>
          </w:p>
        </w:tc>
      </w:tr>
    </w:tbl>
    <w:tbl>
      <w:tblPr>
        <w:tblW w:w="8095" w:type="dxa"/>
        <w:jc w:val="left"/>
        <w:tblInd w:w="0" w:type="dxa"/>
        <w:tblCellMar>
          <w:top w:w="0" w:type="dxa"/>
          <w:left w:w="0" w:type="dxa"/>
          <w:bottom w:w="0" w:type="dxa"/>
          <w:right w:w="0" w:type="dxa"/>
        </w:tblCellMar>
      </w:tblPr>
      <w:tblGrid>
        <w:gridCol w:w="305"/>
        <w:gridCol w:w="7790"/>
      </w:tblGrid>
      <w:tr>
        <w:trPr/>
        <w:tc>
          <w:tcPr>
            <w:tcW w:w="305" w:type="dxa"/>
            <w:tcBorders/>
            <w:shd w:fill="auto" w:val="clear"/>
            <w:vAlign w:val="center"/>
          </w:tcPr>
          <w:p>
            <w:pPr>
              <w:pStyle w:val="TableContents"/>
              <w:spacing w:before="0" w:after="283"/>
              <w:jc w:val="left"/>
              <w:rPr>
                <w:i/>
              </w:rPr>
            </w:pPr>
            <w:r>
              <w:rPr>
                <w:i/>
              </w:rPr>
              <w:t>(4)</w:t>
            </w:r>
          </w:p>
        </w:tc>
        <w:tc>
          <w:tcPr>
            <w:tcW w:w="7790" w:type="dxa"/>
            <w:tcBorders/>
            <w:shd w:fill="auto" w:val="clear"/>
            <w:vAlign w:val="center"/>
          </w:tcPr>
          <w:p>
            <w:pPr>
              <w:pStyle w:val="TableContents"/>
              <w:spacing w:before="0" w:after="0"/>
              <w:jc w:val="both"/>
              <w:rPr>
                <w:rFonts w:ascii="arial" w:hAnsi="arial"/>
                <w:i/>
                <w:sz w:val="18"/>
              </w:rPr>
            </w:pPr>
            <w:r>
              <w:rPr>
                <w:rFonts w:ascii="arial" w:hAnsi="arial"/>
                <w:i/>
                <w:sz w:val="18"/>
              </w:rPr>
              <w:t xml:space="preserve">The amounts represent charitable contributions made in 2022 under our matching gift program. </w:t>
            </w:r>
          </w:p>
        </w:tc>
      </w:tr>
    </w:tbl>
    <w:p>
      <w:pPr>
        <w:pStyle w:val="TextBody"/>
        <w:spacing w:before="240" w:after="0"/>
        <w:jc w:val="both"/>
        <w:rPr>
          <w:rFonts w:ascii="arial" w:hAnsi="arial"/>
          <w:sz w:val="18"/>
        </w:rPr>
      </w:pPr>
      <w:r>
        <w:rPr>
          <w:rFonts w:ascii="arial" w:hAnsi="arial"/>
          <w:sz w:val="18"/>
        </w:rPr>
        <w:t xml:space="preserve">In addition to the above, as previously disclosed, legacy Mylan directors were eligible to receive tax-equalization payments for incremental tax liabilities, if any, incurred as a result of attendance at Mylan Board meetings held outside the U.S. prior to the Combination. In 2022, these legacy Mylan directors received a one-time payment for such tax-equalization benefit with respect to years prior to the Combination (2015 to 2020). Messrs. Dimick, Korman, Mark and Parrish received $99,049, $94,245, $79,431, and $173,339, respectively, and Mses. Dillon and Higgins received $362,700 and $300,533, respectively. This benefit has now been finalized and concluded.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50 </w:t>
      </w:r>
      <w:r>
        <w:br w:type="page"/>
      </w:r>
    </w:p>
    <w:p>
      <w:pPr>
        <w:pStyle w:val="HorizontalLine"/>
        <w:rPr/>
      </w:pPr>
      <w:r>
        <w:rPr/>
      </w:r>
    </w:p>
    <w:p>
      <w:pPr>
        <w:pStyle w:val="TextBody"/>
        <w:spacing w:before="0" w:after="0"/>
        <w:jc w:val="both"/>
        <w:rPr>
          <w:rFonts w:ascii="arial" w:hAnsi="arial"/>
          <w:sz w:val="18"/>
        </w:rPr>
      </w:pPr>
      <w:r>
        <w:rPr>
          <w:rFonts w:ascii="arial" w:hAnsi="arial"/>
          <w:sz w:val="18"/>
        </w:rPr>
        <w:t xml:space="preserve">Viatris’ compensation philosophy for Non-Employee Directors is designed to attract and retain Directors with the experience necessary to represent the Company and oversee executive management. On an annual basis, the Compensation Committee considers market data for our Compensation Peer Group and input received from the Compensation Committee’s consultant regarding market practices for Director compensation. Any changes to Director compensation are approved by the Compensation Committee and the independent Directors. </w:t>
      </w:r>
    </w:p>
    <w:p>
      <w:pPr>
        <w:pStyle w:val="TextBody"/>
        <w:spacing w:before="240" w:after="0"/>
        <w:jc w:val="left"/>
        <w:rPr>
          <w:rFonts w:ascii="arial" w:hAnsi="arial"/>
          <w:b/>
          <w:sz w:val="20"/>
        </w:rPr>
      </w:pPr>
      <w:r>
        <w:rPr>
          <w:rFonts w:ascii="arial" w:hAnsi="arial"/>
          <w:b/>
          <w:sz w:val="20"/>
        </w:rPr>
        <w:t xml:space="preserve">Director Compensation Structure for 2023 </w:t>
      </w:r>
    </w:p>
    <w:p>
      <w:pPr>
        <w:pStyle w:val="TextBody"/>
        <w:spacing w:before="120" w:after="0"/>
        <w:jc w:val="both"/>
        <w:rPr>
          <w:rFonts w:ascii="arial" w:hAnsi="arial"/>
          <w:sz w:val="18"/>
        </w:rPr>
      </w:pPr>
      <w:r>
        <w:rPr>
          <w:rFonts w:ascii="arial" w:hAnsi="arial"/>
          <w:sz w:val="18"/>
        </w:rPr>
        <w:t xml:space="preserve">In March 2023, the Compensation Committee and the independent Directors approved the following Non-Employee Director compensation structure effective as of January 2023, unchanged from 2022: </w:t>
      </w:r>
    </w:p>
    <w:p>
      <w:pPr>
        <w:pStyle w:val="TextBody"/>
        <w:spacing w:before="0" w:after="0"/>
        <w:jc w:val="left"/>
        <w:rPr/>
      </w:pPr>
      <w:r>
        <w:rPr/>
        <w:t> </w:t>
      </w:r>
    </w:p>
    <w:tbl>
      <w:tblPr>
        <w:tblW w:w="4605" w:type="dxa"/>
        <w:jc w:val="left"/>
        <w:tblInd w:w="0" w:type="dxa"/>
        <w:tblCellMar>
          <w:top w:w="0" w:type="dxa"/>
          <w:left w:w="0" w:type="dxa"/>
          <w:bottom w:w="0" w:type="dxa"/>
          <w:right w:w="0" w:type="dxa"/>
        </w:tblCellMar>
      </w:tblPr>
      <w:tblGrid>
        <w:gridCol w:w="3470"/>
        <w:gridCol w:w="120"/>
        <w:gridCol w:w="140"/>
        <w:gridCol w:w="800"/>
        <w:gridCol w:w="75"/>
      </w:tblGrid>
      <w:tr>
        <w:trPr/>
        <w:tc>
          <w:tcPr>
            <w:tcW w:w="34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3470" w:type="dxa"/>
            <w:tcBorders>
              <w:bottom w:val="single" w:sz="8" w:space="0" w:color="732282"/>
            </w:tcBorders>
            <w:shd w:fill="auto" w:val="clear"/>
            <w:tcMar>
              <w:bottom w:w="28" w:type="dxa"/>
            </w:tcMar>
            <w:vAlign w:val="center"/>
          </w:tcPr>
          <w:p>
            <w:pPr>
              <w:pStyle w:val="TableContents"/>
              <w:spacing w:before="0" w:after="0"/>
              <w:rPr>
                <w:rFonts w:ascii="arial" w:hAnsi="arial"/>
                <w:b/>
                <w:color w:val="732282"/>
                <w:sz w:val="16"/>
              </w:rPr>
            </w:pPr>
            <w:r>
              <w:rPr>
                <w:rFonts w:ascii="arial" w:hAnsi="arial"/>
                <w:b/>
                <w:color w:val="732282"/>
                <w:sz w:val="16"/>
              </w:rPr>
              <w:t>Element of Compensation</w:t>
            </w:r>
          </w:p>
        </w:tc>
        <w:tc>
          <w:tcPr>
            <w:tcW w:w="120" w:type="dxa"/>
            <w:tcBorders>
              <w:bottom w:val="single" w:sz="8" w:space="0" w:color="732282"/>
            </w:tcBorders>
            <w:shd w:fill="auto" w:val="clear"/>
            <w:tcMar>
              <w:bottom w:w="28" w:type="dxa"/>
            </w:tcMar>
            <w:vAlign w:val="center"/>
          </w:tcPr>
          <w:p>
            <w:pPr>
              <w:pStyle w:val="TableContents"/>
              <w:spacing w:before="0" w:after="283"/>
              <w:rPr/>
            </w:pPr>
            <w:r>
              <w:rPr/>
              <w:t>  </w:t>
            </w:r>
          </w:p>
        </w:tc>
        <w:tc>
          <w:tcPr>
            <w:tcW w:w="940" w:type="dxa"/>
            <w:gridSpan w:val="2"/>
            <w:tcBorders>
              <w:bottom w:val="single" w:sz="8" w:space="0" w:color="732282"/>
            </w:tcBorders>
            <w:shd w:fill="auto" w:val="clear"/>
            <w:tcMar>
              <w:bottom w:w="28" w:type="dxa"/>
            </w:tcMar>
            <w:vAlign w:val="center"/>
          </w:tcPr>
          <w:p>
            <w:pPr>
              <w:pStyle w:val="TableContents"/>
              <w:spacing w:before="0" w:after="283"/>
              <w:jc w:val="right"/>
              <w:rPr>
                <w:b/>
                <w:color w:val="732282"/>
              </w:rPr>
            </w:pPr>
            <w:r>
              <w:rPr>
                <w:b/>
                <w:color w:val="732282"/>
              </w:rPr>
              <w:t>Amount</w:t>
            </w:r>
          </w:p>
        </w:tc>
        <w:tc>
          <w:tcPr>
            <w:tcW w:w="75" w:type="dxa"/>
            <w:tcBorders>
              <w:bottom w:val="single" w:sz="8" w:space="0" w:color="732282"/>
            </w:tcBorders>
            <w:shd w:fill="auto" w:val="clear"/>
            <w:tcMar>
              <w:bottom w:w="28" w:type="dxa"/>
            </w:tcMar>
            <w:vAlign w:val="center"/>
          </w:tcPr>
          <w:p>
            <w:pPr>
              <w:pStyle w:val="TableContents"/>
              <w:spacing w:before="0" w:after="283"/>
              <w:rPr/>
            </w:pPr>
            <w:r>
              <w:rPr/>
              <w:t> </w:t>
            </w:r>
          </w:p>
        </w:tc>
      </w:tr>
      <w:tr>
        <w:trPr/>
        <w:tc>
          <w:tcPr>
            <w:tcW w:w="3470" w:type="dxa"/>
            <w:tcBorders/>
            <w:shd w:fill="E5E5E5" w:val="clear"/>
            <w:vAlign w:val="center"/>
          </w:tcPr>
          <w:p>
            <w:pPr>
              <w:pStyle w:val="TableContents"/>
              <w:spacing w:before="0" w:after="0"/>
              <w:rPr>
                <w:rFonts w:ascii="arial" w:hAnsi="arial"/>
                <w:sz w:val="18"/>
              </w:rPr>
            </w:pPr>
            <w:r>
              <w:rPr>
                <w:rFonts w:ascii="arial" w:hAnsi="arial"/>
                <w:sz w:val="18"/>
              </w:rPr>
              <w:t>Board Member Retainer</w:t>
            </w:r>
          </w:p>
        </w:tc>
        <w:tc>
          <w:tcPr>
            <w:tcW w:w="120" w:type="dxa"/>
            <w:tcBorders/>
            <w:shd w:fill="E5E5E5" w:val="clear"/>
            <w:vAlign w:val="center"/>
          </w:tcPr>
          <w:p>
            <w:pPr>
              <w:pStyle w:val="TableContents"/>
              <w:spacing w:before="0" w:after="283"/>
              <w:rPr/>
            </w:pPr>
            <w:r>
              <w:rPr/>
              <w:t>  </w:t>
            </w:r>
          </w:p>
        </w:tc>
        <w:tc>
          <w:tcPr>
            <w:tcW w:w="140" w:type="dxa"/>
            <w:tcBorders/>
            <w:shd w:fill="E5E5E5" w:val="clear"/>
            <w:vAlign w:val="center"/>
          </w:tcPr>
          <w:p>
            <w:pPr>
              <w:pStyle w:val="TableContents"/>
              <w:spacing w:before="0" w:after="283"/>
              <w:rPr/>
            </w:pPr>
            <w:r>
              <w:rPr/>
              <w:t>$</w:t>
            </w:r>
          </w:p>
        </w:tc>
        <w:tc>
          <w:tcPr>
            <w:tcW w:w="800" w:type="dxa"/>
            <w:tcBorders/>
            <w:shd w:fill="E5E5E5" w:val="clear"/>
            <w:vAlign w:val="center"/>
          </w:tcPr>
          <w:p>
            <w:pPr>
              <w:pStyle w:val="TableContents"/>
              <w:spacing w:before="0" w:after="283"/>
              <w:jc w:val="right"/>
              <w:rPr/>
            </w:pPr>
            <w:r>
              <w:rPr/>
              <w:t>150,000</w:t>
            </w:r>
          </w:p>
        </w:tc>
        <w:tc>
          <w:tcPr>
            <w:tcW w:w="75" w:type="dxa"/>
            <w:tcBorders/>
            <w:shd w:fill="E5E5E5" w:val="clear"/>
            <w:vAlign w:val="center"/>
          </w:tcPr>
          <w:p>
            <w:pPr>
              <w:pStyle w:val="TableContents"/>
              <w:spacing w:before="0" w:after="283"/>
              <w:rPr/>
            </w:pPr>
            <w:r>
              <w:rPr/>
              <w:t> </w:t>
            </w:r>
          </w:p>
        </w:tc>
      </w:tr>
      <w:tr>
        <w:trPr/>
        <w:tc>
          <w:tcPr>
            <w:tcW w:w="3470" w:type="dxa"/>
            <w:tcBorders/>
            <w:shd w:fill="auto" w:val="clear"/>
            <w:vAlign w:val="center"/>
          </w:tcPr>
          <w:p>
            <w:pPr>
              <w:pStyle w:val="TableContents"/>
              <w:spacing w:before="0" w:after="0"/>
              <w:rPr>
                <w:rFonts w:ascii="arial" w:hAnsi="arial"/>
                <w:sz w:val="18"/>
              </w:rPr>
            </w:pPr>
            <w:r>
              <w:rPr>
                <w:rFonts w:ascii="arial" w:hAnsi="arial"/>
                <w:sz w:val="18"/>
              </w:rPr>
              <w:t>Committee Chair Fee</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$25,000</w:t>
            </w:r>
          </w:p>
        </w:tc>
        <w:tc>
          <w:tcPr>
            <w:tcW w:w="75" w:type="dxa"/>
            <w:tcBorders/>
            <w:shd w:fill="auto" w:val="clear"/>
            <w:vAlign w:val="center"/>
          </w:tcPr>
          <w:p>
            <w:pPr>
              <w:pStyle w:val="TableContents"/>
              <w:spacing w:before="0" w:after="283"/>
              <w:rPr/>
            </w:pPr>
            <w:r>
              <w:rPr/>
              <w:t> </w:t>
            </w:r>
          </w:p>
        </w:tc>
      </w:tr>
      <w:tr>
        <w:trPr/>
        <w:tc>
          <w:tcPr>
            <w:tcW w:w="3470" w:type="dxa"/>
            <w:tcBorders/>
            <w:shd w:fill="E5E5E5" w:val="clear"/>
            <w:vAlign w:val="center"/>
          </w:tcPr>
          <w:p>
            <w:pPr>
              <w:pStyle w:val="TableContents"/>
              <w:spacing w:before="0" w:after="0"/>
              <w:rPr>
                <w:rFonts w:ascii="arial" w:hAnsi="arial"/>
                <w:sz w:val="18"/>
              </w:rPr>
            </w:pPr>
            <w:r>
              <w:rPr>
                <w:rFonts w:ascii="arial" w:hAnsi="arial"/>
                <w:sz w:val="18"/>
              </w:rPr>
              <w:t>Executive Committee Member Fee</w:t>
            </w:r>
          </w:p>
        </w:tc>
        <w:tc>
          <w:tcPr>
            <w:tcW w:w="120" w:type="dxa"/>
            <w:tcBorders/>
            <w:shd w:fill="E5E5E5" w:val="clear"/>
            <w:vAlign w:val="center"/>
          </w:tcPr>
          <w:p>
            <w:pPr>
              <w:pStyle w:val="TableContents"/>
              <w:spacing w:before="0" w:after="283"/>
              <w:rPr/>
            </w:pPr>
            <w:r>
              <w:rPr/>
              <w:t>  </w:t>
            </w:r>
          </w:p>
        </w:tc>
        <w:tc>
          <w:tcPr>
            <w:tcW w:w="140" w:type="dxa"/>
            <w:tcBorders/>
            <w:shd w:fill="E5E5E5" w:val="clear"/>
            <w:vAlign w:val="center"/>
          </w:tcPr>
          <w:p>
            <w:pPr>
              <w:pStyle w:val="TableContents"/>
              <w:spacing w:before="0" w:after="283"/>
              <w:rPr/>
            </w:pPr>
            <w:r>
              <w:rPr/>
              <w:t> </w:t>
            </w:r>
          </w:p>
        </w:tc>
        <w:tc>
          <w:tcPr>
            <w:tcW w:w="800" w:type="dxa"/>
            <w:tcBorders/>
            <w:shd w:fill="E5E5E5" w:val="clear"/>
            <w:vAlign w:val="center"/>
          </w:tcPr>
          <w:p>
            <w:pPr>
              <w:pStyle w:val="TableContents"/>
              <w:spacing w:before="0" w:after="283"/>
              <w:jc w:val="right"/>
              <w:rPr/>
            </w:pPr>
            <w:r>
              <w:rPr/>
              <w:t>$25,000</w:t>
            </w:r>
          </w:p>
        </w:tc>
        <w:tc>
          <w:tcPr>
            <w:tcW w:w="75" w:type="dxa"/>
            <w:tcBorders/>
            <w:shd w:fill="E5E5E5" w:val="clear"/>
            <w:vAlign w:val="center"/>
          </w:tcPr>
          <w:p>
            <w:pPr>
              <w:pStyle w:val="TableContents"/>
              <w:spacing w:before="0" w:after="283"/>
              <w:rPr/>
            </w:pPr>
            <w:r>
              <w:rPr/>
              <w:t> </w:t>
            </w:r>
          </w:p>
        </w:tc>
      </w:tr>
      <w:tr>
        <w:trPr/>
        <w:tc>
          <w:tcPr>
            <w:tcW w:w="3470" w:type="dxa"/>
            <w:tcBorders/>
            <w:shd w:fill="auto" w:val="clear"/>
            <w:vAlign w:val="center"/>
          </w:tcPr>
          <w:p>
            <w:pPr>
              <w:pStyle w:val="TableContents"/>
              <w:spacing w:before="0" w:after="0"/>
              <w:rPr>
                <w:rFonts w:ascii="arial" w:hAnsi="arial"/>
                <w:sz w:val="18"/>
              </w:rPr>
            </w:pPr>
            <w:r>
              <w:rPr>
                <w:rFonts w:ascii="arial" w:hAnsi="arial"/>
                <w:sz w:val="18"/>
              </w:rPr>
              <w:t>Lead Independent Director Compensation</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$50,000</w:t>
            </w:r>
          </w:p>
        </w:tc>
        <w:tc>
          <w:tcPr>
            <w:tcW w:w="75" w:type="dxa"/>
            <w:tcBorders/>
            <w:shd w:fill="auto" w:val="clear"/>
            <w:vAlign w:val="center"/>
          </w:tcPr>
          <w:p>
            <w:pPr>
              <w:pStyle w:val="TableContents"/>
              <w:spacing w:before="0" w:after="283"/>
              <w:rPr/>
            </w:pPr>
            <w:r>
              <w:rPr/>
              <w:t> </w:t>
            </w:r>
          </w:p>
        </w:tc>
      </w:tr>
      <w:tr>
        <w:trPr/>
        <w:tc>
          <w:tcPr>
            <w:tcW w:w="3470" w:type="dxa"/>
            <w:tcBorders>
              <w:bottom w:val="single" w:sz="6" w:space="0" w:color="732282"/>
            </w:tcBorders>
            <w:shd w:fill="E5E5E5" w:val="clear"/>
            <w:tcMar>
              <w:bottom w:w="28" w:type="dxa"/>
            </w:tcMar>
            <w:vAlign w:val="center"/>
          </w:tcPr>
          <w:p>
            <w:pPr>
              <w:pStyle w:val="TableContents"/>
              <w:spacing w:before="0" w:after="0"/>
              <w:rPr>
                <w:rFonts w:ascii="arial" w:hAnsi="arial"/>
                <w:sz w:val="18"/>
              </w:rPr>
            </w:pPr>
            <w:r>
              <w:rPr>
                <w:rFonts w:ascii="arial" w:hAnsi="arial"/>
                <w:sz w:val="18"/>
              </w:rPr>
              <w:t>Annual Equity Grant Value (RSUs)</w:t>
            </w:r>
          </w:p>
        </w:tc>
        <w:tc>
          <w:tcPr>
            <w:tcW w:w="120" w:type="dxa"/>
            <w:tcBorders>
              <w:bottom w:val="single" w:sz="6" w:space="0" w:color="732282"/>
            </w:tcBorders>
            <w:shd w:fill="E5E5E5" w:val="clear"/>
            <w:tcMar>
              <w:bottom w:w="28" w:type="dxa"/>
            </w:tcMar>
            <w:vAlign w:val="center"/>
          </w:tcPr>
          <w:p>
            <w:pPr>
              <w:pStyle w:val="TableContents"/>
              <w:spacing w:before="0" w:after="283"/>
              <w:rPr/>
            </w:pPr>
            <w:r>
              <w:rPr/>
              <w:t>  </w:t>
            </w:r>
          </w:p>
        </w:tc>
        <w:tc>
          <w:tcPr>
            <w:tcW w:w="140" w:type="dxa"/>
            <w:tcBorders>
              <w:bottom w:val="single" w:sz="6" w:space="0" w:color="732282"/>
            </w:tcBorders>
            <w:shd w:fill="E5E5E5" w:val="clear"/>
            <w:tcMar>
              <w:bottom w:w="28" w:type="dxa"/>
            </w:tcMar>
            <w:vAlign w:val="center"/>
          </w:tcPr>
          <w:p>
            <w:pPr>
              <w:pStyle w:val="TableContents"/>
              <w:spacing w:before="0" w:after="283"/>
              <w:rPr/>
            </w:pPr>
            <w:r>
              <w:rPr/>
              <w:t>$</w:t>
            </w:r>
          </w:p>
        </w:tc>
        <w:tc>
          <w:tcPr>
            <w:tcW w:w="800" w:type="dxa"/>
            <w:tcBorders>
              <w:bottom w:val="single" w:sz="6" w:space="0" w:color="732282"/>
            </w:tcBorders>
            <w:shd w:fill="E5E5E5" w:val="clear"/>
            <w:tcMar>
              <w:bottom w:w="28" w:type="dxa"/>
            </w:tcMar>
            <w:vAlign w:val="center"/>
          </w:tcPr>
          <w:p>
            <w:pPr>
              <w:pStyle w:val="TableContents"/>
              <w:spacing w:before="0" w:after="283"/>
              <w:jc w:val="right"/>
              <w:rPr/>
            </w:pPr>
            <w:r>
              <w:rPr/>
              <w:t>200,000</w:t>
            </w:r>
          </w:p>
        </w:tc>
        <w:tc>
          <w:tcPr>
            <w:tcW w:w="75" w:type="dxa"/>
            <w:tcBorders>
              <w:bottom w:val="single" w:sz="6" w:space="0" w:color="732282"/>
            </w:tcBorders>
            <w:shd w:fill="E5E5E5" w:val="clear"/>
            <w:tcMar>
              <w:bottom w:w="28" w:type="dxa"/>
            </w:tcMar>
            <w:vAlign w:val="center"/>
          </w:tcPr>
          <w:p>
            <w:pPr>
              <w:pStyle w:val="TableContents"/>
              <w:spacing w:before="0" w:after="283"/>
              <w:rPr/>
            </w:pPr>
            <w:r>
              <w:rPr/>
              <w:t> </w:t>
            </w:r>
          </w:p>
        </w:tc>
      </w:tr>
    </w:tbl>
    <w:p>
      <w:pPr>
        <w:pStyle w:val="TextBody"/>
        <w:spacing w:before="240" w:after="0"/>
        <w:jc w:val="both"/>
        <w:rPr>
          <w:rFonts w:ascii="arial" w:hAnsi="arial"/>
          <w:sz w:val="18"/>
        </w:rPr>
      </w:pPr>
      <w:r>
        <w:rPr>
          <w:rFonts w:ascii="arial" w:hAnsi="arial"/>
          <w:sz w:val="18"/>
        </w:rPr>
        <w:t xml:space="preserve">Non-Employee Directors are also eligible to receive matching charitable contributions under the Company’s Director Matching Gift Program. Under this program, to the extent Non-Employee Directors choose to make charitable contributions to qualifying charitable organizations, the Company matches those contributions dollar-for-dollar up to an annual limit of $20,000 per person per calendar year. </w:t>
      </w:r>
    </w:p>
    <w:p>
      <w:pPr>
        <w:pStyle w:val="TextBody"/>
        <w:spacing w:before="240" w:after="0"/>
        <w:jc w:val="left"/>
        <w:rPr>
          <w:rFonts w:ascii="arial" w:hAnsi="arial"/>
          <w:b/>
          <w:sz w:val="20"/>
        </w:rPr>
      </w:pPr>
      <w:r>
        <w:rPr>
          <w:rFonts w:ascii="arial" w:hAnsi="arial"/>
          <w:b/>
          <w:sz w:val="20"/>
        </w:rPr>
        <w:t xml:space="preserve">Non-Employee Director Share Ownership Guidelines </w:t>
      </w:r>
    </w:p>
    <w:p>
      <w:pPr>
        <w:pStyle w:val="TextBody"/>
        <w:spacing w:before="120" w:after="0"/>
        <w:jc w:val="both"/>
        <w:rPr>
          <w:rFonts w:ascii="arial" w:hAnsi="arial"/>
          <w:sz w:val="18"/>
        </w:rPr>
      </w:pPr>
      <w:r>
        <w:rPr>
          <w:rFonts w:ascii="arial" w:hAnsi="arial"/>
          <w:sz w:val="18"/>
        </w:rPr>
        <w:t xml:space="preserve">Effective January 1, 2021, the Board adopted revised share ownership guidelines for Non-Employee Directors, requiring each to hold common stock valued at five times the amount of their annual cash retainer, excluding any cash retainer paid for committee service. Each Non-Employee Director has five years from his or her start date to attain compliance. These guidelines further demonstrate alignment of Viatris Directors’ interests with shareholders’ interests for the duration of their Board service. Common stock actually owned by the Non-Employee Director as well as restricted shares and unvested RSUs (including corresponding DEUs) count toward compliance with these requirements.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1038"/>
        <w:gridCol w:w="9167"/>
      </w:tblGrid>
      <w:tr>
        <w:trPr/>
        <w:tc>
          <w:tcPr>
            <w:tcW w:w="1038" w:type="dxa"/>
            <w:tcBorders/>
            <w:shd w:fill="auto" w:val="clear"/>
            <w:vAlign w:val="center"/>
          </w:tcPr>
          <w:p>
            <w:pPr>
              <w:pStyle w:val="TableContents"/>
              <w:spacing w:before="0" w:after="283"/>
              <w:jc w:val="left"/>
              <w:rPr>
                <w:b/>
              </w:rPr>
            </w:pPr>
            <w:bookmarkStart w:id="5" w:name="toc487324_3"/>
            <w:bookmarkEnd w:id="5"/>
            <w:r>
              <w:rPr>
                <w:b/>
              </w:rPr>
              <w:t>ITEM 12.</w:t>
            </w:r>
          </w:p>
        </w:tc>
        <w:tc>
          <w:tcPr>
            <w:tcW w:w="9167" w:type="dxa"/>
            <w:tcBorders/>
            <w:shd w:fill="auto" w:val="clear"/>
            <w:vAlign w:val="center"/>
          </w:tcPr>
          <w:p>
            <w:pPr>
              <w:pStyle w:val="TableContents"/>
              <w:spacing w:before="0" w:after="0"/>
              <w:jc w:val="left"/>
              <w:rPr>
                <w:rFonts w:ascii="arial" w:hAnsi="arial"/>
                <w:b/>
                <w:sz w:val="20"/>
              </w:rPr>
            </w:pPr>
            <w:r>
              <w:rPr>
                <w:rFonts w:ascii="arial" w:hAnsi="arial"/>
                <w:b/>
                <w:sz w:val="20"/>
              </w:rPr>
              <w:t xml:space="preserve">Security Ownership of Certain Beneficial Owners and Management and Related Stockholder Matters </w:t>
            </w:r>
          </w:p>
        </w:tc>
      </w:tr>
    </w:tbl>
    <w:p>
      <w:pPr>
        <w:pStyle w:val="TextBody"/>
        <w:spacing w:before="120" w:after="0"/>
        <w:jc w:val="both"/>
        <w:rPr>
          <w:rFonts w:ascii="arial" w:hAnsi="arial"/>
          <w:sz w:val="18"/>
        </w:rPr>
      </w:pPr>
      <w:r>
        <w:rPr>
          <w:rFonts w:ascii="arial" w:hAnsi="arial"/>
          <w:sz w:val="18"/>
        </w:rPr>
        <w:t xml:space="preserve">Certain information concerning securities authorized for issuance under equity compensation plans is contained in the discussion entitled “Equity Compensation Plan Information” in Item 12 of Part III of the Original Filing. </w:t>
      </w:r>
    </w:p>
    <w:p>
      <w:pPr>
        <w:pStyle w:val="TextBody"/>
        <w:spacing w:before="240" w:after="0"/>
        <w:jc w:val="left"/>
        <w:rPr>
          <w:rFonts w:ascii="arial" w:hAnsi="arial"/>
          <w:b/>
          <w:sz w:val="20"/>
        </w:rPr>
      </w:pPr>
      <w:r>
        <w:rPr>
          <w:rFonts w:ascii="arial" w:hAnsi="arial"/>
          <w:b/>
          <w:sz w:val="20"/>
        </w:rPr>
        <w:t xml:space="preserve">Security Ownership of Directors, NEOs and Executive Officers </w:t>
      </w:r>
    </w:p>
    <w:p>
      <w:pPr>
        <w:pStyle w:val="TextBody"/>
        <w:spacing w:before="120" w:after="0"/>
        <w:jc w:val="both"/>
        <w:rPr>
          <w:rFonts w:ascii="arial" w:hAnsi="arial"/>
          <w:sz w:val="18"/>
        </w:rPr>
      </w:pPr>
      <w:r>
        <w:rPr>
          <w:rFonts w:ascii="arial" w:hAnsi="arial"/>
          <w:sz w:val="18"/>
        </w:rPr>
        <w:t xml:space="preserve">The following table sets forth information regarding the beneficial ownership of common stock of Viatris Inc. as of April 24, 2023 by (i) each Viatris Director, (ii) each NEO, and (iii) all Directors and executive officers of Viatris Inc. as a group (based on 1,199,008,181 shares of common stock of Viatris Inc. outstanding as of such date). For purposes of this table, and in accordance with the rules of the SEC, shares are considered “beneficially owned” if the person, directly or indirectly, has sole or shared voting or investment power over such shares. A person also is considered to beneficially own shares that he or she has the right to acquire within 60 days of April 24, 2023. To Viatris’ knowledge, the persons in the following table have sole voting and investment power, either directly or through one or more entities controlled by such person, with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51 </w:t>
      </w:r>
      <w:r>
        <w:br w:type="page"/>
      </w:r>
    </w:p>
    <w:p>
      <w:pPr>
        <w:pStyle w:val="HorizontalLine"/>
        <w:rPr/>
      </w:pPr>
      <w:r>
        <w:rPr/>
      </w:r>
    </w:p>
    <w:p>
      <w:pPr>
        <w:pStyle w:val="TextBody"/>
        <w:spacing w:before="0" w:after="0"/>
        <w:jc w:val="both"/>
        <w:rPr>
          <w:rFonts w:ascii="arial" w:hAnsi="arial"/>
          <w:sz w:val="18"/>
        </w:rPr>
      </w:pPr>
      <w:r>
        <w:rPr>
          <w:rFonts w:ascii="arial" w:hAnsi="arial"/>
          <w:sz w:val="18"/>
        </w:rPr>
        <w:t xml:space="preserve">respect to all the shares shown as beneficially owned by them, unless otherwise indicated in the footnotes below. The address for each beneficial owner listed in the table below is c/o Viatris Inc., 1000 Mylan Boulevard, Canonsburg, PA, 15317. As noted above, each Non-Employee Director has five years from his or her start date to attain compliance with our Stock Ownership Guidelines. In addition, each of our covered employees has five years to achieve minimum ownership requirements, as discussed in more detail in the Compensation Discussion &amp; Analysis section of this document. </w:t>
      </w:r>
    </w:p>
    <w:p>
      <w:pPr>
        <w:pStyle w:val="TextBody"/>
        <w:spacing w:before="0" w:after="0"/>
        <w:jc w:val="left"/>
        <w:rPr/>
      </w:pPr>
      <w:r>
        <w:rPr/>
        <w:t> </w:t>
      </w:r>
    </w:p>
    <w:tbl>
      <w:tblPr>
        <w:tblW w:w="9535" w:type="dxa"/>
        <w:jc w:val="left"/>
        <w:tblInd w:w="0" w:type="dxa"/>
        <w:tblCellMar>
          <w:top w:w="0" w:type="dxa"/>
          <w:left w:w="0" w:type="dxa"/>
          <w:bottom w:w="0" w:type="dxa"/>
          <w:right w:w="0" w:type="dxa"/>
        </w:tblCellMar>
      </w:tblPr>
      <w:tblGrid>
        <w:gridCol w:w="5390"/>
        <w:gridCol w:w="120"/>
        <w:gridCol w:w="60"/>
        <w:gridCol w:w="980"/>
        <w:gridCol w:w="350"/>
        <w:gridCol w:w="60"/>
        <w:gridCol w:w="72"/>
        <w:gridCol w:w="1193"/>
        <w:gridCol w:w="60"/>
        <w:gridCol w:w="120"/>
        <w:gridCol w:w="316"/>
        <w:gridCol w:w="739"/>
        <w:gridCol w:w="75"/>
      </w:tblGrid>
      <w:tr>
        <w:trPr/>
        <w:tc>
          <w:tcPr>
            <w:tcW w:w="53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2" w:type="dxa"/>
            <w:tcBorders/>
            <w:shd w:fill="auto" w:val="clear"/>
            <w:vAlign w:val="center"/>
          </w:tcPr>
          <w:p>
            <w:pPr>
              <w:pStyle w:val="TableContents"/>
              <w:spacing w:before="0" w:after="283"/>
              <w:rPr>
                <w:sz w:val="4"/>
                <w:szCs w:val="4"/>
              </w:rPr>
            </w:pPr>
            <w:r>
              <w:rPr>
                <w:sz w:val="4"/>
                <w:szCs w:val="4"/>
              </w:rPr>
            </w:r>
          </w:p>
        </w:tc>
        <w:tc>
          <w:tcPr>
            <w:tcW w:w="119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5390" w:type="dxa"/>
            <w:tcBorders>
              <w:bottom w:val="single" w:sz="8" w:space="0" w:color="732282"/>
            </w:tcBorders>
            <w:shd w:fill="auto" w:val="clear"/>
            <w:tcMar>
              <w:bottom w:w="28" w:type="dxa"/>
            </w:tcMar>
            <w:vAlign w:val="center"/>
          </w:tcPr>
          <w:p>
            <w:pPr>
              <w:pStyle w:val="TableContents"/>
              <w:spacing w:before="0" w:after="0"/>
              <w:rPr>
                <w:rFonts w:ascii="arial" w:hAnsi="arial"/>
                <w:b/>
                <w:color w:val="732282"/>
                <w:sz w:val="16"/>
              </w:rPr>
            </w:pPr>
            <w:r>
              <w:rPr>
                <w:rFonts w:ascii="arial" w:hAnsi="arial"/>
                <w:b/>
                <w:color w:val="732282"/>
                <w:sz w:val="16"/>
              </w:rPr>
              <w:t>Name of Beneficial Owner</w:t>
            </w:r>
          </w:p>
        </w:tc>
        <w:tc>
          <w:tcPr>
            <w:tcW w:w="120" w:type="dxa"/>
            <w:tcBorders>
              <w:bottom w:val="single" w:sz="8" w:space="0" w:color="732282"/>
            </w:tcBorders>
            <w:shd w:fill="auto" w:val="clear"/>
            <w:tcMar>
              <w:bottom w:w="28" w:type="dxa"/>
            </w:tcMar>
            <w:vAlign w:val="center"/>
          </w:tcPr>
          <w:p>
            <w:pPr>
              <w:pStyle w:val="TableContents"/>
              <w:spacing w:before="0" w:after="283"/>
              <w:rPr/>
            </w:pPr>
            <w:r>
              <w:rPr/>
              <w:t>  </w:t>
            </w:r>
          </w:p>
        </w:tc>
        <w:tc>
          <w:tcPr>
            <w:tcW w:w="1040" w:type="dxa"/>
            <w:gridSpan w:val="2"/>
            <w:tcBorders>
              <w:bottom w:val="single" w:sz="8" w:space="0" w:color="732282"/>
            </w:tcBorders>
            <w:shd w:fill="auto" w:val="clear"/>
            <w:tcMar>
              <w:bottom w:w="28" w:type="dxa"/>
            </w:tcMar>
            <w:vAlign w:val="center"/>
          </w:tcPr>
          <w:p>
            <w:pPr>
              <w:pStyle w:val="TableContents"/>
              <w:spacing w:before="0" w:after="0"/>
              <w:jc w:val="right"/>
              <w:rPr>
                <w:rFonts w:ascii="arial" w:hAnsi="arial"/>
                <w:b/>
                <w:color w:val="732282"/>
                <w:sz w:val="16"/>
              </w:rPr>
            </w:pPr>
            <w:r>
              <w:rPr>
                <w:rFonts w:ascii="arial" w:hAnsi="arial"/>
                <w:b/>
                <w:color w:val="732282"/>
                <w:sz w:val="16"/>
              </w:rPr>
              <w:t>Amount and</w:t>
            </w:r>
          </w:p>
          <w:p>
            <w:pPr>
              <w:pStyle w:val="TableContents"/>
              <w:spacing w:before="0" w:after="0"/>
              <w:jc w:val="right"/>
              <w:rPr>
                <w:rFonts w:ascii="arial" w:hAnsi="arial"/>
                <w:b/>
                <w:color w:val="732282"/>
                <w:sz w:val="16"/>
              </w:rPr>
            </w:pPr>
            <w:r>
              <w:rPr>
                <w:rFonts w:ascii="arial" w:hAnsi="arial"/>
                <w:b/>
                <w:color w:val="732282"/>
                <w:sz w:val="16"/>
              </w:rPr>
              <w:t>Nature of</w:t>
            </w:r>
          </w:p>
          <w:p>
            <w:pPr>
              <w:pStyle w:val="TableContents"/>
              <w:spacing w:before="0" w:after="0"/>
              <w:jc w:val="right"/>
              <w:rPr>
                <w:rFonts w:ascii="arial" w:hAnsi="arial"/>
                <w:b/>
                <w:color w:val="732282"/>
                <w:sz w:val="16"/>
              </w:rPr>
            </w:pPr>
            <w:r>
              <w:rPr>
                <w:rFonts w:ascii="arial" w:hAnsi="arial"/>
                <w:b/>
                <w:color w:val="732282"/>
                <w:sz w:val="16"/>
              </w:rPr>
              <w:t>Beneficial</w:t>
            </w:r>
          </w:p>
          <w:p>
            <w:pPr>
              <w:pStyle w:val="TableContents"/>
              <w:spacing w:before="0" w:after="20"/>
              <w:jc w:val="right"/>
              <w:rPr>
                <w:rFonts w:ascii="arial" w:hAnsi="arial"/>
                <w:b/>
                <w:color w:val="732282"/>
                <w:sz w:val="16"/>
              </w:rPr>
            </w:pPr>
            <w:r>
              <w:rPr>
                <w:rFonts w:ascii="arial" w:hAnsi="arial"/>
                <w:b/>
                <w:color w:val="732282"/>
                <w:sz w:val="16"/>
              </w:rPr>
              <w:t>Ownership</w:t>
            </w:r>
          </w:p>
        </w:tc>
        <w:tc>
          <w:tcPr>
            <w:tcW w:w="350" w:type="dxa"/>
            <w:tcBorders>
              <w:bottom w:val="single" w:sz="8" w:space="0" w:color="732282"/>
            </w:tcBorders>
            <w:shd w:fill="auto" w:val="clear"/>
            <w:tcMar>
              <w:bottom w:w="28" w:type="dxa"/>
            </w:tcMar>
            <w:vAlign w:val="center"/>
          </w:tcPr>
          <w:p>
            <w:pPr>
              <w:pStyle w:val="TableContents"/>
              <w:spacing w:before="0" w:after="283"/>
              <w:rPr/>
            </w:pPr>
            <w:r>
              <w:rPr/>
              <w:t> </w:t>
            </w:r>
          </w:p>
        </w:tc>
        <w:tc>
          <w:tcPr>
            <w:tcW w:w="60" w:type="dxa"/>
            <w:tcBorders>
              <w:bottom w:val="single" w:sz="8" w:space="0" w:color="732282"/>
            </w:tcBorders>
            <w:shd w:fill="auto" w:val="clear"/>
            <w:tcMar>
              <w:bottom w:w="28" w:type="dxa"/>
            </w:tcMar>
            <w:vAlign w:val="center"/>
          </w:tcPr>
          <w:p>
            <w:pPr>
              <w:pStyle w:val="TableContents"/>
              <w:spacing w:before="0" w:after="283"/>
              <w:rPr/>
            </w:pPr>
            <w:r>
              <w:rPr/>
              <w:t> </w:t>
            </w:r>
          </w:p>
        </w:tc>
        <w:tc>
          <w:tcPr>
            <w:tcW w:w="1265" w:type="dxa"/>
            <w:gridSpan w:val="2"/>
            <w:tcBorders>
              <w:bottom w:val="single" w:sz="8" w:space="0" w:color="732282"/>
            </w:tcBorders>
            <w:shd w:fill="auto" w:val="clear"/>
            <w:tcMar>
              <w:bottom w:w="28" w:type="dxa"/>
            </w:tcMar>
            <w:vAlign w:val="center"/>
          </w:tcPr>
          <w:p>
            <w:pPr>
              <w:pStyle w:val="TableContents"/>
              <w:spacing w:before="0" w:after="0"/>
              <w:jc w:val="right"/>
              <w:rPr>
                <w:rFonts w:ascii="arial" w:hAnsi="arial"/>
                <w:b/>
                <w:color w:val="732282"/>
                <w:sz w:val="16"/>
              </w:rPr>
            </w:pPr>
            <w:r>
              <w:rPr>
                <w:rFonts w:ascii="arial" w:hAnsi="arial"/>
                <w:b/>
                <w:color w:val="732282"/>
                <w:sz w:val="16"/>
              </w:rPr>
              <w:t>Options</w:t>
            </w:r>
          </w:p>
          <w:p>
            <w:pPr>
              <w:pStyle w:val="TableContents"/>
              <w:spacing w:before="0" w:after="0"/>
              <w:jc w:val="right"/>
              <w:rPr>
                <w:rFonts w:ascii="arial" w:hAnsi="arial"/>
                <w:b/>
                <w:color w:val="732282"/>
                <w:sz w:val="16"/>
              </w:rPr>
            </w:pPr>
            <w:r>
              <w:rPr>
                <w:rFonts w:ascii="arial" w:hAnsi="arial"/>
                <w:b/>
                <w:color w:val="732282"/>
                <w:sz w:val="16"/>
              </w:rPr>
              <w:t>Exercisable and</w:t>
            </w:r>
          </w:p>
          <w:p>
            <w:pPr>
              <w:pStyle w:val="TableContents"/>
              <w:spacing w:before="0" w:after="0"/>
              <w:jc w:val="right"/>
              <w:rPr>
                <w:rFonts w:ascii="arial" w:hAnsi="arial"/>
                <w:b/>
                <w:color w:val="732282"/>
                <w:sz w:val="16"/>
              </w:rPr>
            </w:pPr>
            <w:r>
              <w:rPr>
                <w:rFonts w:ascii="arial" w:hAnsi="arial"/>
                <w:b/>
                <w:color w:val="732282"/>
                <w:sz w:val="16"/>
              </w:rPr>
              <w:t>Restricted</w:t>
            </w:r>
          </w:p>
          <w:p>
            <w:pPr>
              <w:pStyle w:val="TableContents"/>
              <w:spacing w:before="0" w:after="0"/>
              <w:jc w:val="right"/>
              <w:rPr>
                <w:rFonts w:ascii="arial" w:hAnsi="arial"/>
                <w:b/>
                <w:color w:val="732282"/>
                <w:sz w:val="16"/>
              </w:rPr>
            </w:pPr>
            <w:r>
              <w:rPr>
                <w:rFonts w:ascii="arial" w:hAnsi="arial"/>
                <w:b/>
                <w:color w:val="732282"/>
                <w:sz w:val="16"/>
              </w:rPr>
              <w:t>Shares Vesting</w:t>
            </w:r>
          </w:p>
          <w:p>
            <w:pPr>
              <w:pStyle w:val="TableContents"/>
              <w:spacing w:before="0" w:after="20"/>
              <w:jc w:val="right"/>
              <w:rPr>
                <w:rFonts w:ascii="arial" w:hAnsi="arial"/>
                <w:b/>
                <w:color w:val="732282"/>
                <w:sz w:val="16"/>
              </w:rPr>
            </w:pPr>
            <w:r>
              <w:rPr>
                <w:rFonts w:ascii="arial" w:hAnsi="arial"/>
                <w:b/>
                <w:color w:val="732282"/>
                <w:sz w:val="16"/>
              </w:rPr>
              <w:t>within 60 days</w:t>
            </w:r>
          </w:p>
        </w:tc>
        <w:tc>
          <w:tcPr>
            <w:tcW w:w="60" w:type="dxa"/>
            <w:tcBorders>
              <w:bottom w:val="single" w:sz="8" w:space="0" w:color="732282"/>
            </w:tcBorders>
            <w:shd w:fill="auto" w:val="clear"/>
            <w:tcMar>
              <w:bottom w:w="28" w:type="dxa"/>
            </w:tcMar>
            <w:vAlign w:val="center"/>
          </w:tcPr>
          <w:p>
            <w:pPr>
              <w:pStyle w:val="TableContents"/>
              <w:spacing w:before="0" w:after="283"/>
              <w:rPr/>
            </w:pPr>
            <w:r>
              <w:rPr/>
              <w:t> </w:t>
            </w:r>
          </w:p>
        </w:tc>
        <w:tc>
          <w:tcPr>
            <w:tcW w:w="120" w:type="dxa"/>
            <w:tcBorders>
              <w:bottom w:val="single" w:sz="8" w:space="0" w:color="732282"/>
            </w:tcBorders>
            <w:shd w:fill="auto" w:val="clear"/>
            <w:tcMar>
              <w:bottom w:w="28" w:type="dxa"/>
            </w:tcMar>
            <w:vAlign w:val="center"/>
          </w:tcPr>
          <w:p>
            <w:pPr>
              <w:pStyle w:val="TableContents"/>
              <w:spacing w:before="0" w:after="283"/>
              <w:rPr/>
            </w:pPr>
            <w:r>
              <w:rPr/>
              <w:t>  </w:t>
            </w:r>
          </w:p>
        </w:tc>
        <w:tc>
          <w:tcPr>
            <w:tcW w:w="1055" w:type="dxa"/>
            <w:gridSpan w:val="2"/>
            <w:tcBorders>
              <w:bottom w:val="single" w:sz="8" w:space="0" w:color="732282"/>
            </w:tcBorders>
            <w:shd w:fill="auto" w:val="clear"/>
            <w:tcMar>
              <w:bottom w:w="28" w:type="dxa"/>
            </w:tcMar>
            <w:vAlign w:val="center"/>
          </w:tcPr>
          <w:p>
            <w:pPr>
              <w:pStyle w:val="TableContents"/>
              <w:spacing w:before="0" w:after="283"/>
              <w:jc w:val="right"/>
              <w:rPr>
                <w:b/>
                <w:color w:val="732282"/>
              </w:rPr>
            </w:pPr>
            <w:r>
              <w:rPr>
                <w:b/>
                <w:color w:val="732282"/>
              </w:rPr>
              <w:t>Percent of</w:t>
              <w:br/>
              <w:t>Class</w:t>
            </w:r>
          </w:p>
        </w:tc>
        <w:tc>
          <w:tcPr>
            <w:tcW w:w="75" w:type="dxa"/>
            <w:tcBorders>
              <w:bottom w:val="single" w:sz="8" w:space="0" w:color="732282"/>
            </w:tcBorders>
            <w:shd w:fill="auto" w:val="clear"/>
            <w:tcMar>
              <w:bottom w:w="28" w:type="dxa"/>
            </w:tcMar>
            <w:vAlign w:val="center"/>
          </w:tcPr>
          <w:p>
            <w:pPr>
              <w:pStyle w:val="TableContents"/>
              <w:spacing w:before="0" w:after="283"/>
              <w:rPr/>
            </w:pPr>
            <w:r>
              <w:rPr/>
              <w:t> </w:t>
            </w:r>
          </w:p>
        </w:tc>
      </w:tr>
      <w:tr>
        <w:trPr/>
        <w:tc>
          <w:tcPr>
            <w:tcW w:w="5390" w:type="dxa"/>
            <w:tcBorders/>
            <w:shd w:fill="E5E5E5" w:val="clear"/>
            <w:vAlign w:val="center"/>
          </w:tcPr>
          <w:p>
            <w:pPr>
              <w:pStyle w:val="TableContents"/>
              <w:spacing w:before="0" w:after="0"/>
              <w:rPr>
                <w:rFonts w:ascii="arial" w:hAnsi="arial"/>
                <w:sz w:val="20"/>
              </w:rPr>
            </w:pPr>
            <w:r>
              <w:rPr>
                <w:rFonts w:ascii="arial" w:hAnsi="arial"/>
                <w:sz w:val="20"/>
              </w:rPr>
              <w:t>W. Don Cornwell</w:t>
            </w:r>
          </w:p>
        </w:tc>
        <w:tc>
          <w:tcPr>
            <w:tcW w:w="12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980" w:type="dxa"/>
            <w:tcBorders/>
            <w:shd w:fill="E5E5E5" w:val="clear"/>
            <w:vAlign w:val="center"/>
          </w:tcPr>
          <w:p>
            <w:pPr>
              <w:pStyle w:val="TableContents"/>
              <w:spacing w:before="0" w:after="283"/>
              <w:jc w:val="right"/>
              <w:rPr/>
            </w:pPr>
            <w:r>
              <w:rPr/>
              <w:t>42,510</w:t>
            </w:r>
          </w:p>
        </w:tc>
        <w:tc>
          <w:tcPr>
            <w:tcW w:w="35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72" w:type="dxa"/>
            <w:tcBorders/>
            <w:shd w:fill="E5E5E5" w:val="clear"/>
            <w:vAlign w:val="center"/>
          </w:tcPr>
          <w:p>
            <w:pPr>
              <w:pStyle w:val="TableContents"/>
              <w:spacing w:before="0" w:after="283"/>
              <w:rPr/>
            </w:pPr>
            <w:r>
              <w:rPr/>
              <w:t> </w:t>
            </w:r>
          </w:p>
        </w:tc>
        <w:tc>
          <w:tcPr>
            <w:tcW w:w="1193" w:type="dxa"/>
            <w:tcBorders/>
            <w:shd w:fill="E5E5E5" w:val="clear"/>
            <w:vAlign w:val="center"/>
          </w:tcPr>
          <w:p>
            <w:pPr>
              <w:pStyle w:val="TableContents"/>
              <w:spacing w:before="0" w:after="283"/>
              <w:jc w:val="right"/>
              <w:rPr/>
            </w:pPr>
            <w:r>
              <w:rPr/>
              <w:t>—</w:t>
            </w:r>
          </w:p>
        </w:tc>
        <w:tc>
          <w:tcPr>
            <w:tcW w:w="60" w:type="dxa"/>
            <w:tcBorders/>
            <w:shd w:fill="E5E5E5" w:val="clear"/>
            <w:vAlign w:val="center"/>
          </w:tcPr>
          <w:p>
            <w:pPr>
              <w:pStyle w:val="TableContents"/>
              <w:spacing w:before="0" w:after="283"/>
              <w:rPr/>
            </w:pPr>
            <w:r>
              <w:rPr/>
              <w:t> </w:t>
            </w:r>
          </w:p>
        </w:tc>
        <w:tc>
          <w:tcPr>
            <w:tcW w:w="120" w:type="dxa"/>
            <w:tcBorders/>
            <w:shd w:fill="E5E5E5" w:val="clear"/>
            <w:vAlign w:val="center"/>
          </w:tcPr>
          <w:p>
            <w:pPr>
              <w:pStyle w:val="TableContents"/>
              <w:spacing w:before="0" w:after="283"/>
              <w:rPr/>
            </w:pPr>
            <w:r>
              <w:rPr/>
              <w:t>  </w:t>
            </w:r>
          </w:p>
        </w:tc>
        <w:tc>
          <w:tcPr>
            <w:tcW w:w="316" w:type="dxa"/>
            <w:tcBorders/>
            <w:shd w:fill="E5E5E5" w:val="clear"/>
            <w:vAlign w:val="center"/>
          </w:tcPr>
          <w:p>
            <w:pPr>
              <w:pStyle w:val="TableContents"/>
              <w:spacing w:before="0" w:after="283"/>
              <w:rPr/>
            </w:pPr>
            <w:r>
              <w:rPr/>
              <w:t> </w:t>
            </w:r>
          </w:p>
        </w:tc>
        <w:tc>
          <w:tcPr>
            <w:tcW w:w="739" w:type="dxa"/>
            <w:tcBorders/>
            <w:shd w:fill="E5E5E5" w:val="clear"/>
            <w:vAlign w:val="center"/>
          </w:tcPr>
          <w:p>
            <w:pPr>
              <w:pStyle w:val="TableContents"/>
              <w:spacing w:before="0" w:after="283"/>
              <w:jc w:val="right"/>
              <w:rPr/>
            </w:pPr>
            <w:r>
              <w:rPr/>
              <w:t>*</w:t>
            </w:r>
          </w:p>
        </w:tc>
        <w:tc>
          <w:tcPr>
            <w:tcW w:w="75" w:type="dxa"/>
            <w:tcBorders/>
            <w:shd w:fill="E5E5E5" w:val="clear"/>
            <w:vAlign w:val="center"/>
          </w:tcPr>
          <w:p>
            <w:pPr>
              <w:pStyle w:val="TableContents"/>
              <w:spacing w:before="0" w:after="283"/>
              <w:rPr/>
            </w:pPr>
            <w:r>
              <w:rPr/>
              <w:t> </w:t>
            </w:r>
          </w:p>
        </w:tc>
      </w:tr>
      <w:tr>
        <w:trPr/>
        <w:tc>
          <w:tcPr>
            <w:tcW w:w="5390" w:type="dxa"/>
            <w:tcBorders/>
            <w:shd w:fill="auto" w:val="clear"/>
            <w:vAlign w:val="center"/>
          </w:tcPr>
          <w:p>
            <w:pPr>
              <w:pStyle w:val="TableContents"/>
              <w:spacing w:before="0" w:after="0"/>
              <w:rPr>
                <w:rFonts w:ascii="arial" w:hAnsi="arial"/>
                <w:sz w:val="20"/>
              </w:rPr>
            </w:pPr>
            <w:r>
              <w:rPr>
                <w:rFonts w:ascii="arial" w:hAnsi="arial"/>
                <w:sz w:val="20"/>
              </w:rPr>
              <w:t>Robert J. Coury</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1,174,515</w:t>
            </w:r>
          </w:p>
        </w:tc>
        <w:tc>
          <w:tcPr>
            <w:tcW w:w="35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283"/>
              <w:rPr/>
            </w:pPr>
            <w:r>
              <w:rPr/>
              <w:t> </w:t>
            </w:r>
          </w:p>
        </w:tc>
        <w:tc>
          <w:tcPr>
            <w:tcW w:w="1193" w:type="dxa"/>
            <w:tcBorders/>
            <w:shd w:fill="auto" w:val="clear"/>
            <w:vAlign w:val="center"/>
          </w:tcPr>
          <w:p>
            <w:pPr>
              <w:pStyle w:val="TableContents"/>
              <w:spacing w:before="0" w:after="283"/>
              <w:jc w:val="right"/>
              <w:rPr/>
            </w:pPr>
            <w:r>
              <w:rPr/>
              <w:t>204,963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16" w:type="dxa"/>
            <w:tcBorders/>
            <w:shd w:fill="auto" w:val="clear"/>
            <w:vAlign w:val="center"/>
          </w:tcPr>
          <w:p>
            <w:pPr>
              <w:pStyle w:val="TableContents"/>
              <w:spacing w:before="0" w:after="283"/>
              <w:rPr/>
            </w:pPr>
            <w:r>
              <w:rPr/>
              <w:t> </w:t>
            </w:r>
          </w:p>
        </w:tc>
        <w:tc>
          <w:tcPr>
            <w:tcW w:w="739" w:type="dxa"/>
            <w:tcBorders/>
            <w:shd w:fill="auto" w:val="clear"/>
            <w:vAlign w:val="center"/>
          </w:tcPr>
          <w:p>
            <w:pPr>
              <w:pStyle w:val="TableContents"/>
              <w:spacing w:before="0" w:after="283"/>
              <w:jc w:val="right"/>
              <w:rPr/>
            </w:pPr>
            <w:r>
              <w:rPr/>
              <w:t>*</w:t>
            </w:r>
          </w:p>
        </w:tc>
        <w:tc>
          <w:tcPr>
            <w:tcW w:w="75" w:type="dxa"/>
            <w:tcBorders/>
            <w:shd w:fill="auto" w:val="clear"/>
            <w:vAlign w:val="center"/>
          </w:tcPr>
          <w:p>
            <w:pPr>
              <w:pStyle w:val="TableContents"/>
              <w:spacing w:before="0" w:after="283"/>
              <w:rPr/>
            </w:pPr>
            <w:r>
              <w:rPr/>
              <w:t> </w:t>
            </w:r>
          </w:p>
        </w:tc>
      </w:tr>
      <w:tr>
        <w:trPr/>
        <w:tc>
          <w:tcPr>
            <w:tcW w:w="5390" w:type="dxa"/>
            <w:tcBorders/>
            <w:shd w:fill="E5E5E5" w:val="clear"/>
            <w:vAlign w:val="center"/>
          </w:tcPr>
          <w:p>
            <w:pPr>
              <w:pStyle w:val="TableContents"/>
              <w:spacing w:before="0" w:after="0"/>
              <w:rPr>
                <w:rFonts w:ascii="arial" w:hAnsi="arial"/>
                <w:sz w:val="20"/>
              </w:rPr>
            </w:pPr>
            <w:r>
              <w:rPr>
                <w:rFonts w:ascii="arial" w:hAnsi="arial"/>
                <w:sz w:val="20"/>
              </w:rPr>
              <w:t>JoEllen Lyons Dillon</w:t>
            </w:r>
          </w:p>
        </w:tc>
        <w:tc>
          <w:tcPr>
            <w:tcW w:w="12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980" w:type="dxa"/>
            <w:tcBorders/>
            <w:shd w:fill="E5E5E5" w:val="clear"/>
            <w:vAlign w:val="center"/>
          </w:tcPr>
          <w:p>
            <w:pPr>
              <w:pStyle w:val="TableContents"/>
              <w:spacing w:before="0" w:after="283"/>
              <w:jc w:val="right"/>
              <w:rPr/>
            </w:pPr>
            <w:r>
              <w:rPr/>
              <w:t>59,877</w:t>
            </w:r>
          </w:p>
        </w:tc>
        <w:tc>
          <w:tcPr>
            <w:tcW w:w="350" w:type="dxa"/>
            <w:tcBorders/>
            <w:shd w:fill="E5E5E5" w:val="clear"/>
            <w:vAlign w:val="center"/>
          </w:tcPr>
          <w:p>
            <w:pPr>
              <w:pStyle w:val="TableContents"/>
              <w:spacing w:before="0" w:after="283"/>
              <w:rPr/>
            </w:pPr>
            <w:r>
              <w:rPr/>
              <w:t>(1) </w:t>
            </w:r>
          </w:p>
        </w:tc>
        <w:tc>
          <w:tcPr>
            <w:tcW w:w="60" w:type="dxa"/>
            <w:tcBorders/>
            <w:shd w:fill="E5E5E5" w:val="clear"/>
            <w:vAlign w:val="center"/>
          </w:tcPr>
          <w:p>
            <w:pPr>
              <w:pStyle w:val="TableContents"/>
              <w:spacing w:before="0" w:after="283"/>
              <w:rPr/>
            </w:pPr>
            <w:r>
              <w:rPr/>
              <w:t> </w:t>
            </w:r>
          </w:p>
        </w:tc>
        <w:tc>
          <w:tcPr>
            <w:tcW w:w="72" w:type="dxa"/>
            <w:tcBorders/>
            <w:shd w:fill="E5E5E5" w:val="clear"/>
            <w:vAlign w:val="center"/>
          </w:tcPr>
          <w:p>
            <w:pPr>
              <w:pStyle w:val="TableContents"/>
              <w:spacing w:before="0" w:after="283"/>
              <w:rPr/>
            </w:pPr>
            <w:r>
              <w:rPr/>
              <w:t> </w:t>
            </w:r>
          </w:p>
        </w:tc>
        <w:tc>
          <w:tcPr>
            <w:tcW w:w="1193" w:type="dxa"/>
            <w:tcBorders/>
            <w:shd w:fill="E5E5E5" w:val="clear"/>
            <w:vAlign w:val="center"/>
          </w:tcPr>
          <w:p>
            <w:pPr>
              <w:pStyle w:val="TableContents"/>
              <w:spacing w:before="0" w:after="283"/>
              <w:jc w:val="right"/>
              <w:rPr/>
            </w:pPr>
            <w:r>
              <w:rPr/>
              <w:t>24,780</w:t>
            </w:r>
          </w:p>
        </w:tc>
        <w:tc>
          <w:tcPr>
            <w:tcW w:w="60" w:type="dxa"/>
            <w:tcBorders/>
            <w:shd w:fill="E5E5E5" w:val="clear"/>
            <w:vAlign w:val="center"/>
          </w:tcPr>
          <w:p>
            <w:pPr>
              <w:pStyle w:val="TableContents"/>
              <w:spacing w:before="0" w:after="283"/>
              <w:rPr/>
            </w:pPr>
            <w:r>
              <w:rPr/>
              <w:t> </w:t>
            </w:r>
          </w:p>
        </w:tc>
        <w:tc>
          <w:tcPr>
            <w:tcW w:w="120" w:type="dxa"/>
            <w:tcBorders/>
            <w:shd w:fill="E5E5E5" w:val="clear"/>
            <w:vAlign w:val="center"/>
          </w:tcPr>
          <w:p>
            <w:pPr>
              <w:pStyle w:val="TableContents"/>
              <w:spacing w:before="0" w:after="283"/>
              <w:rPr/>
            </w:pPr>
            <w:r>
              <w:rPr/>
              <w:t>  </w:t>
            </w:r>
          </w:p>
        </w:tc>
        <w:tc>
          <w:tcPr>
            <w:tcW w:w="316" w:type="dxa"/>
            <w:tcBorders/>
            <w:shd w:fill="E5E5E5" w:val="clear"/>
            <w:vAlign w:val="center"/>
          </w:tcPr>
          <w:p>
            <w:pPr>
              <w:pStyle w:val="TableContents"/>
              <w:spacing w:before="0" w:after="283"/>
              <w:rPr/>
            </w:pPr>
            <w:r>
              <w:rPr/>
              <w:t> </w:t>
            </w:r>
          </w:p>
        </w:tc>
        <w:tc>
          <w:tcPr>
            <w:tcW w:w="739" w:type="dxa"/>
            <w:tcBorders/>
            <w:shd w:fill="E5E5E5" w:val="clear"/>
            <w:vAlign w:val="center"/>
          </w:tcPr>
          <w:p>
            <w:pPr>
              <w:pStyle w:val="TableContents"/>
              <w:spacing w:before="0" w:after="283"/>
              <w:jc w:val="right"/>
              <w:rPr/>
            </w:pPr>
            <w:r>
              <w:rPr/>
              <w:t>*</w:t>
            </w:r>
          </w:p>
        </w:tc>
        <w:tc>
          <w:tcPr>
            <w:tcW w:w="75" w:type="dxa"/>
            <w:tcBorders/>
            <w:shd w:fill="E5E5E5" w:val="clear"/>
            <w:vAlign w:val="center"/>
          </w:tcPr>
          <w:p>
            <w:pPr>
              <w:pStyle w:val="TableContents"/>
              <w:spacing w:before="0" w:after="283"/>
              <w:rPr/>
            </w:pPr>
            <w:r>
              <w:rPr/>
              <w:t> </w:t>
            </w:r>
          </w:p>
        </w:tc>
      </w:tr>
      <w:tr>
        <w:trPr/>
        <w:tc>
          <w:tcPr>
            <w:tcW w:w="5390" w:type="dxa"/>
            <w:tcBorders/>
            <w:shd w:fill="auto" w:val="clear"/>
            <w:vAlign w:val="center"/>
          </w:tcPr>
          <w:p>
            <w:pPr>
              <w:pStyle w:val="TableContents"/>
              <w:spacing w:before="0" w:after="0"/>
              <w:rPr>
                <w:rFonts w:ascii="arial" w:hAnsi="arial"/>
                <w:sz w:val="20"/>
              </w:rPr>
            </w:pPr>
            <w:r>
              <w:rPr>
                <w:rFonts w:ascii="arial" w:hAnsi="arial"/>
                <w:sz w:val="20"/>
              </w:rPr>
              <w:t>Elisha W. Finney</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w:t>
            </w:r>
          </w:p>
        </w:tc>
        <w:tc>
          <w:tcPr>
            <w:tcW w:w="35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283"/>
              <w:rPr/>
            </w:pPr>
            <w:r>
              <w:rPr/>
              <w:t> </w:t>
            </w:r>
          </w:p>
        </w:tc>
        <w:tc>
          <w:tcPr>
            <w:tcW w:w="1193"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16" w:type="dxa"/>
            <w:tcBorders/>
            <w:shd w:fill="auto" w:val="clear"/>
            <w:vAlign w:val="center"/>
          </w:tcPr>
          <w:p>
            <w:pPr>
              <w:pStyle w:val="TableContents"/>
              <w:spacing w:before="0" w:after="283"/>
              <w:rPr/>
            </w:pPr>
            <w:r>
              <w:rPr/>
              <w:t> </w:t>
            </w:r>
          </w:p>
        </w:tc>
        <w:tc>
          <w:tcPr>
            <w:tcW w:w="739" w:type="dxa"/>
            <w:tcBorders/>
            <w:shd w:fill="auto" w:val="clear"/>
            <w:vAlign w:val="center"/>
          </w:tcPr>
          <w:p>
            <w:pPr>
              <w:pStyle w:val="TableContents"/>
              <w:spacing w:before="0" w:after="283"/>
              <w:jc w:val="right"/>
              <w:rPr/>
            </w:pPr>
            <w:r>
              <w:rPr/>
              <w:t>*</w:t>
            </w:r>
          </w:p>
        </w:tc>
        <w:tc>
          <w:tcPr>
            <w:tcW w:w="75" w:type="dxa"/>
            <w:tcBorders/>
            <w:shd w:fill="auto" w:val="clear"/>
            <w:vAlign w:val="center"/>
          </w:tcPr>
          <w:p>
            <w:pPr>
              <w:pStyle w:val="TableContents"/>
              <w:spacing w:before="0" w:after="283"/>
              <w:rPr/>
            </w:pPr>
            <w:r>
              <w:rPr/>
              <w:t> </w:t>
            </w:r>
          </w:p>
        </w:tc>
      </w:tr>
      <w:tr>
        <w:trPr/>
        <w:tc>
          <w:tcPr>
            <w:tcW w:w="5390" w:type="dxa"/>
            <w:tcBorders/>
            <w:shd w:fill="E5E5E5" w:val="clear"/>
            <w:vAlign w:val="center"/>
          </w:tcPr>
          <w:p>
            <w:pPr>
              <w:pStyle w:val="TableContents"/>
              <w:spacing w:before="0" w:after="0"/>
              <w:rPr>
                <w:rFonts w:ascii="arial" w:hAnsi="arial"/>
                <w:sz w:val="20"/>
              </w:rPr>
            </w:pPr>
            <w:r>
              <w:rPr>
                <w:rFonts w:ascii="arial" w:hAnsi="arial"/>
                <w:sz w:val="20"/>
              </w:rPr>
              <w:t>Michael Goettler(2)</w:t>
            </w:r>
          </w:p>
        </w:tc>
        <w:tc>
          <w:tcPr>
            <w:tcW w:w="12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980" w:type="dxa"/>
            <w:tcBorders/>
            <w:shd w:fill="E5E5E5" w:val="clear"/>
            <w:vAlign w:val="center"/>
          </w:tcPr>
          <w:p>
            <w:pPr>
              <w:pStyle w:val="TableContents"/>
              <w:spacing w:before="0" w:after="283"/>
              <w:jc w:val="right"/>
              <w:rPr/>
            </w:pPr>
            <w:r>
              <w:rPr/>
              <w:t>321,653</w:t>
            </w:r>
          </w:p>
        </w:tc>
        <w:tc>
          <w:tcPr>
            <w:tcW w:w="35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72" w:type="dxa"/>
            <w:tcBorders/>
            <w:shd w:fill="E5E5E5" w:val="clear"/>
            <w:vAlign w:val="center"/>
          </w:tcPr>
          <w:p>
            <w:pPr>
              <w:pStyle w:val="TableContents"/>
              <w:spacing w:before="0" w:after="283"/>
              <w:rPr/>
            </w:pPr>
            <w:r>
              <w:rPr/>
              <w:t> </w:t>
            </w:r>
          </w:p>
        </w:tc>
        <w:tc>
          <w:tcPr>
            <w:tcW w:w="1193" w:type="dxa"/>
            <w:tcBorders/>
            <w:shd w:fill="E5E5E5" w:val="clear"/>
            <w:vAlign w:val="center"/>
          </w:tcPr>
          <w:p>
            <w:pPr>
              <w:pStyle w:val="TableContents"/>
              <w:spacing w:before="0" w:after="283"/>
              <w:jc w:val="right"/>
              <w:rPr/>
            </w:pPr>
            <w:r>
              <w:rPr/>
              <w:t>—</w:t>
            </w:r>
          </w:p>
        </w:tc>
        <w:tc>
          <w:tcPr>
            <w:tcW w:w="60" w:type="dxa"/>
            <w:tcBorders/>
            <w:shd w:fill="E5E5E5" w:val="clear"/>
            <w:vAlign w:val="center"/>
          </w:tcPr>
          <w:p>
            <w:pPr>
              <w:pStyle w:val="TableContents"/>
              <w:spacing w:before="0" w:after="283"/>
              <w:rPr/>
            </w:pPr>
            <w:r>
              <w:rPr/>
              <w:t> </w:t>
            </w:r>
          </w:p>
        </w:tc>
        <w:tc>
          <w:tcPr>
            <w:tcW w:w="120" w:type="dxa"/>
            <w:tcBorders/>
            <w:shd w:fill="E5E5E5" w:val="clear"/>
            <w:vAlign w:val="center"/>
          </w:tcPr>
          <w:p>
            <w:pPr>
              <w:pStyle w:val="TableContents"/>
              <w:spacing w:before="0" w:after="283"/>
              <w:rPr/>
            </w:pPr>
            <w:r>
              <w:rPr/>
              <w:t>  </w:t>
            </w:r>
          </w:p>
        </w:tc>
        <w:tc>
          <w:tcPr>
            <w:tcW w:w="316" w:type="dxa"/>
            <w:tcBorders/>
            <w:shd w:fill="E5E5E5" w:val="clear"/>
            <w:vAlign w:val="center"/>
          </w:tcPr>
          <w:p>
            <w:pPr>
              <w:pStyle w:val="TableContents"/>
              <w:spacing w:before="0" w:after="283"/>
              <w:rPr/>
            </w:pPr>
            <w:r>
              <w:rPr/>
              <w:t> </w:t>
            </w:r>
          </w:p>
        </w:tc>
        <w:tc>
          <w:tcPr>
            <w:tcW w:w="739" w:type="dxa"/>
            <w:tcBorders/>
            <w:shd w:fill="E5E5E5" w:val="clear"/>
            <w:vAlign w:val="center"/>
          </w:tcPr>
          <w:p>
            <w:pPr>
              <w:pStyle w:val="TableContents"/>
              <w:spacing w:before="0" w:after="283"/>
              <w:jc w:val="right"/>
              <w:rPr/>
            </w:pPr>
            <w:r>
              <w:rPr/>
              <w:t>*</w:t>
            </w:r>
          </w:p>
        </w:tc>
        <w:tc>
          <w:tcPr>
            <w:tcW w:w="75" w:type="dxa"/>
            <w:tcBorders/>
            <w:shd w:fill="E5E5E5" w:val="clear"/>
            <w:vAlign w:val="center"/>
          </w:tcPr>
          <w:p>
            <w:pPr>
              <w:pStyle w:val="TableContents"/>
              <w:spacing w:before="0" w:after="283"/>
              <w:rPr/>
            </w:pPr>
            <w:r>
              <w:rPr/>
              <w:t> </w:t>
            </w:r>
          </w:p>
        </w:tc>
      </w:tr>
      <w:tr>
        <w:trPr/>
        <w:tc>
          <w:tcPr>
            <w:tcW w:w="5390" w:type="dxa"/>
            <w:tcBorders/>
            <w:shd w:fill="auto" w:val="clear"/>
            <w:vAlign w:val="center"/>
          </w:tcPr>
          <w:p>
            <w:pPr>
              <w:pStyle w:val="TableContents"/>
              <w:spacing w:before="0" w:after="0"/>
              <w:rPr>
                <w:rFonts w:ascii="arial" w:hAnsi="arial"/>
                <w:sz w:val="20"/>
              </w:rPr>
            </w:pPr>
            <w:r>
              <w:rPr>
                <w:rFonts w:ascii="arial" w:hAnsi="arial"/>
                <w:sz w:val="20"/>
              </w:rPr>
              <w:t>Melina Higgins</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157,381</w:t>
            </w:r>
          </w:p>
        </w:tc>
        <w:tc>
          <w:tcPr>
            <w:tcW w:w="350" w:type="dxa"/>
            <w:tcBorders/>
            <w:shd w:fill="auto" w:val="clear"/>
            <w:vAlign w:val="center"/>
          </w:tcPr>
          <w:p>
            <w:pPr>
              <w:pStyle w:val="TableContents"/>
              <w:spacing w:before="0" w:after="283"/>
              <w:rPr/>
            </w:pPr>
            <w:r>
              <w:rPr/>
              <w:t>(3) </w:t>
            </w:r>
          </w:p>
        </w:tc>
        <w:tc>
          <w:tcPr>
            <w:tcW w:w="60"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283"/>
              <w:rPr/>
            </w:pPr>
            <w:r>
              <w:rPr/>
              <w:t> </w:t>
            </w:r>
          </w:p>
        </w:tc>
        <w:tc>
          <w:tcPr>
            <w:tcW w:w="1193" w:type="dxa"/>
            <w:tcBorders/>
            <w:shd w:fill="auto" w:val="clear"/>
            <w:vAlign w:val="center"/>
          </w:tcPr>
          <w:p>
            <w:pPr>
              <w:pStyle w:val="TableContents"/>
              <w:spacing w:before="0" w:after="283"/>
              <w:jc w:val="right"/>
              <w:rPr/>
            </w:pPr>
            <w:r>
              <w:rPr/>
              <w:t>31,403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16" w:type="dxa"/>
            <w:tcBorders/>
            <w:shd w:fill="auto" w:val="clear"/>
            <w:vAlign w:val="center"/>
          </w:tcPr>
          <w:p>
            <w:pPr>
              <w:pStyle w:val="TableContents"/>
              <w:spacing w:before="0" w:after="283"/>
              <w:rPr/>
            </w:pPr>
            <w:r>
              <w:rPr/>
              <w:t> </w:t>
            </w:r>
          </w:p>
        </w:tc>
        <w:tc>
          <w:tcPr>
            <w:tcW w:w="739" w:type="dxa"/>
            <w:tcBorders/>
            <w:shd w:fill="auto" w:val="clear"/>
            <w:vAlign w:val="center"/>
          </w:tcPr>
          <w:p>
            <w:pPr>
              <w:pStyle w:val="TableContents"/>
              <w:spacing w:before="0" w:after="283"/>
              <w:jc w:val="right"/>
              <w:rPr/>
            </w:pPr>
            <w:r>
              <w:rPr/>
              <w:t>*</w:t>
            </w:r>
          </w:p>
        </w:tc>
        <w:tc>
          <w:tcPr>
            <w:tcW w:w="75" w:type="dxa"/>
            <w:tcBorders/>
            <w:shd w:fill="auto" w:val="clear"/>
            <w:vAlign w:val="center"/>
          </w:tcPr>
          <w:p>
            <w:pPr>
              <w:pStyle w:val="TableContents"/>
              <w:spacing w:before="0" w:after="283"/>
              <w:rPr/>
            </w:pPr>
            <w:r>
              <w:rPr/>
              <w:t> </w:t>
            </w:r>
          </w:p>
        </w:tc>
      </w:tr>
      <w:tr>
        <w:trPr/>
        <w:tc>
          <w:tcPr>
            <w:tcW w:w="5390" w:type="dxa"/>
            <w:tcBorders/>
            <w:shd w:fill="E5E5E5" w:val="clear"/>
            <w:vAlign w:val="center"/>
          </w:tcPr>
          <w:p>
            <w:pPr>
              <w:pStyle w:val="TableContents"/>
              <w:spacing w:before="0" w:after="0"/>
              <w:rPr>
                <w:rFonts w:ascii="arial" w:hAnsi="arial"/>
                <w:sz w:val="20"/>
              </w:rPr>
            </w:pPr>
            <w:r>
              <w:rPr>
                <w:rFonts w:ascii="arial" w:hAnsi="arial"/>
                <w:sz w:val="20"/>
              </w:rPr>
              <w:t>James M. Kilts</w:t>
            </w:r>
          </w:p>
        </w:tc>
        <w:tc>
          <w:tcPr>
            <w:tcW w:w="12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980" w:type="dxa"/>
            <w:tcBorders/>
            <w:shd w:fill="E5E5E5" w:val="clear"/>
            <w:vAlign w:val="center"/>
          </w:tcPr>
          <w:p>
            <w:pPr>
              <w:pStyle w:val="TableContents"/>
              <w:spacing w:before="0" w:after="283"/>
              <w:jc w:val="right"/>
              <w:rPr/>
            </w:pPr>
            <w:r>
              <w:rPr/>
              <w:t>98,590</w:t>
            </w:r>
          </w:p>
        </w:tc>
        <w:tc>
          <w:tcPr>
            <w:tcW w:w="35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72" w:type="dxa"/>
            <w:tcBorders/>
            <w:shd w:fill="E5E5E5" w:val="clear"/>
            <w:vAlign w:val="center"/>
          </w:tcPr>
          <w:p>
            <w:pPr>
              <w:pStyle w:val="TableContents"/>
              <w:spacing w:before="0" w:after="283"/>
              <w:rPr/>
            </w:pPr>
            <w:r>
              <w:rPr/>
              <w:t> </w:t>
            </w:r>
          </w:p>
        </w:tc>
        <w:tc>
          <w:tcPr>
            <w:tcW w:w="1193" w:type="dxa"/>
            <w:tcBorders/>
            <w:shd w:fill="E5E5E5" w:val="clear"/>
            <w:vAlign w:val="center"/>
          </w:tcPr>
          <w:p>
            <w:pPr>
              <w:pStyle w:val="TableContents"/>
              <w:spacing w:before="0" w:after="283"/>
              <w:jc w:val="right"/>
              <w:rPr/>
            </w:pPr>
            <w:r>
              <w:rPr/>
              <w:t>—</w:t>
            </w:r>
          </w:p>
        </w:tc>
        <w:tc>
          <w:tcPr>
            <w:tcW w:w="60" w:type="dxa"/>
            <w:tcBorders/>
            <w:shd w:fill="E5E5E5" w:val="clear"/>
            <w:vAlign w:val="center"/>
          </w:tcPr>
          <w:p>
            <w:pPr>
              <w:pStyle w:val="TableContents"/>
              <w:spacing w:before="0" w:after="283"/>
              <w:rPr/>
            </w:pPr>
            <w:r>
              <w:rPr/>
              <w:t> </w:t>
            </w:r>
          </w:p>
        </w:tc>
        <w:tc>
          <w:tcPr>
            <w:tcW w:w="120" w:type="dxa"/>
            <w:tcBorders/>
            <w:shd w:fill="E5E5E5" w:val="clear"/>
            <w:vAlign w:val="center"/>
          </w:tcPr>
          <w:p>
            <w:pPr>
              <w:pStyle w:val="TableContents"/>
              <w:spacing w:before="0" w:after="283"/>
              <w:rPr/>
            </w:pPr>
            <w:r>
              <w:rPr/>
              <w:t>  </w:t>
            </w:r>
          </w:p>
        </w:tc>
        <w:tc>
          <w:tcPr>
            <w:tcW w:w="316" w:type="dxa"/>
            <w:tcBorders/>
            <w:shd w:fill="E5E5E5" w:val="clear"/>
            <w:vAlign w:val="center"/>
          </w:tcPr>
          <w:p>
            <w:pPr>
              <w:pStyle w:val="TableContents"/>
              <w:spacing w:before="0" w:after="283"/>
              <w:rPr/>
            </w:pPr>
            <w:r>
              <w:rPr/>
              <w:t> </w:t>
            </w:r>
          </w:p>
        </w:tc>
        <w:tc>
          <w:tcPr>
            <w:tcW w:w="739" w:type="dxa"/>
            <w:tcBorders/>
            <w:shd w:fill="E5E5E5" w:val="clear"/>
            <w:vAlign w:val="center"/>
          </w:tcPr>
          <w:p>
            <w:pPr>
              <w:pStyle w:val="TableContents"/>
              <w:spacing w:before="0" w:after="283"/>
              <w:jc w:val="right"/>
              <w:rPr/>
            </w:pPr>
            <w:r>
              <w:rPr/>
              <w:t>*</w:t>
            </w:r>
          </w:p>
        </w:tc>
        <w:tc>
          <w:tcPr>
            <w:tcW w:w="75" w:type="dxa"/>
            <w:tcBorders/>
            <w:shd w:fill="E5E5E5" w:val="clear"/>
            <w:vAlign w:val="center"/>
          </w:tcPr>
          <w:p>
            <w:pPr>
              <w:pStyle w:val="TableContents"/>
              <w:spacing w:before="0" w:after="283"/>
              <w:rPr/>
            </w:pPr>
            <w:r>
              <w:rPr/>
              <w:t> </w:t>
            </w:r>
          </w:p>
        </w:tc>
      </w:tr>
      <w:tr>
        <w:trPr/>
        <w:tc>
          <w:tcPr>
            <w:tcW w:w="5390" w:type="dxa"/>
            <w:tcBorders/>
            <w:shd w:fill="auto" w:val="clear"/>
            <w:vAlign w:val="center"/>
          </w:tcPr>
          <w:p>
            <w:pPr>
              <w:pStyle w:val="TableContents"/>
              <w:spacing w:before="0" w:after="0"/>
              <w:rPr>
                <w:rFonts w:ascii="arial" w:hAnsi="arial"/>
                <w:sz w:val="20"/>
              </w:rPr>
            </w:pPr>
            <w:r>
              <w:rPr>
                <w:rFonts w:ascii="arial" w:hAnsi="arial"/>
                <w:sz w:val="20"/>
              </w:rPr>
              <w:t>Harry A. Korman</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70,951</w:t>
            </w:r>
          </w:p>
        </w:tc>
        <w:tc>
          <w:tcPr>
            <w:tcW w:w="35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283"/>
              <w:rPr/>
            </w:pPr>
            <w:r>
              <w:rPr/>
              <w:t> </w:t>
            </w:r>
          </w:p>
        </w:tc>
        <w:tc>
          <w:tcPr>
            <w:tcW w:w="1193" w:type="dxa"/>
            <w:tcBorders/>
            <w:shd w:fill="auto" w:val="clear"/>
            <w:vAlign w:val="center"/>
          </w:tcPr>
          <w:p>
            <w:pPr>
              <w:pStyle w:val="TableContents"/>
              <w:spacing w:before="0" w:after="283"/>
              <w:jc w:val="right"/>
              <w:rPr/>
            </w:pPr>
            <w:r>
              <w:rPr/>
              <w:t>26,504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16" w:type="dxa"/>
            <w:tcBorders/>
            <w:shd w:fill="auto" w:val="clear"/>
            <w:vAlign w:val="center"/>
          </w:tcPr>
          <w:p>
            <w:pPr>
              <w:pStyle w:val="TableContents"/>
              <w:spacing w:before="0" w:after="283"/>
              <w:rPr/>
            </w:pPr>
            <w:r>
              <w:rPr/>
              <w:t> </w:t>
            </w:r>
          </w:p>
        </w:tc>
        <w:tc>
          <w:tcPr>
            <w:tcW w:w="739" w:type="dxa"/>
            <w:tcBorders/>
            <w:shd w:fill="auto" w:val="clear"/>
            <w:vAlign w:val="center"/>
          </w:tcPr>
          <w:p>
            <w:pPr>
              <w:pStyle w:val="TableContents"/>
              <w:spacing w:before="0" w:after="283"/>
              <w:jc w:val="right"/>
              <w:rPr/>
            </w:pPr>
            <w:r>
              <w:rPr/>
              <w:t>*</w:t>
            </w:r>
          </w:p>
        </w:tc>
        <w:tc>
          <w:tcPr>
            <w:tcW w:w="75" w:type="dxa"/>
            <w:tcBorders/>
            <w:shd w:fill="auto" w:val="clear"/>
            <w:vAlign w:val="center"/>
          </w:tcPr>
          <w:p>
            <w:pPr>
              <w:pStyle w:val="TableContents"/>
              <w:spacing w:before="0" w:after="283"/>
              <w:rPr/>
            </w:pPr>
            <w:r>
              <w:rPr/>
              <w:t> </w:t>
            </w:r>
          </w:p>
        </w:tc>
      </w:tr>
      <w:tr>
        <w:trPr/>
        <w:tc>
          <w:tcPr>
            <w:tcW w:w="5390" w:type="dxa"/>
            <w:tcBorders/>
            <w:shd w:fill="E5E5E5" w:val="clear"/>
            <w:vAlign w:val="center"/>
          </w:tcPr>
          <w:p>
            <w:pPr>
              <w:pStyle w:val="TableContents"/>
              <w:spacing w:before="0" w:after="0"/>
              <w:rPr>
                <w:rFonts w:ascii="arial" w:hAnsi="arial"/>
                <w:sz w:val="20"/>
              </w:rPr>
            </w:pPr>
            <w:r>
              <w:rPr>
                <w:rFonts w:ascii="arial" w:hAnsi="arial"/>
                <w:sz w:val="20"/>
              </w:rPr>
              <w:t>Rajiv Malik</w:t>
            </w:r>
          </w:p>
        </w:tc>
        <w:tc>
          <w:tcPr>
            <w:tcW w:w="12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980" w:type="dxa"/>
            <w:tcBorders/>
            <w:shd w:fill="E5E5E5" w:val="clear"/>
            <w:vAlign w:val="center"/>
          </w:tcPr>
          <w:p>
            <w:pPr>
              <w:pStyle w:val="TableContents"/>
              <w:spacing w:before="0" w:after="283"/>
              <w:jc w:val="right"/>
              <w:rPr/>
            </w:pPr>
            <w:r>
              <w:rPr/>
              <w:t>1,111,815</w:t>
            </w:r>
          </w:p>
        </w:tc>
        <w:tc>
          <w:tcPr>
            <w:tcW w:w="350" w:type="dxa"/>
            <w:tcBorders/>
            <w:shd w:fill="E5E5E5" w:val="clear"/>
            <w:vAlign w:val="center"/>
          </w:tcPr>
          <w:p>
            <w:pPr>
              <w:pStyle w:val="TableContents"/>
              <w:spacing w:before="0" w:after="283"/>
              <w:rPr/>
            </w:pPr>
            <w:r>
              <w:rPr/>
              <w:t>(4) </w:t>
            </w:r>
          </w:p>
        </w:tc>
        <w:tc>
          <w:tcPr>
            <w:tcW w:w="60" w:type="dxa"/>
            <w:tcBorders/>
            <w:shd w:fill="E5E5E5" w:val="clear"/>
            <w:vAlign w:val="center"/>
          </w:tcPr>
          <w:p>
            <w:pPr>
              <w:pStyle w:val="TableContents"/>
              <w:spacing w:before="0" w:after="283"/>
              <w:rPr/>
            </w:pPr>
            <w:r>
              <w:rPr/>
              <w:t> </w:t>
            </w:r>
          </w:p>
        </w:tc>
        <w:tc>
          <w:tcPr>
            <w:tcW w:w="72" w:type="dxa"/>
            <w:tcBorders/>
            <w:shd w:fill="E5E5E5" w:val="clear"/>
            <w:vAlign w:val="center"/>
          </w:tcPr>
          <w:p>
            <w:pPr>
              <w:pStyle w:val="TableContents"/>
              <w:spacing w:before="0" w:after="283"/>
              <w:rPr/>
            </w:pPr>
            <w:r>
              <w:rPr/>
              <w:t> </w:t>
            </w:r>
          </w:p>
        </w:tc>
        <w:tc>
          <w:tcPr>
            <w:tcW w:w="1193" w:type="dxa"/>
            <w:tcBorders/>
            <w:shd w:fill="E5E5E5" w:val="clear"/>
            <w:vAlign w:val="center"/>
          </w:tcPr>
          <w:p>
            <w:pPr>
              <w:pStyle w:val="TableContents"/>
              <w:spacing w:before="0" w:after="283"/>
              <w:jc w:val="right"/>
              <w:rPr/>
            </w:pPr>
            <w:r>
              <w:rPr/>
              <w:t>408,292</w:t>
            </w:r>
          </w:p>
        </w:tc>
        <w:tc>
          <w:tcPr>
            <w:tcW w:w="60" w:type="dxa"/>
            <w:tcBorders/>
            <w:shd w:fill="E5E5E5" w:val="clear"/>
            <w:vAlign w:val="center"/>
          </w:tcPr>
          <w:p>
            <w:pPr>
              <w:pStyle w:val="TableContents"/>
              <w:spacing w:before="0" w:after="283"/>
              <w:rPr/>
            </w:pPr>
            <w:r>
              <w:rPr/>
              <w:t> </w:t>
            </w:r>
          </w:p>
        </w:tc>
        <w:tc>
          <w:tcPr>
            <w:tcW w:w="120" w:type="dxa"/>
            <w:tcBorders/>
            <w:shd w:fill="E5E5E5" w:val="clear"/>
            <w:vAlign w:val="center"/>
          </w:tcPr>
          <w:p>
            <w:pPr>
              <w:pStyle w:val="TableContents"/>
              <w:spacing w:before="0" w:after="283"/>
              <w:rPr/>
            </w:pPr>
            <w:r>
              <w:rPr/>
              <w:t>  </w:t>
            </w:r>
          </w:p>
        </w:tc>
        <w:tc>
          <w:tcPr>
            <w:tcW w:w="316" w:type="dxa"/>
            <w:tcBorders/>
            <w:shd w:fill="E5E5E5" w:val="clear"/>
            <w:vAlign w:val="center"/>
          </w:tcPr>
          <w:p>
            <w:pPr>
              <w:pStyle w:val="TableContents"/>
              <w:spacing w:before="0" w:after="283"/>
              <w:rPr/>
            </w:pPr>
            <w:r>
              <w:rPr/>
              <w:t> </w:t>
            </w:r>
          </w:p>
        </w:tc>
        <w:tc>
          <w:tcPr>
            <w:tcW w:w="739" w:type="dxa"/>
            <w:tcBorders/>
            <w:shd w:fill="E5E5E5" w:val="clear"/>
            <w:vAlign w:val="center"/>
          </w:tcPr>
          <w:p>
            <w:pPr>
              <w:pStyle w:val="TableContents"/>
              <w:spacing w:before="0" w:after="283"/>
              <w:jc w:val="right"/>
              <w:rPr/>
            </w:pPr>
            <w:r>
              <w:rPr/>
              <w:t>*</w:t>
            </w:r>
          </w:p>
        </w:tc>
        <w:tc>
          <w:tcPr>
            <w:tcW w:w="75" w:type="dxa"/>
            <w:tcBorders/>
            <w:shd w:fill="E5E5E5" w:val="clear"/>
            <w:vAlign w:val="center"/>
          </w:tcPr>
          <w:p>
            <w:pPr>
              <w:pStyle w:val="TableContents"/>
              <w:spacing w:before="0" w:after="283"/>
              <w:rPr/>
            </w:pPr>
            <w:r>
              <w:rPr/>
              <w:t> </w:t>
            </w:r>
          </w:p>
        </w:tc>
      </w:tr>
      <w:tr>
        <w:trPr/>
        <w:tc>
          <w:tcPr>
            <w:tcW w:w="5390" w:type="dxa"/>
            <w:tcBorders/>
            <w:shd w:fill="auto" w:val="clear"/>
            <w:vAlign w:val="center"/>
          </w:tcPr>
          <w:p>
            <w:pPr>
              <w:pStyle w:val="TableContents"/>
              <w:spacing w:before="0" w:after="0"/>
              <w:rPr>
                <w:rFonts w:ascii="arial" w:hAnsi="arial"/>
                <w:sz w:val="20"/>
              </w:rPr>
            </w:pPr>
            <w:r>
              <w:rPr>
                <w:rFonts w:ascii="arial" w:hAnsi="arial"/>
                <w:sz w:val="20"/>
              </w:rPr>
              <w:t>Richard A. Mark</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53,478</w:t>
            </w:r>
          </w:p>
        </w:tc>
        <w:tc>
          <w:tcPr>
            <w:tcW w:w="35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283"/>
              <w:rPr/>
            </w:pPr>
            <w:r>
              <w:rPr/>
              <w:t> </w:t>
            </w:r>
          </w:p>
        </w:tc>
        <w:tc>
          <w:tcPr>
            <w:tcW w:w="1193" w:type="dxa"/>
            <w:tcBorders/>
            <w:shd w:fill="auto" w:val="clear"/>
            <w:vAlign w:val="center"/>
          </w:tcPr>
          <w:p>
            <w:pPr>
              <w:pStyle w:val="TableContents"/>
              <w:spacing w:before="0" w:after="283"/>
              <w:jc w:val="right"/>
              <w:rPr/>
            </w:pPr>
            <w:r>
              <w:rPr/>
              <w:t>12,260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16" w:type="dxa"/>
            <w:tcBorders/>
            <w:shd w:fill="auto" w:val="clear"/>
            <w:vAlign w:val="center"/>
          </w:tcPr>
          <w:p>
            <w:pPr>
              <w:pStyle w:val="TableContents"/>
              <w:spacing w:before="0" w:after="283"/>
              <w:rPr/>
            </w:pPr>
            <w:r>
              <w:rPr/>
              <w:t> </w:t>
            </w:r>
          </w:p>
        </w:tc>
        <w:tc>
          <w:tcPr>
            <w:tcW w:w="739" w:type="dxa"/>
            <w:tcBorders/>
            <w:shd w:fill="auto" w:val="clear"/>
            <w:vAlign w:val="center"/>
          </w:tcPr>
          <w:p>
            <w:pPr>
              <w:pStyle w:val="TableContents"/>
              <w:spacing w:before="0" w:after="283"/>
              <w:jc w:val="right"/>
              <w:rPr/>
            </w:pPr>
            <w:r>
              <w:rPr/>
              <w:t>*</w:t>
            </w:r>
          </w:p>
        </w:tc>
        <w:tc>
          <w:tcPr>
            <w:tcW w:w="75" w:type="dxa"/>
            <w:tcBorders/>
            <w:shd w:fill="auto" w:val="clear"/>
            <w:vAlign w:val="center"/>
          </w:tcPr>
          <w:p>
            <w:pPr>
              <w:pStyle w:val="TableContents"/>
              <w:spacing w:before="0" w:after="283"/>
              <w:rPr/>
            </w:pPr>
            <w:r>
              <w:rPr/>
              <w:t> </w:t>
            </w:r>
          </w:p>
        </w:tc>
      </w:tr>
      <w:tr>
        <w:trPr/>
        <w:tc>
          <w:tcPr>
            <w:tcW w:w="5390" w:type="dxa"/>
            <w:tcBorders/>
            <w:shd w:fill="E5E5E5" w:val="clear"/>
            <w:vAlign w:val="center"/>
          </w:tcPr>
          <w:p>
            <w:pPr>
              <w:pStyle w:val="TableContents"/>
              <w:spacing w:before="0" w:after="0"/>
              <w:rPr>
                <w:rFonts w:ascii="arial" w:hAnsi="arial"/>
                <w:sz w:val="20"/>
              </w:rPr>
            </w:pPr>
            <w:r>
              <w:rPr>
                <w:rFonts w:ascii="arial" w:hAnsi="arial"/>
                <w:sz w:val="20"/>
              </w:rPr>
              <w:t>Anthony Mauro</w:t>
            </w:r>
          </w:p>
        </w:tc>
        <w:tc>
          <w:tcPr>
            <w:tcW w:w="12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980" w:type="dxa"/>
            <w:tcBorders/>
            <w:shd w:fill="E5E5E5" w:val="clear"/>
            <w:vAlign w:val="center"/>
          </w:tcPr>
          <w:p>
            <w:pPr>
              <w:pStyle w:val="TableContents"/>
              <w:spacing w:before="0" w:after="283"/>
              <w:jc w:val="right"/>
              <w:rPr/>
            </w:pPr>
            <w:r>
              <w:rPr/>
              <w:t>345,904</w:t>
            </w:r>
          </w:p>
        </w:tc>
        <w:tc>
          <w:tcPr>
            <w:tcW w:w="350" w:type="dxa"/>
            <w:tcBorders/>
            <w:shd w:fill="E5E5E5" w:val="clear"/>
            <w:vAlign w:val="center"/>
          </w:tcPr>
          <w:p>
            <w:pPr>
              <w:pStyle w:val="TableContents"/>
              <w:spacing w:before="0" w:after="283"/>
              <w:rPr/>
            </w:pPr>
            <w:r>
              <w:rPr/>
              <w:t>(5) </w:t>
            </w:r>
          </w:p>
        </w:tc>
        <w:tc>
          <w:tcPr>
            <w:tcW w:w="60" w:type="dxa"/>
            <w:tcBorders/>
            <w:shd w:fill="E5E5E5" w:val="clear"/>
            <w:vAlign w:val="center"/>
          </w:tcPr>
          <w:p>
            <w:pPr>
              <w:pStyle w:val="TableContents"/>
              <w:spacing w:before="0" w:after="283"/>
              <w:rPr/>
            </w:pPr>
            <w:r>
              <w:rPr/>
              <w:t> </w:t>
            </w:r>
          </w:p>
        </w:tc>
        <w:tc>
          <w:tcPr>
            <w:tcW w:w="72" w:type="dxa"/>
            <w:tcBorders/>
            <w:shd w:fill="E5E5E5" w:val="clear"/>
            <w:vAlign w:val="center"/>
          </w:tcPr>
          <w:p>
            <w:pPr>
              <w:pStyle w:val="TableContents"/>
              <w:spacing w:before="0" w:after="283"/>
              <w:rPr/>
            </w:pPr>
            <w:r>
              <w:rPr/>
              <w:t> </w:t>
            </w:r>
          </w:p>
        </w:tc>
        <w:tc>
          <w:tcPr>
            <w:tcW w:w="1193" w:type="dxa"/>
            <w:tcBorders/>
            <w:shd w:fill="E5E5E5" w:val="clear"/>
            <w:vAlign w:val="center"/>
          </w:tcPr>
          <w:p>
            <w:pPr>
              <w:pStyle w:val="TableContents"/>
              <w:spacing w:before="0" w:after="283"/>
              <w:jc w:val="right"/>
              <w:rPr/>
            </w:pPr>
            <w:r>
              <w:rPr/>
              <w:t>181,908</w:t>
            </w:r>
          </w:p>
        </w:tc>
        <w:tc>
          <w:tcPr>
            <w:tcW w:w="60" w:type="dxa"/>
            <w:tcBorders/>
            <w:shd w:fill="E5E5E5" w:val="clear"/>
            <w:vAlign w:val="center"/>
          </w:tcPr>
          <w:p>
            <w:pPr>
              <w:pStyle w:val="TableContents"/>
              <w:spacing w:before="0" w:after="283"/>
              <w:rPr/>
            </w:pPr>
            <w:r>
              <w:rPr/>
              <w:t> </w:t>
            </w:r>
          </w:p>
        </w:tc>
        <w:tc>
          <w:tcPr>
            <w:tcW w:w="120" w:type="dxa"/>
            <w:tcBorders/>
            <w:shd w:fill="E5E5E5" w:val="clear"/>
            <w:vAlign w:val="center"/>
          </w:tcPr>
          <w:p>
            <w:pPr>
              <w:pStyle w:val="TableContents"/>
              <w:spacing w:before="0" w:after="283"/>
              <w:rPr/>
            </w:pPr>
            <w:r>
              <w:rPr/>
              <w:t>  </w:t>
            </w:r>
          </w:p>
        </w:tc>
        <w:tc>
          <w:tcPr>
            <w:tcW w:w="316" w:type="dxa"/>
            <w:tcBorders/>
            <w:shd w:fill="E5E5E5" w:val="clear"/>
            <w:vAlign w:val="center"/>
          </w:tcPr>
          <w:p>
            <w:pPr>
              <w:pStyle w:val="TableContents"/>
              <w:spacing w:before="0" w:after="283"/>
              <w:rPr/>
            </w:pPr>
            <w:r>
              <w:rPr/>
              <w:t> </w:t>
            </w:r>
          </w:p>
        </w:tc>
        <w:tc>
          <w:tcPr>
            <w:tcW w:w="739" w:type="dxa"/>
            <w:tcBorders/>
            <w:shd w:fill="E5E5E5" w:val="clear"/>
            <w:vAlign w:val="center"/>
          </w:tcPr>
          <w:p>
            <w:pPr>
              <w:pStyle w:val="TableContents"/>
              <w:spacing w:before="0" w:after="283"/>
              <w:jc w:val="right"/>
              <w:rPr/>
            </w:pPr>
            <w:r>
              <w:rPr/>
              <w:t>*</w:t>
            </w:r>
          </w:p>
        </w:tc>
        <w:tc>
          <w:tcPr>
            <w:tcW w:w="75" w:type="dxa"/>
            <w:tcBorders/>
            <w:shd w:fill="E5E5E5" w:val="clear"/>
            <w:vAlign w:val="center"/>
          </w:tcPr>
          <w:p>
            <w:pPr>
              <w:pStyle w:val="TableContents"/>
              <w:spacing w:before="0" w:after="283"/>
              <w:rPr/>
            </w:pPr>
            <w:r>
              <w:rPr/>
              <w:t> </w:t>
            </w:r>
          </w:p>
        </w:tc>
      </w:tr>
      <w:tr>
        <w:trPr/>
        <w:tc>
          <w:tcPr>
            <w:tcW w:w="5390" w:type="dxa"/>
            <w:tcBorders/>
            <w:shd w:fill="auto" w:val="clear"/>
            <w:vAlign w:val="center"/>
          </w:tcPr>
          <w:p>
            <w:pPr>
              <w:pStyle w:val="TableContents"/>
              <w:spacing w:before="0" w:after="0"/>
              <w:rPr>
                <w:rFonts w:ascii="arial" w:hAnsi="arial"/>
                <w:sz w:val="20"/>
              </w:rPr>
            </w:pPr>
            <w:r>
              <w:rPr>
                <w:rFonts w:ascii="arial" w:hAnsi="arial"/>
                <w:sz w:val="20"/>
              </w:rPr>
              <w:t>Sanjeev Narula</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73,877</w:t>
            </w:r>
          </w:p>
        </w:tc>
        <w:tc>
          <w:tcPr>
            <w:tcW w:w="35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283"/>
              <w:rPr/>
            </w:pPr>
            <w:r>
              <w:rPr/>
              <w:t> </w:t>
            </w:r>
          </w:p>
        </w:tc>
        <w:tc>
          <w:tcPr>
            <w:tcW w:w="1193"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16" w:type="dxa"/>
            <w:tcBorders/>
            <w:shd w:fill="auto" w:val="clear"/>
            <w:vAlign w:val="center"/>
          </w:tcPr>
          <w:p>
            <w:pPr>
              <w:pStyle w:val="TableContents"/>
              <w:spacing w:before="0" w:after="283"/>
              <w:rPr/>
            </w:pPr>
            <w:r>
              <w:rPr/>
              <w:t> </w:t>
            </w:r>
          </w:p>
        </w:tc>
        <w:tc>
          <w:tcPr>
            <w:tcW w:w="739" w:type="dxa"/>
            <w:tcBorders/>
            <w:shd w:fill="auto" w:val="clear"/>
            <w:vAlign w:val="center"/>
          </w:tcPr>
          <w:p>
            <w:pPr>
              <w:pStyle w:val="TableContents"/>
              <w:spacing w:before="0" w:after="283"/>
              <w:jc w:val="right"/>
              <w:rPr/>
            </w:pPr>
            <w:r>
              <w:rPr/>
              <w:t>*</w:t>
            </w:r>
          </w:p>
        </w:tc>
        <w:tc>
          <w:tcPr>
            <w:tcW w:w="75" w:type="dxa"/>
            <w:tcBorders/>
            <w:shd w:fill="auto" w:val="clear"/>
            <w:vAlign w:val="center"/>
          </w:tcPr>
          <w:p>
            <w:pPr>
              <w:pStyle w:val="TableContents"/>
              <w:spacing w:before="0" w:after="283"/>
              <w:rPr/>
            </w:pPr>
            <w:r>
              <w:rPr/>
              <w:t> </w:t>
            </w:r>
          </w:p>
        </w:tc>
      </w:tr>
      <w:tr>
        <w:trPr/>
        <w:tc>
          <w:tcPr>
            <w:tcW w:w="5390" w:type="dxa"/>
            <w:tcBorders/>
            <w:shd w:fill="E5E5E5" w:val="clear"/>
            <w:vAlign w:val="center"/>
          </w:tcPr>
          <w:p>
            <w:pPr>
              <w:pStyle w:val="TableContents"/>
              <w:spacing w:before="0" w:after="0"/>
              <w:rPr>
                <w:rFonts w:ascii="arial" w:hAnsi="arial"/>
                <w:sz w:val="20"/>
              </w:rPr>
            </w:pPr>
            <w:r>
              <w:rPr>
                <w:rFonts w:ascii="arial" w:hAnsi="arial"/>
                <w:sz w:val="20"/>
              </w:rPr>
              <w:t>Mark W. Parrish</w:t>
            </w:r>
          </w:p>
        </w:tc>
        <w:tc>
          <w:tcPr>
            <w:tcW w:w="12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980" w:type="dxa"/>
            <w:tcBorders/>
            <w:shd w:fill="E5E5E5" w:val="clear"/>
            <w:vAlign w:val="center"/>
          </w:tcPr>
          <w:p>
            <w:pPr>
              <w:pStyle w:val="TableContents"/>
              <w:spacing w:before="0" w:after="283"/>
              <w:jc w:val="right"/>
              <w:rPr/>
            </w:pPr>
            <w:r>
              <w:rPr/>
              <w:t>102,563</w:t>
            </w:r>
          </w:p>
        </w:tc>
        <w:tc>
          <w:tcPr>
            <w:tcW w:w="35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72" w:type="dxa"/>
            <w:tcBorders/>
            <w:shd w:fill="E5E5E5" w:val="clear"/>
            <w:vAlign w:val="center"/>
          </w:tcPr>
          <w:p>
            <w:pPr>
              <w:pStyle w:val="TableContents"/>
              <w:spacing w:before="0" w:after="283"/>
              <w:rPr/>
            </w:pPr>
            <w:r>
              <w:rPr/>
              <w:t> </w:t>
            </w:r>
          </w:p>
        </w:tc>
        <w:tc>
          <w:tcPr>
            <w:tcW w:w="1193" w:type="dxa"/>
            <w:tcBorders/>
            <w:shd w:fill="E5E5E5" w:val="clear"/>
            <w:vAlign w:val="center"/>
          </w:tcPr>
          <w:p>
            <w:pPr>
              <w:pStyle w:val="TableContents"/>
              <w:spacing w:before="0" w:after="283"/>
              <w:jc w:val="right"/>
              <w:rPr/>
            </w:pPr>
            <w:r>
              <w:rPr/>
              <w:t>24,780</w:t>
            </w:r>
          </w:p>
        </w:tc>
        <w:tc>
          <w:tcPr>
            <w:tcW w:w="60" w:type="dxa"/>
            <w:tcBorders/>
            <w:shd w:fill="E5E5E5" w:val="clear"/>
            <w:vAlign w:val="center"/>
          </w:tcPr>
          <w:p>
            <w:pPr>
              <w:pStyle w:val="TableContents"/>
              <w:spacing w:before="0" w:after="283"/>
              <w:rPr/>
            </w:pPr>
            <w:r>
              <w:rPr/>
              <w:t> </w:t>
            </w:r>
          </w:p>
        </w:tc>
        <w:tc>
          <w:tcPr>
            <w:tcW w:w="120" w:type="dxa"/>
            <w:tcBorders/>
            <w:shd w:fill="E5E5E5" w:val="clear"/>
            <w:vAlign w:val="center"/>
          </w:tcPr>
          <w:p>
            <w:pPr>
              <w:pStyle w:val="TableContents"/>
              <w:spacing w:before="0" w:after="283"/>
              <w:rPr/>
            </w:pPr>
            <w:r>
              <w:rPr/>
              <w:t>  </w:t>
            </w:r>
          </w:p>
        </w:tc>
        <w:tc>
          <w:tcPr>
            <w:tcW w:w="316" w:type="dxa"/>
            <w:tcBorders/>
            <w:shd w:fill="E5E5E5" w:val="clear"/>
            <w:vAlign w:val="center"/>
          </w:tcPr>
          <w:p>
            <w:pPr>
              <w:pStyle w:val="TableContents"/>
              <w:spacing w:before="0" w:after="283"/>
              <w:rPr/>
            </w:pPr>
            <w:r>
              <w:rPr/>
              <w:t> </w:t>
            </w:r>
          </w:p>
        </w:tc>
        <w:tc>
          <w:tcPr>
            <w:tcW w:w="739" w:type="dxa"/>
            <w:tcBorders/>
            <w:shd w:fill="E5E5E5" w:val="clear"/>
            <w:vAlign w:val="center"/>
          </w:tcPr>
          <w:p>
            <w:pPr>
              <w:pStyle w:val="TableContents"/>
              <w:spacing w:before="0" w:after="283"/>
              <w:jc w:val="right"/>
              <w:rPr/>
            </w:pPr>
            <w:r>
              <w:rPr/>
              <w:t>*</w:t>
            </w:r>
          </w:p>
        </w:tc>
        <w:tc>
          <w:tcPr>
            <w:tcW w:w="75" w:type="dxa"/>
            <w:tcBorders/>
            <w:shd w:fill="E5E5E5" w:val="clear"/>
            <w:vAlign w:val="center"/>
          </w:tcPr>
          <w:p>
            <w:pPr>
              <w:pStyle w:val="TableContents"/>
              <w:spacing w:before="0" w:after="283"/>
              <w:rPr/>
            </w:pPr>
            <w:r>
              <w:rPr/>
              <w:t> </w:t>
            </w:r>
          </w:p>
        </w:tc>
      </w:tr>
      <w:tr>
        <w:trPr/>
        <w:tc>
          <w:tcPr>
            <w:tcW w:w="5390" w:type="dxa"/>
            <w:tcBorders/>
            <w:shd w:fill="auto" w:val="clear"/>
            <w:vAlign w:val="center"/>
          </w:tcPr>
          <w:p>
            <w:pPr>
              <w:pStyle w:val="TableContents"/>
              <w:spacing w:before="0" w:after="0"/>
              <w:rPr>
                <w:rFonts w:ascii="arial" w:hAnsi="arial"/>
                <w:sz w:val="20"/>
              </w:rPr>
            </w:pPr>
            <w:r>
              <w:rPr>
                <w:rFonts w:ascii="arial" w:hAnsi="arial"/>
                <w:sz w:val="20"/>
              </w:rPr>
              <w:t>Scott A. Smith</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w:t>
            </w:r>
          </w:p>
        </w:tc>
        <w:tc>
          <w:tcPr>
            <w:tcW w:w="35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2" w:type="dxa"/>
            <w:tcBorders/>
            <w:shd w:fill="auto" w:val="clear"/>
            <w:vAlign w:val="center"/>
          </w:tcPr>
          <w:p>
            <w:pPr>
              <w:pStyle w:val="TableContents"/>
              <w:spacing w:before="0" w:after="283"/>
              <w:rPr/>
            </w:pPr>
            <w:r>
              <w:rPr/>
              <w:t> </w:t>
            </w:r>
          </w:p>
        </w:tc>
        <w:tc>
          <w:tcPr>
            <w:tcW w:w="1193"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16" w:type="dxa"/>
            <w:tcBorders/>
            <w:shd w:fill="auto" w:val="clear"/>
            <w:vAlign w:val="center"/>
          </w:tcPr>
          <w:p>
            <w:pPr>
              <w:pStyle w:val="TableContents"/>
              <w:spacing w:before="0" w:after="283"/>
              <w:rPr/>
            </w:pPr>
            <w:r>
              <w:rPr/>
              <w:t> </w:t>
            </w:r>
          </w:p>
        </w:tc>
        <w:tc>
          <w:tcPr>
            <w:tcW w:w="739" w:type="dxa"/>
            <w:tcBorders/>
            <w:shd w:fill="auto" w:val="clear"/>
            <w:vAlign w:val="center"/>
          </w:tcPr>
          <w:p>
            <w:pPr>
              <w:pStyle w:val="TableContents"/>
              <w:spacing w:before="0" w:after="283"/>
              <w:jc w:val="right"/>
              <w:rPr/>
            </w:pPr>
            <w:r>
              <w:rPr/>
              <w:t>*</w:t>
            </w:r>
          </w:p>
        </w:tc>
        <w:tc>
          <w:tcPr>
            <w:tcW w:w="75" w:type="dxa"/>
            <w:tcBorders/>
            <w:shd w:fill="auto" w:val="clear"/>
            <w:vAlign w:val="center"/>
          </w:tcPr>
          <w:p>
            <w:pPr>
              <w:pStyle w:val="TableContents"/>
              <w:spacing w:before="0" w:after="283"/>
              <w:rPr/>
            </w:pPr>
            <w:r>
              <w:rPr/>
              <w:t> </w:t>
            </w:r>
          </w:p>
        </w:tc>
      </w:tr>
      <w:tr>
        <w:trPr/>
        <w:tc>
          <w:tcPr>
            <w:tcW w:w="5390" w:type="dxa"/>
            <w:tcBorders/>
            <w:shd w:fill="E5E5E5" w:val="clear"/>
            <w:vAlign w:val="center"/>
          </w:tcPr>
          <w:p>
            <w:pPr>
              <w:pStyle w:val="TableContents"/>
              <w:spacing w:before="0" w:after="0"/>
              <w:rPr>
                <w:rFonts w:ascii="arial" w:hAnsi="arial"/>
                <w:sz w:val="20"/>
              </w:rPr>
            </w:pPr>
            <w:r>
              <w:rPr>
                <w:rFonts w:ascii="arial" w:hAnsi="arial"/>
                <w:sz w:val="20"/>
              </w:rPr>
              <w:t>Pauline van der Meer Mohr</w:t>
            </w:r>
          </w:p>
        </w:tc>
        <w:tc>
          <w:tcPr>
            <w:tcW w:w="12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980" w:type="dxa"/>
            <w:tcBorders/>
            <w:shd w:fill="E5E5E5" w:val="clear"/>
            <w:vAlign w:val="center"/>
          </w:tcPr>
          <w:p>
            <w:pPr>
              <w:pStyle w:val="TableContents"/>
              <w:spacing w:before="0" w:after="283"/>
              <w:jc w:val="right"/>
              <w:rPr/>
            </w:pPr>
            <w:r>
              <w:rPr/>
              <w:t>40,245</w:t>
            </w:r>
          </w:p>
        </w:tc>
        <w:tc>
          <w:tcPr>
            <w:tcW w:w="35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72" w:type="dxa"/>
            <w:tcBorders/>
            <w:shd w:fill="E5E5E5" w:val="clear"/>
            <w:vAlign w:val="center"/>
          </w:tcPr>
          <w:p>
            <w:pPr>
              <w:pStyle w:val="TableContents"/>
              <w:spacing w:before="0" w:after="283"/>
              <w:rPr/>
            </w:pPr>
            <w:r>
              <w:rPr/>
              <w:t> </w:t>
            </w:r>
          </w:p>
        </w:tc>
        <w:tc>
          <w:tcPr>
            <w:tcW w:w="1193" w:type="dxa"/>
            <w:tcBorders/>
            <w:shd w:fill="E5E5E5" w:val="clear"/>
            <w:vAlign w:val="center"/>
          </w:tcPr>
          <w:p>
            <w:pPr>
              <w:pStyle w:val="TableContents"/>
              <w:spacing w:before="0" w:after="283"/>
              <w:jc w:val="right"/>
              <w:rPr/>
            </w:pPr>
            <w:r>
              <w:rPr/>
              <w:t>13,949</w:t>
            </w:r>
          </w:p>
        </w:tc>
        <w:tc>
          <w:tcPr>
            <w:tcW w:w="60" w:type="dxa"/>
            <w:tcBorders/>
            <w:shd w:fill="E5E5E5" w:val="clear"/>
            <w:vAlign w:val="center"/>
          </w:tcPr>
          <w:p>
            <w:pPr>
              <w:pStyle w:val="TableContents"/>
              <w:spacing w:before="0" w:after="283"/>
              <w:rPr/>
            </w:pPr>
            <w:r>
              <w:rPr/>
              <w:t> </w:t>
            </w:r>
          </w:p>
        </w:tc>
        <w:tc>
          <w:tcPr>
            <w:tcW w:w="120" w:type="dxa"/>
            <w:tcBorders/>
            <w:shd w:fill="E5E5E5" w:val="clear"/>
            <w:vAlign w:val="center"/>
          </w:tcPr>
          <w:p>
            <w:pPr>
              <w:pStyle w:val="TableContents"/>
              <w:spacing w:before="0" w:after="283"/>
              <w:rPr/>
            </w:pPr>
            <w:r>
              <w:rPr/>
              <w:t>  </w:t>
            </w:r>
          </w:p>
        </w:tc>
        <w:tc>
          <w:tcPr>
            <w:tcW w:w="316" w:type="dxa"/>
            <w:tcBorders/>
            <w:shd w:fill="E5E5E5" w:val="clear"/>
            <w:vAlign w:val="center"/>
          </w:tcPr>
          <w:p>
            <w:pPr>
              <w:pStyle w:val="TableContents"/>
              <w:spacing w:before="0" w:after="283"/>
              <w:rPr/>
            </w:pPr>
            <w:r>
              <w:rPr/>
              <w:t> </w:t>
            </w:r>
          </w:p>
        </w:tc>
        <w:tc>
          <w:tcPr>
            <w:tcW w:w="739" w:type="dxa"/>
            <w:tcBorders/>
            <w:shd w:fill="E5E5E5" w:val="clear"/>
            <w:vAlign w:val="center"/>
          </w:tcPr>
          <w:p>
            <w:pPr>
              <w:pStyle w:val="TableContents"/>
              <w:spacing w:before="0" w:after="283"/>
              <w:jc w:val="right"/>
              <w:rPr/>
            </w:pPr>
            <w:r>
              <w:rPr/>
              <w:t>*</w:t>
            </w:r>
          </w:p>
        </w:tc>
        <w:tc>
          <w:tcPr>
            <w:tcW w:w="75" w:type="dxa"/>
            <w:tcBorders/>
            <w:shd w:fill="E5E5E5" w:val="clear"/>
            <w:vAlign w:val="center"/>
          </w:tcPr>
          <w:p>
            <w:pPr>
              <w:pStyle w:val="TableContents"/>
              <w:spacing w:before="0" w:after="283"/>
              <w:rPr/>
            </w:pPr>
            <w:r>
              <w:rPr/>
              <w:t> </w:t>
            </w:r>
          </w:p>
        </w:tc>
      </w:tr>
      <w:tr>
        <w:trPr/>
        <w:tc>
          <w:tcPr>
            <w:tcW w:w="5390" w:type="dxa"/>
            <w:tcBorders>
              <w:bottom w:val="single" w:sz="6" w:space="0" w:color="732282"/>
            </w:tcBorders>
            <w:shd w:fill="auto" w:val="clear"/>
            <w:tcMar>
              <w:bottom w:w="28" w:type="dxa"/>
            </w:tcMar>
            <w:vAlign w:val="center"/>
          </w:tcPr>
          <w:p>
            <w:pPr>
              <w:pStyle w:val="TableContents"/>
              <w:spacing w:before="0" w:after="0"/>
              <w:rPr>
                <w:rFonts w:ascii="arial" w:hAnsi="arial"/>
                <w:sz w:val="20"/>
              </w:rPr>
            </w:pPr>
            <w:r>
              <w:rPr>
                <w:rFonts w:ascii="arial" w:hAnsi="arial"/>
                <w:sz w:val="20"/>
              </w:rPr>
              <w:t>All directors and executive officers as a group (18 persons)(6)</w:t>
            </w:r>
          </w:p>
        </w:tc>
        <w:tc>
          <w:tcPr>
            <w:tcW w:w="120" w:type="dxa"/>
            <w:tcBorders>
              <w:bottom w:val="single" w:sz="6" w:space="0" w:color="732282"/>
            </w:tcBorders>
            <w:shd w:fill="auto" w:val="clear"/>
            <w:tcMar>
              <w:bottom w:w="28" w:type="dxa"/>
            </w:tcMar>
            <w:vAlign w:val="center"/>
          </w:tcPr>
          <w:p>
            <w:pPr>
              <w:pStyle w:val="TableContents"/>
              <w:spacing w:before="0" w:after="283"/>
              <w:rPr/>
            </w:pPr>
            <w:r>
              <w:rPr/>
              <w:t>  </w:t>
            </w:r>
          </w:p>
        </w:tc>
        <w:tc>
          <w:tcPr>
            <w:tcW w:w="60" w:type="dxa"/>
            <w:tcBorders>
              <w:bottom w:val="single" w:sz="6" w:space="0" w:color="732282"/>
            </w:tcBorders>
            <w:shd w:fill="auto" w:val="clear"/>
            <w:tcMar>
              <w:bottom w:w="28" w:type="dxa"/>
            </w:tcMar>
            <w:vAlign w:val="center"/>
          </w:tcPr>
          <w:p>
            <w:pPr>
              <w:pStyle w:val="TableContents"/>
              <w:spacing w:before="0" w:after="283"/>
              <w:rPr/>
            </w:pPr>
            <w:r>
              <w:rPr/>
              <w:t> </w:t>
            </w:r>
          </w:p>
        </w:tc>
        <w:tc>
          <w:tcPr>
            <w:tcW w:w="980" w:type="dxa"/>
            <w:tcBorders>
              <w:bottom w:val="single" w:sz="6" w:space="0" w:color="732282"/>
            </w:tcBorders>
            <w:shd w:fill="auto" w:val="clear"/>
            <w:tcMar>
              <w:bottom w:w="28" w:type="dxa"/>
            </w:tcMar>
            <w:vAlign w:val="center"/>
          </w:tcPr>
          <w:p>
            <w:pPr>
              <w:pStyle w:val="TableContents"/>
              <w:spacing w:before="0" w:after="283"/>
              <w:jc w:val="right"/>
              <w:rPr/>
            </w:pPr>
            <w:r>
              <w:rPr/>
              <w:t>3,624,728</w:t>
            </w:r>
          </w:p>
        </w:tc>
        <w:tc>
          <w:tcPr>
            <w:tcW w:w="350" w:type="dxa"/>
            <w:tcBorders>
              <w:bottom w:val="single" w:sz="6" w:space="0" w:color="732282"/>
            </w:tcBorders>
            <w:shd w:fill="auto" w:val="clear"/>
            <w:tcMar>
              <w:bottom w:w="28" w:type="dxa"/>
            </w:tcMar>
            <w:vAlign w:val="center"/>
          </w:tcPr>
          <w:p>
            <w:pPr>
              <w:pStyle w:val="TableContents"/>
              <w:spacing w:before="0" w:after="283"/>
              <w:rPr/>
            </w:pPr>
            <w:r>
              <w:rPr/>
              <w:t> </w:t>
            </w:r>
          </w:p>
        </w:tc>
        <w:tc>
          <w:tcPr>
            <w:tcW w:w="60" w:type="dxa"/>
            <w:tcBorders>
              <w:bottom w:val="single" w:sz="6" w:space="0" w:color="732282"/>
            </w:tcBorders>
            <w:shd w:fill="auto" w:val="clear"/>
            <w:tcMar>
              <w:bottom w:w="28" w:type="dxa"/>
            </w:tcMar>
            <w:vAlign w:val="center"/>
          </w:tcPr>
          <w:p>
            <w:pPr>
              <w:pStyle w:val="TableContents"/>
              <w:spacing w:before="0" w:after="283"/>
              <w:rPr/>
            </w:pPr>
            <w:r>
              <w:rPr/>
              <w:t> </w:t>
            </w:r>
          </w:p>
        </w:tc>
        <w:tc>
          <w:tcPr>
            <w:tcW w:w="72" w:type="dxa"/>
            <w:tcBorders>
              <w:bottom w:val="single" w:sz="6" w:space="0" w:color="732282"/>
            </w:tcBorders>
            <w:shd w:fill="auto" w:val="clear"/>
            <w:tcMar>
              <w:bottom w:w="28" w:type="dxa"/>
            </w:tcMar>
            <w:vAlign w:val="center"/>
          </w:tcPr>
          <w:p>
            <w:pPr>
              <w:pStyle w:val="TableContents"/>
              <w:spacing w:before="0" w:after="283"/>
              <w:rPr/>
            </w:pPr>
            <w:r>
              <w:rPr/>
              <w:t> </w:t>
            </w:r>
          </w:p>
        </w:tc>
        <w:tc>
          <w:tcPr>
            <w:tcW w:w="1193" w:type="dxa"/>
            <w:tcBorders>
              <w:bottom w:val="single" w:sz="6" w:space="0" w:color="732282"/>
            </w:tcBorders>
            <w:shd w:fill="auto" w:val="clear"/>
            <w:tcMar>
              <w:bottom w:w="28" w:type="dxa"/>
            </w:tcMar>
            <w:vAlign w:val="center"/>
          </w:tcPr>
          <w:p>
            <w:pPr>
              <w:pStyle w:val="TableContents"/>
              <w:spacing w:before="0" w:after="283"/>
              <w:jc w:val="right"/>
              <w:rPr/>
            </w:pPr>
            <w:r>
              <w:rPr/>
              <w:t>1,041,433</w:t>
            </w:r>
          </w:p>
        </w:tc>
        <w:tc>
          <w:tcPr>
            <w:tcW w:w="60" w:type="dxa"/>
            <w:tcBorders>
              <w:bottom w:val="single" w:sz="6" w:space="0" w:color="732282"/>
            </w:tcBorders>
            <w:shd w:fill="auto" w:val="clear"/>
            <w:tcMar>
              <w:bottom w:w="28" w:type="dxa"/>
            </w:tcMar>
            <w:vAlign w:val="center"/>
          </w:tcPr>
          <w:p>
            <w:pPr>
              <w:pStyle w:val="TableContents"/>
              <w:spacing w:before="0" w:after="283"/>
              <w:rPr/>
            </w:pPr>
            <w:r>
              <w:rPr/>
              <w:t> </w:t>
            </w:r>
          </w:p>
        </w:tc>
        <w:tc>
          <w:tcPr>
            <w:tcW w:w="120" w:type="dxa"/>
            <w:tcBorders>
              <w:bottom w:val="single" w:sz="6" w:space="0" w:color="732282"/>
            </w:tcBorders>
            <w:shd w:fill="auto" w:val="clear"/>
            <w:tcMar>
              <w:bottom w:w="28" w:type="dxa"/>
            </w:tcMar>
            <w:vAlign w:val="center"/>
          </w:tcPr>
          <w:p>
            <w:pPr>
              <w:pStyle w:val="TableContents"/>
              <w:spacing w:before="0" w:after="283"/>
              <w:rPr/>
            </w:pPr>
            <w:r>
              <w:rPr/>
              <w:t>  </w:t>
            </w:r>
          </w:p>
        </w:tc>
        <w:tc>
          <w:tcPr>
            <w:tcW w:w="316" w:type="dxa"/>
            <w:tcBorders>
              <w:bottom w:val="single" w:sz="6" w:space="0" w:color="732282"/>
            </w:tcBorders>
            <w:shd w:fill="auto" w:val="clear"/>
            <w:tcMar>
              <w:bottom w:w="28" w:type="dxa"/>
            </w:tcMar>
            <w:vAlign w:val="center"/>
          </w:tcPr>
          <w:p>
            <w:pPr>
              <w:pStyle w:val="TableContents"/>
              <w:spacing w:before="0" w:after="283"/>
              <w:rPr/>
            </w:pPr>
            <w:r>
              <w:rPr/>
              <w:t> </w:t>
            </w:r>
          </w:p>
        </w:tc>
        <w:tc>
          <w:tcPr>
            <w:tcW w:w="739" w:type="dxa"/>
            <w:tcBorders>
              <w:bottom w:val="single" w:sz="6" w:space="0" w:color="732282"/>
            </w:tcBorders>
            <w:shd w:fill="auto" w:val="clear"/>
            <w:tcMar>
              <w:bottom w:w="28" w:type="dxa"/>
            </w:tcMar>
            <w:vAlign w:val="center"/>
          </w:tcPr>
          <w:p>
            <w:pPr>
              <w:pStyle w:val="TableContents"/>
              <w:spacing w:before="0" w:after="283"/>
              <w:jc w:val="right"/>
              <w:rPr/>
            </w:pPr>
            <w:r>
              <w:rPr/>
              <w:t>*</w:t>
            </w:r>
          </w:p>
        </w:tc>
        <w:tc>
          <w:tcPr>
            <w:tcW w:w="75" w:type="dxa"/>
            <w:tcBorders>
              <w:bottom w:val="single" w:sz="6" w:space="0" w:color="732282"/>
            </w:tcBorders>
            <w:shd w:fill="auto" w:val="clear"/>
            <w:tcMar>
              <w:bottom w:w="28" w:type="dxa"/>
            </w:tcMar>
            <w:vAlign w:val="center"/>
          </w:tcPr>
          <w:p>
            <w:pPr>
              <w:pStyle w:val="TableContents"/>
              <w:spacing w:before="0" w:after="283"/>
              <w:rPr/>
            </w:pPr>
            <w:r>
              <w:rPr/>
              <w:t> </w:t>
            </w:r>
          </w:p>
        </w:tc>
      </w:tr>
    </w:tbl>
    <w:p>
      <w:pPr>
        <w:pStyle w:val="TextBody"/>
        <w:spacing w:before="0" w:after="0"/>
        <w:jc w:val="left"/>
        <w:rPr/>
      </w:pPr>
      <w:r>
        <w:rPr/>
        <w:t> </w:t>
      </w:r>
    </w:p>
    <w:tbl>
      <w:tblPr>
        <w:tblW w:w="1390" w:type="dxa"/>
        <w:jc w:val="left"/>
        <w:tblInd w:w="0" w:type="dxa"/>
        <w:tblCellMar>
          <w:top w:w="0" w:type="dxa"/>
          <w:left w:w="0" w:type="dxa"/>
          <w:bottom w:w="0" w:type="dxa"/>
          <w:right w:w="0" w:type="dxa"/>
        </w:tblCellMar>
      </w:tblPr>
      <w:tblGrid>
        <w:gridCol w:w="155"/>
        <w:gridCol w:w="1235"/>
      </w:tblGrid>
      <w:tr>
        <w:trPr/>
        <w:tc>
          <w:tcPr>
            <w:tcW w:w="155" w:type="dxa"/>
            <w:tcBorders/>
            <w:shd w:fill="auto" w:val="clear"/>
            <w:vAlign w:val="center"/>
          </w:tcPr>
          <w:p>
            <w:pPr>
              <w:pStyle w:val="TableContents"/>
              <w:spacing w:before="0" w:after="283"/>
              <w:jc w:val="left"/>
              <w:rPr>
                <w:i/>
              </w:rPr>
            </w:pPr>
            <w:r>
              <w:rPr>
                <w:i/>
              </w:rPr>
              <w:t>*</w:t>
            </w:r>
          </w:p>
        </w:tc>
        <w:tc>
          <w:tcPr>
            <w:tcW w:w="1235" w:type="dxa"/>
            <w:tcBorders/>
            <w:shd w:fill="auto" w:val="clear"/>
            <w:vAlign w:val="center"/>
          </w:tcPr>
          <w:p>
            <w:pPr>
              <w:pStyle w:val="TableContents"/>
              <w:spacing w:before="0" w:after="0"/>
              <w:jc w:val="both"/>
              <w:rPr>
                <w:rFonts w:ascii="arial" w:hAnsi="arial"/>
                <w:i/>
                <w:sz w:val="18"/>
              </w:rPr>
            </w:pPr>
            <w:r>
              <w:rPr>
                <w:rFonts w:ascii="arial" w:hAnsi="arial"/>
                <w:i/>
                <w:sz w:val="18"/>
              </w:rPr>
              <w:t xml:space="preserve">Less than 1%. </w:t>
            </w:r>
          </w:p>
        </w:tc>
      </w:tr>
    </w:tbl>
    <w:tbl>
      <w:tblPr>
        <w:tblW w:w="5665" w:type="dxa"/>
        <w:jc w:val="left"/>
        <w:tblInd w:w="0" w:type="dxa"/>
        <w:tblCellMar>
          <w:top w:w="0" w:type="dxa"/>
          <w:left w:w="0" w:type="dxa"/>
          <w:bottom w:w="0" w:type="dxa"/>
          <w:right w:w="0" w:type="dxa"/>
        </w:tblCellMar>
      </w:tblPr>
      <w:tblGrid>
        <w:gridCol w:w="305"/>
        <w:gridCol w:w="5360"/>
      </w:tblGrid>
      <w:tr>
        <w:trPr/>
        <w:tc>
          <w:tcPr>
            <w:tcW w:w="305" w:type="dxa"/>
            <w:tcBorders/>
            <w:shd w:fill="auto" w:val="clear"/>
            <w:vAlign w:val="center"/>
          </w:tcPr>
          <w:p>
            <w:pPr>
              <w:pStyle w:val="TableContents"/>
              <w:spacing w:before="0" w:after="283"/>
              <w:jc w:val="left"/>
              <w:rPr>
                <w:i/>
              </w:rPr>
            </w:pPr>
            <w:r>
              <w:rPr>
                <w:i/>
              </w:rPr>
              <w:t>(1)</w:t>
            </w:r>
          </w:p>
        </w:tc>
        <w:tc>
          <w:tcPr>
            <w:tcW w:w="5360" w:type="dxa"/>
            <w:tcBorders/>
            <w:shd w:fill="auto" w:val="clear"/>
            <w:vAlign w:val="center"/>
          </w:tcPr>
          <w:p>
            <w:pPr>
              <w:pStyle w:val="TableContents"/>
              <w:spacing w:before="0" w:after="0"/>
              <w:jc w:val="both"/>
              <w:rPr>
                <w:rFonts w:ascii="arial" w:hAnsi="arial"/>
                <w:i/>
                <w:sz w:val="18"/>
              </w:rPr>
            </w:pPr>
            <w:r>
              <w:rPr>
                <w:rFonts w:ascii="arial" w:hAnsi="arial"/>
                <w:i/>
                <w:sz w:val="18"/>
              </w:rPr>
              <w:t xml:space="preserve">Includes 18 shares of common stock held by Ms. Dillon’s spouse. </w:t>
            </w:r>
          </w:p>
        </w:tc>
      </w:tr>
    </w:tbl>
    <w:tbl>
      <w:tblPr>
        <w:tblW w:w="9685" w:type="dxa"/>
        <w:jc w:val="left"/>
        <w:tblInd w:w="0" w:type="dxa"/>
        <w:tblCellMar>
          <w:top w:w="0" w:type="dxa"/>
          <w:left w:w="0" w:type="dxa"/>
          <w:bottom w:w="0" w:type="dxa"/>
          <w:right w:w="0" w:type="dxa"/>
        </w:tblCellMar>
      </w:tblPr>
      <w:tblGrid>
        <w:gridCol w:w="305"/>
        <w:gridCol w:w="9380"/>
      </w:tblGrid>
      <w:tr>
        <w:trPr/>
        <w:tc>
          <w:tcPr>
            <w:tcW w:w="305" w:type="dxa"/>
            <w:tcBorders/>
            <w:shd w:fill="auto" w:val="clear"/>
            <w:vAlign w:val="center"/>
          </w:tcPr>
          <w:p>
            <w:pPr>
              <w:pStyle w:val="TableContents"/>
              <w:spacing w:before="0" w:after="283"/>
              <w:jc w:val="left"/>
              <w:rPr>
                <w:i/>
              </w:rPr>
            </w:pPr>
            <w:r>
              <w:rPr>
                <w:i/>
              </w:rPr>
              <w:t>(2)</w:t>
            </w:r>
          </w:p>
        </w:tc>
        <w:tc>
          <w:tcPr>
            <w:tcW w:w="9380" w:type="dxa"/>
            <w:tcBorders/>
            <w:shd w:fill="auto" w:val="clear"/>
            <w:vAlign w:val="center"/>
          </w:tcPr>
          <w:p>
            <w:pPr>
              <w:pStyle w:val="TableContents"/>
              <w:spacing w:before="0" w:after="0"/>
              <w:jc w:val="both"/>
              <w:rPr>
                <w:rFonts w:ascii="arial" w:hAnsi="arial"/>
                <w:i/>
                <w:sz w:val="18"/>
              </w:rPr>
            </w:pPr>
            <w:r>
              <w:rPr>
                <w:rFonts w:ascii="arial" w:hAnsi="arial"/>
                <w:i/>
                <w:sz w:val="18"/>
              </w:rPr>
              <w:t xml:space="preserve">Mr. Goettler ceased to serve as the Company’s CEO and ceased to serve on the Board effective as of April 1, 2023. </w:t>
            </w:r>
          </w:p>
        </w:tc>
      </w:tr>
    </w:tbl>
    <w:tbl>
      <w:tblPr>
        <w:tblW w:w="6085" w:type="dxa"/>
        <w:jc w:val="left"/>
        <w:tblInd w:w="0" w:type="dxa"/>
        <w:tblCellMar>
          <w:top w:w="0" w:type="dxa"/>
          <w:left w:w="0" w:type="dxa"/>
          <w:bottom w:w="0" w:type="dxa"/>
          <w:right w:w="0" w:type="dxa"/>
        </w:tblCellMar>
      </w:tblPr>
      <w:tblGrid>
        <w:gridCol w:w="305"/>
        <w:gridCol w:w="5780"/>
      </w:tblGrid>
      <w:tr>
        <w:trPr/>
        <w:tc>
          <w:tcPr>
            <w:tcW w:w="305" w:type="dxa"/>
            <w:tcBorders/>
            <w:shd w:fill="auto" w:val="clear"/>
            <w:vAlign w:val="center"/>
          </w:tcPr>
          <w:p>
            <w:pPr>
              <w:pStyle w:val="TableContents"/>
              <w:spacing w:before="0" w:after="283"/>
              <w:jc w:val="left"/>
              <w:rPr>
                <w:i/>
              </w:rPr>
            </w:pPr>
            <w:r>
              <w:rPr>
                <w:i/>
              </w:rPr>
              <w:t>(3)</w:t>
            </w:r>
          </w:p>
        </w:tc>
        <w:tc>
          <w:tcPr>
            <w:tcW w:w="5780" w:type="dxa"/>
            <w:tcBorders/>
            <w:shd w:fill="auto" w:val="clear"/>
            <w:vAlign w:val="center"/>
          </w:tcPr>
          <w:p>
            <w:pPr>
              <w:pStyle w:val="TableContents"/>
              <w:spacing w:before="0" w:after="0"/>
              <w:jc w:val="both"/>
              <w:rPr>
                <w:rFonts w:ascii="arial" w:hAnsi="arial"/>
                <w:i/>
                <w:sz w:val="18"/>
              </w:rPr>
            </w:pPr>
            <w:r>
              <w:rPr>
                <w:rFonts w:ascii="arial" w:hAnsi="arial"/>
                <w:i/>
                <w:sz w:val="18"/>
              </w:rPr>
              <w:t xml:space="preserve">Includes 74,000 shares of common stock held by Ms. Higgins’ spouse. </w:t>
            </w:r>
          </w:p>
        </w:tc>
      </w:tr>
    </w:tbl>
    <w:tbl>
      <w:tblPr>
        <w:tblW w:w="8620" w:type="dxa"/>
        <w:jc w:val="left"/>
        <w:tblInd w:w="0" w:type="dxa"/>
        <w:tblCellMar>
          <w:top w:w="0" w:type="dxa"/>
          <w:left w:w="0" w:type="dxa"/>
          <w:bottom w:w="0" w:type="dxa"/>
          <w:right w:w="0" w:type="dxa"/>
        </w:tblCellMar>
      </w:tblPr>
      <w:tblGrid>
        <w:gridCol w:w="305"/>
        <w:gridCol w:w="8315"/>
      </w:tblGrid>
      <w:tr>
        <w:trPr/>
        <w:tc>
          <w:tcPr>
            <w:tcW w:w="305" w:type="dxa"/>
            <w:tcBorders/>
            <w:shd w:fill="auto" w:val="clear"/>
            <w:vAlign w:val="center"/>
          </w:tcPr>
          <w:p>
            <w:pPr>
              <w:pStyle w:val="TableContents"/>
              <w:spacing w:before="0" w:after="283"/>
              <w:jc w:val="left"/>
              <w:rPr>
                <w:i/>
              </w:rPr>
            </w:pPr>
            <w:r>
              <w:rPr>
                <w:i/>
              </w:rPr>
              <w:t>(4)</w:t>
            </w:r>
          </w:p>
        </w:tc>
        <w:tc>
          <w:tcPr>
            <w:tcW w:w="8315" w:type="dxa"/>
            <w:tcBorders/>
            <w:shd w:fill="auto" w:val="clear"/>
            <w:vAlign w:val="center"/>
          </w:tcPr>
          <w:p>
            <w:pPr>
              <w:pStyle w:val="TableContents"/>
              <w:spacing w:before="0" w:after="0"/>
              <w:jc w:val="both"/>
              <w:rPr>
                <w:rFonts w:ascii="arial" w:hAnsi="arial"/>
                <w:i/>
                <w:sz w:val="18"/>
              </w:rPr>
            </w:pPr>
            <w:r>
              <w:rPr>
                <w:rFonts w:ascii="arial" w:hAnsi="arial"/>
                <w:i/>
                <w:sz w:val="18"/>
              </w:rPr>
              <w:t xml:space="preserve">Includes 460,319 shares held in an irrevocable trust for the benefit of Mr. Malik’s spouse and children. </w:t>
            </w:r>
          </w:p>
        </w:tc>
      </w:tr>
    </w:tbl>
    <w:tbl>
      <w:tblPr>
        <w:tblW w:w="5095" w:type="dxa"/>
        <w:jc w:val="left"/>
        <w:tblInd w:w="0" w:type="dxa"/>
        <w:tblCellMar>
          <w:top w:w="0" w:type="dxa"/>
          <w:left w:w="0" w:type="dxa"/>
          <w:bottom w:w="0" w:type="dxa"/>
          <w:right w:w="0" w:type="dxa"/>
        </w:tblCellMar>
      </w:tblPr>
      <w:tblGrid>
        <w:gridCol w:w="305"/>
        <w:gridCol w:w="4790"/>
      </w:tblGrid>
      <w:tr>
        <w:trPr/>
        <w:tc>
          <w:tcPr>
            <w:tcW w:w="305" w:type="dxa"/>
            <w:tcBorders/>
            <w:shd w:fill="auto" w:val="clear"/>
            <w:vAlign w:val="center"/>
          </w:tcPr>
          <w:p>
            <w:pPr>
              <w:pStyle w:val="TableContents"/>
              <w:spacing w:before="0" w:after="283"/>
              <w:jc w:val="left"/>
              <w:rPr>
                <w:i/>
              </w:rPr>
            </w:pPr>
            <w:r>
              <w:rPr>
                <w:i/>
              </w:rPr>
              <w:t>(5)</w:t>
            </w:r>
          </w:p>
        </w:tc>
        <w:tc>
          <w:tcPr>
            <w:tcW w:w="4790" w:type="dxa"/>
            <w:tcBorders/>
            <w:shd w:fill="auto" w:val="clear"/>
            <w:vAlign w:val="center"/>
          </w:tcPr>
          <w:p>
            <w:pPr>
              <w:pStyle w:val="TableContents"/>
              <w:spacing w:before="0" w:after="0"/>
              <w:jc w:val="both"/>
              <w:rPr>
                <w:rFonts w:ascii="arial" w:hAnsi="arial"/>
                <w:i/>
                <w:sz w:val="18"/>
              </w:rPr>
            </w:pPr>
            <w:r>
              <w:rPr>
                <w:rFonts w:ascii="arial" w:hAnsi="arial"/>
                <w:i/>
                <w:sz w:val="18"/>
              </w:rPr>
              <w:t xml:space="preserve">Includes 5,574 shares held in Mr. Mauro’s 401(k) account. </w:t>
            </w:r>
          </w:p>
        </w:tc>
      </w:tr>
    </w:tbl>
    <w:tbl>
      <w:tblPr>
        <w:tblW w:w="10045" w:type="dxa"/>
        <w:jc w:val="left"/>
        <w:tblInd w:w="0" w:type="dxa"/>
        <w:tblCellMar>
          <w:top w:w="0" w:type="dxa"/>
          <w:left w:w="0" w:type="dxa"/>
          <w:bottom w:w="0" w:type="dxa"/>
          <w:right w:w="0" w:type="dxa"/>
        </w:tblCellMar>
      </w:tblPr>
      <w:tblGrid>
        <w:gridCol w:w="305"/>
        <w:gridCol w:w="9740"/>
      </w:tblGrid>
      <w:tr>
        <w:trPr/>
        <w:tc>
          <w:tcPr>
            <w:tcW w:w="305" w:type="dxa"/>
            <w:tcBorders/>
            <w:shd w:fill="auto" w:val="clear"/>
            <w:vAlign w:val="center"/>
          </w:tcPr>
          <w:p>
            <w:pPr>
              <w:pStyle w:val="TableContents"/>
              <w:spacing w:before="0" w:after="283"/>
              <w:jc w:val="left"/>
              <w:rPr>
                <w:i/>
              </w:rPr>
            </w:pPr>
            <w:r>
              <w:rPr>
                <w:i/>
              </w:rPr>
              <w:t>(6)</w:t>
            </w:r>
          </w:p>
        </w:tc>
        <w:tc>
          <w:tcPr>
            <w:tcW w:w="9740" w:type="dxa"/>
            <w:tcBorders/>
            <w:shd w:fill="auto" w:val="clear"/>
            <w:vAlign w:val="center"/>
          </w:tcPr>
          <w:p>
            <w:pPr>
              <w:pStyle w:val="TableContents"/>
              <w:spacing w:before="0" w:after="0"/>
              <w:jc w:val="both"/>
              <w:rPr>
                <w:rFonts w:ascii="arial" w:hAnsi="arial"/>
                <w:i/>
                <w:sz w:val="18"/>
              </w:rPr>
            </w:pPr>
            <w:r>
              <w:rPr>
                <w:rFonts w:ascii="arial" w:hAnsi="arial"/>
                <w:i/>
                <w:sz w:val="18"/>
              </w:rPr>
              <w:t xml:space="preserve">Includes the 14 individuals other than Mr. Goettler set forth above as well as Messrs. Campbell, Cuneo, Ni, and Roman. </w:t>
            </w:r>
          </w:p>
        </w:tc>
      </w:tr>
    </w:tbl>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52 </w:t>
      </w:r>
      <w:r>
        <w:br w:type="page"/>
      </w:r>
    </w:p>
    <w:p>
      <w:pPr>
        <w:pStyle w:val="HorizontalLine"/>
        <w:rPr/>
      </w:pPr>
      <w:r>
        <w:rPr/>
      </w:r>
    </w:p>
    <w:p>
      <w:pPr>
        <w:pStyle w:val="TextBody"/>
        <w:spacing w:before="0" w:after="0"/>
        <w:jc w:val="left"/>
        <w:rPr>
          <w:rFonts w:ascii="arial" w:hAnsi="arial"/>
          <w:b/>
          <w:sz w:val="20"/>
        </w:rPr>
      </w:pPr>
      <w:r>
        <w:rPr>
          <w:rFonts w:ascii="arial" w:hAnsi="arial"/>
          <w:b/>
          <w:sz w:val="20"/>
        </w:rPr>
        <w:t xml:space="preserve">Security Ownership of Certain Beneficial Owners </w:t>
      </w:r>
    </w:p>
    <w:p>
      <w:pPr>
        <w:pStyle w:val="TextBody"/>
        <w:spacing w:before="120" w:after="0"/>
        <w:jc w:val="both"/>
        <w:rPr>
          <w:rFonts w:ascii="arial" w:hAnsi="arial"/>
          <w:sz w:val="18"/>
        </w:rPr>
      </w:pPr>
      <w:r>
        <w:rPr>
          <w:rFonts w:ascii="arial" w:hAnsi="arial"/>
          <w:sz w:val="18"/>
        </w:rPr>
        <w:t xml:space="preserve">The following table lists the names and addresses of shareholders known to management to own beneficially more than five percent of the shares of common stock of Viatris as of April 24, 2023 (based on 1,199,008,181 shares of common stock of Viatris Inc. outstanding as of such date): </w:t>
      </w:r>
    </w:p>
    <w:p>
      <w:pPr>
        <w:pStyle w:val="TextBody"/>
        <w:spacing w:before="0" w:after="0"/>
        <w:jc w:val="left"/>
        <w:rPr/>
      </w:pPr>
      <w:r>
        <w:rPr/>
        <w:t> </w:t>
      </w:r>
    </w:p>
    <w:tbl>
      <w:tblPr>
        <w:tblW w:w="8810" w:type="dxa"/>
        <w:jc w:val="left"/>
        <w:tblInd w:w="0" w:type="dxa"/>
        <w:tblCellMar>
          <w:top w:w="0" w:type="dxa"/>
          <w:left w:w="0" w:type="dxa"/>
          <w:bottom w:w="0" w:type="dxa"/>
          <w:right w:w="0" w:type="dxa"/>
        </w:tblCellMar>
      </w:tblPr>
      <w:tblGrid>
        <w:gridCol w:w="6035"/>
        <w:gridCol w:w="120"/>
        <w:gridCol w:w="60"/>
        <w:gridCol w:w="1220"/>
        <w:gridCol w:w="350"/>
        <w:gridCol w:w="120"/>
        <w:gridCol w:w="99"/>
        <w:gridCol w:w="731"/>
        <w:gridCol w:w="75"/>
      </w:tblGrid>
      <w:tr>
        <w:trPr/>
        <w:tc>
          <w:tcPr>
            <w:tcW w:w="603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9" w:type="dxa"/>
            <w:tcBorders/>
            <w:shd w:fill="auto" w:val="clear"/>
            <w:vAlign w:val="center"/>
          </w:tcPr>
          <w:p>
            <w:pPr>
              <w:pStyle w:val="TableContents"/>
              <w:spacing w:before="0" w:after="283"/>
              <w:rPr>
                <w:sz w:val="4"/>
                <w:szCs w:val="4"/>
              </w:rPr>
            </w:pPr>
            <w:r>
              <w:rPr>
                <w:sz w:val="4"/>
                <w:szCs w:val="4"/>
              </w:rPr>
            </w:r>
          </w:p>
        </w:tc>
        <w:tc>
          <w:tcPr>
            <w:tcW w:w="731"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6035" w:type="dxa"/>
            <w:tcBorders>
              <w:bottom w:val="single" w:sz="8" w:space="0" w:color="732282"/>
            </w:tcBorders>
            <w:shd w:fill="auto" w:val="clear"/>
            <w:tcMar>
              <w:bottom w:w="28" w:type="dxa"/>
            </w:tcMar>
            <w:vAlign w:val="center"/>
          </w:tcPr>
          <w:p>
            <w:pPr>
              <w:pStyle w:val="TableContents"/>
              <w:spacing w:before="0" w:after="0"/>
              <w:rPr>
                <w:rFonts w:ascii="arial" w:hAnsi="arial"/>
                <w:b/>
                <w:color w:val="732282"/>
                <w:sz w:val="16"/>
              </w:rPr>
            </w:pPr>
            <w:r>
              <w:rPr>
                <w:rFonts w:ascii="arial" w:hAnsi="arial"/>
                <w:b/>
                <w:color w:val="732282"/>
                <w:sz w:val="16"/>
              </w:rPr>
              <w:t>Name and Address of Beneficial Owner</w:t>
            </w:r>
          </w:p>
        </w:tc>
        <w:tc>
          <w:tcPr>
            <w:tcW w:w="120" w:type="dxa"/>
            <w:tcBorders>
              <w:bottom w:val="single" w:sz="8" w:space="0" w:color="732282"/>
            </w:tcBorders>
            <w:shd w:fill="auto" w:val="clear"/>
            <w:tcMar>
              <w:bottom w:w="28" w:type="dxa"/>
            </w:tcMar>
            <w:vAlign w:val="center"/>
          </w:tcPr>
          <w:p>
            <w:pPr>
              <w:pStyle w:val="TableContents"/>
              <w:spacing w:before="0" w:after="283"/>
              <w:rPr/>
            </w:pPr>
            <w:r>
              <w:rPr/>
              <w:t>  </w:t>
            </w:r>
          </w:p>
        </w:tc>
        <w:tc>
          <w:tcPr>
            <w:tcW w:w="1280" w:type="dxa"/>
            <w:gridSpan w:val="2"/>
            <w:tcBorders>
              <w:bottom w:val="single" w:sz="8" w:space="0" w:color="732282"/>
            </w:tcBorders>
            <w:shd w:fill="auto" w:val="clear"/>
            <w:tcMar>
              <w:bottom w:w="28" w:type="dxa"/>
            </w:tcMar>
            <w:vAlign w:val="center"/>
          </w:tcPr>
          <w:p>
            <w:pPr>
              <w:pStyle w:val="TableContents"/>
              <w:spacing w:before="0" w:after="0"/>
              <w:jc w:val="right"/>
              <w:rPr>
                <w:rFonts w:ascii="arial" w:hAnsi="arial"/>
                <w:b/>
                <w:color w:val="732282"/>
                <w:sz w:val="16"/>
              </w:rPr>
            </w:pPr>
            <w:r>
              <w:rPr>
                <w:rFonts w:ascii="arial" w:hAnsi="arial"/>
                <w:b/>
                <w:color w:val="732282"/>
                <w:sz w:val="16"/>
              </w:rPr>
              <w:t>Amount and</w:t>
            </w:r>
          </w:p>
          <w:p>
            <w:pPr>
              <w:pStyle w:val="TableContents"/>
              <w:spacing w:before="0" w:after="0"/>
              <w:jc w:val="right"/>
              <w:rPr>
                <w:rFonts w:ascii="arial" w:hAnsi="arial"/>
                <w:b/>
                <w:color w:val="732282"/>
                <w:sz w:val="16"/>
              </w:rPr>
            </w:pPr>
            <w:r>
              <w:rPr>
                <w:rFonts w:ascii="arial" w:hAnsi="arial"/>
                <w:b/>
                <w:color w:val="732282"/>
                <w:sz w:val="16"/>
              </w:rPr>
              <w:t>Nature of</w:t>
              <w:br/>
              <w:t>Beneficial</w:t>
            </w:r>
          </w:p>
          <w:p>
            <w:pPr>
              <w:pStyle w:val="TableContents"/>
              <w:spacing w:before="0" w:after="20"/>
              <w:jc w:val="right"/>
              <w:rPr>
                <w:rFonts w:ascii="arial" w:hAnsi="arial"/>
                <w:b/>
                <w:color w:val="732282"/>
                <w:sz w:val="16"/>
              </w:rPr>
            </w:pPr>
            <w:r>
              <w:rPr>
                <w:rFonts w:ascii="arial" w:hAnsi="arial"/>
                <w:b/>
                <w:color w:val="732282"/>
                <w:sz w:val="16"/>
              </w:rPr>
              <w:t>Ownership</w:t>
            </w:r>
          </w:p>
        </w:tc>
        <w:tc>
          <w:tcPr>
            <w:tcW w:w="350" w:type="dxa"/>
            <w:tcBorders>
              <w:bottom w:val="single" w:sz="8" w:space="0" w:color="732282"/>
            </w:tcBorders>
            <w:shd w:fill="auto" w:val="clear"/>
            <w:tcMar>
              <w:bottom w:w="28" w:type="dxa"/>
            </w:tcMar>
            <w:vAlign w:val="center"/>
          </w:tcPr>
          <w:p>
            <w:pPr>
              <w:pStyle w:val="TableContents"/>
              <w:spacing w:before="0" w:after="283"/>
              <w:rPr/>
            </w:pPr>
            <w:r>
              <w:rPr/>
              <w:t> </w:t>
            </w:r>
          </w:p>
        </w:tc>
        <w:tc>
          <w:tcPr>
            <w:tcW w:w="120" w:type="dxa"/>
            <w:tcBorders>
              <w:bottom w:val="single" w:sz="8" w:space="0" w:color="732282"/>
            </w:tcBorders>
            <w:shd w:fill="auto" w:val="clear"/>
            <w:tcMar>
              <w:bottom w:w="28" w:type="dxa"/>
            </w:tcMar>
            <w:vAlign w:val="center"/>
          </w:tcPr>
          <w:p>
            <w:pPr>
              <w:pStyle w:val="TableContents"/>
              <w:spacing w:before="0" w:after="283"/>
              <w:rPr/>
            </w:pPr>
            <w:r>
              <w:rPr/>
              <w:t>  </w:t>
            </w:r>
          </w:p>
        </w:tc>
        <w:tc>
          <w:tcPr>
            <w:tcW w:w="830" w:type="dxa"/>
            <w:gridSpan w:val="2"/>
            <w:tcBorders>
              <w:bottom w:val="single" w:sz="8" w:space="0" w:color="732282"/>
            </w:tcBorders>
            <w:shd w:fill="auto" w:val="clear"/>
            <w:tcMar>
              <w:bottom w:w="28" w:type="dxa"/>
            </w:tcMar>
            <w:vAlign w:val="center"/>
          </w:tcPr>
          <w:p>
            <w:pPr>
              <w:pStyle w:val="TableContents"/>
              <w:spacing w:before="0" w:after="0"/>
              <w:jc w:val="right"/>
              <w:rPr>
                <w:rFonts w:ascii="arial" w:hAnsi="arial"/>
                <w:b/>
                <w:color w:val="732282"/>
                <w:sz w:val="16"/>
              </w:rPr>
            </w:pPr>
            <w:r>
              <w:rPr>
                <w:rFonts w:ascii="arial" w:hAnsi="arial"/>
                <w:b/>
                <w:color w:val="732282"/>
                <w:sz w:val="16"/>
              </w:rPr>
              <w:t>Percent of</w:t>
            </w:r>
          </w:p>
          <w:p>
            <w:pPr>
              <w:pStyle w:val="TableContents"/>
              <w:spacing w:before="0" w:after="20"/>
              <w:jc w:val="right"/>
              <w:rPr>
                <w:rFonts w:ascii="arial" w:hAnsi="arial"/>
                <w:b/>
                <w:color w:val="732282"/>
                <w:sz w:val="16"/>
              </w:rPr>
            </w:pPr>
            <w:r>
              <w:rPr>
                <w:rFonts w:ascii="arial" w:hAnsi="arial"/>
                <w:b/>
                <w:color w:val="732282"/>
                <w:sz w:val="16"/>
              </w:rPr>
              <w:t>Class</w:t>
            </w:r>
          </w:p>
        </w:tc>
        <w:tc>
          <w:tcPr>
            <w:tcW w:w="75" w:type="dxa"/>
            <w:tcBorders>
              <w:bottom w:val="single" w:sz="8" w:space="0" w:color="732282"/>
            </w:tcBorders>
            <w:shd w:fill="auto" w:val="clear"/>
            <w:tcMar>
              <w:bottom w:w="28" w:type="dxa"/>
            </w:tcMar>
            <w:vAlign w:val="center"/>
          </w:tcPr>
          <w:p>
            <w:pPr>
              <w:pStyle w:val="TableContents"/>
              <w:spacing w:before="0" w:after="283"/>
              <w:rPr/>
            </w:pPr>
            <w:r>
              <w:rPr/>
              <w:t> </w:t>
            </w:r>
          </w:p>
        </w:tc>
      </w:tr>
      <w:tr>
        <w:trPr/>
        <w:tc>
          <w:tcPr>
            <w:tcW w:w="6035" w:type="dxa"/>
            <w:tcBorders/>
            <w:shd w:fill="E5E5E5" w:val="clear"/>
            <w:vAlign w:val="center"/>
          </w:tcPr>
          <w:p>
            <w:pPr>
              <w:pStyle w:val="TableContents"/>
              <w:spacing w:before="0" w:after="0"/>
              <w:rPr>
                <w:rFonts w:ascii="arial" w:hAnsi="arial"/>
                <w:sz w:val="20"/>
              </w:rPr>
            </w:pPr>
            <w:r>
              <w:rPr>
                <w:rFonts w:ascii="arial" w:hAnsi="arial"/>
                <w:sz w:val="20"/>
              </w:rPr>
              <w:t>The Vanguard Group,</w:t>
            </w:r>
          </w:p>
          <w:p>
            <w:pPr>
              <w:pStyle w:val="TableContents"/>
              <w:spacing w:before="0" w:after="20"/>
              <w:rPr>
                <w:rFonts w:ascii="arial" w:hAnsi="arial"/>
                <w:sz w:val="20"/>
              </w:rPr>
            </w:pPr>
            <w:r>
              <w:rPr>
                <w:rFonts w:ascii="arial" w:hAnsi="arial"/>
                <w:sz w:val="20"/>
              </w:rPr>
              <w:t>100 Vanguard Blvd., Malvern, PA 19355</w:t>
            </w:r>
          </w:p>
        </w:tc>
        <w:tc>
          <w:tcPr>
            <w:tcW w:w="120" w:type="dxa"/>
            <w:tcBorders/>
            <w:shd w:fill="E5E5E5" w:val="clear"/>
            <w:vAlign w:val="center"/>
          </w:tcPr>
          <w:p>
            <w:pPr>
              <w:pStyle w:val="TableContents"/>
              <w:spacing w:before="0" w:after="283"/>
              <w:rPr/>
            </w:pPr>
            <w:r>
              <w:rPr/>
              <w:t>  </w:t>
            </w:r>
          </w:p>
        </w:tc>
        <w:tc>
          <w:tcPr>
            <w:tcW w:w="60" w:type="dxa"/>
            <w:tcBorders/>
            <w:shd w:fill="E5E5E5" w:val="clear"/>
            <w:vAlign w:val="center"/>
          </w:tcPr>
          <w:p>
            <w:pPr>
              <w:pStyle w:val="TableContents"/>
              <w:spacing w:before="0" w:after="283"/>
              <w:rPr/>
            </w:pPr>
            <w:r>
              <w:rPr/>
              <w:t> </w:t>
            </w:r>
          </w:p>
        </w:tc>
        <w:tc>
          <w:tcPr>
            <w:tcW w:w="1220" w:type="dxa"/>
            <w:tcBorders/>
            <w:shd w:fill="E5E5E5" w:val="clear"/>
            <w:vAlign w:val="center"/>
          </w:tcPr>
          <w:p>
            <w:pPr>
              <w:pStyle w:val="TableContents"/>
              <w:spacing w:before="0" w:after="283"/>
              <w:jc w:val="right"/>
              <w:rPr/>
            </w:pPr>
            <w:r>
              <w:rPr/>
              <w:t>149,318,666</w:t>
            </w:r>
          </w:p>
        </w:tc>
        <w:tc>
          <w:tcPr>
            <w:tcW w:w="350" w:type="dxa"/>
            <w:tcBorders/>
            <w:shd w:fill="E5E5E5" w:val="clear"/>
            <w:vAlign w:val="center"/>
          </w:tcPr>
          <w:p>
            <w:pPr>
              <w:pStyle w:val="TableContents"/>
              <w:spacing w:before="0" w:after="283"/>
              <w:rPr/>
            </w:pPr>
            <w:r>
              <w:rPr/>
              <w:t>(1) </w:t>
            </w:r>
          </w:p>
        </w:tc>
        <w:tc>
          <w:tcPr>
            <w:tcW w:w="120" w:type="dxa"/>
            <w:tcBorders/>
            <w:shd w:fill="E5E5E5" w:val="clear"/>
            <w:vAlign w:val="center"/>
          </w:tcPr>
          <w:p>
            <w:pPr>
              <w:pStyle w:val="TableContents"/>
              <w:spacing w:before="0" w:after="283"/>
              <w:rPr/>
            </w:pPr>
            <w:r>
              <w:rPr/>
              <w:t>  </w:t>
            </w:r>
          </w:p>
        </w:tc>
        <w:tc>
          <w:tcPr>
            <w:tcW w:w="99" w:type="dxa"/>
            <w:tcBorders/>
            <w:shd w:fill="E5E5E5" w:val="clear"/>
            <w:vAlign w:val="center"/>
          </w:tcPr>
          <w:p>
            <w:pPr>
              <w:pStyle w:val="TableContents"/>
              <w:spacing w:before="0" w:after="283"/>
              <w:rPr/>
            </w:pPr>
            <w:r>
              <w:rPr/>
              <w:t> </w:t>
            </w:r>
          </w:p>
        </w:tc>
        <w:tc>
          <w:tcPr>
            <w:tcW w:w="731" w:type="dxa"/>
            <w:tcBorders/>
            <w:shd w:fill="E5E5E5" w:val="clear"/>
            <w:vAlign w:val="center"/>
          </w:tcPr>
          <w:p>
            <w:pPr>
              <w:pStyle w:val="TableContents"/>
              <w:spacing w:before="0" w:after="283"/>
              <w:jc w:val="right"/>
              <w:rPr/>
            </w:pPr>
            <w:r>
              <w:rPr/>
              <w:t>12.5%</w:t>
            </w:r>
          </w:p>
        </w:tc>
        <w:tc>
          <w:tcPr>
            <w:tcW w:w="75" w:type="dxa"/>
            <w:tcBorders/>
            <w:shd w:fill="E5E5E5" w:val="clear"/>
            <w:vAlign w:val="center"/>
          </w:tcPr>
          <w:p>
            <w:pPr>
              <w:pStyle w:val="TableContents"/>
              <w:spacing w:before="0" w:after="283"/>
              <w:rPr/>
            </w:pPr>
            <w:r>
              <w:rPr/>
              <w:t> </w:t>
            </w:r>
          </w:p>
        </w:tc>
      </w:tr>
      <w:tr>
        <w:trPr/>
        <w:tc>
          <w:tcPr>
            <w:tcW w:w="6035" w:type="dxa"/>
            <w:tcBorders/>
            <w:shd w:fill="auto" w:val="clear"/>
            <w:vAlign w:val="center"/>
          </w:tcPr>
          <w:p>
            <w:pPr>
              <w:pStyle w:val="TableContents"/>
              <w:spacing w:before="0" w:after="0"/>
              <w:rPr>
                <w:rFonts w:ascii="arial" w:hAnsi="arial"/>
                <w:sz w:val="20"/>
              </w:rPr>
            </w:pPr>
            <w:r>
              <w:rPr>
                <w:rFonts w:ascii="arial" w:hAnsi="arial"/>
                <w:sz w:val="20"/>
              </w:rPr>
              <w:t>BlackRock, Inc.,</w:t>
            </w:r>
          </w:p>
          <w:p>
            <w:pPr>
              <w:pStyle w:val="TableContents"/>
              <w:spacing w:before="0" w:after="20"/>
              <w:rPr>
                <w:rFonts w:ascii="arial" w:hAnsi="arial"/>
                <w:sz w:val="20"/>
              </w:rPr>
            </w:pPr>
            <w:r>
              <w:rPr>
                <w:rFonts w:ascii="arial" w:hAnsi="arial"/>
                <w:sz w:val="20"/>
              </w:rPr>
              <w:t>55 East 52nd Street, New York, NY 10055</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20" w:type="dxa"/>
            <w:tcBorders/>
            <w:shd w:fill="auto" w:val="clear"/>
            <w:vAlign w:val="center"/>
          </w:tcPr>
          <w:p>
            <w:pPr>
              <w:pStyle w:val="TableContents"/>
              <w:spacing w:before="0" w:after="283"/>
              <w:jc w:val="right"/>
              <w:rPr/>
            </w:pPr>
            <w:r>
              <w:rPr/>
              <w:t>93,214,306</w:t>
            </w:r>
          </w:p>
        </w:tc>
        <w:tc>
          <w:tcPr>
            <w:tcW w:w="350" w:type="dxa"/>
            <w:tcBorders/>
            <w:shd w:fill="auto" w:val="clear"/>
            <w:vAlign w:val="center"/>
          </w:tcPr>
          <w:p>
            <w:pPr>
              <w:pStyle w:val="TableContents"/>
              <w:spacing w:before="0" w:after="283"/>
              <w:rPr/>
            </w:pPr>
            <w:r>
              <w:rPr/>
              <w:t>(2) </w:t>
            </w:r>
          </w:p>
        </w:tc>
        <w:tc>
          <w:tcPr>
            <w:tcW w:w="120" w:type="dxa"/>
            <w:tcBorders/>
            <w:shd w:fill="auto" w:val="clear"/>
            <w:vAlign w:val="center"/>
          </w:tcPr>
          <w:p>
            <w:pPr>
              <w:pStyle w:val="TableContents"/>
              <w:spacing w:before="0" w:after="283"/>
              <w:rPr/>
            </w:pPr>
            <w:r>
              <w:rPr/>
              <w:t>  </w:t>
            </w:r>
          </w:p>
        </w:tc>
        <w:tc>
          <w:tcPr>
            <w:tcW w:w="99" w:type="dxa"/>
            <w:tcBorders/>
            <w:shd w:fill="auto" w:val="clear"/>
            <w:vAlign w:val="center"/>
          </w:tcPr>
          <w:p>
            <w:pPr>
              <w:pStyle w:val="TableContents"/>
              <w:spacing w:before="0" w:after="283"/>
              <w:rPr/>
            </w:pPr>
            <w:r>
              <w:rPr/>
              <w:t> </w:t>
            </w:r>
          </w:p>
        </w:tc>
        <w:tc>
          <w:tcPr>
            <w:tcW w:w="731" w:type="dxa"/>
            <w:tcBorders/>
            <w:shd w:fill="auto" w:val="clear"/>
            <w:vAlign w:val="center"/>
          </w:tcPr>
          <w:p>
            <w:pPr>
              <w:pStyle w:val="TableContents"/>
              <w:spacing w:before="0" w:after="283"/>
              <w:jc w:val="right"/>
              <w:rPr/>
            </w:pPr>
            <w:r>
              <w:rPr/>
              <w:t>7.8%</w:t>
            </w:r>
          </w:p>
        </w:tc>
        <w:tc>
          <w:tcPr>
            <w:tcW w:w="75" w:type="dxa"/>
            <w:tcBorders/>
            <w:shd w:fill="auto" w:val="clear"/>
            <w:vAlign w:val="center"/>
          </w:tcPr>
          <w:p>
            <w:pPr>
              <w:pStyle w:val="TableContents"/>
              <w:spacing w:before="0" w:after="283"/>
              <w:rPr/>
            </w:pPr>
            <w:r>
              <w:rPr/>
              <w:t> </w:t>
            </w:r>
          </w:p>
        </w:tc>
      </w:tr>
      <w:tr>
        <w:trPr/>
        <w:tc>
          <w:tcPr>
            <w:tcW w:w="6035" w:type="dxa"/>
            <w:tcBorders>
              <w:bottom w:val="single" w:sz="6" w:space="0" w:color="732282"/>
            </w:tcBorders>
            <w:shd w:fill="E5E5E5" w:val="clear"/>
            <w:tcMar>
              <w:bottom w:w="28" w:type="dxa"/>
            </w:tcMar>
            <w:vAlign w:val="center"/>
          </w:tcPr>
          <w:p>
            <w:pPr>
              <w:pStyle w:val="TableContents"/>
              <w:spacing w:before="0" w:after="0"/>
              <w:rPr>
                <w:rFonts w:ascii="arial" w:hAnsi="arial"/>
                <w:sz w:val="20"/>
              </w:rPr>
            </w:pPr>
            <w:r>
              <w:rPr>
                <w:rFonts w:ascii="arial" w:hAnsi="arial"/>
                <w:sz w:val="20"/>
              </w:rPr>
              <w:t>State Street Corporation,</w:t>
            </w:r>
          </w:p>
          <w:p>
            <w:pPr>
              <w:pStyle w:val="TableContents"/>
              <w:spacing w:before="0" w:after="20"/>
              <w:rPr>
                <w:rFonts w:ascii="arial" w:hAnsi="arial"/>
                <w:sz w:val="20"/>
              </w:rPr>
            </w:pPr>
            <w:r>
              <w:rPr>
                <w:rFonts w:ascii="arial" w:hAnsi="arial"/>
                <w:sz w:val="20"/>
              </w:rPr>
              <w:t>State Street Financial Center, One Lincoln Street, Boston, MA 02111</w:t>
            </w:r>
          </w:p>
        </w:tc>
        <w:tc>
          <w:tcPr>
            <w:tcW w:w="120" w:type="dxa"/>
            <w:tcBorders>
              <w:bottom w:val="single" w:sz="6" w:space="0" w:color="732282"/>
            </w:tcBorders>
            <w:shd w:fill="E5E5E5" w:val="clear"/>
            <w:tcMar>
              <w:bottom w:w="28" w:type="dxa"/>
            </w:tcMar>
            <w:vAlign w:val="center"/>
          </w:tcPr>
          <w:p>
            <w:pPr>
              <w:pStyle w:val="TableContents"/>
              <w:spacing w:before="0" w:after="283"/>
              <w:rPr/>
            </w:pPr>
            <w:r>
              <w:rPr/>
              <w:t>  </w:t>
            </w:r>
          </w:p>
        </w:tc>
        <w:tc>
          <w:tcPr>
            <w:tcW w:w="60" w:type="dxa"/>
            <w:tcBorders>
              <w:bottom w:val="single" w:sz="6" w:space="0" w:color="732282"/>
            </w:tcBorders>
            <w:shd w:fill="E5E5E5" w:val="clear"/>
            <w:tcMar>
              <w:bottom w:w="28" w:type="dxa"/>
            </w:tcMar>
            <w:vAlign w:val="center"/>
          </w:tcPr>
          <w:p>
            <w:pPr>
              <w:pStyle w:val="TableContents"/>
              <w:spacing w:before="0" w:after="283"/>
              <w:rPr/>
            </w:pPr>
            <w:r>
              <w:rPr/>
              <w:t> </w:t>
            </w:r>
          </w:p>
        </w:tc>
        <w:tc>
          <w:tcPr>
            <w:tcW w:w="1220" w:type="dxa"/>
            <w:tcBorders>
              <w:bottom w:val="single" w:sz="6" w:space="0" w:color="732282"/>
            </w:tcBorders>
            <w:shd w:fill="E5E5E5" w:val="clear"/>
            <w:tcMar>
              <w:bottom w:w="28" w:type="dxa"/>
            </w:tcMar>
            <w:vAlign w:val="center"/>
          </w:tcPr>
          <w:p>
            <w:pPr>
              <w:pStyle w:val="TableContents"/>
              <w:spacing w:before="0" w:after="283"/>
              <w:jc w:val="right"/>
              <w:rPr/>
            </w:pPr>
            <w:r>
              <w:rPr/>
              <w:t>61,903,672</w:t>
            </w:r>
          </w:p>
        </w:tc>
        <w:tc>
          <w:tcPr>
            <w:tcW w:w="350" w:type="dxa"/>
            <w:tcBorders>
              <w:bottom w:val="single" w:sz="6" w:space="0" w:color="732282"/>
            </w:tcBorders>
            <w:shd w:fill="E5E5E5" w:val="clear"/>
            <w:tcMar>
              <w:bottom w:w="28" w:type="dxa"/>
            </w:tcMar>
            <w:vAlign w:val="center"/>
          </w:tcPr>
          <w:p>
            <w:pPr>
              <w:pStyle w:val="TableContents"/>
              <w:spacing w:before="0" w:after="283"/>
              <w:rPr/>
            </w:pPr>
            <w:r>
              <w:rPr/>
              <w:t>(3) </w:t>
            </w:r>
          </w:p>
        </w:tc>
        <w:tc>
          <w:tcPr>
            <w:tcW w:w="120" w:type="dxa"/>
            <w:tcBorders>
              <w:bottom w:val="single" w:sz="6" w:space="0" w:color="732282"/>
            </w:tcBorders>
            <w:shd w:fill="E5E5E5" w:val="clear"/>
            <w:tcMar>
              <w:bottom w:w="28" w:type="dxa"/>
            </w:tcMar>
            <w:vAlign w:val="center"/>
          </w:tcPr>
          <w:p>
            <w:pPr>
              <w:pStyle w:val="TableContents"/>
              <w:spacing w:before="0" w:after="283"/>
              <w:rPr/>
            </w:pPr>
            <w:r>
              <w:rPr/>
              <w:t>  </w:t>
            </w:r>
          </w:p>
        </w:tc>
        <w:tc>
          <w:tcPr>
            <w:tcW w:w="99" w:type="dxa"/>
            <w:tcBorders>
              <w:bottom w:val="single" w:sz="6" w:space="0" w:color="732282"/>
            </w:tcBorders>
            <w:shd w:fill="E5E5E5" w:val="clear"/>
            <w:tcMar>
              <w:bottom w:w="28" w:type="dxa"/>
            </w:tcMar>
            <w:vAlign w:val="center"/>
          </w:tcPr>
          <w:p>
            <w:pPr>
              <w:pStyle w:val="TableContents"/>
              <w:spacing w:before="0" w:after="283"/>
              <w:rPr/>
            </w:pPr>
            <w:r>
              <w:rPr/>
              <w:t> </w:t>
            </w:r>
          </w:p>
        </w:tc>
        <w:tc>
          <w:tcPr>
            <w:tcW w:w="731" w:type="dxa"/>
            <w:tcBorders>
              <w:bottom w:val="single" w:sz="6" w:space="0" w:color="732282"/>
            </w:tcBorders>
            <w:shd w:fill="E5E5E5" w:val="clear"/>
            <w:tcMar>
              <w:bottom w:w="28" w:type="dxa"/>
            </w:tcMar>
            <w:vAlign w:val="center"/>
          </w:tcPr>
          <w:p>
            <w:pPr>
              <w:pStyle w:val="TableContents"/>
              <w:spacing w:before="0" w:after="283"/>
              <w:jc w:val="right"/>
              <w:rPr/>
            </w:pPr>
            <w:r>
              <w:rPr/>
              <w:t>5.2%</w:t>
            </w:r>
          </w:p>
        </w:tc>
        <w:tc>
          <w:tcPr>
            <w:tcW w:w="75" w:type="dxa"/>
            <w:tcBorders>
              <w:bottom w:val="single" w:sz="6" w:space="0" w:color="732282"/>
            </w:tcBorders>
            <w:shd w:fill="E5E5E5" w:val="clear"/>
            <w:tcMar>
              <w:bottom w:w="28" w:type="dxa"/>
            </w:tcMar>
            <w:vAlign w:val="center"/>
          </w:tcPr>
          <w:p>
            <w:pPr>
              <w:pStyle w:val="TableContents"/>
              <w:spacing w:before="0" w:after="283"/>
              <w:rPr/>
            </w:pPr>
            <w:r>
              <w:rPr/>
              <w:t> </w:t>
            </w:r>
          </w:p>
        </w:tc>
      </w:tr>
    </w:tbl>
    <w:p>
      <w:pPr>
        <w:pStyle w:val="TextBody"/>
        <w:spacing w:before="0" w:after="0"/>
        <w:jc w:val="left"/>
        <w:rPr/>
      </w:pPr>
      <w:r>
        <w:rPr/>
        <w:t> </w:t>
      </w:r>
    </w:p>
    <w:p>
      <w:pPr>
        <w:pStyle w:val="TextBody"/>
        <w:pBdr>
          <w:bottom w:val="single" w:sz="2" w:space="1" w:color="000000"/>
        </w:pBdr>
        <w:spacing w:lineRule="atLeast" w:line="160" w:before="0" w:after="40"/>
        <w:jc w:val="left"/>
        <w:rPr/>
      </w:pPr>
      <w:r>
        <w:rPr/>
        <w:t> </w:t>
      </w:r>
    </w:p>
    <w:tbl>
      <w:tblPr>
        <w:tblW w:w="10205" w:type="dxa"/>
        <w:jc w:val="left"/>
        <w:tblInd w:w="0" w:type="dxa"/>
        <w:tblCellMar>
          <w:top w:w="0" w:type="dxa"/>
          <w:left w:w="0" w:type="dxa"/>
          <w:bottom w:w="0" w:type="dxa"/>
          <w:right w:w="0" w:type="dxa"/>
        </w:tblCellMar>
      </w:tblPr>
      <w:tblGrid>
        <w:gridCol w:w="252"/>
        <w:gridCol w:w="9953"/>
      </w:tblGrid>
      <w:tr>
        <w:trPr/>
        <w:tc>
          <w:tcPr>
            <w:tcW w:w="252" w:type="dxa"/>
            <w:tcBorders/>
            <w:shd w:fill="auto" w:val="clear"/>
            <w:vAlign w:val="center"/>
          </w:tcPr>
          <w:p>
            <w:pPr>
              <w:pStyle w:val="TableContents"/>
              <w:spacing w:before="0" w:after="283"/>
              <w:jc w:val="left"/>
              <w:rPr>
                <w:i/>
              </w:rPr>
            </w:pPr>
            <w:r>
              <w:rPr>
                <w:i/>
              </w:rPr>
              <w:t>(1)</w:t>
            </w:r>
          </w:p>
        </w:tc>
        <w:tc>
          <w:tcPr>
            <w:tcW w:w="9953" w:type="dxa"/>
            <w:tcBorders/>
            <w:shd w:fill="auto" w:val="clear"/>
            <w:vAlign w:val="center"/>
          </w:tcPr>
          <w:p>
            <w:pPr>
              <w:pStyle w:val="TableContents"/>
              <w:spacing w:before="0" w:after="0"/>
              <w:jc w:val="both"/>
              <w:rPr>
                <w:rFonts w:ascii="arial" w:hAnsi="arial"/>
                <w:i/>
                <w:sz w:val="18"/>
              </w:rPr>
            </w:pPr>
            <w:r>
              <w:rPr>
                <w:rFonts w:ascii="arial" w:hAnsi="arial"/>
                <w:i/>
                <w:sz w:val="18"/>
              </w:rPr>
              <w:t xml:space="preserve">Based on the Schedule 13G/A filed by The Vanguard Group with the SEC on February 9, 2023, The Vanguard Group has sole voting power over 0 shares of common stock, shared voting power over 1,715,541 shares of common stock, sole dispositive power over 144,160,776 shares of common stock and shared dispositive power over 5,157,890 shares of common stock. </w:t>
            </w:r>
          </w:p>
        </w:tc>
      </w:tr>
    </w:tbl>
    <w:tbl>
      <w:tblPr>
        <w:tblW w:w="10205" w:type="dxa"/>
        <w:jc w:val="left"/>
        <w:tblInd w:w="0" w:type="dxa"/>
        <w:tblCellMar>
          <w:top w:w="0" w:type="dxa"/>
          <w:left w:w="0" w:type="dxa"/>
          <w:bottom w:w="0" w:type="dxa"/>
          <w:right w:w="0" w:type="dxa"/>
        </w:tblCellMar>
      </w:tblPr>
      <w:tblGrid>
        <w:gridCol w:w="254"/>
        <w:gridCol w:w="9951"/>
      </w:tblGrid>
      <w:tr>
        <w:trPr/>
        <w:tc>
          <w:tcPr>
            <w:tcW w:w="254" w:type="dxa"/>
            <w:tcBorders/>
            <w:shd w:fill="auto" w:val="clear"/>
            <w:vAlign w:val="center"/>
          </w:tcPr>
          <w:p>
            <w:pPr>
              <w:pStyle w:val="TableContents"/>
              <w:spacing w:before="0" w:after="283"/>
              <w:jc w:val="left"/>
              <w:rPr>
                <w:i/>
              </w:rPr>
            </w:pPr>
            <w:r>
              <w:rPr>
                <w:i/>
              </w:rPr>
              <w:t>(2)</w:t>
            </w:r>
          </w:p>
        </w:tc>
        <w:tc>
          <w:tcPr>
            <w:tcW w:w="9951" w:type="dxa"/>
            <w:tcBorders/>
            <w:shd w:fill="auto" w:val="clear"/>
            <w:vAlign w:val="center"/>
          </w:tcPr>
          <w:p>
            <w:pPr>
              <w:pStyle w:val="TableContents"/>
              <w:spacing w:before="0" w:after="0"/>
              <w:jc w:val="both"/>
              <w:rPr>
                <w:rFonts w:ascii="arial" w:hAnsi="arial"/>
                <w:i/>
                <w:sz w:val="18"/>
              </w:rPr>
            </w:pPr>
            <w:r>
              <w:rPr>
                <w:rFonts w:ascii="arial" w:hAnsi="arial"/>
                <w:i/>
                <w:sz w:val="18"/>
              </w:rPr>
              <w:t xml:space="preserve">Based on the Schedule 13G/A filed by BlackRock, Inc. with the SEC on January 31, 2023, BlackRock, Inc. has sole voting power over 84,252,775 shares of common stock, shared voting power over 0 shares of common stock, sole dispositive power over 93,214,306 shares of common stock and shared dispositive power over 0 shares of common stock. </w:t>
            </w:r>
          </w:p>
        </w:tc>
      </w:tr>
    </w:tbl>
    <w:tbl>
      <w:tblPr>
        <w:tblW w:w="10205" w:type="dxa"/>
        <w:jc w:val="left"/>
        <w:tblInd w:w="0" w:type="dxa"/>
        <w:tblCellMar>
          <w:top w:w="0" w:type="dxa"/>
          <w:left w:w="0" w:type="dxa"/>
          <w:bottom w:w="0" w:type="dxa"/>
          <w:right w:w="0" w:type="dxa"/>
        </w:tblCellMar>
      </w:tblPr>
      <w:tblGrid>
        <w:gridCol w:w="253"/>
        <w:gridCol w:w="9952"/>
      </w:tblGrid>
      <w:tr>
        <w:trPr/>
        <w:tc>
          <w:tcPr>
            <w:tcW w:w="253" w:type="dxa"/>
            <w:tcBorders/>
            <w:shd w:fill="auto" w:val="clear"/>
            <w:vAlign w:val="center"/>
          </w:tcPr>
          <w:p>
            <w:pPr>
              <w:pStyle w:val="TableContents"/>
              <w:spacing w:before="0" w:after="283"/>
              <w:jc w:val="left"/>
              <w:rPr>
                <w:i/>
              </w:rPr>
            </w:pPr>
            <w:r>
              <w:rPr>
                <w:i/>
              </w:rPr>
              <w:t>(3)</w:t>
            </w:r>
          </w:p>
        </w:tc>
        <w:tc>
          <w:tcPr>
            <w:tcW w:w="9952" w:type="dxa"/>
            <w:tcBorders/>
            <w:shd w:fill="auto" w:val="clear"/>
            <w:vAlign w:val="center"/>
          </w:tcPr>
          <w:p>
            <w:pPr>
              <w:pStyle w:val="TableContents"/>
              <w:spacing w:before="0" w:after="0"/>
              <w:jc w:val="both"/>
              <w:rPr>
                <w:rFonts w:ascii="arial" w:hAnsi="arial"/>
                <w:i/>
                <w:sz w:val="18"/>
              </w:rPr>
            </w:pPr>
            <w:r>
              <w:rPr>
                <w:rFonts w:ascii="arial" w:hAnsi="arial"/>
                <w:i/>
                <w:sz w:val="18"/>
              </w:rPr>
              <w:t xml:space="preserve">Based on the Schedule 13G filed by State Street Corporation with the SEC on February 7, 2023, State Street Corporation has sole voting power over 0 shares of common stock, shared voting power over 55,918,143 shares of common stock, sole dispositive power over 0 shares of common stock and shared dispositive power over 61,896,570 shares of common stock. </w:t>
            </w:r>
          </w:p>
        </w:tc>
      </w:tr>
    </w:tbl>
    <w:p>
      <w:pPr>
        <w:pStyle w:val="TextBody"/>
        <w:spacing w:before="0" w:after="0"/>
        <w:jc w:val="left"/>
        <w:rPr/>
      </w:pPr>
      <w:r>
        <w:rPr/>
        <w:t> </w:t>
      </w:r>
    </w:p>
    <w:tbl>
      <w:tblPr>
        <w:tblW w:w="8170" w:type="dxa"/>
        <w:jc w:val="left"/>
        <w:tblInd w:w="0" w:type="dxa"/>
        <w:tblCellMar>
          <w:top w:w="0" w:type="dxa"/>
          <w:left w:w="0" w:type="dxa"/>
          <w:bottom w:w="0" w:type="dxa"/>
          <w:right w:w="0" w:type="dxa"/>
        </w:tblCellMar>
      </w:tblPr>
      <w:tblGrid>
        <w:gridCol w:w="1040"/>
        <w:gridCol w:w="7130"/>
      </w:tblGrid>
      <w:tr>
        <w:trPr/>
        <w:tc>
          <w:tcPr>
            <w:tcW w:w="1040" w:type="dxa"/>
            <w:tcBorders/>
            <w:shd w:fill="auto" w:val="clear"/>
            <w:vAlign w:val="center"/>
          </w:tcPr>
          <w:p>
            <w:pPr>
              <w:pStyle w:val="TableContents"/>
              <w:spacing w:before="0" w:after="283"/>
              <w:jc w:val="left"/>
              <w:rPr>
                <w:b/>
              </w:rPr>
            </w:pPr>
            <w:bookmarkStart w:id="6" w:name="toc487324_4"/>
            <w:bookmarkEnd w:id="6"/>
            <w:r>
              <w:rPr>
                <w:b/>
              </w:rPr>
              <w:t>ITEM 13.</w:t>
            </w:r>
          </w:p>
        </w:tc>
        <w:tc>
          <w:tcPr>
            <w:tcW w:w="7130" w:type="dxa"/>
            <w:tcBorders/>
            <w:shd w:fill="auto" w:val="clear"/>
            <w:vAlign w:val="center"/>
          </w:tcPr>
          <w:p>
            <w:pPr>
              <w:pStyle w:val="TableContents"/>
              <w:spacing w:before="0" w:after="0"/>
              <w:jc w:val="left"/>
              <w:rPr>
                <w:rFonts w:ascii="arial" w:hAnsi="arial"/>
                <w:b/>
                <w:sz w:val="20"/>
              </w:rPr>
            </w:pPr>
            <w:r>
              <w:rPr>
                <w:rFonts w:ascii="arial" w:hAnsi="arial"/>
                <w:b/>
                <w:sz w:val="20"/>
              </w:rPr>
              <w:t xml:space="preserve">Certain Relationships and Related Transactions, and Director Independence </w:t>
            </w:r>
          </w:p>
        </w:tc>
      </w:tr>
    </w:tbl>
    <w:p>
      <w:pPr>
        <w:pStyle w:val="TextBody"/>
        <w:spacing w:before="120" w:after="0"/>
        <w:jc w:val="both"/>
        <w:rPr>
          <w:rFonts w:ascii="arial" w:hAnsi="arial"/>
          <w:sz w:val="18"/>
        </w:rPr>
      </w:pPr>
      <w:r>
        <w:rPr>
          <w:rFonts w:ascii="arial" w:hAnsi="arial"/>
          <w:sz w:val="18"/>
        </w:rPr>
        <w:t xml:space="preserve">Based on a review of any transactions between Viatris and its Directors and executive officers, their immediate family members, and their affiliated entities, Viatris has determined that since the beginning of 2022, it was or is to be a participant in the following transactions in which the amount involved exceeds $120,000 and in which any of Viatris’ Directors, executive officers, or greater than five percent shareholders, or any of their immediate family members, had or will have a direct or indirect material interest: </w:t>
      </w:r>
    </w:p>
    <w:p>
      <w:pPr>
        <w:pStyle w:val="TextBody"/>
        <w:spacing w:before="120" w:after="0"/>
        <w:jc w:val="both"/>
        <w:rPr>
          <w:rFonts w:ascii="arial" w:hAnsi="arial"/>
          <w:sz w:val="18"/>
        </w:rPr>
      </w:pPr>
      <w:r>
        <w:rPr>
          <w:rFonts w:ascii="arial" w:hAnsi="arial"/>
          <w:sz w:val="18"/>
        </w:rPr>
        <w:t xml:space="preserve">Since approximately 1995, The Coury Firm LLC (together with its predecessors, “TCF”) and, in the past, other affiliated entities of TCF, has been serving as the broker of record in connection with several of Mylan’s and, since the closing of the Combination, Viatris’ employee benefit programs. TCF is in the business of providing strategic corporate benefits advice and services, among others. TCF provides certain services to Viatris and its subsidiaries pursuant to a contract between Mylan Inc., a subsidiary of Viatris, and TCF. The principals of TCF are brothers and a son of Robert J. Coury, Executive Chairman, and TCF is beneficially owned by brothers and trusts on behalf of brothers and children of Mr. Coury. Commencing on September 1, 2020, the parties extended their agreement through December 31, 2023 on substantially the same terms as their prior arrangement, which included a fixed base fee of $37,500 per month to be paid by Mylan to TCF, corresponding to the term of agreements negotiated with certain benefit plan carriers and capping payments over that time period. However, where required by law, TCF will continue to receive commissions directly from certain other benefit plan carriers, and in 2022 and early 2023, received payments totaling approximately $165,000 in commissions for these services directly from the insurance carriers (including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53 </w:t>
      </w:r>
      <w:r>
        <w:br w:type="page"/>
      </w:r>
    </w:p>
    <w:p>
      <w:pPr>
        <w:pStyle w:val="HorizontalLine"/>
        <w:rPr/>
      </w:pPr>
      <w:r>
        <w:rPr/>
      </w:r>
    </w:p>
    <w:p>
      <w:pPr>
        <w:pStyle w:val="TextBody"/>
        <w:spacing w:before="0" w:after="0"/>
        <w:jc w:val="both"/>
        <w:rPr>
          <w:rFonts w:ascii="arial" w:hAnsi="arial"/>
          <w:sz w:val="18"/>
        </w:rPr>
      </w:pPr>
      <w:r>
        <w:rPr>
          <w:rFonts w:ascii="arial" w:hAnsi="arial"/>
          <w:sz w:val="18"/>
        </w:rPr>
        <w:t xml:space="preserve">payments for 2021 business paid in 2022). The parties expect to extend the agreement on substantially the same terms prior to its expiration. </w:t>
      </w:r>
    </w:p>
    <w:p>
      <w:pPr>
        <w:pStyle w:val="TextBody"/>
        <w:spacing w:before="120" w:after="0"/>
        <w:jc w:val="both"/>
        <w:rPr>
          <w:rFonts w:ascii="arial" w:hAnsi="arial"/>
          <w:sz w:val="18"/>
        </w:rPr>
      </w:pPr>
      <w:r>
        <w:rPr>
          <w:rFonts w:ascii="arial" w:hAnsi="arial"/>
          <w:sz w:val="18"/>
        </w:rPr>
        <w:t xml:space="preserve">Angela Campbell, Mr. Campbell’s spouse and herself a related person of Viatris, held roles of increasing responsibility at Mylan Inc. since June 2007 and most recently served as Head of Operations Strategic Initiatives until her departure effective December 31, 2022. Ms. Campbell earned approximately $360,000 in compensation from Viatris in 2022 (consisting of base salary, an annual short-term incentive bonus, amounts realized from the exercise or vesting of long-term incentive awards and miscellaneous other benefits) and in 2023 will receive an annual short-term cash incentive bonus of approximately $93,000 related to work performed in 2022 and standard Company severance payments of approximately $166,000. Upon her departure, all of her unvested equity awards were forfeited. </w:t>
      </w:r>
    </w:p>
    <w:p>
      <w:pPr>
        <w:pStyle w:val="TextBody"/>
        <w:spacing w:before="120" w:after="0"/>
        <w:jc w:val="both"/>
        <w:rPr>
          <w:rFonts w:ascii="arial" w:hAnsi="arial"/>
          <w:sz w:val="18"/>
        </w:rPr>
      </w:pPr>
      <w:r>
        <w:rPr>
          <w:rFonts w:ascii="arial" w:hAnsi="arial"/>
          <w:sz w:val="18"/>
        </w:rPr>
        <w:t xml:space="preserve">Mr. Malik is an executive officer of the Company and was party to an employment agreement with Mylan Inc., which contained standard indemnification provisions, and is currently party to a standard indemnification agreement with the Company. The Company has made payments to counsel to Mr. Malik of approximately $650,000 from January 1, 2022 through April 24, 2023 for services provided to Mr. Malik in connection with certain previously disclosed drug pricing matters. The Company anticipates making additional payments of approximately $500,000 in 2023 for ongoing services to be provided to Mr. Malik in connection with such matters. Viatris anticipates additional payment, repayment or advancement of these and other expenses during the pendency of these matters and anticipates that it will make payments for any such claims. </w:t>
      </w:r>
    </w:p>
    <w:p>
      <w:pPr>
        <w:pStyle w:val="TextBody"/>
        <w:spacing w:before="240" w:after="0"/>
        <w:jc w:val="both"/>
        <w:rPr>
          <w:rFonts w:ascii="arial" w:hAnsi="arial"/>
          <w:sz w:val="18"/>
        </w:rPr>
      </w:pPr>
      <w:r>
        <w:rPr>
          <w:rFonts w:ascii="arial" w:hAnsi="arial"/>
          <w:sz w:val="18"/>
        </w:rPr>
        <w:t xml:space="preserve">Viatris has a written related party transactions policy that establishes guidelines for reviewing and approving, as appropriate, transactions involving any Director, nominee for Director, “officer” (as defined in Rule 16a-1(f) of the Securities Exchange Act of 1934, as amended (the “Exchange Act”)) (“Section 16 Officer”), person known by the Company to be the beneficial owner of more than 5% of any class of the Company’s voting securities, or person known by the Company to be an immediate family member of any such person in which (1) the amount involved will or may be expected to exceed $100,000; (2) Viatris or an affiliate of Viatris is or will be a participant; and (3) any related party has or will have a direct or indirect material interest. The Board also annually reviews certain relationships and related party transactions as part of its assessment of each Director’s independence. </w:t>
      </w:r>
    </w:p>
    <w:p>
      <w:pPr>
        <w:pStyle w:val="TextBody"/>
        <w:spacing w:before="240" w:after="0"/>
        <w:jc w:val="left"/>
        <w:rPr>
          <w:rFonts w:ascii="arial" w:hAnsi="arial"/>
          <w:b/>
          <w:sz w:val="20"/>
        </w:rPr>
      </w:pPr>
      <w:r>
        <w:rPr>
          <w:rFonts w:ascii="arial" w:hAnsi="arial"/>
          <w:b/>
          <w:sz w:val="20"/>
        </w:rPr>
        <w:t xml:space="preserve">Director Independence </w:t>
      </w:r>
    </w:p>
    <w:p>
      <w:pPr>
        <w:pStyle w:val="TextBody"/>
        <w:spacing w:before="120" w:after="0"/>
        <w:jc w:val="both"/>
        <w:rPr>
          <w:rFonts w:ascii="arial" w:hAnsi="arial"/>
          <w:sz w:val="18"/>
        </w:rPr>
      </w:pPr>
      <w:r>
        <w:rPr>
          <w:rFonts w:ascii="arial" w:hAnsi="arial"/>
          <w:sz w:val="18"/>
        </w:rPr>
        <w:t xml:space="preserve">Viatris’ Board has determined that Mr. Cornwell, Ms. Dillon, Ms. Finney, Ms. Higgins, Mr. Kilts, Mr. Korman, Mr. Mark, Mr. Parrish, and Ms. van der Meer Mohr are independent Directors under the applicable NASDAQ listing rules. In making these determinations, the Board considered, with respect to Mr. Cornwell’s independence, that Mr. Cornwell’s son was a partner of PJT Partners (“PJT”) until January 2023 when he became a member of its board of directors. PJT served as a financial advisor to Mylan in connection with the Combination and the Biocon Biologics Transaction. Mr. Cornwell’s son was not involved in PJT’s work related to either the Combination or the Biocon Biologics Transaction. With respect to Mr. Korman’s independence, the Board considered (a) Mr. Korman’s past employment by Mylan Inc. from 1996 through July 2014 and his prior consulting services for Mylan Inc. from July 2014 to July 1, 2015 and (b) that Mr. Korman’s son had a paid internship with a Mylan subsidiary during the summer of 2019. With respect to Mr. Mark, the Board considered his prior service as a partner at Deloitte, Viatris’ independent registered public accounting firm. The Board determined that any such past arrangements, transactions or relationships would not interfere with the exercise of independent judgment by Mr. Cornwell, Mr. Korman or Mr. Mark in carrying out his respective responsibilities as a Director of Viatris. </w:t>
      </w:r>
    </w:p>
    <w:p>
      <w:pPr>
        <w:pStyle w:val="TextBody"/>
        <w:spacing w:before="240" w:after="0"/>
        <w:jc w:val="both"/>
        <w:rPr>
          <w:rFonts w:ascii="arial" w:hAnsi="arial"/>
          <w:sz w:val="18"/>
        </w:rPr>
      </w:pPr>
      <w:r>
        <w:rPr>
          <w:rFonts w:ascii="arial" w:hAnsi="arial"/>
          <w:sz w:val="18"/>
        </w:rPr>
        <w:t xml:space="preserve">Messrs. Coury, Malik, and Smith are not independent Directors under applicable NASDAQ listing rules.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54 </w:t>
      </w:r>
      <w:r>
        <w:br w:type="page"/>
      </w:r>
    </w:p>
    <w:p>
      <w:pPr>
        <w:pStyle w:val="HorizontalLine"/>
        <w:rPr/>
      </w:pPr>
      <w:r>
        <w:rPr/>
      </w:r>
    </w:p>
    <w:p>
      <w:pPr>
        <w:pStyle w:val="TextBody"/>
        <w:spacing w:before="0" w:after="0"/>
        <w:jc w:val="both"/>
        <w:rPr>
          <w:rFonts w:ascii="arial" w:hAnsi="arial"/>
          <w:sz w:val="18"/>
        </w:rPr>
      </w:pPr>
      <w:r>
        <w:rPr>
          <w:rFonts w:ascii="arial" w:hAnsi="arial"/>
          <w:sz w:val="18"/>
        </w:rPr>
        <w:t xml:space="preserve">Viatris’ Board had previously determined that Mr. Dimick, who served on the Board until December 28, 2022, was independent under the applicable NASDAQ listing rules. Mr. Goettler, who served on the Board until April 1, 2023, and Mr. Read, who served on the Board until December 28, 2022, were not independent Directors under applicable NASDAQ listing rules. </w:t>
      </w:r>
    </w:p>
    <w:p>
      <w:pPr>
        <w:pStyle w:val="TextBody"/>
        <w:spacing w:before="0" w:after="0"/>
        <w:jc w:val="left"/>
        <w:rPr/>
      </w:pPr>
      <w:r>
        <w:rPr/>
        <w:t> </w:t>
      </w:r>
    </w:p>
    <w:tbl>
      <w:tblPr>
        <w:tblW w:w="4855" w:type="dxa"/>
        <w:jc w:val="left"/>
        <w:tblInd w:w="0" w:type="dxa"/>
        <w:tblCellMar>
          <w:top w:w="0" w:type="dxa"/>
          <w:left w:w="0" w:type="dxa"/>
          <w:bottom w:w="0" w:type="dxa"/>
          <w:right w:w="0" w:type="dxa"/>
        </w:tblCellMar>
      </w:tblPr>
      <w:tblGrid>
        <w:gridCol w:w="1040"/>
        <w:gridCol w:w="3815"/>
      </w:tblGrid>
      <w:tr>
        <w:trPr/>
        <w:tc>
          <w:tcPr>
            <w:tcW w:w="1040" w:type="dxa"/>
            <w:tcBorders/>
            <w:shd w:fill="auto" w:val="clear"/>
            <w:vAlign w:val="center"/>
          </w:tcPr>
          <w:p>
            <w:pPr>
              <w:pStyle w:val="TableContents"/>
              <w:spacing w:before="0" w:after="283"/>
              <w:jc w:val="left"/>
              <w:rPr>
                <w:b/>
              </w:rPr>
            </w:pPr>
            <w:bookmarkStart w:id="7" w:name="toc487324_5"/>
            <w:bookmarkEnd w:id="7"/>
            <w:r>
              <w:rPr>
                <w:b/>
              </w:rPr>
              <w:t>ITEM 14.</w:t>
            </w:r>
          </w:p>
        </w:tc>
        <w:tc>
          <w:tcPr>
            <w:tcW w:w="3815" w:type="dxa"/>
            <w:tcBorders/>
            <w:shd w:fill="auto" w:val="clear"/>
            <w:vAlign w:val="center"/>
          </w:tcPr>
          <w:p>
            <w:pPr>
              <w:pStyle w:val="TableContents"/>
              <w:spacing w:before="0" w:after="0"/>
              <w:jc w:val="left"/>
              <w:rPr>
                <w:rFonts w:ascii="arial" w:hAnsi="arial"/>
                <w:b/>
                <w:sz w:val="20"/>
              </w:rPr>
            </w:pPr>
            <w:r>
              <w:rPr>
                <w:rFonts w:ascii="arial" w:hAnsi="arial"/>
                <w:b/>
                <w:sz w:val="20"/>
              </w:rPr>
              <w:t xml:space="preserve">Principal Accounting Fees and Services </w:t>
            </w:r>
          </w:p>
        </w:tc>
      </w:tr>
    </w:tbl>
    <w:p>
      <w:pPr>
        <w:pStyle w:val="TextBody"/>
        <w:spacing w:before="120" w:after="0"/>
        <w:jc w:val="both"/>
        <w:rPr>
          <w:rFonts w:ascii="arial" w:hAnsi="arial"/>
          <w:sz w:val="18"/>
        </w:rPr>
      </w:pPr>
      <w:r>
        <w:rPr>
          <w:rFonts w:ascii="arial" w:hAnsi="arial"/>
          <w:sz w:val="18"/>
        </w:rPr>
        <w:t xml:space="preserve">Deloitte served as Viatris’ independent registered public accounting firm during 2022 and 2021 and audited Viatris’ financial statements for the fiscal years ended December 31, 2022 and 2021. No relationships exist with Deloitte other than the usual relationship between such a firm and its client. Details about the nature of the services provided by, and fees Viatris paid to, Deloitte and affiliated firms for such services during 2022 and 2021 are set forth below. </w:t>
      </w:r>
    </w:p>
    <w:p>
      <w:pPr>
        <w:pStyle w:val="TextBody"/>
        <w:spacing w:before="0" w:after="0"/>
        <w:jc w:val="left"/>
        <w:rPr/>
      </w:pPr>
      <w:r>
        <w:rPr/>
        <w:t> </w:t>
      </w:r>
    </w:p>
    <w:tbl>
      <w:tblPr>
        <w:tblW w:w="4130" w:type="dxa"/>
        <w:jc w:val="left"/>
        <w:tblInd w:w="0" w:type="dxa"/>
        <w:tblCellMar>
          <w:top w:w="0" w:type="dxa"/>
          <w:left w:w="0" w:type="dxa"/>
          <w:bottom w:w="0" w:type="dxa"/>
          <w:right w:w="0" w:type="dxa"/>
        </w:tblCellMar>
      </w:tblPr>
      <w:tblGrid>
        <w:gridCol w:w="1820"/>
        <w:gridCol w:w="120"/>
        <w:gridCol w:w="140"/>
        <w:gridCol w:w="560"/>
        <w:gridCol w:w="60"/>
        <w:gridCol w:w="240"/>
        <w:gridCol w:w="223"/>
        <w:gridCol w:w="892"/>
        <w:gridCol w:w="75"/>
      </w:tblGrid>
      <w:tr>
        <w:trPr/>
        <w:tc>
          <w:tcPr>
            <w:tcW w:w="18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892"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82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00"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pPr>
            <w:r>
              <w:rPr/>
              <w:t>    </w:t>
            </w:r>
          </w:p>
        </w:tc>
        <w:tc>
          <w:tcPr>
            <w:tcW w:w="1115" w:type="dxa"/>
            <w:gridSpan w:val="2"/>
            <w:tcBorders/>
            <w:shd w:fill="auto" w:val="clear"/>
            <w:vAlign w:val="center"/>
          </w:tcPr>
          <w:p>
            <w:pPr>
              <w:pStyle w:val="TableContents"/>
              <w:spacing w:before="0" w:after="283"/>
              <w:jc w:val="right"/>
              <w:rPr>
                <w:b/>
                <w:color w:val="732282"/>
              </w:rPr>
            </w:pPr>
            <w:r>
              <w:rPr>
                <w:b/>
                <w:color w:val="732282"/>
              </w:rPr>
              <w:t>In Millions</w:t>
            </w:r>
          </w:p>
        </w:tc>
        <w:tc>
          <w:tcPr>
            <w:tcW w:w="75" w:type="dxa"/>
            <w:tcBorders/>
            <w:shd w:fill="auto" w:val="clear"/>
            <w:vAlign w:val="center"/>
          </w:tcPr>
          <w:p>
            <w:pPr>
              <w:pStyle w:val="TableContents"/>
              <w:spacing w:before="0" w:after="283"/>
              <w:rPr/>
            </w:pPr>
            <w:r>
              <w:rPr/>
              <w:t> </w:t>
            </w:r>
          </w:p>
        </w:tc>
      </w:tr>
      <w:tr>
        <w:trPr/>
        <w:tc>
          <w:tcPr>
            <w:tcW w:w="1820" w:type="dxa"/>
            <w:tcBorders>
              <w:bottom w:val="single" w:sz="8" w:space="0" w:color="732282"/>
            </w:tcBorders>
            <w:shd w:fill="auto" w:val="clear"/>
            <w:tcMar>
              <w:bottom w:w="28" w:type="dxa"/>
            </w:tcMar>
            <w:vAlign w:val="center"/>
          </w:tcPr>
          <w:p>
            <w:pPr>
              <w:pStyle w:val="TableContents"/>
              <w:spacing w:before="0" w:after="283"/>
              <w:rPr/>
            </w:pPr>
            <w:r>
              <w:rPr/>
              <w:t>  </w:t>
            </w:r>
          </w:p>
        </w:tc>
        <w:tc>
          <w:tcPr>
            <w:tcW w:w="120" w:type="dxa"/>
            <w:tcBorders>
              <w:bottom w:val="single" w:sz="8" w:space="0" w:color="732282"/>
            </w:tcBorders>
            <w:shd w:fill="auto" w:val="clear"/>
            <w:tcMar>
              <w:bottom w:w="28" w:type="dxa"/>
            </w:tcMar>
            <w:vAlign w:val="center"/>
          </w:tcPr>
          <w:p>
            <w:pPr>
              <w:pStyle w:val="TableContents"/>
              <w:spacing w:before="0" w:after="283"/>
              <w:rPr/>
            </w:pPr>
            <w:r>
              <w:rPr/>
              <w:t>  </w:t>
            </w:r>
          </w:p>
        </w:tc>
        <w:tc>
          <w:tcPr>
            <w:tcW w:w="700" w:type="dxa"/>
            <w:gridSpan w:val="2"/>
            <w:tcBorders>
              <w:bottom w:val="single" w:sz="8" w:space="0" w:color="732282"/>
            </w:tcBorders>
            <w:shd w:fill="auto" w:val="clear"/>
            <w:tcMar>
              <w:bottom w:w="28" w:type="dxa"/>
            </w:tcMar>
            <w:vAlign w:val="center"/>
          </w:tcPr>
          <w:p>
            <w:pPr>
              <w:pStyle w:val="TableContents"/>
              <w:spacing w:before="0" w:after="283"/>
              <w:jc w:val="right"/>
              <w:rPr>
                <w:b/>
                <w:color w:val="732282"/>
              </w:rPr>
            </w:pPr>
            <w:r>
              <w:rPr>
                <w:b/>
                <w:color w:val="732282"/>
              </w:rPr>
              <w:t>2022</w:t>
            </w:r>
          </w:p>
        </w:tc>
        <w:tc>
          <w:tcPr>
            <w:tcW w:w="60" w:type="dxa"/>
            <w:tcBorders>
              <w:bottom w:val="single" w:sz="8" w:space="0" w:color="732282"/>
            </w:tcBorders>
            <w:shd w:fill="auto" w:val="clear"/>
            <w:tcMar>
              <w:bottom w:w="28" w:type="dxa"/>
            </w:tcMar>
            <w:vAlign w:val="center"/>
          </w:tcPr>
          <w:p>
            <w:pPr>
              <w:pStyle w:val="TableContents"/>
              <w:spacing w:before="0" w:after="283"/>
              <w:rPr/>
            </w:pPr>
            <w:r>
              <w:rPr/>
              <w:t> </w:t>
            </w:r>
          </w:p>
        </w:tc>
        <w:tc>
          <w:tcPr>
            <w:tcW w:w="240" w:type="dxa"/>
            <w:tcBorders>
              <w:bottom w:val="single" w:sz="8" w:space="0" w:color="732282"/>
            </w:tcBorders>
            <w:shd w:fill="auto" w:val="clear"/>
            <w:tcMar>
              <w:bottom w:w="28" w:type="dxa"/>
            </w:tcMar>
            <w:vAlign w:val="center"/>
          </w:tcPr>
          <w:p>
            <w:pPr>
              <w:pStyle w:val="TableContents"/>
              <w:spacing w:before="0" w:after="283"/>
              <w:rPr/>
            </w:pPr>
            <w:r>
              <w:rPr/>
              <w:t>    </w:t>
            </w:r>
          </w:p>
        </w:tc>
        <w:tc>
          <w:tcPr>
            <w:tcW w:w="1115" w:type="dxa"/>
            <w:gridSpan w:val="2"/>
            <w:tcBorders>
              <w:bottom w:val="single" w:sz="8" w:space="0" w:color="732282"/>
            </w:tcBorders>
            <w:shd w:fill="auto" w:val="clear"/>
            <w:tcMar>
              <w:bottom w:w="28" w:type="dxa"/>
            </w:tcMar>
            <w:vAlign w:val="center"/>
          </w:tcPr>
          <w:p>
            <w:pPr>
              <w:pStyle w:val="TableContents"/>
              <w:spacing w:before="0" w:after="283"/>
              <w:jc w:val="right"/>
              <w:rPr>
                <w:b/>
                <w:color w:val="732282"/>
              </w:rPr>
            </w:pPr>
            <w:r>
              <w:rPr>
                <w:b/>
                <w:color w:val="732282"/>
              </w:rPr>
              <w:t>2021</w:t>
            </w:r>
          </w:p>
        </w:tc>
        <w:tc>
          <w:tcPr>
            <w:tcW w:w="75" w:type="dxa"/>
            <w:tcBorders>
              <w:bottom w:val="single" w:sz="8" w:space="0" w:color="732282"/>
            </w:tcBorders>
            <w:shd w:fill="auto" w:val="clear"/>
            <w:tcMar>
              <w:bottom w:w="28" w:type="dxa"/>
            </w:tcMar>
            <w:vAlign w:val="center"/>
          </w:tcPr>
          <w:p>
            <w:pPr>
              <w:pStyle w:val="TableContents"/>
              <w:spacing w:before="0" w:after="283"/>
              <w:rPr/>
            </w:pPr>
            <w:r>
              <w:rPr/>
              <w:t> </w:t>
            </w:r>
          </w:p>
        </w:tc>
      </w:tr>
      <w:tr>
        <w:trPr/>
        <w:tc>
          <w:tcPr>
            <w:tcW w:w="1820" w:type="dxa"/>
            <w:tcBorders/>
            <w:shd w:fill="E5E5E5" w:val="clear"/>
            <w:vAlign w:val="center"/>
          </w:tcPr>
          <w:p>
            <w:pPr>
              <w:pStyle w:val="TableContents"/>
              <w:spacing w:before="0" w:after="0"/>
              <w:rPr>
                <w:rFonts w:ascii="arial" w:hAnsi="arial"/>
                <w:sz w:val="18"/>
              </w:rPr>
            </w:pPr>
            <w:r>
              <w:rPr>
                <w:rFonts w:ascii="arial" w:hAnsi="arial"/>
                <w:sz w:val="18"/>
              </w:rPr>
              <w:t>Audit Fees(1)</w:t>
            </w:r>
          </w:p>
        </w:tc>
        <w:tc>
          <w:tcPr>
            <w:tcW w:w="120" w:type="dxa"/>
            <w:tcBorders/>
            <w:shd w:fill="E5E5E5" w:val="clear"/>
            <w:vAlign w:val="center"/>
          </w:tcPr>
          <w:p>
            <w:pPr>
              <w:pStyle w:val="TableContents"/>
              <w:spacing w:before="0" w:after="283"/>
              <w:rPr/>
            </w:pPr>
            <w:r>
              <w:rPr/>
              <w:t>  </w:t>
            </w:r>
          </w:p>
        </w:tc>
        <w:tc>
          <w:tcPr>
            <w:tcW w:w="140" w:type="dxa"/>
            <w:tcBorders/>
            <w:shd w:fill="E5E5E5" w:val="clear"/>
            <w:vAlign w:val="center"/>
          </w:tcPr>
          <w:p>
            <w:pPr>
              <w:pStyle w:val="TableContents"/>
              <w:spacing w:before="0" w:after="283"/>
              <w:rPr/>
            </w:pPr>
            <w:r>
              <w:rPr/>
              <w:t>$</w:t>
            </w:r>
          </w:p>
        </w:tc>
        <w:tc>
          <w:tcPr>
            <w:tcW w:w="560" w:type="dxa"/>
            <w:tcBorders/>
            <w:shd w:fill="E5E5E5" w:val="clear"/>
            <w:vAlign w:val="center"/>
          </w:tcPr>
          <w:p>
            <w:pPr>
              <w:pStyle w:val="TableContents"/>
              <w:spacing w:before="0" w:after="283"/>
              <w:jc w:val="right"/>
              <w:rPr/>
            </w:pPr>
            <w:r>
              <w:rPr/>
              <w:t>15.41</w:t>
            </w:r>
          </w:p>
        </w:tc>
        <w:tc>
          <w:tcPr>
            <w:tcW w:w="60" w:type="dxa"/>
            <w:tcBorders/>
            <w:shd w:fill="E5E5E5" w:val="clear"/>
            <w:vAlign w:val="center"/>
          </w:tcPr>
          <w:p>
            <w:pPr>
              <w:pStyle w:val="TableContents"/>
              <w:spacing w:before="0" w:after="283"/>
              <w:rPr/>
            </w:pPr>
            <w:r>
              <w:rPr/>
              <w:t> </w:t>
            </w:r>
          </w:p>
        </w:tc>
        <w:tc>
          <w:tcPr>
            <w:tcW w:w="240" w:type="dxa"/>
            <w:tcBorders/>
            <w:shd w:fill="E5E5E5" w:val="clear"/>
            <w:vAlign w:val="center"/>
          </w:tcPr>
          <w:p>
            <w:pPr>
              <w:pStyle w:val="TableContents"/>
              <w:spacing w:before="0" w:after="283"/>
              <w:rPr/>
            </w:pPr>
            <w:r>
              <w:rPr/>
              <w:t>    </w:t>
            </w:r>
          </w:p>
        </w:tc>
        <w:tc>
          <w:tcPr>
            <w:tcW w:w="223" w:type="dxa"/>
            <w:tcBorders/>
            <w:shd w:fill="E5E5E5" w:val="clear"/>
            <w:vAlign w:val="center"/>
          </w:tcPr>
          <w:p>
            <w:pPr>
              <w:pStyle w:val="TableContents"/>
              <w:spacing w:before="0" w:after="283"/>
              <w:rPr/>
            </w:pPr>
            <w:r>
              <w:rPr/>
              <w:t>$</w:t>
            </w:r>
          </w:p>
        </w:tc>
        <w:tc>
          <w:tcPr>
            <w:tcW w:w="892" w:type="dxa"/>
            <w:tcBorders/>
            <w:shd w:fill="E5E5E5" w:val="clear"/>
            <w:vAlign w:val="center"/>
          </w:tcPr>
          <w:p>
            <w:pPr>
              <w:pStyle w:val="TableContents"/>
              <w:spacing w:before="0" w:after="283"/>
              <w:jc w:val="right"/>
              <w:rPr/>
            </w:pPr>
            <w:r>
              <w:rPr/>
              <w:t>12.29</w:t>
            </w:r>
          </w:p>
        </w:tc>
        <w:tc>
          <w:tcPr>
            <w:tcW w:w="75" w:type="dxa"/>
            <w:tcBorders/>
            <w:shd w:fill="E5E5E5" w:val="clear"/>
            <w:vAlign w:val="center"/>
          </w:tcPr>
          <w:p>
            <w:pPr>
              <w:pStyle w:val="TableContents"/>
              <w:spacing w:before="0" w:after="283"/>
              <w:rPr/>
            </w:pPr>
            <w:r>
              <w:rPr/>
              <w:t> </w:t>
            </w:r>
          </w:p>
        </w:tc>
      </w:tr>
      <w:tr>
        <w:trPr/>
        <w:tc>
          <w:tcPr>
            <w:tcW w:w="1820" w:type="dxa"/>
            <w:tcBorders/>
            <w:shd w:fill="auto" w:val="clear"/>
            <w:vAlign w:val="center"/>
          </w:tcPr>
          <w:p>
            <w:pPr>
              <w:pStyle w:val="TableContents"/>
              <w:spacing w:before="0" w:after="0"/>
              <w:rPr>
                <w:rFonts w:ascii="arial" w:hAnsi="arial"/>
                <w:sz w:val="18"/>
              </w:rPr>
            </w:pPr>
            <w:r>
              <w:rPr>
                <w:rFonts w:ascii="arial" w:hAnsi="arial"/>
                <w:sz w:val="18"/>
              </w:rPr>
              <w:t>Audit Related Fees(2)</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0.35</w:t>
            </w:r>
          </w:p>
        </w:tc>
        <w:tc>
          <w:tcPr>
            <w:tcW w:w="60"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pPr>
            <w:r>
              <w:rPr/>
              <w:t>    </w:t>
            </w:r>
          </w:p>
        </w:tc>
        <w:tc>
          <w:tcPr>
            <w:tcW w:w="223" w:type="dxa"/>
            <w:tcBorders/>
            <w:shd w:fill="auto" w:val="clear"/>
            <w:vAlign w:val="center"/>
          </w:tcPr>
          <w:p>
            <w:pPr>
              <w:pStyle w:val="TableContents"/>
              <w:spacing w:before="0" w:after="283"/>
              <w:rPr/>
            </w:pPr>
            <w:r>
              <w:rPr/>
              <w:t> </w:t>
            </w:r>
          </w:p>
        </w:tc>
        <w:tc>
          <w:tcPr>
            <w:tcW w:w="892" w:type="dxa"/>
            <w:tcBorders/>
            <w:shd w:fill="auto" w:val="clear"/>
            <w:vAlign w:val="center"/>
          </w:tcPr>
          <w:p>
            <w:pPr>
              <w:pStyle w:val="TableContents"/>
              <w:spacing w:before="0" w:after="283"/>
              <w:jc w:val="right"/>
              <w:rPr/>
            </w:pPr>
            <w:r>
              <w:rPr/>
              <w:t>0.19</w:t>
            </w:r>
          </w:p>
        </w:tc>
        <w:tc>
          <w:tcPr>
            <w:tcW w:w="75" w:type="dxa"/>
            <w:tcBorders/>
            <w:shd w:fill="auto" w:val="clear"/>
            <w:vAlign w:val="center"/>
          </w:tcPr>
          <w:p>
            <w:pPr>
              <w:pStyle w:val="TableContents"/>
              <w:spacing w:before="0" w:after="283"/>
              <w:rPr/>
            </w:pPr>
            <w:r>
              <w:rPr/>
              <w:t> </w:t>
            </w:r>
          </w:p>
        </w:tc>
      </w:tr>
      <w:tr>
        <w:trPr/>
        <w:tc>
          <w:tcPr>
            <w:tcW w:w="1820" w:type="dxa"/>
            <w:tcBorders/>
            <w:shd w:fill="E5E5E5" w:val="clear"/>
            <w:vAlign w:val="center"/>
          </w:tcPr>
          <w:p>
            <w:pPr>
              <w:pStyle w:val="TableContents"/>
              <w:spacing w:before="0" w:after="0"/>
              <w:rPr>
                <w:rFonts w:ascii="arial" w:hAnsi="arial"/>
                <w:sz w:val="18"/>
              </w:rPr>
            </w:pPr>
            <w:r>
              <w:rPr>
                <w:rFonts w:ascii="arial" w:hAnsi="arial"/>
                <w:sz w:val="18"/>
              </w:rPr>
              <w:t>Tax Fees(3)</w:t>
            </w:r>
          </w:p>
        </w:tc>
        <w:tc>
          <w:tcPr>
            <w:tcW w:w="120" w:type="dxa"/>
            <w:tcBorders/>
            <w:shd w:fill="E5E5E5" w:val="clear"/>
            <w:vAlign w:val="center"/>
          </w:tcPr>
          <w:p>
            <w:pPr>
              <w:pStyle w:val="TableContents"/>
              <w:spacing w:before="0" w:after="283"/>
              <w:rPr/>
            </w:pPr>
            <w:r>
              <w:rPr/>
              <w:t>  </w:t>
            </w:r>
          </w:p>
        </w:tc>
        <w:tc>
          <w:tcPr>
            <w:tcW w:w="140" w:type="dxa"/>
            <w:tcBorders/>
            <w:shd w:fill="E5E5E5" w:val="clear"/>
            <w:vAlign w:val="center"/>
          </w:tcPr>
          <w:p>
            <w:pPr>
              <w:pStyle w:val="TableContents"/>
              <w:spacing w:before="0" w:after="283"/>
              <w:rPr/>
            </w:pPr>
            <w:r>
              <w:rPr/>
              <w:t> </w:t>
            </w:r>
          </w:p>
        </w:tc>
        <w:tc>
          <w:tcPr>
            <w:tcW w:w="560" w:type="dxa"/>
            <w:tcBorders/>
            <w:shd w:fill="E5E5E5" w:val="clear"/>
            <w:vAlign w:val="center"/>
          </w:tcPr>
          <w:p>
            <w:pPr>
              <w:pStyle w:val="TableContents"/>
              <w:spacing w:before="0" w:after="283"/>
              <w:jc w:val="right"/>
              <w:rPr/>
            </w:pPr>
            <w:r>
              <w:rPr/>
              <w:t>0.15</w:t>
            </w:r>
          </w:p>
        </w:tc>
        <w:tc>
          <w:tcPr>
            <w:tcW w:w="60" w:type="dxa"/>
            <w:tcBorders/>
            <w:shd w:fill="E5E5E5" w:val="clear"/>
            <w:vAlign w:val="center"/>
          </w:tcPr>
          <w:p>
            <w:pPr>
              <w:pStyle w:val="TableContents"/>
              <w:spacing w:before="0" w:after="283"/>
              <w:rPr/>
            </w:pPr>
            <w:r>
              <w:rPr/>
              <w:t> </w:t>
            </w:r>
          </w:p>
        </w:tc>
        <w:tc>
          <w:tcPr>
            <w:tcW w:w="240" w:type="dxa"/>
            <w:tcBorders/>
            <w:shd w:fill="E5E5E5" w:val="clear"/>
            <w:vAlign w:val="center"/>
          </w:tcPr>
          <w:p>
            <w:pPr>
              <w:pStyle w:val="TableContents"/>
              <w:spacing w:before="0" w:after="283"/>
              <w:rPr/>
            </w:pPr>
            <w:r>
              <w:rPr/>
              <w:t>    </w:t>
            </w:r>
          </w:p>
        </w:tc>
        <w:tc>
          <w:tcPr>
            <w:tcW w:w="223" w:type="dxa"/>
            <w:tcBorders/>
            <w:shd w:fill="E5E5E5" w:val="clear"/>
            <w:vAlign w:val="center"/>
          </w:tcPr>
          <w:p>
            <w:pPr>
              <w:pStyle w:val="TableContents"/>
              <w:spacing w:before="0" w:after="283"/>
              <w:rPr/>
            </w:pPr>
            <w:r>
              <w:rPr/>
              <w:t> </w:t>
            </w:r>
          </w:p>
        </w:tc>
        <w:tc>
          <w:tcPr>
            <w:tcW w:w="892" w:type="dxa"/>
            <w:tcBorders/>
            <w:shd w:fill="E5E5E5" w:val="clear"/>
            <w:vAlign w:val="center"/>
          </w:tcPr>
          <w:p>
            <w:pPr>
              <w:pStyle w:val="TableContents"/>
              <w:spacing w:before="0" w:after="283"/>
              <w:jc w:val="right"/>
              <w:rPr/>
            </w:pPr>
            <w:r>
              <w:rPr/>
              <w:t>0.27</w:t>
            </w:r>
          </w:p>
        </w:tc>
        <w:tc>
          <w:tcPr>
            <w:tcW w:w="75" w:type="dxa"/>
            <w:tcBorders/>
            <w:shd w:fill="E5E5E5" w:val="clear"/>
            <w:vAlign w:val="center"/>
          </w:tcPr>
          <w:p>
            <w:pPr>
              <w:pStyle w:val="TableContents"/>
              <w:spacing w:before="0" w:after="283"/>
              <w:rPr/>
            </w:pPr>
            <w:r>
              <w:rPr/>
              <w:t> </w:t>
            </w:r>
          </w:p>
        </w:tc>
      </w:tr>
      <w:tr>
        <w:trPr/>
        <w:tc>
          <w:tcPr>
            <w:tcW w:w="1820" w:type="dxa"/>
            <w:tcBorders/>
            <w:shd w:fill="auto" w:val="clear"/>
            <w:vAlign w:val="center"/>
          </w:tcPr>
          <w:p>
            <w:pPr>
              <w:pStyle w:val="TableContents"/>
              <w:spacing w:before="0" w:after="0"/>
              <w:rPr>
                <w:rFonts w:ascii="arial" w:hAnsi="arial"/>
                <w:sz w:val="18"/>
              </w:rPr>
            </w:pPr>
            <w:r>
              <w:rPr>
                <w:rFonts w:ascii="arial" w:hAnsi="arial"/>
                <w:sz w:val="18"/>
              </w:rPr>
              <w:t>All Other Fees(4)</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w:t>
            </w:r>
          </w:p>
        </w:tc>
        <w:tc>
          <w:tcPr>
            <w:tcW w:w="60"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pPr>
            <w:r>
              <w:rPr/>
              <w:t>    </w:t>
            </w:r>
          </w:p>
        </w:tc>
        <w:tc>
          <w:tcPr>
            <w:tcW w:w="223" w:type="dxa"/>
            <w:tcBorders/>
            <w:shd w:fill="auto" w:val="clear"/>
            <w:vAlign w:val="center"/>
          </w:tcPr>
          <w:p>
            <w:pPr>
              <w:pStyle w:val="TableContents"/>
              <w:spacing w:before="0" w:after="283"/>
              <w:rPr/>
            </w:pPr>
            <w:r>
              <w:rPr/>
              <w:t> </w:t>
            </w:r>
          </w:p>
        </w:tc>
        <w:tc>
          <w:tcPr>
            <w:tcW w:w="892" w:type="dxa"/>
            <w:tcBorders/>
            <w:shd w:fill="auto" w:val="clear"/>
            <w:vAlign w:val="center"/>
          </w:tcPr>
          <w:p>
            <w:pPr>
              <w:pStyle w:val="TableContents"/>
              <w:spacing w:before="0" w:after="283"/>
              <w:jc w:val="right"/>
              <w:rPr/>
            </w:pPr>
            <w:r>
              <w:rPr/>
              <w:t>0.10</w:t>
            </w:r>
          </w:p>
        </w:tc>
        <w:tc>
          <w:tcPr>
            <w:tcW w:w="75" w:type="dxa"/>
            <w:tcBorders/>
            <w:shd w:fill="auto" w:val="clear"/>
            <w:vAlign w:val="center"/>
          </w:tcPr>
          <w:p>
            <w:pPr>
              <w:pStyle w:val="TableContents"/>
              <w:spacing w:before="0" w:after="283"/>
              <w:rPr/>
            </w:pPr>
            <w:r>
              <w:rPr/>
              <w:t> </w:t>
            </w:r>
          </w:p>
        </w:tc>
      </w:tr>
      <w:tr>
        <w:trPr/>
        <w:tc>
          <w:tcPr>
            <w:tcW w:w="18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pBdr>
              <w:spacing w:before="0" w:after="0"/>
              <w:rPr/>
            </w:pPr>
            <w:r>
              <w:rPr/>
              <w:t> </w:t>
            </w:r>
          </w:p>
        </w:tc>
        <w:tc>
          <w:tcPr>
            <w:tcW w:w="560" w:type="dxa"/>
            <w:tcBorders/>
            <w:shd w:fill="auto" w:val="clear"/>
            <w:vAlign w:val="center"/>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40" w:type="dxa"/>
            <w:tcBorders/>
            <w:shd w:fill="auto" w:val="clear"/>
            <w:vAlign w:val="center"/>
          </w:tcPr>
          <w:p>
            <w:pPr>
              <w:pStyle w:val="TableContents"/>
              <w:spacing w:before="0" w:after="283"/>
              <w:rPr/>
            </w:pPr>
            <w:r>
              <w:rPr/>
              <w:t>    </w:t>
            </w:r>
          </w:p>
        </w:tc>
        <w:tc>
          <w:tcPr>
            <w:tcW w:w="223" w:type="dxa"/>
            <w:tcBorders/>
            <w:shd w:fill="auto" w:val="clear"/>
            <w:vAlign w:val="center"/>
          </w:tcPr>
          <w:p>
            <w:pPr>
              <w:pStyle w:val="TableContents"/>
              <w:pBdr>
                <w:top w:val="single" w:sz="2" w:space="1" w:color="000000"/>
              </w:pBdr>
              <w:spacing w:before="0" w:after="0"/>
              <w:rPr/>
            </w:pPr>
            <w:r>
              <w:rPr/>
              <w:t> </w:t>
            </w:r>
          </w:p>
        </w:tc>
        <w:tc>
          <w:tcPr>
            <w:tcW w:w="892" w:type="dxa"/>
            <w:tcBorders/>
            <w:shd w:fill="auto" w:val="clear"/>
            <w:vAlign w:val="center"/>
          </w:tcPr>
          <w:p>
            <w:pPr>
              <w:pStyle w:val="TableContents"/>
              <w:pBdr>
                <w:top w:val="single" w:sz="2" w:space="1" w:color="000000"/>
              </w:pBdr>
              <w:spacing w:before="0" w:after="0"/>
              <w:rPr/>
            </w:pPr>
            <w:r>
              <w:rPr/>
              <w:t> </w:t>
            </w:r>
          </w:p>
        </w:tc>
        <w:tc>
          <w:tcPr>
            <w:tcW w:w="75" w:type="dxa"/>
            <w:tcBorders/>
            <w:shd w:fill="auto" w:val="clear"/>
            <w:vAlign w:val="center"/>
          </w:tcPr>
          <w:p>
            <w:pPr>
              <w:pStyle w:val="TableContents"/>
              <w:spacing w:before="0" w:after="283"/>
              <w:rPr/>
            </w:pPr>
            <w:r>
              <w:rPr/>
              <w:t> </w:t>
            </w:r>
          </w:p>
        </w:tc>
      </w:tr>
      <w:tr>
        <w:trPr/>
        <w:tc>
          <w:tcPr>
            <w:tcW w:w="1820" w:type="dxa"/>
            <w:tcBorders/>
            <w:shd w:fill="E5E5E5" w:val="clear"/>
            <w:vAlign w:val="center"/>
          </w:tcPr>
          <w:p>
            <w:pPr>
              <w:pStyle w:val="TableContents"/>
              <w:spacing w:before="0" w:after="0"/>
              <w:rPr>
                <w:rFonts w:ascii="arial" w:hAnsi="arial"/>
                <w:b/>
                <w:sz w:val="18"/>
              </w:rPr>
            </w:pPr>
            <w:r>
              <w:rPr>
                <w:rFonts w:ascii="arial" w:hAnsi="arial"/>
                <w:b/>
                <w:sz w:val="18"/>
              </w:rPr>
              <w:t>Total Fees</w:t>
            </w:r>
          </w:p>
        </w:tc>
        <w:tc>
          <w:tcPr>
            <w:tcW w:w="120" w:type="dxa"/>
            <w:tcBorders/>
            <w:shd w:fill="E5E5E5" w:val="clear"/>
            <w:vAlign w:val="center"/>
          </w:tcPr>
          <w:p>
            <w:pPr>
              <w:pStyle w:val="TableContents"/>
              <w:spacing w:before="0" w:after="283"/>
              <w:rPr/>
            </w:pPr>
            <w:r>
              <w:rPr/>
              <w:t>  </w:t>
            </w:r>
          </w:p>
        </w:tc>
        <w:tc>
          <w:tcPr>
            <w:tcW w:w="140" w:type="dxa"/>
            <w:tcBorders/>
            <w:shd w:fill="E5E5E5" w:val="clear"/>
            <w:vAlign w:val="center"/>
          </w:tcPr>
          <w:p>
            <w:pPr>
              <w:pStyle w:val="TableContents"/>
              <w:spacing w:before="0" w:after="283"/>
              <w:rPr>
                <w:b/>
              </w:rPr>
            </w:pPr>
            <w:r>
              <w:rPr>
                <w:b/>
              </w:rPr>
              <w:t>$</w:t>
            </w:r>
          </w:p>
        </w:tc>
        <w:tc>
          <w:tcPr>
            <w:tcW w:w="560" w:type="dxa"/>
            <w:tcBorders/>
            <w:shd w:fill="E5E5E5" w:val="clear"/>
            <w:vAlign w:val="center"/>
          </w:tcPr>
          <w:p>
            <w:pPr>
              <w:pStyle w:val="TableContents"/>
              <w:spacing w:before="0" w:after="283"/>
              <w:jc w:val="right"/>
              <w:rPr>
                <w:b/>
              </w:rPr>
            </w:pPr>
            <w:r>
              <w:rPr>
                <w:b/>
              </w:rPr>
              <w:t>15.91</w:t>
            </w:r>
          </w:p>
        </w:tc>
        <w:tc>
          <w:tcPr>
            <w:tcW w:w="60" w:type="dxa"/>
            <w:tcBorders/>
            <w:shd w:fill="E5E5E5" w:val="clear"/>
            <w:vAlign w:val="center"/>
          </w:tcPr>
          <w:p>
            <w:pPr>
              <w:pStyle w:val="TableContents"/>
              <w:spacing w:before="0" w:after="283"/>
              <w:rPr/>
            </w:pPr>
            <w:r>
              <w:rPr/>
              <w:t> </w:t>
            </w:r>
          </w:p>
        </w:tc>
        <w:tc>
          <w:tcPr>
            <w:tcW w:w="240" w:type="dxa"/>
            <w:tcBorders/>
            <w:shd w:fill="E5E5E5" w:val="clear"/>
            <w:vAlign w:val="center"/>
          </w:tcPr>
          <w:p>
            <w:pPr>
              <w:pStyle w:val="TableContents"/>
              <w:spacing w:before="0" w:after="283"/>
              <w:rPr/>
            </w:pPr>
            <w:r>
              <w:rPr/>
              <w:t>    </w:t>
            </w:r>
          </w:p>
        </w:tc>
        <w:tc>
          <w:tcPr>
            <w:tcW w:w="223" w:type="dxa"/>
            <w:tcBorders/>
            <w:shd w:fill="E5E5E5" w:val="clear"/>
            <w:vAlign w:val="center"/>
          </w:tcPr>
          <w:p>
            <w:pPr>
              <w:pStyle w:val="TableContents"/>
              <w:spacing w:before="0" w:after="283"/>
              <w:rPr>
                <w:b/>
              </w:rPr>
            </w:pPr>
            <w:r>
              <w:rPr>
                <w:b/>
              </w:rPr>
              <w:t>$</w:t>
            </w:r>
          </w:p>
        </w:tc>
        <w:tc>
          <w:tcPr>
            <w:tcW w:w="892" w:type="dxa"/>
            <w:tcBorders/>
            <w:shd w:fill="E5E5E5" w:val="clear"/>
            <w:vAlign w:val="center"/>
          </w:tcPr>
          <w:p>
            <w:pPr>
              <w:pStyle w:val="TableContents"/>
              <w:spacing w:before="0" w:after="283"/>
              <w:jc w:val="right"/>
              <w:rPr>
                <w:b/>
              </w:rPr>
            </w:pPr>
            <w:r>
              <w:rPr>
                <w:b/>
              </w:rPr>
              <w:t>12.85</w:t>
            </w:r>
          </w:p>
        </w:tc>
        <w:tc>
          <w:tcPr>
            <w:tcW w:w="75" w:type="dxa"/>
            <w:tcBorders/>
            <w:shd w:fill="E5E5E5" w:val="clear"/>
            <w:vAlign w:val="center"/>
          </w:tcPr>
          <w:p>
            <w:pPr>
              <w:pStyle w:val="TableContents"/>
              <w:spacing w:before="0" w:after="283"/>
              <w:rPr/>
            </w:pPr>
            <w:r>
              <w:rPr/>
              <w:t> </w:t>
            </w:r>
          </w:p>
        </w:tc>
      </w:tr>
      <w:tr>
        <w:trPr/>
        <w:tc>
          <w:tcPr>
            <w:tcW w:w="1820" w:type="dxa"/>
            <w:tcBorders>
              <w:bottom w:val="single" w:sz="6" w:space="0" w:color="732282"/>
            </w:tcBorders>
            <w:shd w:fill="auto" w:val="clear"/>
            <w:tcMar>
              <w:bottom w:w="28" w:type="dxa"/>
            </w:tcMar>
            <w:vAlign w:val="center"/>
          </w:tcPr>
          <w:p>
            <w:pPr>
              <w:pStyle w:val="TableContents"/>
              <w:spacing w:before="0" w:after="283"/>
              <w:rPr/>
            </w:pPr>
            <w:r>
              <w:rPr/>
              <w:t> </w:t>
            </w:r>
          </w:p>
        </w:tc>
        <w:tc>
          <w:tcPr>
            <w:tcW w:w="120" w:type="dxa"/>
            <w:tcBorders>
              <w:bottom w:val="single" w:sz="6" w:space="0" w:color="732282"/>
            </w:tcBorders>
            <w:shd w:fill="auto" w:val="clear"/>
            <w:tcMar>
              <w:bottom w:w="28" w:type="dxa"/>
            </w:tcMar>
            <w:vAlign w:val="center"/>
          </w:tcPr>
          <w:p>
            <w:pPr>
              <w:pStyle w:val="TableContents"/>
              <w:spacing w:before="0" w:after="283"/>
              <w:rPr/>
            </w:pPr>
            <w:r>
              <w:rPr/>
              <w:t>  </w:t>
            </w:r>
          </w:p>
        </w:tc>
        <w:tc>
          <w:tcPr>
            <w:tcW w:w="140" w:type="dxa"/>
            <w:tcBorders/>
            <w:shd w:fill="auto" w:val="clear"/>
            <w:vAlign w:val="center"/>
          </w:tcPr>
          <w:p>
            <w:pPr>
              <w:pStyle w:val="TableContents"/>
              <w:pBdr>
                <w:top w:val="single" w:sz="2" w:space="1" w:color="000000"/>
                <w:bottom w:val="single" w:sz="2" w:space="1" w:color="732282"/>
              </w:pBdr>
              <w:spacing w:before="0" w:after="0"/>
              <w:rPr/>
            </w:pPr>
            <w:r>
              <w:rPr/>
              <w:t> </w:t>
            </w:r>
          </w:p>
        </w:tc>
        <w:tc>
          <w:tcPr>
            <w:tcW w:w="560" w:type="dxa"/>
            <w:tcBorders/>
            <w:shd w:fill="auto" w:val="clear"/>
            <w:vAlign w:val="center"/>
          </w:tcPr>
          <w:p>
            <w:pPr>
              <w:pStyle w:val="TableContents"/>
              <w:pBdr>
                <w:top w:val="single" w:sz="2" w:space="1" w:color="000000"/>
                <w:bottom w:val="single" w:sz="2" w:space="1" w:color="732282"/>
              </w:pBdr>
              <w:spacing w:before="0" w:after="0"/>
              <w:rPr/>
            </w:pPr>
            <w:r>
              <w:rPr/>
              <w:t> </w:t>
            </w:r>
          </w:p>
        </w:tc>
        <w:tc>
          <w:tcPr>
            <w:tcW w:w="60" w:type="dxa"/>
            <w:tcBorders>
              <w:bottom w:val="single" w:sz="6" w:space="0" w:color="732282"/>
            </w:tcBorders>
            <w:shd w:fill="auto" w:val="clear"/>
            <w:tcMar>
              <w:bottom w:w="28" w:type="dxa"/>
            </w:tcMar>
            <w:vAlign w:val="center"/>
          </w:tcPr>
          <w:p>
            <w:pPr>
              <w:pStyle w:val="TableContents"/>
              <w:spacing w:before="0" w:after="283"/>
              <w:rPr/>
            </w:pPr>
            <w:r>
              <w:rPr/>
              <w:t> </w:t>
            </w:r>
          </w:p>
        </w:tc>
        <w:tc>
          <w:tcPr>
            <w:tcW w:w="240" w:type="dxa"/>
            <w:tcBorders>
              <w:bottom w:val="single" w:sz="6" w:space="0" w:color="732282"/>
            </w:tcBorders>
            <w:shd w:fill="auto" w:val="clear"/>
            <w:tcMar>
              <w:bottom w:w="28" w:type="dxa"/>
            </w:tcMar>
            <w:vAlign w:val="center"/>
          </w:tcPr>
          <w:p>
            <w:pPr>
              <w:pStyle w:val="TableContents"/>
              <w:spacing w:before="0" w:after="283"/>
              <w:rPr/>
            </w:pPr>
            <w:r>
              <w:rPr/>
              <w:t>    </w:t>
            </w:r>
          </w:p>
        </w:tc>
        <w:tc>
          <w:tcPr>
            <w:tcW w:w="223" w:type="dxa"/>
            <w:tcBorders/>
            <w:shd w:fill="auto" w:val="clear"/>
            <w:vAlign w:val="center"/>
          </w:tcPr>
          <w:p>
            <w:pPr>
              <w:pStyle w:val="TableContents"/>
              <w:pBdr>
                <w:top w:val="single" w:sz="2" w:space="1" w:color="000000"/>
                <w:bottom w:val="single" w:sz="2" w:space="1" w:color="732282"/>
              </w:pBdr>
              <w:spacing w:before="0" w:after="0"/>
              <w:rPr/>
            </w:pPr>
            <w:r>
              <w:rPr/>
              <w:t> </w:t>
            </w:r>
          </w:p>
        </w:tc>
        <w:tc>
          <w:tcPr>
            <w:tcW w:w="892" w:type="dxa"/>
            <w:tcBorders/>
            <w:shd w:fill="auto" w:val="clear"/>
            <w:vAlign w:val="center"/>
          </w:tcPr>
          <w:p>
            <w:pPr>
              <w:pStyle w:val="TableContents"/>
              <w:pBdr>
                <w:top w:val="single" w:sz="2" w:space="1" w:color="000000"/>
                <w:bottom w:val="single" w:sz="2" w:space="1" w:color="732282"/>
              </w:pBdr>
              <w:spacing w:before="0" w:after="0"/>
              <w:rPr/>
            </w:pPr>
            <w:r>
              <w:rPr/>
              <w:t> </w:t>
            </w:r>
          </w:p>
        </w:tc>
        <w:tc>
          <w:tcPr>
            <w:tcW w:w="75" w:type="dxa"/>
            <w:tcBorders>
              <w:bottom w:val="single" w:sz="6" w:space="0" w:color="732282"/>
            </w:tcBorders>
            <w:shd w:fill="auto" w:val="clear"/>
            <w:tcMar>
              <w:bottom w:w="28" w:type="dxa"/>
            </w:tcMar>
            <w:vAlign w:val="center"/>
          </w:tcPr>
          <w:p>
            <w:pPr>
              <w:pStyle w:val="TableContents"/>
              <w:spacing w:before="0" w:after="283"/>
              <w:rPr/>
            </w:pPr>
            <w:r>
              <w:rPr/>
              <w:t> </w:t>
            </w:r>
          </w:p>
        </w:tc>
      </w:tr>
    </w:tbl>
    <w:p>
      <w:pPr>
        <w:pStyle w:val="TextBody"/>
        <w:spacing w:before="0" w:after="0"/>
        <w:jc w:val="left"/>
        <w:rPr/>
      </w:pPr>
      <w:r>
        <w:rPr/>
        <w:t> </w:t>
      </w:r>
    </w:p>
    <w:p>
      <w:pPr>
        <w:pStyle w:val="TextBody"/>
        <w:pBdr>
          <w:bottom w:val="single" w:sz="2" w:space="1" w:color="000000"/>
        </w:pBdr>
        <w:spacing w:lineRule="atLeast" w:line="160" w:before="0" w:after="40"/>
        <w:jc w:val="left"/>
        <w:rPr/>
      </w:pPr>
      <w:r>
        <w:rPr/>
        <w:t> </w:t>
      </w:r>
    </w:p>
    <w:tbl>
      <w:tblPr>
        <w:tblW w:w="10205" w:type="dxa"/>
        <w:jc w:val="left"/>
        <w:tblInd w:w="0" w:type="dxa"/>
        <w:tblCellMar>
          <w:top w:w="0" w:type="dxa"/>
          <w:left w:w="0" w:type="dxa"/>
          <w:bottom w:w="0" w:type="dxa"/>
          <w:right w:w="0" w:type="dxa"/>
        </w:tblCellMar>
      </w:tblPr>
      <w:tblGrid>
        <w:gridCol w:w="247"/>
        <w:gridCol w:w="9958"/>
      </w:tblGrid>
      <w:tr>
        <w:trPr/>
        <w:tc>
          <w:tcPr>
            <w:tcW w:w="247" w:type="dxa"/>
            <w:tcBorders/>
            <w:shd w:fill="auto" w:val="clear"/>
            <w:vAlign w:val="center"/>
          </w:tcPr>
          <w:p>
            <w:pPr>
              <w:pStyle w:val="TableContents"/>
              <w:spacing w:before="0" w:after="283"/>
              <w:jc w:val="left"/>
              <w:rPr>
                <w:i/>
              </w:rPr>
            </w:pPr>
            <w:r>
              <w:rPr>
                <w:i/>
              </w:rPr>
              <w:t>(1)</w:t>
            </w:r>
          </w:p>
        </w:tc>
        <w:tc>
          <w:tcPr>
            <w:tcW w:w="9958" w:type="dxa"/>
            <w:tcBorders/>
            <w:shd w:fill="auto" w:val="clear"/>
            <w:vAlign w:val="center"/>
          </w:tcPr>
          <w:p>
            <w:pPr>
              <w:pStyle w:val="TableContents"/>
              <w:spacing w:before="0" w:after="0"/>
              <w:jc w:val="both"/>
              <w:rPr>
                <w:rFonts w:ascii="arial" w:hAnsi="arial"/>
                <w:i/>
                <w:sz w:val="18"/>
              </w:rPr>
            </w:pPr>
            <w:r>
              <w:rPr>
                <w:rFonts w:ascii="arial" w:hAnsi="arial"/>
                <w:i/>
                <w:sz w:val="18"/>
              </w:rPr>
              <w:t xml:space="preserve">Represents fees for professional services provided for the audit of the Company’s annual consolidated financial statements, the audit of the Company’s internal control over financial reporting, as required by Section 404 of the Sarbanes-Oxley Act of 2002, reviews of the Company’s quarterly condensed consolidated financial statements, audit services provided in connection with other statutory or regulatory filings, and accounting, reporting and disclosure matters. </w:t>
            </w:r>
          </w:p>
        </w:tc>
      </w:tr>
    </w:tbl>
    <w:tbl>
      <w:tblPr>
        <w:tblW w:w="10205" w:type="dxa"/>
        <w:jc w:val="left"/>
        <w:tblInd w:w="0" w:type="dxa"/>
        <w:tblCellMar>
          <w:top w:w="0" w:type="dxa"/>
          <w:left w:w="0" w:type="dxa"/>
          <w:bottom w:w="0" w:type="dxa"/>
          <w:right w:w="0" w:type="dxa"/>
        </w:tblCellMar>
      </w:tblPr>
      <w:tblGrid>
        <w:gridCol w:w="263"/>
        <w:gridCol w:w="9942"/>
      </w:tblGrid>
      <w:tr>
        <w:trPr/>
        <w:tc>
          <w:tcPr>
            <w:tcW w:w="263" w:type="dxa"/>
            <w:tcBorders/>
            <w:shd w:fill="auto" w:val="clear"/>
            <w:vAlign w:val="center"/>
          </w:tcPr>
          <w:p>
            <w:pPr>
              <w:pStyle w:val="TableContents"/>
              <w:spacing w:before="0" w:after="283"/>
              <w:jc w:val="left"/>
              <w:rPr>
                <w:i/>
              </w:rPr>
            </w:pPr>
            <w:r>
              <w:rPr>
                <w:i/>
              </w:rPr>
              <w:t>(2)</w:t>
            </w:r>
          </w:p>
        </w:tc>
        <w:tc>
          <w:tcPr>
            <w:tcW w:w="9942" w:type="dxa"/>
            <w:tcBorders/>
            <w:shd w:fill="auto" w:val="clear"/>
            <w:vAlign w:val="center"/>
          </w:tcPr>
          <w:p>
            <w:pPr>
              <w:pStyle w:val="TableContents"/>
              <w:spacing w:before="0" w:after="0"/>
              <w:jc w:val="both"/>
              <w:rPr>
                <w:rFonts w:ascii="arial" w:hAnsi="arial"/>
                <w:i/>
                <w:sz w:val="18"/>
              </w:rPr>
            </w:pPr>
            <w:r>
              <w:rPr>
                <w:rFonts w:ascii="arial" w:hAnsi="arial"/>
                <w:i/>
                <w:sz w:val="18"/>
              </w:rPr>
              <w:t xml:space="preserve">Represents fees for assurance services related to the audit of the Company’s annual consolidated financial statements, including statutory audits of certain of the Company’s subsidiaries, comfort letters, certain SEC filings and other agreed-upon procedures. </w:t>
            </w:r>
          </w:p>
        </w:tc>
      </w:tr>
    </w:tbl>
    <w:tbl>
      <w:tblPr>
        <w:tblW w:w="10205" w:type="dxa"/>
        <w:jc w:val="left"/>
        <w:tblInd w:w="0" w:type="dxa"/>
        <w:tblCellMar>
          <w:top w:w="0" w:type="dxa"/>
          <w:left w:w="0" w:type="dxa"/>
          <w:bottom w:w="0" w:type="dxa"/>
          <w:right w:w="0" w:type="dxa"/>
        </w:tblCellMar>
      </w:tblPr>
      <w:tblGrid>
        <w:gridCol w:w="275"/>
        <w:gridCol w:w="9930"/>
      </w:tblGrid>
      <w:tr>
        <w:trPr/>
        <w:tc>
          <w:tcPr>
            <w:tcW w:w="275" w:type="dxa"/>
            <w:tcBorders/>
            <w:shd w:fill="auto" w:val="clear"/>
            <w:vAlign w:val="center"/>
          </w:tcPr>
          <w:p>
            <w:pPr>
              <w:pStyle w:val="TableContents"/>
              <w:spacing w:before="0" w:after="283"/>
              <w:jc w:val="left"/>
              <w:rPr>
                <w:i/>
              </w:rPr>
            </w:pPr>
            <w:r>
              <w:rPr>
                <w:i/>
              </w:rPr>
              <w:t>(3)</w:t>
            </w:r>
          </w:p>
        </w:tc>
        <w:tc>
          <w:tcPr>
            <w:tcW w:w="9930" w:type="dxa"/>
            <w:tcBorders/>
            <w:shd w:fill="auto" w:val="clear"/>
            <w:vAlign w:val="center"/>
          </w:tcPr>
          <w:p>
            <w:pPr>
              <w:pStyle w:val="TableContents"/>
              <w:spacing w:before="0" w:after="0"/>
              <w:jc w:val="both"/>
              <w:rPr>
                <w:rFonts w:ascii="arial" w:hAnsi="arial"/>
                <w:i/>
                <w:sz w:val="18"/>
              </w:rPr>
            </w:pPr>
            <w:r>
              <w:rPr>
                <w:rFonts w:ascii="arial" w:hAnsi="arial"/>
                <w:i/>
                <w:sz w:val="18"/>
              </w:rPr>
              <w:t xml:space="preserve">Represents fees primarily related to tax return preparation, tax planning and tax compliance support services, as well as fees related to tax advice provided in connection with the Combination. </w:t>
            </w:r>
          </w:p>
        </w:tc>
      </w:tr>
    </w:tbl>
    <w:tbl>
      <w:tblPr>
        <w:tblW w:w="4780" w:type="dxa"/>
        <w:jc w:val="left"/>
        <w:tblInd w:w="0" w:type="dxa"/>
        <w:tblCellMar>
          <w:top w:w="0" w:type="dxa"/>
          <w:left w:w="0" w:type="dxa"/>
          <w:bottom w:w="0" w:type="dxa"/>
          <w:right w:w="0" w:type="dxa"/>
        </w:tblCellMar>
      </w:tblPr>
      <w:tblGrid>
        <w:gridCol w:w="305"/>
        <w:gridCol w:w="4475"/>
      </w:tblGrid>
      <w:tr>
        <w:trPr/>
        <w:tc>
          <w:tcPr>
            <w:tcW w:w="305" w:type="dxa"/>
            <w:tcBorders/>
            <w:shd w:fill="auto" w:val="clear"/>
            <w:vAlign w:val="center"/>
          </w:tcPr>
          <w:p>
            <w:pPr>
              <w:pStyle w:val="TableContents"/>
              <w:spacing w:before="0" w:after="283"/>
              <w:jc w:val="left"/>
              <w:rPr>
                <w:i/>
              </w:rPr>
            </w:pPr>
            <w:r>
              <w:rPr>
                <w:i/>
              </w:rPr>
              <w:t>(4)</w:t>
            </w:r>
          </w:p>
        </w:tc>
        <w:tc>
          <w:tcPr>
            <w:tcW w:w="4475" w:type="dxa"/>
            <w:tcBorders/>
            <w:shd w:fill="auto" w:val="clear"/>
            <w:vAlign w:val="center"/>
          </w:tcPr>
          <w:p>
            <w:pPr>
              <w:pStyle w:val="TableContents"/>
              <w:spacing w:before="0" w:after="0"/>
              <w:jc w:val="both"/>
              <w:rPr>
                <w:rFonts w:ascii="arial" w:hAnsi="arial"/>
                <w:i/>
                <w:sz w:val="18"/>
              </w:rPr>
            </w:pPr>
            <w:r>
              <w:rPr>
                <w:rFonts w:ascii="arial" w:hAnsi="arial"/>
                <w:i/>
                <w:sz w:val="18"/>
              </w:rPr>
              <w:t xml:space="preserve">Represents fees related primarily to advisory services. </w:t>
            </w:r>
          </w:p>
        </w:tc>
      </w:tr>
    </w:tbl>
    <w:p>
      <w:pPr>
        <w:pStyle w:val="TextBody"/>
        <w:spacing w:before="240" w:after="0"/>
        <w:jc w:val="left"/>
        <w:rPr>
          <w:rFonts w:ascii="arial" w:hAnsi="arial"/>
          <w:b/>
          <w:sz w:val="20"/>
        </w:rPr>
      </w:pPr>
      <w:r>
        <w:rPr>
          <w:rFonts w:ascii="arial" w:hAnsi="arial"/>
          <w:b/>
          <w:sz w:val="20"/>
        </w:rPr>
        <w:t xml:space="preserve">Audit Committee Pre-Approval Policy </w:t>
      </w:r>
    </w:p>
    <w:p>
      <w:pPr>
        <w:pStyle w:val="TextBody"/>
        <w:spacing w:before="120" w:after="0"/>
        <w:jc w:val="both"/>
        <w:rPr>
          <w:rFonts w:ascii="arial" w:hAnsi="arial"/>
          <w:sz w:val="18"/>
        </w:rPr>
      </w:pPr>
      <w:r>
        <w:rPr>
          <w:rFonts w:ascii="arial" w:hAnsi="arial"/>
          <w:sz w:val="18"/>
        </w:rPr>
        <w:t xml:space="preserve">The Audit Committee has a policy regarding pre-approval of audit, audit-related, tax and other services that the independent registered public accounting firm may perform for Viatris. Under the policy, the Committee must review and pre-approve on an individual basis any requests for audit, audit-related, tax and other services not covered by certain services pre-approved by the Committee up to certain amounts. All services performed by Deloitte during 2022 and 2021 were pre-approved by the Audit Committee in accordance with its pre-approval policy.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55 </w:t>
      </w:r>
      <w:r>
        <w:br w:type="page"/>
      </w:r>
    </w:p>
    <w:p>
      <w:pPr>
        <w:pStyle w:val="HorizontalLine"/>
        <w:rPr/>
      </w:pPr>
      <w:r>
        <w:rPr/>
      </w:r>
    </w:p>
    <w:p>
      <w:pPr>
        <w:pStyle w:val="TextBody"/>
        <w:spacing w:before="0" w:after="0"/>
        <w:jc w:val="center"/>
        <w:rPr>
          <w:rFonts w:ascii="arial" w:hAnsi="arial"/>
          <w:b/>
          <w:sz w:val="20"/>
        </w:rPr>
      </w:pPr>
      <w:r>
        <w:rPr>
          <w:rFonts w:ascii="arial" w:hAnsi="arial"/>
          <w:b/>
          <w:sz w:val="20"/>
        </w:rPr>
        <w:t xml:space="preserve">PART IV </w:t>
      </w:r>
    </w:p>
    <w:p>
      <w:pPr>
        <w:pStyle w:val="TextBody"/>
        <w:spacing w:before="0" w:after="0"/>
        <w:jc w:val="left"/>
        <w:rPr/>
      </w:pPr>
      <w:r>
        <w:rPr/>
        <w:t> </w:t>
      </w:r>
    </w:p>
    <w:tbl>
      <w:tblPr>
        <w:tblW w:w="1900" w:type="dxa"/>
        <w:jc w:val="left"/>
        <w:tblInd w:w="0" w:type="dxa"/>
        <w:tblCellMar>
          <w:top w:w="0" w:type="dxa"/>
          <w:left w:w="0" w:type="dxa"/>
          <w:bottom w:w="0" w:type="dxa"/>
          <w:right w:w="0" w:type="dxa"/>
        </w:tblCellMar>
      </w:tblPr>
      <w:tblGrid>
        <w:gridCol w:w="1040"/>
        <w:gridCol w:w="860"/>
      </w:tblGrid>
      <w:tr>
        <w:trPr/>
        <w:tc>
          <w:tcPr>
            <w:tcW w:w="1040" w:type="dxa"/>
            <w:tcBorders/>
            <w:shd w:fill="auto" w:val="clear"/>
            <w:vAlign w:val="center"/>
          </w:tcPr>
          <w:p>
            <w:pPr>
              <w:pStyle w:val="TableContents"/>
              <w:spacing w:before="0" w:after="283"/>
              <w:jc w:val="left"/>
              <w:rPr>
                <w:b/>
              </w:rPr>
            </w:pPr>
            <w:bookmarkStart w:id="8" w:name="toc487324_6"/>
            <w:bookmarkEnd w:id="8"/>
            <w:r>
              <w:rPr>
                <w:b/>
              </w:rPr>
              <w:t>ITEM 15.</w:t>
            </w:r>
          </w:p>
        </w:tc>
        <w:tc>
          <w:tcPr>
            <w:tcW w:w="860" w:type="dxa"/>
            <w:tcBorders/>
            <w:shd w:fill="auto" w:val="clear"/>
            <w:vAlign w:val="center"/>
          </w:tcPr>
          <w:p>
            <w:pPr>
              <w:pStyle w:val="TableContents"/>
              <w:spacing w:before="0" w:after="0"/>
              <w:jc w:val="both"/>
              <w:rPr>
                <w:rFonts w:ascii="arial" w:hAnsi="arial"/>
                <w:b/>
                <w:sz w:val="20"/>
              </w:rPr>
            </w:pPr>
            <w:r>
              <w:rPr>
                <w:rFonts w:ascii="arial" w:hAnsi="arial"/>
                <w:b/>
                <w:sz w:val="20"/>
              </w:rPr>
              <w:t xml:space="preserve">Exhibits </w:t>
            </w:r>
          </w:p>
        </w:tc>
      </w:tr>
    </w:tbl>
    <w:p>
      <w:pPr>
        <w:pStyle w:val="TextBody"/>
        <w:spacing w:before="120" w:after="0"/>
        <w:jc w:val="left"/>
        <w:rPr>
          <w:rFonts w:ascii="arial" w:hAnsi="arial"/>
          <w:b/>
          <w:sz w:val="20"/>
          <w:u w:val="single"/>
        </w:rPr>
      </w:pPr>
      <w:r>
        <w:rPr>
          <w:rFonts w:ascii="arial" w:hAnsi="arial"/>
          <w:b/>
          <w:sz w:val="20"/>
          <w:u w:val="single"/>
        </w:rPr>
        <w:t xml:space="preserve">Exhibit Index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455"/>
        <w:gridCol w:w="120"/>
        <w:gridCol w:w="9630"/>
      </w:tblGrid>
      <w:tr>
        <w:trPr/>
        <w:tc>
          <w:tcPr>
            <w:tcW w:w="4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630" w:type="dxa"/>
            <w:tcBorders/>
            <w:shd w:fill="auto" w:val="clear"/>
            <w:vAlign w:val="center"/>
          </w:tcPr>
          <w:p>
            <w:pPr>
              <w:pStyle w:val="TableContents"/>
              <w:spacing w:before="0" w:after="283"/>
              <w:rPr>
                <w:sz w:val="4"/>
                <w:szCs w:val="4"/>
              </w:rPr>
            </w:pPr>
            <w:r>
              <w:rPr>
                <w:sz w:val="4"/>
                <w:szCs w:val="4"/>
              </w:rPr>
            </w:r>
          </w:p>
        </w:tc>
      </w:tr>
      <w:tr>
        <w:trPr/>
        <w:tc>
          <w:tcPr>
            <w:tcW w:w="455" w:type="dxa"/>
            <w:tcBorders/>
            <w:shd w:fill="auto" w:val="clear"/>
            <w:vAlign w:val="center"/>
          </w:tcPr>
          <w:p>
            <w:pPr>
              <w:pStyle w:val="TableContents"/>
              <w:spacing w:before="0" w:after="283"/>
              <w:rPr/>
            </w:pPr>
            <w:r>
              <w:rPr/>
              <w:t>31.1</w:t>
            </w:r>
          </w:p>
        </w:tc>
        <w:tc>
          <w:tcPr>
            <w:tcW w:w="120" w:type="dxa"/>
            <w:tcBorders/>
            <w:shd w:fill="auto" w:val="clear"/>
            <w:vAlign w:val="center"/>
          </w:tcPr>
          <w:p>
            <w:pPr>
              <w:pStyle w:val="TableContents"/>
              <w:spacing w:before="0" w:after="283"/>
              <w:rPr/>
            </w:pPr>
            <w:r>
              <w:rPr/>
              <w:t>  </w:t>
            </w:r>
          </w:p>
        </w:tc>
        <w:tc>
          <w:tcPr>
            <w:tcW w:w="9630" w:type="dxa"/>
            <w:tcBorders/>
            <w:shd w:fill="auto" w:val="clear"/>
            <w:vAlign w:val="center"/>
          </w:tcPr>
          <w:p>
            <w:pPr>
              <w:pStyle w:val="TableContents"/>
              <w:spacing w:before="0" w:after="283"/>
              <w:rPr/>
            </w:pPr>
            <w:hyperlink w:anchor="d487324dex311.htm">
              <w:r>
                <w:rPr>
                  <w:rStyle w:val="InternetLink"/>
                </w:rPr>
                <w:t xml:space="preserve">Certification of Principal Executive Officer pursuant to Section 302 of the Sarbanes-Oxley Act of 2002. </w:t>
              </w:r>
            </w:hyperlink>
          </w:p>
        </w:tc>
      </w:tr>
      <w:tr>
        <w:trPr/>
        <w:tc>
          <w:tcPr>
            <w:tcW w:w="455" w:type="dxa"/>
            <w:tcBorders/>
            <w:shd w:fill="auto" w:val="clear"/>
            <w:vAlign w:val="center"/>
          </w:tcPr>
          <w:p>
            <w:pPr>
              <w:pStyle w:val="TableContents"/>
              <w:spacing w:before="0" w:after="283"/>
              <w:rPr>
                <w:sz w:val="4"/>
                <w:szCs w:val="4"/>
              </w:rPr>
            </w:pPr>
            <w:r>
              <w:rPr>
                <w:sz w:val="4"/>
                <w:szCs w:val="4"/>
              </w:rPr>
            </w:r>
          </w:p>
        </w:tc>
        <w:tc>
          <w:tcPr>
            <w:tcW w:w="9750" w:type="dxa"/>
            <w:gridSpan w:val="2"/>
            <w:tcBorders/>
            <w:shd w:fill="auto" w:val="clear"/>
            <w:vAlign w:val="center"/>
          </w:tcPr>
          <w:p>
            <w:pPr>
              <w:pStyle w:val="TableContents"/>
              <w:spacing w:before="0" w:after="283"/>
              <w:rPr>
                <w:sz w:val="4"/>
                <w:szCs w:val="4"/>
              </w:rPr>
            </w:pPr>
            <w:r>
              <w:rPr>
                <w:sz w:val="4"/>
                <w:szCs w:val="4"/>
              </w:rPr>
            </w:r>
          </w:p>
        </w:tc>
      </w:tr>
      <w:tr>
        <w:trPr/>
        <w:tc>
          <w:tcPr>
            <w:tcW w:w="455" w:type="dxa"/>
            <w:tcBorders/>
            <w:shd w:fill="auto" w:val="clear"/>
            <w:vAlign w:val="center"/>
          </w:tcPr>
          <w:p>
            <w:pPr>
              <w:pStyle w:val="TableContents"/>
              <w:spacing w:before="0" w:after="283"/>
              <w:rPr/>
            </w:pPr>
            <w:r>
              <w:rPr/>
              <w:t>31.2</w:t>
            </w:r>
          </w:p>
        </w:tc>
        <w:tc>
          <w:tcPr>
            <w:tcW w:w="120" w:type="dxa"/>
            <w:tcBorders/>
            <w:shd w:fill="auto" w:val="clear"/>
            <w:vAlign w:val="center"/>
          </w:tcPr>
          <w:p>
            <w:pPr>
              <w:pStyle w:val="TableContents"/>
              <w:spacing w:before="0" w:after="283"/>
              <w:rPr/>
            </w:pPr>
            <w:r>
              <w:rPr/>
              <w:t>  </w:t>
            </w:r>
          </w:p>
        </w:tc>
        <w:tc>
          <w:tcPr>
            <w:tcW w:w="9630" w:type="dxa"/>
            <w:tcBorders/>
            <w:shd w:fill="auto" w:val="clear"/>
            <w:vAlign w:val="center"/>
          </w:tcPr>
          <w:p>
            <w:pPr>
              <w:pStyle w:val="TableContents"/>
              <w:spacing w:before="0" w:after="283"/>
              <w:rPr/>
            </w:pPr>
            <w:hyperlink w:anchor="d487324dex312.htm">
              <w:r>
                <w:rPr>
                  <w:rStyle w:val="InternetLink"/>
                </w:rPr>
                <w:t xml:space="preserve">Certification of Principal Financial Officer pursuant to Section 302 of the Sarbanes-Oxley Act of 2002. </w:t>
              </w:r>
            </w:hyperlink>
          </w:p>
        </w:tc>
      </w:tr>
      <w:tr>
        <w:trPr/>
        <w:tc>
          <w:tcPr>
            <w:tcW w:w="455" w:type="dxa"/>
            <w:tcBorders/>
            <w:shd w:fill="auto" w:val="clear"/>
            <w:vAlign w:val="center"/>
          </w:tcPr>
          <w:p>
            <w:pPr>
              <w:pStyle w:val="TableContents"/>
              <w:spacing w:before="0" w:after="283"/>
              <w:rPr>
                <w:sz w:val="4"/>
                <w:szCs w:val="4"/>
              </w:rPr>
            </w:pPr>
            <w:r>
              <w:rPr>
                <w:sz w:val="4"/>
                <w:szCs w:val="4"/>
              </w:rPr>
            </w:r>
          </w:p>
        </w:tc>
        <w:tc>
          <w:tcPr>
            <w:tcW w:w="9750" w:type="dxa"/>
            <w:gridSpan w:val="2"/>
            <w:tcBorders/>
            <w:shd w:fill="auto" w:val="clear"/>
            <w:vAlign w:val="center"/>
          </w:tcPr>
          <w:p>
            <w:pPr>
              <w:pStyle w:val="TableContents"/>
              <w:spacing w:before="0" w:after="283"/>
              <w:rPr>
                <w:sz w:val="4"/>
                <w:szCs w:val="4"/>
              </w:rPr>
            </w:pPr>
            <w:r>
              <w:rPr>
                <w:sz w:val="4"/>
                <w:szCs w:val="4"/>
              </w:rPr>
            </w:r>
          </w:p>
        </w:tc>
      </w:tr>
      <w:tr>
        <w:trPr/>
        <w:tc>
          <w:tcPr>
            <w:tcW w:w="455" w:type="dxa"/>
            <w:tcBorders/>
            <w:shd w:fill="auto" w:val="clear"/>
            <w:vAlign w:val="center"/>
          </w:tcPr>
          <w:p>
            <w:pPr>
              <w:pStyle w:val="TableContents"/>
              <w:spacing w:before="0" w:after="283"/>
              <w:rPr/>
            </w:pPr>
            <w:r>
              <w:rPr/>
              <w:t>104</w:t>
            </w:r>
          </w:p>
        </w:tc>
        <w:tc>
          <w:tcPr>
            <w:tcW w:w="120" w:type="dxa"/>
            <w:tcBorders/>
            <w:shd w:fill="auto" w:val="clear"/>
            <w:vAlign w:val="center"/>
          </w:tcPr>
          <w:p>
            <w:pPr>
              <w:pStyle w:val="TableContents"/>
              <w:spacing w:before="0" w:after="283"/>
              <w:rPr/>
            </w:pPr>
            <w:r>
              <w:rPr/>
              <w:t>  </w:t>
            </w:r>
          </w:p>
        </w:tc>
        <w:tc>
          <w:tcPr>
            <w:tcW w:w="9630" w:type="dxa"/>
            <w:tcBorders/>
            <w:shd w:fill="auto" w:val="clear"/>
            <w:vAlign w:val="center"/>
          </w:tcPr>
          <w:p>
            <w:pPr>
              <w:pStyle w:val="TableContents"/>
              <w:spacing w:before="0" w:after="283"/>
              <w:rPr/>
            </w:pPr>
            <w:r>
              <w:rPr/>
              <w:t>Cover Page Interactive Data File—the cover page interactive data file does not appear in the Interactive Data File because its XBRL tags are embedded within the Inline XBRL document (included in Exhibit 101).</w:t>
            </w:r>
          </w:p>
        </w:tc>
      </w:tr>
    </w:tbl>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56 </w:t>
      </w:r>
      <w:r>
        <w:br w:type="page"/>
      </w:r>
    </w:p>
    <w:p>
      <w:pPr>
        <w:pStyle w:val="HorizontalLine"/>
        <w:rPr/>
      </w:pPr>
      <w:r>
        <w:rPr/>
      </w:r>
    </w:p>
    <w:p>
      <w:pPr>
        <w:pStyle w:val="TextBody"/>
        <w:spacing w:before="0" w:after="0"/>
        <w:jc w:val="center"/>
        <w:rPr>
          <w:rFonts w:ascii="arial" w:hAnsi="arial"/>
          <w:b/>
          <w:sz w:val="20"/>
        </w:rPr>
      </w:pPr>
      <w:bookmarkStart w:id="9" w:name="toc487324_7"/>
      <w:bookmarkEnd w:id="9"/>
      <w:r>
        <w:rPr>
          <w:rFonts w:ascii="arial" w:hAnsi="arial"/>
          <w:b/>
          <w:sz w:val="20"/>
        </w:rPr>
        <w:t xml:space="preserve">SIGNATURE </w:t>
      </w:r>
    </w:p>
    <w:p>
      <w:pPr>
        <w:pStyle w:val="TextBody"/>
        <w:spacing w:before="240" w:after="0"/>
        <w:jc w:val="both"/>
        <w:rPr>
          <w:rFonts w:ascii="arial" w:hAnsi="arial"/>
          <w:sz w:val="18"/>
        </w:rPr>
      </w:pPr>
      <w:r>
        <w:rPr>
          <w:rFonts w:ascii="arial" w:hAnsi="arial"/>
          <w:sz w:val="18"/>
        </w:rPr>
        <w:t xml:space="preserve">Pursuant to the requirements of Section 13 or 15(d) of the Securities Exchange Act of 1934, the Registrant has duly caused this report to be signed on its behalf by the undersigned, thereunto duly authorized. </w:t>
      </w:r>
    </w:p>
    <w:p>
      <w:pPr>
        <w:pStyle w:val="TextBody"/>
        <w:spacing w:before="0" w:after="0"/>
        <w:jc w:val="left"/>
        <w:rPr/>
      </w:pPr>
      <w:r>
        <w:rPr/>
        <w:t> </w:t>
      </w:r>
    </w:p>
    <w:tbl>
      <w:tblPr>
        <w:tblW w:w="4290" w:type="dxa"/>
        <w:jc w:val="left"/>
        <w:tblInd w:w="0" w:type="dxa"/>
        <w:tblCellMar>
          <w:top w:w="0" w:type="dxa"/>
          <w:left w:w="0" w:type="dxa"/>
          <w:bottom w:w="0" w:type="dxa"/>
          <w:right w:w="0" w:type="dxa"/>
        </w:tblCellMar>
      </w:tblPr>
      <w:tblGrid>
        <w:gridCol w:w="1655"/>
        <w:gridCol w:w="60"/>
        <w:gridCol w:w="275"/>
        <w:gridCol w:w="60"/>
        <w:gridCol w:w="2240"/>
      </w:tblGrid>
      <w:tr>
        <w:trPr/>
        <w:tc>
          <w:tcPr>
            <w:tcW w:w="16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240" w:type="dxa"/>
            <w:tcBorders/>
            <w:shd w:fill="auto" w:val="clear"/>
            <w:vAlign w:val="center"/>
          </w:tcPr>
          <w:p>
            <w:pPr>
              <w:pStyle w:val="TableContents"/>
              <w:spacing w:before="0" w:after="283"/>
              <w:rPr>
                <w:sz w:val="4"/>
                <w:szCs w:val="4"/>
              </w:rPr>
            </w:pPr>
            <w:r>
              <w:rPr>
                <w:sz w:val="4"/>
                <w:szCs w:val="4"/>
              </w:rPr>
            </w:r>
          </w:p>
        </w:tc>
      </w:tr>
      <w:tr>
        <w:trPr/>
        <w:tc>
          <w:tcPr>
            <w:tcW w:w="1655" w:type="dxa"/>
            <w:tcBorders/>
            <w:shd w:fill="auto" w:val="clear"/>
            <w:vAlign w:val="center"/>
          </w:tcPr>
          <w:p>
            <w:pPr>
              <w:pStyle w:val="TableContents"/>
              <w:spacing w:before="0" w:after="0"/>
              <w:rPr>
                <w:rFonts w:ascii="arial" w:hAnsi="arial"/>
                <w:sz w:val="18"/>
              </w:rPr>
            </w:pPr>
            <w:r>
              <w:rPr>
                <w:rFonts w:ascii="arial" w:hAnsi="arial"/>
                <w:sz w:val="18"/>
              </w:rPr>
              <w:t>Date: April 28, 2023</w:t>
            </w:r>
          </w:p>
        </w:tc>
        <w:tc>
          <w:tcPr>
            <w:tcW w:w="60" w:type="dxa"/>
            <w:tcBorders/>
            <w:shd w:fill="auto" w:val="clear"/>
            <w:vAlign w:val="center"/>
          </w:tcPr>
          <w:p>
            <w:pPr>
              <w:pStyle w:val="TableContents"/>
              <w:spacing w:before="0" w:after="283"/>
              <w:rPr/>
            </w:pPr>
            <w:r>
              <w:rPr/>
              <w:t> </w:t>
            </w:r>
          </w:p>
        </w:tc>
        <w:tc>
          <w:tcPr>
            <w:tcW w:w="2575" w:type="dxa"/>
            <w:gridSpan w:val="3"/>
            <w:tcBorders/>
            <w:shd w:fill="auto" w:val="clear"/>
            <w:vAlign w:val="center"/>
          </w:tcPr>
          <w:p>
            <w:pPr>
              <w:pStyle w:val="TableContents"/>
              <w:spacing w:before="0" w:after="0"/>
              <w:jc w:val="both"/>
              <w:rPr>
                <w:rFonts w:ascii="arial" w:hAnsi="arial"/>
                <w:sz w:val="18"/>
              </w:rPr>
            </w:pPr>
            <w:r>
              <w:rPr>
                <w:rFonts w:ascii="arial" w:hAnsi="arial"/>
                <w:sz w:val="18"/>
              </w:rPr>
              <w:t>VIATRIS INC.</w:t>
            </w:r>
          </w:p>
        </w:tc>
      </w:tr>
      <w:tr>
        <w:trPr/>
        <w:tc>
          <w:tcPr>
            <w:tcW w:w="1655" w:type="dxa"/>
            <w:tcBorders/>
            <w:shd w:fill="auto" w:val="clear"/>
            <w:vAlign w:val="center"/>
          </w:tcPr>
          <w:p>
            <w:pPr>
              <w:pStyle w:val="TableContents"/>
              <w:spacing w:before="0" w:after="283"/>
              <w:rPr>
                <w:sz w:val="4"/>
                <w:szCs w:val="4"/>
              </w:rPr>
            </w:pPr>
            <w:r>
              <w:rPr>
                <w:sz w:val="4"/>
                <w:szCs w:val="4"/>
              </w:rPr>
            </w:r>
          </w:p>
        </w:tc>
        <w:tc>
          <w:tcPr>
            <w:tcW w:w="335" w:type="dxa"/>
            <w:gridSpan w:val="2"/>
            <w:tcBorders/>
            <w:shd w:fill="auto" w:val="clear"/>
            <w:vAlign w:val="center"/>
          </w:tcPr>
          <w:p>
            <w:pPr>
              <w:pStyle w:val="TableContents"/>
              <w:spacing w:before="0" w:after="283"/>
              <w:rPr>
                <w:sz w:val="4"/>
                <w:szCs w:val="4"/>
              </w:rPr>
            </w:pPr>
            <w:r>
              <w:rPr>
                <w:sz w:val="4"/>
                <w:szCs w:val="4"/>
              </w:rPr>
            </w:r>
          </w:p>
        </w:tc>
        <w:tc>
          <w:tcPr>
            <w:tcW w:w="2300" w:type="dxa"/>
            <w:gridSpan w:val="2"/>
            <w:tcBorders/>
            <w:shd w:fill="auto" w:val="clear"/>
            <w:vAlign w:val="center"/>
          </w:tcPr>
          <w:p>
            <w:pPr>
              <w:pStyle w:val="TableContents"/>
              <w:spacing w:before="0" w:after="283"/>
              <w:rPr>
                <w:sz w:val="4"/>
                <w:szCs w:val="4"/>
              </w:rPr>
            </w:pPr>
            <w:r>
              <w:rPr>
                <w:sz w:val="4"/>
                <w:szCs w:val="4"/>
              </w:rPr>
            </w:r>
          </w:p>
        </w:tc>
      </w:tr>
      <w:tr>
        <w:trPr/>
        <w:tc>
          <w:tcPr>
            <w:tcW w:w="16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0"/>
              <w:jc w:val="both"/>
              <w:rPr>
                <w:rFonts w:ascii="arial" w:hAnsi="arial"/>
                <w:sz w:val="18"/>
              </w:rPr>
            </w:pPr>
            <w:r>
              <w:rPr>
                <w:rFonts w:ascii="arial" w:hAnsi="arial"/>
                <w:sz w:val="18"/>
              </w:rPr>
              <w:t>By:</w:t>
            </w:r>
          </w:p>
        </w:tc>
        <w:tc>
          <w:tcPr>
            <w:tcW w:w="60" w:type="dxa"/>
            <w:tcBorders/>
            <w:shd w:fill="auto" w:val="clear"/>
            <w:vAlign w:val="center"/>
          </w:tcPr>
          <w:p>
            <w:pPr>
              <w:pStyle w:val="TableContents"/>
              <w:spacing w:before="0" w:after="283"/>
              <w:rPr/>
            </w:pPr>
            <w:r>
              <w:rPr/>
              <w:t> </w:t>
            </w:r>
          </w:p>
        </w:tc>
        <w:tc>
          <w:tcPr>
            <w:tcW w:w="2240" w:type="dxa"/>
            <w:tcBorders/>
            <w:shd w:fill="auto" w:val="clear"/>
            <w:vAlign w:val="center"/>
          </w:tcPr>
          <w:p>
            <w:pPr>
              <w:pStyle w:val="TableContents"/>
              <w:pBdr>
                <w:bottom w:val="single" w:sz="2" w:space="1" w:color="000000"/>
              </w:pBdr>
              <w:spacing w:before="0" w:after="20"/>
              <w:jc w:val="both"/>
              <w:rPr>
                <w:rFonts w:ascii="arial" w:hAnsi="arial"/>
                <w:sz w:val="18"/>
              </w:rPr>
            </w:pPr>
            <w:r>
              <w:rPr>
                <w:rFonts w:ascii="arial" w:hAnsi="arial"/>
                <w:sz w:val="18"/>
              </w:rPr>
              <w:t>/s/    Sanjeev Narula</w:t>
            </w:r>
          </w:p>
        </w:tc>
      </w:tr>
      <w:tr>
        <w:trPr/>
        <w:tc>
          <w:tcPr>
            <w:tcW w:w="16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240" w:type="dxa"/>
            <w:tcBorders/>
            <w:shd w:fill="auto" w:val="clear"/>
            <w:vAlign w:val="center"/>
          </w:tcPr>
          <w:p>
            <w:pPr>
              <w:pStyle w:val="TableContents"/>
              <w:spacing w:before="0" w:after="0"/>
              <w:jc w:val="both"/>
              <w:rPr>
                <w:rFonts w:ascii="arial" w:hAnsi="arial"/>
                <w:sz w:val="18"/>
              </w:rPr>
            </w:pPr>
            <w:r>
              <w:rPr>
                <w:rFonts w:ascii="arial" w:hAnsi="arial"/>
                <w:sz w:val="18"/>
              </w:rPr>
              <w:t>Sanjeev Narula</w:t>
            </w:r>
          </w:p>
          <w:p>
            <w:pPr>
              <w:pStyle w:val="TableContents"/>
              <w:spacing w:before="0" w:after="0"/>
              <w:jc w:val="both"/>
              <w:rPr>
                <w:rFonts w:ascii="arial" w:hAnsi="arial"/>
                <w:sz w:val="18"/>
              </w:rPr>
            </w:pPr>
            <w:r>
              <w:rPr>
                <w:rFonts w:ascii="arial" w:hAnsi="arial"/>
                <w:sz w:val="18"/>
              </w:rPr>
              <w:t>Chief Financial Officer</w:t>
            </w:r>
          </w:p>
          <w:p>
            <w:pPr>
              <w:pStyle w:val="TableContents"/>
              <w:spacing w:before="0" w:after="20"/>
              <w:jc w:val="both"/>
              <w:rPr>
                <w:rFonts w:ascii="arial" w:hAnsi="arial"/>
                <w:i/>
                <w:sz w:val="18"/>
              </w:rPr>
            </w:pPr>
            <w:r>
              <w:rPr>
                <w:rFonts w:ascii="arial" w:hAnsi="arial"/>
                <w:i/>
                <w:sz w:val="18"/>
              </w:rPr>
              <w:t>(Principal Financial Officer)</w:t>
            </w:r>
          </w:p>
        </w:tc>
      </w:tr>
    </w:tbl>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57 </w:t>
      </w:r>
      <w:r>
        <w:br w:type="page"/>
      </w:r>
    </w:p>
    <w:p>
      <w:pPr>
        <w:pStyle w:val="HorizontalLine"/>
        <w:rPr/>
      </w:pPr>
      <w:r>
        <w:rPr/>
      </w:r>
    </w:p>
    <w:p>
      <w:pPr>
        <w:pStyle w:val="TextBody"/>
        <w:spacing w:before="0" w:after="0"/>
        <w:jc w:val="center"/>
        <w:rPr>
          <w:rFonts w:ascii="arial" w:hAnsi="arial"/>
          <w:b/>
          <w:sz w:val="20"/>
        </w:rPr>
      </w:pPr>
      <w:bookmarkStart w:id="10" w:name="toc487324_8"/>
      <w:bookmarkEnd w:id="10"/>
      <w:r>
        <w:rPr>
          <w:rFonts w:ascii="arial" w:hAnsi="arial"/>
          <w:b/>
          <w:sz w:val="20"/>
        </w:rPr>
        <w:t xml:space="preserve">Appendix A </w:t>
      </w:r>
    </w:p>
    <w:p>
      <w:pPr>
        <w:pStyle w:val="TextBody"/>
        <w:spacing w:before="0" w:after="0"/>
        <w:jc w:val="center"/>
        <w:rPr>
          <w:rFonts w:ascii="arial" w:hAnsi="arial"/>
          <w:b/>
          <w:sz w:val="20"/>
        </w:rPr>
      </w:pPr>
      <w:r>
        <w:rPr>
          <w:rFonts w:ascii="arial" w:hAnsi="arial"/>
          <w:b/>
          <w:sz w:val="20"/>
        </w:rPr>
        <w:t xml:space="preserve">Reconciliations of Non-GAAP Financial Measures (Unaudited) </w:t>
      </w:r>
    </w:p>
    <w:p>
      <w:pPr>
        <w:pStyle w:val="TextBody"/>
        <w:spacing w:before="240" w:after="0"/>
        <w:jc w:val="both"/>
        <w:rPr>
          <w:rFonts w:ascii="arial" w:hAnsi="arial"/>
          <w:b/>
          <w:i/>
          <w:sz w:val="20"/>
        </w:rPr>
      </w:pPr>
      <w:r>
        <w:rPr>
          <w:rFonts w:ascii="arial" w:hAnsi="arial"/>
          <w:b/>
          <w:i/>
          <w:sz w:val="20"/>
        </w:rPr>
        <w:t xml:space="preserve">Adjusted EBITDA </w:t>
      </w:r>
    </w:p>
    <w:p>
      <w:pPr>
        <w:pStyle w:val="TextBody"/>
        <w:spacing w:before="120" w:after="0"/>
        <w:jc w:val="both"/>
        <w:rPr>
          <w:rFonts w:ascii="arial" w:hAnsi="arial"/>
          <w:sz w:val="18"/>
        </w:rPr>
      </w:pPr>
      <w:r>
        <w:rPr>
          <w:rFonts w:ascii="arial" w:hAnsi="arial"/>
          <w:sz w:val="18"/>
        </w:rPr>
        <w:t xml:space="preserve">Adjusted EBITDA for purposes of the 2022 annual compensation awards is derived from Viatris’ financial statements in the same manner as Viatris’ publicly reported adjusted EBITDA for 2022 (“as reported”), except that the calculation for the 2022 incentive program (“for 2022 annual incentive compensation”) utilized budgeted foreign exchange rates (“currency impact”) and further adjusts for unbudgeted IPR&amp;D costs and the December 2022 results of the divested biosimilars business. </w:t>
      </w:r>
    </w:p>
    <w:p>
      <w:pPr>
        <w:pStyle w:val="TextBody"/>
        <w:spacing w:before="0" w:after="0"/>
        <w:jc w:val="left"/>
        <w:rPr/>
      </w:pPr>
      <w:r>
        <w:rPr/>
        <w:t> </w:t>
      </w:r>
    </w:p>
    <w:tbl>
      <w:tblPr>
        <w:tblW w:w="7815" w:type="dxa"/>
        <w:jc w:val="left"/>
        <w:tblInd w:w="0" w:type="dxa"/>
        <w:tblCellMar>
          <w:top w:w="0" w:type="dxa"/>
          <w:left w:w="0" w:type="dxa"/>
          <w:bottom w:w="0" w:type="dxa"/>
          <w:right w:w="0" w:type="dxa"/>
        </w:tblCellMar>
      </w:tblPr>
      <w:tblGrid>
        <w:gridCol w:w="6110"/>
        <w:gridCol w:w="120"/>
        <w:gridCol w:w="255"/>
        <w:gridCol w:w="1160"/>
        <w:gridCol w:w="170"/>
      </w:tblGrid>
      <w:tr>
        <w:trPr/>
        <w:tc>
          <w:tcPr>
            <w:tcW w:w="61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116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6110" w:type="dxa"/>
            <w:tcBorders>
              <w:bottom w:val="single" w:sz="8" w:space="0" w:color="732282"/>
            </w:tcBorders>
            <w:shd w:fill="auto" w:val="clear"/>
            <w:tcMar>
              <w:bottom w:w="28" w:type="dxa"/>
            </w:tcMar>
            <w:vAlign w:val="center"/>
          </w:tcPr>
          <w:p>
            <w:pPr>
              <w:pStyle w:val="TableContents"/>
              <w:spacing w:before="0" w:after="0"/>
              <w:rPr>
                <w:rFonts w:ascii="arial" w:hAnsi="arial"/>
                <w:b/>
                <w:color w:val="732282"/>
                <w:sz w:val="16"/>
              </w:rPr>
            </w:pPr>
            <w:r>
              <w:rPr>
                <w:rFonts w:ascii="arial" w:hAnsi="arial"/>
                <w:b/>
                <w:color w:val="732282"/>
                <w:sz w:val="16"/>
              </w:rPr>
              <w:t>(in millions)</w:t>
            </w:r>
          </w:p>
        </w:tc>
        <w:tc>
          <w:tcPr>
            <w:tcW w:w="120" w:type="dxa"/>
            <w:tcBorders>
              <w:bottom w:val="single" w:sz="8" w:space="0" w:color="732282"/>
            </w:tcBorders>
            <w:shd w:fill="auto" w:val="clear"/>
            <w:tcMar>
              <w:bottom w:w="28" w:type="dxa"/>
            </w:tcMar>
            <w:vAlign w:val="center"/>
          </w:tcPr>
          <w:p>
            <w:pPr>
              <w:pStyle w:val="TableContents"/>
              <w:spacing w:before="0" w:after="283"/>
              <w:rPr/>
            </w:pPr>
            <w:r>
              <w:rPr/>
              <w:t>  </w:t>
            </w:r>
          </w:p>
        </w:tc>
        <w:tc>
          <w:tcPr>
            <w:tcW w:w="1415" w:type="dxa"/>
            <w:gridSpan w:val="2"/>
            <w:tcBorders>
              <w:bottom w:val="single" w:sz="8" w:space="0" w:color="732282"/>
            </w:tcBorders>
            <w:shd w:fill="auto" w:val="clear"/>
            <w:tcMar>
              <w:bottom w:w="28" w:type="dxa"/>
            </w:tcMar>
            <w:vAlign w:val="center"/>
          </w:tcPr>
          <w:p>
            <w:pPr>
              <w:pStyle w:val="TableContents"/>
              <w:spacing w:before="0" w:after="283"/>
              <w:jc w:val="right"/>
              <w:rPr>
                <w:b/>
                <w:color w:val="732282"/>
              </w:rPr>
            </w:pPr>
            <w:r>
              <w:rPr>
                <w:b/>
                <w:color w:val="732282"/>
              </w:rPr>
              <w:t>Year ended</w:t>
              <w:br/>
              <w:t>December 31,</w:t>
              <w:br/>
              <w:t>2022</w:t>
            </w:r>
          </w:p>
        </w:tc>
        <w:tc>
          <w:tcPr>
            <w:tcW w:w="170" w:type="dxa"/>
            <w:tcBorders>
              <w:bottom w:val="single" w:sz="8" w:space="0" w:color="732282"/>
            </w:tcBorders>
            <w:shd w:fill="auto" w:val="clear"/>
            <w:tcMar>
              <w:bottom w:w="28" w:type="dxa"/>
            </w:tcMar>
            <w:vAlign w:val="center"/>
          </w:tcPr>
          <w:p>
            <w:pPr>
              <w:pStyle w:val="TableContents"/>
              <w:spacing w:before="0" w:after="283"/>
              <w:rPr/>
            </w:pPr>
            <w:r>
              <w:rPr/>
              <w:t> </w:t>
            </w:r>
          </w:p>
        </w:tc>
      </w:tr>
      <w:tr>
        <w:trPr/>
        <w:tc>
          <w:tcPr>
            <w:tcW w:w="6110" w:type="dxa"/>
            <w:tcBorders/>
            <w:shd w:fill="EAEAEA" w:val="clear"/>
            <w:vAlign w:val="center"/>
          </w:tcPr>
          <w:p>
            <w:pPr>
              <w:pStyle w:val="TableContents"/>
              <w:spacing w:before="0" w:after="0"/>
              <w:rPr>
                <w:rFonts w:ascii="arial" w:hAnsi="arial"/>
                <w:sz w:val="18"/>
              </w:rPr>
            </w:pPr>
            <w:r>
              <w:rPr>
                <w:rFonts w:ascii="arial" w:hAnsi="arial"/>
                <w:sz w:val="18"/>
              </w:rPr>
              <w:t>U.S. GAAP net earnings</w:t>
            </w:r>
          </w:p>
        </w:tc>
        <w:tc>
          <w:tcPr>
            <w:tcW w:w="120" w:type="dxa"/>
            <w:tcBorders/>
            <w:shd w:fill="EAEAEA" w:val="clear"/>
            <w:vAlign w:val="center"/>
          </w:tcPr>
          <w:p>
            <w:pPr>
              <w:pStyle w:val="TableContents"/>
              <w:spacing w:before="0" w:after="283"/>
              <w:rPr/>
            </w:pPr>
            <w:r>
              <w:rPr/>
              <w:t>  </w:t>
            </w:r>
          </w:p>
        </w:tc>
        <w:tc>
          <w:tcPr>
            <w:tcW w:w="255" w:type="dxa"/>
            <w:tcBorders/>
            <w:shd w:fill="EAEAEA" w:val="clear"/>
            <w:vAlign w:val="center"/>
          </w:tcPr>
          <w:p>
            <w:pPr>
              <w:pStyle w:val="TableContents"/>
              <w:spacing w:before="0" w:after="283"/>
              <w:rPr/>
            </w:pPr>
            <w:r>
              <w:rPr/>
              <w:t>$</w:t>
            </w:r>
          </w:p>
        </w:tc>
        <w:tc>
          <w:tcPr>
            <w:tcW w:w="1160" w:type="dxa"/>
            <w:tcBorders/>
            <w:shd w:fill="EAEAEA" w:val="clear"/>
            <w:vAlign w:val="center"/>
          </w:tcPr>
          <w:p>
            <w:pPr>
              <w:pStyle w:val="TableContents"/>
              <w:spacing w:before="0" w:after="283"/>
              <w:jc w:val="right"/>
              <w:rPr/>
            </w:pPr>
            <w:r>
              <w:rPr/>
              <w:t>2,079</w:t>
            </w:r>
          </w:p>
        </w:tc>
        <w:tc>
          <w:tcPr>
            <w:tcW w:w="170" w:type="dxa"/>
            <w:tcBorders/>
            <w:shd w:fill="EAEAEA" w:val="clear"/>
            <w:vAlign w:val="center"/>
          </w:tcPr>
          <w:p>
            <w:pPr>
              <w:pStyle w:val="TableContents"/>
              <w:spacing w:before="0" w:after="283"/>
              <w:rPr/>
            </w:pPr>
            <w:r>
              <w:rPr/>
              <w:t> </w:t>
            </w:r>
          </w:p>
        </w:tc>
      </w:tr>
      <w:tr>
        <w:trPr/>
        <w:tc>
          <w:tcPr>
            <w:tcW w:w="6110" w:type="dxa"/>
            <w:tcBorders/>
            <w:shd w:fill="auto" w:val="clear"/>
            <w:vAlign w:val="center"/>
          </w:tcPr>
          <w:p>
            <w:pPr>
              <w:pStyle w:val="TableContents"/>
              <w:spacing w:before="0" w:after="0"/>
              <w:rPr>
                <w:rFonts w:ascii="arial" w:hAnsi="arial"/>
                <w:sz w:val="18"/>
              </w:rPr>
            </w:pPr>
            <w:r>
              <w:rPr>
                <w:rFonts w:ascii="arial" w:hAnsi="arial"/>
                <w:sz w:val="18"/>
              </w:rPr>
              <w:t>Add/(deduct) adjustments:</w:t>
            </w:r>
          </w:p>
        </w:tc>
        <w:tc>
          <w:tcPr>
            <w:tcW w:w="12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283"/>
              <w:rPr>
                <w:sz w:val="4"/>
                <w:szCs w:val="4"/>
              </w:rPr>
            </w:pPr>
            <w:r>
              <w:rPr>
                <w:sz w:val="4"/>
                <w:szCs w:val="4"/>
              </w:rPr>
            </w:r>
          </w:p>
        </w:tc>
        <w:tc>
          <w:tcPr>
            <w:tcW w:w="116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6110" w:type="dxa"/>
            <w:tcBorders/>
            <w:shd w:fill="EAEAEA" w:val="clear"/>
            <w:vAlign w:val="center"/>
          </w:tcPr>
          <w:p>
            <w:pPr>
              <w:pStyle w:val="TableContents"/>
              <w:spacing w:before="0" w:after="0"/>
              <w:rPr>
                <w:rFonts w:ascii="arial" w:hAnsi="arial"/>
                <w:sz w:val="18"/>
              </w:rPr>
            </w:pPr>
            <w:r>
              <w:rPr>
                <w:rFonts w:ascii="arial" w:hAnsi="arial"/>
                <w:sz w:val="18"/>
              </w:rPr>
              <w:t>Income tax provision</w:t>
            </w:r>
          </w:p>
        </w:tc>
        <w:tc>
          <w:tcPr>
            <w:tcW w:w="120" w:type="dxa"/>
            <w:tcBorders/>
            <w:shd w:fill="EAEAEA" w:val="clear"/>
            <w:vAlign w:val="center"/>
          </w:tcPr>
          <w:p>
            <w:pPr>
              <w:pStyle w:val="TableContents"/>
              <w:spacing w:before="0" w:after="283"/>
              <w:rPr/>
            </w:pPr>
            <w:r>
              <w:rPr/>
              <w:t>  </w:t>
            </w:r>
          </w:p>
        </w:tc>
        <w:tc>
          <w:tcPr>
            <w:tcW w:w="255" w:type="dxa"/>
            <w:tcBorders/>
            <w:shd w:fill="EAEAEA" w:val="clear"/>
            <w:vAlign w:val="center"/>
          </w:tcPr>
          <w:p>
            <w:pPr>
              <w:pStyle w:val="TableContents"/>
              <w:spacing w:before="0" w:after="283"/>
              <w:rPr/>
            </w:pPr>
            <w:r>
              <w:rPr/>
              <w:t> </w:t>
            </w:r>
          </w:p>
        </w:tc>
        <w:tc>
          <w:tcPr>
            <w:tcW w:w="1160" w:type="dxa"/>
            <w:tcBorders/>
            <w:shd w:fill="EAEAEA" w:val="clear"/>
            <w:vAlign w:val="center"/>
          </w:tcPr>
          <w:p>
            <w:pPr>
              <w:pStyle w:val="TableContents"/>
              <w:spacing w:before="0" w:after="283"/>
              <w:jc w:val="right"/>
              <w:rPr/>
            </w:pPr>
            <w:r>
              <w:rPr/>
              <w:t>735</w:t>
            </w:r>
          </w:p>
        </w:tc>
        <w:tc>
          <w:tcPr>
            <w:tcW w:w="170" w:type="dxa"/>
            <w:tcBorders/>
            <w:shd w:fill="EAEAEA" w:val="clear"/>
            <w:vAlign w:val="center"/>
          </w:tcPr>
          <w:p>
            <w:pPr>
              <w:pStyle w:val="TableContents"/>
              <w:spacing w:before="0" w:after="283"/>
              <w:rPr/>
            </w:pPr>
            <w:r>
              <w:rPr/>
              <w:t> </w:t>
            </w:r>
          </w:p>
        </w:tc>
      </w:tr>
      <w:tr>
        <w:trPr/>
        <w:tc>
          <w:tcPr>
            <w:tcW w:w="6110" w:type="dxa"/>
            <w:tcBorders/>
            <w:shd w:fill="auto" w:val="clear"/>
            <w:vAlign w:val="center"/>
          </w:tcPr>
          <w:p>
            <w:pPr>
              <w:pStyle w:val="TableContents"/>
              <w:spacing w:before="0" w:after="0"/>
              <w:rPr>
                <w:rFonts w:ascii="arial" w:hAnsi="arial"/>
                <w:sz w:val="18"/>
              </w:rPr>
            </w:pPr>
            <w:r>
              <w:rPr>
                <w:rFonts w:ascii="arial" w:hAnsi="arial"/>
                <w:sz w:val="18"/>
              </w:rPr>
              <w:t>Interest expense(a)</w:t>
            </w:r>
          </w:p>
        </w:tc>
        <w:tc>
          <w:tcPr>
            <w:tcW w:w="12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283"/>
              <w:rPr/>
            </w:pPr>
            <w:r>
              <w:rPr/>
              <w:t> </w:t>
            </w:r>
          </w:p>
        </w:tc>
        <w:tc>
          <w:tcPr>
            <w:tcW w:w="1160" w:type="dxa"/>
            <w:tcBorders/>
            <w:shd w:fill="auto" w:val="clear"/>
            <w:vAlign w:val="center"/>
          </w:tcPr>
          <w:p>
            <w:pPr>
              <w:pStyle w:val="TableContents"/>
              <w:spacing w:before="0" w:after="283"/>
              <w:jc w:val="right"/>
              <w:rPr/>
            </w:pPr>
            <w:r>
              <w:rPr/>
              <w:t>592</w:t>
            </w:r>
          </w:p>
        </w:tc>
        <w:tc>
          <w:tcPr>
            <w:tcW w:w="170" w:type="dxa"/>
            <w:tcBorders/>
            <w:shd w:fill="auto" w:val="clear"/>
            <w:vAlign w:val="center"/>
          </w:tcPr>
          <w:p>
            <w:pPr>
              <w:pStyle w:val="TableContents"/>
              <w:spacing w:before="0" w:after="283"/>
              <w:rPr/>
            </w:pPr>
            <w:r>
              <w:rPr/>
              <w:t> </w:t>
            </w:r>
          </w:p>
        </w:tc>
      </w:tr>
      <w:tr>
        <w:trPr/>
        <w:tc>
          <w:tcPr>
            <w:tcW w:w="6110" w:type="dxa"/>
            <w:tcBorders/>
            <w:shd w:fill="EAEAEA" w:val="clear"/>
            <w:vAlign w:val="center"/>
          </w:tcPr>
          <w:p>
            <w:pPr>
              <w:pStyle w:val="TableContents"/>
              <w:spacing w:before="0" w:after="0"/>
              <w:rPr>
                <w:rFonts w:ascii="arial" w:hAnsi="arial"/>
                <w:sz w:val="18"/>
              </w:rPr>
            </w:pPr>
            <w:r>
              <w:rPr>
                <w:rFonts w:ascii="arial" w:hAnsi="arial"/>
                <w:sz w:val="18"/>
              </w:rPr>
              <w:t>Depreciation and amortization(b)</w:t>
            </w:r>
          </w:p>
        </w:tc>
        <w:tc>
          <w:tcPr>
            <w:tcW w:w="120" w:type="dxa"/>
            <w:tcBorders/>
            <w:shd w:fill="EAEAEA" w:val="clear"/>
            <w:vAlign w:val="center"/>
          </w:tcPr>
          <w:p>
            <w:pPr>
              <w:pStyle w:val="TableContents"/>
              <w:spacing w:before="0" w:after="283"/>
              <w:rPr/>
            </w:pPr>
            <w:r>
              <w:rPr/>
              <w:t>  </w:t>
            </w:r>
          </w:p>
        </w:tc>
        <w:tc>
          <w:tcPr>
            <w:tcW w:w="255" w:type="dxa"/>
            <w:tcBorders/>
            <w:shd w:fill="EAEAEA" w:val="clear"/>
            <w:vAlign w:val="center"/>
          </w:tcPr>
          <w:p>
            <w:pPr>
              <w:pStyle w:val="TableContents"/>
              <w:spacing w:before="0" w:after="283"/>
              <w:rPr/>
            </w:pPr>
            <w:r>
              <w:rPr/>
              <w:t> </w:t>
            </w:r>
          </w:p>
        </w:tc>
        <w:tc>
          <w:tcPr>
            <w:tcW w:w="1160" w:type="dxa"/>
            <w:tcBorders/>
            <w:shd w:fill="EAEAEA" w:val="clear"/>
            <w:vAlign w:val="center"/>
          </w:tcPr>
          <w:p>
            <w:pPr>
              <w:pStyle w:val="TableContents"/>
              <w:spacing w:before="0" w:after="283"/>
              <w:jc w:val="right"/>
              <w:rPr/>
            </w:pPr>
            <w:r>
              <w:rPr/>
              <w:t>3,028</w:t>
            </w:r>
          </w:p>
        </w:tc>
        <w:tc>
          <w:tcPr>
            <w:tcW w:w="170" w:type="dxa"/>
            <w:tcBorders/>
            <w:shd w:fill="EAEAEA" w:val="clear"/>
            <w:vAlign w:val="center"/>
          </w:tcPr>
          <w:p>
            <w:pPr>
              <w:pStyle w:val="TableContents"/>
              <w:spacing w:before="0" w:after="283"/>
              <w:rPr/>
            </w:pPr>
            <w:r>
              <w:rPr/>
              <w:t> </w:t>
            </w:r>
          </w:p>
        </w:tc>
      </w:tr>
      <w:tr>
        <w:trPr/>
        <w:tc>
          <w:tcPr>
            <w:tcW w:w="6110" w:type="dxa"/>
            <w:tcBorders/>
            <w:shd w:fill="auto" w:val="clear"/>
            <w:vAlign w:val="center"/>
          </w:tcPr>
          <w:p>
            <w:pPr>
              <w:pStyle w:val="TableContents"/>
              <w:spacing w:before="0" w:after="0"/>
              <w:rPr>
                <w:rFonts w:ascii="arial" w:hAnsi="arial"/>
                <w:sz w:val="18"/>
              </w:rPr>
            </w:pPr>
            <w:r>
              <w:rPr>
                <w:rFonts w:ascii="arial" w:hAnsi="arial"/>
                <w:sz w:val="18"/>
              </w:rPr>
              <w:t>EBITDA</w:t>
            </w:r>
          </w:p>
        </w:tc>
        <w:tc>
          <w:tcPr>
            <w:tcW w:w="12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283"/>
              <w:rPr/>
            </w:pPr>
            <w:r>
              <w:rPr/>
              <w:t>$</w:t>
            </w:r>
          </w:p>
        </w:tc>
        <w:tc>
          <w:tcPr>
            <w:tcW w:w="1160" w:type="dxa"/>
            <w:tcBorders/>
            <w:shd w:fill="auto" w:val="clear"/>
            <w:vAlign w:val="center"/>
          </w:tcPr>
          <w:p>
            <w:pPr>
              <w:pStyle w:val="TableContents"/>
              <w:spacing w:before="0" w:after="283"/>
              <w:jc w:val="right"/>
              <w:rPr/>
            </w:pPr>
            <w:r>
              <w:rPr/>
              <w:t>6,433</w:t>
            </w:r>
          </w:p>
        </w:tc>
        <w:tc>
          <w:tcPr>
            <w:tcW w:w="170" w:type="dxa"/>
            <w:tcBorders/>
            <w:shd w:fill="auto" w:val="clear"/>
            <w:vAlign w:val="center"/>
          </w:tcPr>
          <w:p>
            <w:pPr>
              <w:pStyle w:val="TableContents"/>
              <w:spacing w:before="0" w:after="283"/>
              <w:rPr/>
            </w:pPr>
            <w:r>
              <w:rPr/>
              <w:t> </w:t>
            </w:r>
          </w:p>
        </w:tc>
      </w:tr>
      <w:tr>
        <w:trPr/>
        <w:tc>
          <w:tcPr>
            <w:tcW w:w="6110" w:type="dxa"/>
            <w:tcBorders/>
            <w:shd w:fill="EAEAEA" w:val="clear"/>
            <w:vAlign w:val="center"/>
          </w:tcPr>
          <w:p>
            <w:pPr>
              <w:pStyle w:val="TableContents"/>
              <w:spacing w:before="0" w:after="0"/>
              <w:rPr>
                <w:rFonts w:ascii="arial" w:hAnsi="arial"/>
                <w:sz w:val="18"/>
              </w:rPr>
            </w:pPr>
            <w:r>
              <w:rPr>
                <w:rFonts w:ascii="arial" w:hAnsi="arial"/>
                <w:sz w:val="18"/>
              </w:rPr>
              <w:t>Add/(deduct) adjustments:</w:t>
            </w:r>
          </w:p>
        </w:tc>
        <w:tc>
          <w:tcPr>
            <w:tcW w:w="120" w:type="dxa"/>
            <w:tcBorders/>
            <w:shd w:fill="EAEAEA" w:val="clear"/>
            <w:vAlign w:val="center"/>
          </w:tcPr>
          <w:p>
            <w:pPr>
              <w:pStyle w:val="TableContents"/>
              <w:spacing w:before="0" w:after="283"/>
              <w:rPr/>
            </w:pPr>
            <w:r>
              <w:rPr/>
              <w:t>  </w:t>
            </w:r>
          </w:p>
        </w:tc>
        <w:tc>
          <w:tcPr>
            <w:tcW w:w="255" w:type="dxa"/>
            <w:tcBorders/>
            <w:shd w:fill="EAEAEA" w:val="clear"/>
            <w:vAlign w:val="center"/>
          </w:tcPr>
          <w:p>
            <w:pPr>
              <w:pStyle w:val="TableContents"/>
              <w:spacing w:before="0" w:after="283"/>
              <w:rPr>
                <w:sz w:val="4"/>
                <w:szCs w:val="4"/>
              </w:rPr>
            </w:pPr>
            <w:r>
              <w:rPr>
                <w:sz w:val="4"/>
                <w:szCs w:val="4"/>
              </w:rPr>
            </w:r>
          </w:p>
        </w:tc>
        <w:tc>
          <w:tcPr>
            <w:tcW w:w="1160" w:type="dxa"/>
            <w:tcBorders/>
            <w:shd w:fill="EAEAEA" w:val="clear"/>
            <w:vAlign w:val="center"/>
          </w:tcPr>
          <w:p>
            <w:pPr>
              <w:pStyle w:val="TableContents"/>
              <w:spacing w:before="0" w:after="283"/>
              <w:rPr>
                <w:sz w:val="4"/>
                <w:szCs w:val="4"/>
              </w:rPr>
            </w:pPr>
            <w:r>
              <w:rPr>
                <w:sz w:val="4"/>
                <w:szCs w:val="4"/>
              </w:rPr>
            </w:r>
          </w:p>
        </w:tc>
        <w:tc>
          <w:tcPr>
            <w:tcW w:w="170" w:type="dxa"/>
            <w:tcBorders/>
            <w:shd w:fill="EAEAEA" w:val="clear"/>
            <w:vAlign w:val="center"/>
          </w:tcPr>
          <w:p>
            <w:pPr>
              <w:pStyle w:val="TableContents"/>
              <w:spacing w:before="0" w:after="283"/>
              <w:rPr>
                <w:sz w:val="4"/>
                <w:szCs w:val="4"/>
              </w:rPr>
            </w:pPr>
            <w:r>
              <w:rPr>
                <w:sz w:val="4"/>
                <w:szCs w:val="4"/>
              </w:rPr>
            </w:r>
          </w:p>
        </w:tc>
      </w:tr>
      <w:tr>
        <w:trPr/>
        <w:tc>
          <w:tcPr>
            <w:tcW w:w="6110" w:type="dxa"/>
            <w:tcBorders/>
            <w:shd w:fill="auto" w:val="clear"/>
            <w:vAlign w:val="center"/>
          </w:tcPr>
          <w:p>
            <w:pPr>
              <w:pStyle w:val="TableContents"/>
              <w:spacing w:before="0" w:after="0"/>
              <w:rPr>
                <w:rFonts w:ascii="arial" w:hAnsi="arial"/>
                <w:sz w:val="18"/>
              </w:rPr>
            </w:pPr>
            <w:r>
              <w:rPr>
                <w:rFonts w:ascii="arial" w:hAnsi="arial"/>
                <w:sz w:val="18"/>
              </w:rPr>
              <w:t>Share-based compensation expense</w:t>
            </w:r>
          </w:p>
        </w:tc>
        <w:tc>
          <w:tcPr>
            <w:tcW w:w="12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283"/>
              <w:rPr/>
            </w:pPr>
            <w:r>
              <w:rPr/>
              <w:t> </w:t>
            </w:r>
          </w:p>
        </w:tc>
        <w:tc>
          <w:tcPr>
            <w:tcW w:w="1160" w:type="dxa"/>
            <w:tcBorders/>
            <w:shd w:fill="auto" w:val="clear"/>
            <w:vAlign w:val="center"/>
          </w:tcPr>
          <w:p>
            <w:pPr>
              <w:pStyle w:val="TableContents"/>
              <w:spacing w:before="0" w:after="283"/>
              <w:jc w:val="right"/>
              <w:rPr/>
            </w:pPr>
            <w:r>
              <w:rPr/>
              <w:t>116</w:t>
            </w:r>
          </w:p>
        </w:tc>
        <w:tc>
          <w:tcPr>
            <w:tcW w:w="170" w:type="dxa"/>
            <w:tcBorders/>
            <w:shd w:fill="auto" w:val="clear"/>
            <w:vAlign w:val="center"/>
          </w:tcPr>
          <w:p>
            <w:pPr>
              <w:pStyle w:val="TableContents"/>
              <w:spacing w:before="0" w:after="283"/>
              <w:rPr/>
            </w:pPr>
            <w:r>
              <w:rPr/>
              <w:t> </w:t>
            </w:r>
          </w:p>
        </w:tc>
      </w:tr>
      <w:tr>
        <w:trPr/>
        <w:tc>
          <w:tcPr>
            <w:tcW w:w="6110" w:type="dxa"/>
            <w:tcBorders/>
            <w:shd w:fill="EAEAEA" w:val="clear"/>
            <w:vAlign w:val="center"/>
          </w:tcPr>
          <w:p>
            <w:pPr>
              <w:pStyle w:val="TableContents"/>
              <w:spacing w:before="0" w:after="0"/>
              <w:rPr>
                <w:rFonts w:ascii="arial" w:hAnsi="arial"/>
                <w:sz w:val="18"/>
              </w:rPr>
            </w:pPr>
            <w:r>
              <w:rPr>
                <w:rFonts w:ascii="arial" w:hAnsi="arial"/>
                <w:sz w:val="18"/>
              </w:rPr>
              <w:t>Litigation settlements and other contingencies, net</w:t>
            </w:r>
          </w:p>
        </w:tc>
        <w:tc>
          <w:tcPr>
            <w:tcW w:w="120" w:type="dxa"/>
            <w:tcBorders/>
            <w:shd w:fill="EAEAEA" w:val="clear"/>
            <w:vAlign w:val="center"/>
          </w:tcPr>
          <w:p>
            <w:pPr>
              <w:pStyle w:val="TableContents"/>
              <w:spacing w:before="0" w:after="283"/>
              <w:rPr/>
            </w:pPr>
            <w:r>
              <w:rPr/>
              <w:t>  </w:t>
            </w:r>
          </w:p>
        </w:tc>
        <w:tc>
          <w:tcPr>
            <w:tcW w:w="255" w:type="dxa"/>
            <w:tcBorders/>
            <w:shd w:fill="EAEAEA" w:val="clear"/>
            <w:vAlign w:val="center"/>
          </w:tcPr>
          <w:p>
            <w:pPr>
              <w:pStyle w:val="TableContents"/>
              <w:spacing w:before="0" w:after="283"/>
              <w:rPr/>
            </w:pPr>
            <w:r>
              <w:rPr/>
              <w:t> </w:t>
            </w:r>
          </w:p>
        </w:tc>
        <w:tc>
          <w:tcPr>
            <w:tcW w:w="1160" w:type="dxa"/>
            <w:tcBorders/>
            <w:shd w:fill="EAEAEA" w:val="clear"/>
            <w:vAlign w:val="center"/>
          </w:tcPr>
          <w:p>
            <w:pPr>
              <w:pStyle w:val="TableContents"/>
              <w:spacing w:before="0" w:after="283"/>
              <w:jc w:val="right"/>
              <w:rPr/>
            </w:pPr>
            <w:r>
              <w:rPr/>
              <w:t>4</w:t>
            </w:r>
          </w:p>
        </w:tc>
        <w:tc>
          <w:tcPr>
            <w:tcW w:w="170" w:type="dxa"/>
            <w:tcBorders/>
            <w:shd w:fill="EAEAEA" w:val="clear"/>
            <w:vAlign w:val="center"/>
          </w:tcPr>
          <w:p>
            <w:pPr>
              <w:pStyle w:val="TableContents"/>
              <w:spacing w:before="0" w:after="283"/>
              <w:rPr/>
            </w:pPr>
            <w:r>
              <w:rPr/>
              <w:t> </w:t>
            </w:r>
          </w:p>
        </w:tc>
      </w:tr>
      <w:tr>
        <w:trPr/>
        <w:tc>
          <w:tcPr>
            <w:tcW w:w="6110" w:type="dxa"/>
            <w:tcBorders/>
            <w:shd w:fill="auto" w:val="clear"/>
            <w:vAlign w:val="center"/>
          </w:tcPr>
          <w:p>
            <w:pPr>
              <w:pStyle w:val="TableContents"/>
              <w:spacing w:before="0" w:after="0"/>
              <w:rPr>
                <w:rFonts w:ascii="arial" w:hAnsi="arial"/>
                <w:sz w:val="18"/>
              </w:rPr>
            </w:pPr>
            <w:r>
              <w:rPr>
                <w:rFonts w:ascii="arial" w:hAnsi="arial"/>
                <w:sz w:val="18"/>
              </w:rPr>
              <w:t>Biocon Biologics gain on divestiture</w:t>
            </w:r>
          </w:p>
        </w:tc>
        <w:tc>
          <w:tcPr>
            <w:tcW w:w="12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283"/>
              <w:rPr/>
            </w:pPr>
            <w:r>
              <w:rPr/>
              <w:t> </w:t>
            </w:r>
          </w:p>
        </w:tc>
        <w:tc>
          <w:tcPr>
            <w:tcW w:w="1160" w:type="dxa"/>
            <w:tcBorders/>
            <w:shd w:fill="auto" w:val="clear"/>
            <w:vAlign w:val="center"/>
          </w:tcPr>
          <w:p>
            <w:pPr>
              <w:pStyle w:val="TableContents"/>
              <w:spacing w:before="0" w:after="283"/>
              <w:jc w:val="right"/>
              <w:rPr/>
            </w:pPr>
            <w:r>
              <w:rPr/>
              <w:t>(1,754</w:t>
            </w:r>
          </w:p>
        </w:tc>
        <w:tc>
          <w:tcPr>
            <w:tcW w:w="170" w:type="dxa"/>
            <w:tcBorders/>
            <w:shd w:fill="auto" w:val="clear"/>
            <w:vAlign w:val="center"/>
          </w:tcPr>
          <w:p>
            <w:pPr>
              <w:pStyle w:val="TableContents"/>
              <w:spacing w:before="0" w:after="283"/>
              <w:rPr/>
            </w:pPr>
            <w:r>
              <w:rPr/>
              <w:t>) </w:t>
            </w:r>
          </w:p>
        </w:tc>
      </w:tr>
      <w:tr>
        <w:trPr/>
        <w:tc>
          <w:tcPr>
            <w:tcW w:w="6110" w:type="dxa"/>
            <w:tcBorders/>
            <w:shd w:fill="EAEAEA" w:val="clear"/>
            <w:vAlign w:val="center"/>
          </w:tcPr>
          <w:p>
            <w:pPr>
              <w:pStyle w:val="TableContents"/>
              <w:spacing w:before="0" w:after="0"/>
              <w:rPr>
                <w:rFonts w:ascii="arial" w:hAnsi="arial"/>
                <w:sz w:val="18"/>
              </w:rPr>
            </w:pPr>
            <w:r>
              <w:rPr>
                <w:rFonts w:ascii="arial" w:hAnsi="arial"/>
                <w:sz w:val="18"/>
              </w:rPr>
              <w:t>Impairment of goodwill related to assets held for sale</w:t>
            </w:r>
          </w:p>
        </w:tc>
        <w:tc>
          <w:tcPr>
            <w:tcW w:w="120" w:type="dxa"/>
            <w:tcBorders/>
            <w:shd w:fill="EAEAEA" w:val="clear"/>
            <w:vAlign w:val="center"/>
          </w:tcPr>
          <w:p>
            <w:pPr>
              <w:pStyle w:val="TableContents"/>
              <w:spacing w:before="0" w:after="283"/>
              <w:rPr/>
            </w:pPr>
            <w:r>
              <w:rPr/>
              <w:t>  </w:t>
            </w:r>
          </w:p>
        </w:tc>
        <w:tc>
          <w:tcPr>
            <w:tcW w:w="255" w:type="dxa"/>
            <w:tcBorders/>
            <w:shd w:fill="EAEAEA" w:val="clear"/>
            <w:vAlign w:val="center"/>
          </w:tcPr>
          <w:p>
            <w:pPr>
              <w:pStyle w:val="TableContents"/>
              <w:spacing w:before="0" w:after="283"/>
              <w:rPr/>
            </w:pPr>
            <w:r>
              <w:rPr/>
              <w:t> </w:t>
            </w:r>
          </w:p>
        </w:tc>
        <w:tc>
          <w:tcPr>
            <w:tcW w:w="1160" w:type="dxa"/>
            <w:tcBorders/>
            <w:shd w:fill="EAEAEA" w:val="clear"/>
            <w:vAlign w:val="center"/>
          </w:tcPr>
          <w:p>
            <w:pPr>
              <w:pStyle w:val="TableContents"/>
              <w:spacing w:before="0" w:after="283"/>
              <w:jc w:val="right"/>
              <w:rPr/>
            </w:pPr>
            <w:r>
              <w:rPr/>
              <w:t>117</w:t>
            </w:r>
          </w:p>
        </w:tc>
        <w:tc>
          <w:tcPr>
            <w:tcW w:w="170" w:type="dxa"/>
            <w:tcBorders/>
            <w:shd w:fill="EAEAEA" w:val="clear"/>
            <w:vAlign w:val="center"/>
          </w:tcPr>
          <w:p>
            <w:pPr>
              <w:pStyle w:val="TableContents"/>
              <w:spacing w:before="0" w:after="283"/>
              <w:rPr/>
            </w:pPr>
            <w:r>
              <w:rPr/>
              <w:t> </w:t>
            </w:r>
          </w:p>
        </w:tc>
      </w:tr>
      <w:tr>
        <w:trPr/>
        <w:tc>
          <w:tcPr>
            <w:tcW w:w="6110" w:type="dxa"/>
            <w:tcBorders/>
            <w:shd w:fill="auto" w:val="clear"/>
            <w:vAlign w:val="center"/>
          </w:tcPr>
          <w:p>
            <w:pPr>
              <w:pStyle w:val="TableContents"/>
              <w:spacing w:before="0" w:after="0"/>
              <w:rPr>
                <w:rFonts w:ascii="arial" w:hAnsi="arial"/>
                <w:sz w:val="18"/>
              </w:rPr>
            </w:pPr>
            <w:r>
              <w:rPr>
                <w:rFonts w:ascii="arial" w:hAnsi="arial"/>
                <w:sz w:val="18"/>
              </w:rPr>
              <w:t>Restructuring, acquisition and divestiture related and other special items(c)</w:t>
            </w:r>
          </w:p>
        </w:tc>
        <w:tc>
          <w:tcPr>
            <w:tcW w:w="12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283"/>
              <w:rPr/>
            </w:pPr>
            <w:r>
              <w:rPr/>
              <w:t> </w:t>
            </w:r>
          </w:p>
        </w:tc>
        <w:tc>
          <w:tcPr>
            <w:tcW w:w="1160" w:type="dxa"/>
            <w:tcBorders/>
            <w:shd w:fill="auto" w:val="clear"/>
            <w:vAlign w:val="center"/>
          </w:tcPr>
          <w:p>
            <w:pPr>
              <w:pStyle w:val="TableContents"/>
              <w:spacing w:before="0" w:after="283"/>
              <w:jc w:val="right"/>
              <w:rPr/>
            </w:pPr>
            <w:r>
              <w:rPr/>
              <w:t>860</w:t>
            </w:r>
          </w:p>
        </w:tc>
        <w:tc>
          <w:tcPr>
            <w:tcW w:w="170" w:type="dxa"/>
            <w:tcBorders/>
            <w:shd w:fill="auto" w:val="clear"/>
            <w:vAlign w:val="center"/>
          </w:tcPr>
          <w:p>
            <w:pPr>
              <w:pStyle w:val="TableContents"/>
              <w:spacing w:before="0" w:after="283"/>
              <w:rPr/>
            </w:pPr>
            <w:r>
              <w:rPr/>
              <w:t> </w:t>
            </w:r>
          </w:p>
        </w:tc>
      </w:tr>
      <w:tr>
        <w:trPr/>
        <w:tc>
          <w:tcPr>
            <w:tcW w:w="6110" w:type="dxa"/>
            <w:tcBorders/>
            <w:shd w:fill="EAEAEA" w:val="clear"/>
            <w:vAlign w:val="center"/>
          </w:tcPr>
          <w:p>
            <w:pPr>
              <w:pStyle w:val="TableContents"/>
              <w:spacing w:before="0" w:after="0"/>
              <w:rPr>
                <w:rFonts w:ascii="arial" w:hAnsi="arial"/>
                <w:sz w:val="18"/>
              </w:rPr>
            </w:pPr>
            <w:r>
              <w:rPr>
                <w:rFonts w:ascii="arial" w:hAnsi="arial"/>
                <w:sz w:val="18"/>
              </w:rPr>
              <w:t>Adjusted EBITDA (as reported)</w:t>
            </w:r>
          </w:p>
        </w:tc>
        <w:tc>
          <w:tcPr>
            <w:tcW w:w="120" w:type="dxa"/>
            <w:tcBorders/>
            <w:shd w:fill="EAEAEA" w:val="clear"/>
            <w:vAlign w:val="center"/>
          </w:tcPr>
          <w:p>
            <w:pPr>
              <w:pStyle w:val="TableContents"/>
              <w:spacing w:before="0" w:after="283"/>
              <w:rPr/>
            </w:pPr>
            <w:r>
              <w:rPr/>
              <w:t>  </w:t>
            </w:r>
          </w:p>
        </w:tc>
        <w:tc>
          <w:tcPr>
            <w:tcW w:w="255" w:type="dxa"/>
            <w:tcBorders/>
            <w:shd w:fill="EAEAEA" w:val="clear"/>
            <w:vAlign w:val="center"/>
          </w:tcPr>
          <w:p>
            <w:pPr>
              <w:pStyle w:val="TableContents"/>
              <w:spacing w:before="0" w:after="283"/>
              <w:rPr/>
            </w:pPr>
            <w:r>
              <w:rPr/>
              <w:t>$</w:t>
            </w:r>
          </w:p>
        </w:tc>
        <w:tc>
          <w:tcPr>
            <w:tcW w:w="1160" w:type="dxa"/>
            <w:tcBorders/>
            <w:shd w:fill="EAEAEA" w:val="clear"/>
            <w:vAlign w:val="center"/>
          </w:tcPr>
          <w:p>
            <w:pPr>
              <w:pStyle w:val="TableContents"/>
              <w:spacing w:before="0" w:after="283"/>
              <w:jc w:val="right"/>
              <w:rPr/>
            </w:pPr>
            <w:r>
              <w:rPr/>
              <w:t>5,777</w:t>
            </w:r>
          </w:p>
        </w:tc>
        <w:tc>
          <w:tcPr>
            <w:tcW w:w="170" w:type="dxa"/>
            <w:tcBorders/>
            <w:shd w:fill="EAEAEA" w:val="clear"/>
            <w:vAlign w:val="center"/>
          </w:tcPr>
          <w:p>
            <w:pPr>
              <w:pStyle w:val="TableContents"/>
              <w:spacing w:before="0" w:after="283"/>
              <w:rPr/>
            </w:pPr>
            <w:r>
              <w:rPr/>
              <w:t> </w:t>
            </w:r>
          </w:p>
        </w:tc>
      </w:tr>
      <w:tr>
        <w:trPr/>
        <w:tc>
          <w:tcPr>
            <w:tcW w:w="6110" w:type="dxa"/>
            <w:tcBorders/>
            <w:shd w:fill="auto" w:val="clear"/>
            <w:vAlign w:val="center"/>
          </w:tcPr>
          <w:p>
            <w:pPr>
              <w:pStyle w:val="TableContents"/>
              <w:spacing w:before="0" w:after="0"/>
              <w:rPr>
                <w:rFonts w:ascii="arial" w:hAnsi="arial"/>
                <w:sz w:val="18"/>
              </w:rPr>
            </w:pPr>
            <w:r>
              <w:rPr>
                <w:rFonts w:ascii="arial" w:hAnsi="arial"/>
                <w:sz w:val="18"/>
              </w:rPr>
              <w:t>December 2022 results of the divested biosimilars business</w:t>
            </w:r>
          </w:p>
        </w:tc>
        <w:tc>
          <w:tcPr>
            <w:tcW w:w="12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283"/>
              <w:rPr/>
            </w:pPr>
            <w:r>
              <w:rPr/>
              <w:t> </w:t>
            </w:r>
          </w:p>
        </w:tc>
        <w:tc>
          <w:tcPr>
            <w:tcW w:w="1160" w:type="dxa"/>
            <w:tcBorders/>
            <w:shd w:fill="auto" w:val="clear"/>
            <w:vAlign w:val="center"/>
          </w:tcPr>
          <w:p>
            <w:pPr>
              <w:pStyle w:val="TableContents"/>
              <w:spacing w:before="0" w:after="283"/>
              <w:jc w:val="right"/>
              <w:rPr/>
            </w:pPr>
            <w:r>
              <w:rPr/>
              <w:t>31</w:t>
            </w:r>
          </w:p>
        </w:tc>
        <w:tc>
          <w:tcPr>
            <w:tcW w:w="170" w:type="dxa"/>
            <w:tcBorders/>
            <w:shd w:fill="auto" w:val="clear"/>
            <w:vAlign w:val="center"/>
          </w:tcPr>
          <w:p>
            <w:pPr>
              <w:pStyle w:val="TableContents"/>
              <w:spacing w:before="0" w:after="283"/>
              <w:rPr/>
            </w:pPr>
            <w:r>
              <w:rPr/>
              <w:t> </w:t>
            </w:r>
          </w:p>
        </w:tc>
      </w:tr>
      <w:tr>
        <w:trPr/>
        <w:tc>
          <w:tcPr>
            <w:tcW w:w="6110" w:type="dxa"/>
            <w:tcBorders/>
            <w:shd w:fill="EAEAEA" w:val="clear"/>
            <w:vAlign w:val="center"/>
          </w:tcPr>
          <w:p>
            <w:pPr>
              <w:pStyle w:val="TableContents"/>
              <w:spacing w:before="0" w:after="0"/>
              <w:rPr>
                <w:rFonts w:ascii="arial" w:hAnsi="arial"/>
                <w:sz w:val="18"/>
              </w:rPr>
            </w:pPr>
            <w:r>
              <w:rPr>
                <w:rFonts w:ascii="arial" w:hAnsi="arial"/>
                <w:sz w:val="18"/>
              </w:rPr>
              <w:t>Unbudgeted IPR&amp;D costs</w:t>
            </w:r>
          </w:p>
        </w:tc>
        <w:tc>
          <w:tcPr>
            <w:tcW w:w="120" w:type="dxa"/>
            <w:tcBorders/>
            <w:shd w:fill="EAEAEA" w:val="clear"/>
            <w:vAlign w:val="center"/>
          </w:tcPr>
          <w:p>
            <w:pPr>
              <w:pStyle w:val="TableContents"/>
              <w:spacing w:before="0" w:after="283"/>
              <w:rPr/>
            </w:pPr>
            <w:r>
              <w:rPr/>
              <w:t>  </w:t>
            </w:r>
          </w:p>
        </w:tc>
        <w:tc>
          <w:tcPr>
            <w:tcW w:w="255" w:type="dxa"/>
            <w:tcBorders/>
            <w:shd w:fill="EAEAEA" w:val="clear"/>
            <w:vAlign w:val="center"/>
          </w:tcPr>
          <w:p>
            <w:pPr>
              <w:pStyle w:val="TableContents"/>
              <w:spacing w:before="0" w:after="283"/>
              <w:rPr/>
            </w:pPr>
            <w:r>
              <w:rPr/>
              <w:t> </w:t>
            </w:r>
          </w:p>
        </w:tc>
        <w:tc>
          <w:tcPr>
            <w:tcW w:w="1160" w:type="dxa"/>
            <w:tcBorders/>
            <w:shd w:fill="EAEAEA" w:val="clear"/>
            <w:vAlign w:val="center"/>
          </w:tcPr>
          <w:p>
            <w:pPr>
              <w:pStyle w:val="TableContents"/>
              <w:spacing w:before="0" w:after="283"/>
              <w:jc w:val="right"/>
              <w:rPr/>
            </w:pPr>
            <w:r>
              <w:rPr/>
              <w:t>36</w:t>
            </w:r>
          </w:p>
        </w:tc>
        <w:tc>
          <w:tcPr>
            <w:tcW w:w="170" w:type="dxa"/>
            <w:tcBorders/>
            <w:shd w:fill="EAEAEA" w:val="clear"/>
            <w:vAlign w:val="center"/>
          </w:tcPr>
          <w:p>
            <w:pPr>
              <w:pStyle w:val="TableContents"/>
              <w:spacing w:before="0" w:after="283"/>
              <w:rPr/>
            </w:pPr>
            <w:r>
              <w:rPr/>
              <w:t> </w:t>
            </w:r>
          </w:p>
        </w:tc>
      </w:tr>
      <w:tr>
        <w:trPr/>
        <w:tc>
          <w:tcPr>
            <w:tcW w:w="6110" w:type="dxa"/>
            <w:tcBorders/>
            <w:shd w:fill="auto" w:val="clear"/>
            <w:vAlign w:val="center"/>
          </w:tcPr>
          <w:p>
            <w:pPr>
              <w:pStyle w:val="TableContents"/>
              <w:spacing w:before="0" w:after="0"/>
              <w:rPr>
                <w:rFonts w:ascii="arial" w:hAnsi="arial"/>
                <w:sz w:val="18"/>
              </w:rPr>
            </w:pPr>
            <w:r>
              <w:rPr>
                <w:rFonts w:ascii="arial" w:hAnsi="arial"/>
                <w:sz w:val="18"/>
              </w:rPr>
              <w:t>Currency impact</w:t>
            </w:r>
          </w:p>
        </w:tc>
        <w:tc>
          <w:tcPr>
            <w:tcW w:w="120" w:type="dxa"/>
            <w:tcBorders/>
            <w:shd w:fill="auto" w:val="clear"/>
            <w:vAlign w:val="center"/>
          </w:tcPr>
          <w:p>
            <w:pPr>
              <w:pStyle w:val="TableContents"/>
              <w:spacing w:before="0" w:after="283"/>
              <w:rPr/>
            </w:pPr>
            <w:r>
              <w:rPr/>
              <w:t>  </w:t>
            </w:r>
          </w:p>
        </w:tc>
        <w:tc>
          <w:tcPr>
            <w:tcW w:w="255" w:type="dxa"/>
            <w:tcBorders/>
            <w:shd w:fill="auto" w:val="clear"/>
            <w:vAlign w:val="center"/>
          </w:tcPr>
          <w:p>
            <w:pPr>
              <w:pStyle w:val="TableContents"/>
              <w:spacing w:before="0" w:after="283"/>
              <w:rPr/>
            </w:pPr>
            <w:r>
              <w:rPr/>
              <w:t> </w:t>
            </w:r>
          </w:p>
        </w:tc>
        <w:tc>
          <w:tcPr>
            <w:tcW w:w="1160" w:type="dxa"/>
            <w:tcBorders/>
            <w:shd w:fill="auto" w:val="clear"/>
            <w:vAlign w:val="center"/>
          </w:tcPr>
          <w:p>
            <w:pPr>
              <w:pStyle w:val="TableContents"/>
              <w:spacing w:before="0" w:after="283"/>
              <w:jc w:val="right"/>
              <w:rPr/>
            </w:pPr>
            <w:r>
              <w:rPr/>
              <w:t>356</w:t>
            </w:r>
          </w:p>
        </w:tc>
        <w:tc>
          <w:tcPr>
            <w:tcW w:w="170" w:type="dxa"/>
            <w:tcBorders/>
            <w:shd w:fill="auto" w:val="clear"/>
            <w:vAlign w:val="center"/>
          </w:tcPr>
          <w:p>
            <w:pPr>
              <w:pStyle w:val="TableContents"/>
              <w:spacing w:before="0" w:after="283"/>
              <w:rPr/>
            </w:pPr>
            <w:r>
              <w:rPr/>
              <w:t> </w:t>
            </w:r>
          </w:p>
        </w:tc>
      </w:tr>
      <w:tr>
        <w:trPr/>
        <w:tc>
          <w:tcPr>
            <w:tcW w:w="6110" w:type="dxa"/>
            <w:tcBorders>
              <w:bottom w:val="single" w:sz="6" w:space="0" w:color="732282"/>
            </w:tcBorders>
            <w:shd w:fill="EAEAEA" w:val="clear"/>
            <w:tcMar>
              <w:bottom w:w="28" w:type="dxa"/>
            </w:tcMar>
            <w:vAlign w:val="center"/>
          </w:tcPr>
          <w:p>
            <w:pPr>
              <w:pStyle w:val="TableContents"/>
              <w:spacing w:before="0" w:after="0"/>
              <w:rPr>
                <w:rFonts w:ascii="arial" w:hAnsi="arial"/>
                <w:sz w:val="18"/>
              </w:rPr>
            </w:pPr>
            <w:r>
              <w:rPr>
                <w:rFonts w:ascii="arial" w:hAnsi="arial"/>
                <w:sz w:val="18"/>
              </w:rPr>
              <w:t>Adjusted EBITDA (for 2022 annual incentive compensation)</w:t>
            </w:r>
          </w:p>
        </w:tc>
        <w:tc>
          <w:tcPr>
            <w:tcW w:w="120" w:type="dxa"/>
            <w:tcBorders>
              <w:bottom w:val="single" w:sz="6" w:space="0" w:color="732282"/>
            </w:tcBorders>
            <w:shd w:fill="EAEAEA" w:val="clear"/>
            <w:tcMar>
              <w:bottom w:w="28" w:type="dxa"/>
            </w:tcMar>
            <w:vAlign w:val="center"/>
          </w:tcPr>
          <w:p>
            <w:pPr>
              <w:pStyle w:val="TableContents"/>
              <w:spacing w:before="0" w:after="283"/>
              <w:rPr/>
            </w:pPr>
            <w:r>
              <w:rPr/>
              <w:t>  </w:t>
            </w:r>
          </w:p>
        </w:tc>
        <w:tc>
          <w:tcPr>
            <w:tcW w:w="255" w:type="dxa"/>
            <w:tcBorders>
              <w:bottom w:val="single" w:sz="6" w:space="0" w:color="732282"/>
            </w:tcBorders>
            <w:shd w:fill="EAEAEA" w:val="clear"/>
            <w:tcMar>
              <w:bottom w:w="28" w:type="dxa"/>
            </w:tcMar>
            <w:vAlign w:val="center"/>
          </w:tcPr>
          <w:p>
            <w:pPr>
              <w:pStyle w:val="TableContents"/>
              <w:spacing w:before="0" w:after="283"/>
              <w:rPr/>
            </w:pPr>
            <w:r>
              <w:rPr/>
              <w:t>$</w:t>
            </w:r>
          </w:p>
        </w:tc>
        <w:tc>
          <w:tcPr>
            <w:tcW w:w="1160" w:type="dxa"/>
            <w:tcBorders>
              <w:bottom w:val="single" w:sz="6" w:space="0" w:color="732282"/>
            </w:tcBorders>
            <w:shd w:fill="EAEAEA" w:val="clear"/>
            <w:tcMar>
              <w:bottom w:w="28" w:type="dxa"/>
            </w:tcMar>
            <w:vAlign w:val="center"/>
          </w:tcPr>
          <w:p>
            <w:pPr>
              <w:pStyle w:val="TableContents"/>
              <w:spacing w:before="0" w:after="283"/>
              <w:jc w:val="right"/>
              <w:rPr/>
            </w:pPr>
            <w:r>
              <w:rPr/>
              <w:t>6,200</w:t>
            </w:r>
          </w:p>
        </w:tc>
        <w:tc>
          <w:tcPr>
            <w:tcW w:w="170" w:type="dxa"/>
            <w:tcBorders>
              <w:bottom w:val="single" w:sz="6" w:space="0" w:color="732282"/>
            </w:tcBorders>
            <w:shd w:fill="EAEAEA" w:val="clear"/>
            <w:tcMar>
              <w:bottom w:w="28" w:type="dxa"/>
            </w:tcMar>
            <w:vAlign w:val="center"/>
          </w:tcPr>
          <w:p>
            <w:pPr>
              <w:pStyle w:val="TableContents"/>
              <w:spacing w:before="0" w:after="283"/>
              <w:rPr/>
            </w:pPr>
            <w:r>
              <w:rPr/>
              <w:t> </w:t>
            </w:r>
          </w:p>
        </w:tc>
      </w:tr>
    </w:tbl>
    <w:tbl>
      <w:tblPr>
        <w:tblW w:w="5875" w:type="dxa"/>
        <w:jc w:val="left"/>
        <w:tblInd w:w="0" w:type="dxa"/>
        <w:tblCellMar>
          <w:top w:w="0" w:type="dxa"/>
          <w:left w:w="0" w:type="dxa"/>
          <w:bottom w:w="0" w:type="dxa"/>
          <w:right w:w="0" w:type="dxa"/>
        </w:tblCellMar>
      </w:tblPr>
      <w:tblGrid>
        <w:gridCol w:w="290"/>
        <w:gridCol w:w="5585"/>
      </w:tblGrid>
      <w:tr>
        <w:trPr/>
        <w:tc>
          <w:tcPr>
            <w:tcW w:w="290" w:type="dxa"/>
            <w:tcBorders/>
            <w:shd w:fill="auto" w:val="clear"/>
            <w:vAlign w:val="center"/>
          </w:tcPr>
          <w:p>
            <w:pPr>
              <w:pStyle w:val="TableContents"/>
              <w:spacing w:before="0" w:after="283"/>
              <w:jc w:val="left"/>
              <w:rPr/>
            </w:pPr>
            <w:r>
              <w:rPr/>
              <w:t>(a)</w:t>
            </w:r>
          </w:p>
        </w:tc>
        <w:tc>
          <w:tcPr>
            <w:tcW w:w="5585" w:type="dxa"/>
            <w:tcBorders/>
            <w:shd w:fill="auto" w:val="clear"/>
            <w:vAlign w:val="center"/>
          </w:tcPr>
          <w:p>
            <w:pPr>
              <w:pStyle w:val="TableContents"/>
              <w:spacing w:before="0" w:after="0"/>
              <w:jc w:val="both"/>
              <w:rPr>
                <w:rFonts w:ascii="arial" w:hAnsi="arial"/>
                <w:sz w:val="18"/>
              </w:rPr>
            </w:pPr>
            <w:r>
              <w:rPr>
                <w:rFonts w:ascii="arial" w:hAnsi="arial"/>
                <w:sz w:val="18"/>
              </w:rPr>
              <w:t xml:space="preserve">Includes amortization of premiums and discounts on long-term debt. </w:t>
            </w:r>
          </w:p>
        </w:tc>
      </w:tr>
    </w:tbl>
    <w:tbl>
      <w:tblPr>
        <w:tblW w:w="4540" w:type="dxa"/>
        <w:jc w:val="left"/>
        <w:tblInd w:w="0" w:type="dxa"/>
        <w:tblCellMar>
          <w:top w:w="0" w:type="dxa"/>
          <w:left w:w="0" w:type="dxa"/>
          <w:bottom w:w="0" w:type="dxa"/>
          <w:right w:w="0" w:type="dxa"/>
        </w:tblCellMar>
      </w:tblPr>
      <w:tblGrid>
        <w:gridCol w:w="305"/>
        <w:gridCol w:w="4235"/>
      </w:tblGrid>
      <w:tr>
        <w:trPr/>
        <w:tc>
          <w:tcPr>
            <w:tcW w:w="305" w:type="dxa"/>
            <w:tcBorders/>
            <w:shd w:fill="auto" w:val="clear"/>
            <w:vAlign w:val="center"/>
          </w:tcPr>
          <w:p>
            <w:pPr>
              <w:pStyle w:val="TableContents"/>
              <w:spacing w:before="0" w:after="283"/>
              <w:jc w:val="left"/>
              <w:rPr/>
            </w:pPr>
            <w:r>
              <w:rPr/>
              <w:t>(b)</w:t>
            </w:r>
          </w:p>
        </w:tc>
        <w:tc>
          <w:tcPr>
            <w:tcW w:w="4235" w:type="dxa"/>
            <w:tcBorders/>
            <w:shd w:fill="auto" w:val="clear"/>
            <w:vAlign w:val="center"/>
          </w:tcPr>
          <w:p>
            <w:pPr>
              <w:pStyle w:val="TableContents"/>
              <w:spacing w:before="0" w:after="0"/>
              <w:jc w:val="both"/>
              <w:rPr>
                <w:rFonts w:ascii="arial" w:hAnsi="arial"/>
                <w:sz w:val="18"/>
              </w:rPr>
            </w:pPr>
            <w:r>
              <w:rPr>
                <w:rFonts w:ascii="arial" w:hAnsi="arial"/>
                <w:sz w:val="18"/>
              </w:rPr>
              <w:t xml:space="preserve">Includes purchase accounting related amortization. </w:t>
            </w:r>
          </w:p>
        </w:tc>
      </w:tr>
    </w:tbl>
    <w:tbl>
      <w:tblPr>
        <w:tblW w:w="10205" w:type="dxa"/>
        <w:jc w:val="left"/>
        <w:tblInd w:w="0" w:type="dxa"/>
        <w:tblCellMar>
          <w:top w:w="0" w:type="dxa"/>
          <w:left w:w="0" w:type="dxa"/>
          <w:bottom w:w="0" w:type="dxa"/>
          <w:right w:w="0" w:type="dxa"/>
        </w:tblCellMar>
      </w:tblPr>
      <w:tblGrid>
        <w:gridCol w:w="243"/>
        <w:gridCol w:w="9962"/>
      </w:tblGrid>
      <w:tr>
        <w:trPr/>
        <w:tc>
          <w:tcPr>
            <w:tcW w:w="243" w:type="dxa"/>
            <w:tcBorders/>
            <w:shd w:fill="auto" w:val="clear"/>
            <w:vAlign w:val="center"/>
          </w:tcPr>
          <w:p>
            <w:pPr>
              <w:pStyle w:val="TableContents"/>
              <w:spacing w:before="0" w:after="283"/>
              <w:jc w:val="left"/>
              <w:rPr/>
            </w:pPr>
            <w:r>
              <w:rPr/>
              <w:t>(c)</w:t>
            </w:r>
          </w:p>
        </w:tc>
        <w:tc>
          <w:tcPr>
            <w:tcW w:w="9962" w:type="dxa"/>
            <w:tcBorders/>
            <w:shd w:fill="auto" w:val="clear"/>
            <w:vAlign w:val="center"/>
          </w:tcPr>
          <w:p>
            <w:pPr>
              <w:pStyle w:val="TableContents"/>
              <w:spacing w:before="0" w:after="0"/>
              <w:jc w:val="both"/>
              <w:rPr>
                <w:rFonts w:ascii="arial" w:hAnsi="arial"/>
                <w:sz w:val="18"/>
              </w:rPr>
            </w:pPr>
            <w:r>
              <w:rPr>
                <w:rFonts w:ascii="arial" w:hAnsi="arial"/>
                <w:sz w:val="18"/>
              </w:rPr>
              <w:t xml:space="preserve">Includes restructuring related costs, acquisition and divestiture related costs (primarily included in selling, general and administrative expenses) and other special items included in cost of sales, research and development expense, selling, general and administrative expense, and other expense. </w:t>
            </w:r>
          </w:p>
        </w:tc>
      </w:tr>
    </w:tbl>
    <w:p>
      <w:pPr>
        <w:pStyle w:val="TextBody"/>
        <w:spacing w:before="240" w:after="0"/>
        <w:jc w:val="both"/>
        <w:rPr>
          <w:rFonts w:ascii="arial" w:hAnsi="arial"/>
          <w:b/>
          <w:i/>
          <w:sz w:val="20"/>
        </w:rPr>
      </w:pPr>
      <w:r>
        <w:rPr>
          <w:rFonts w:ascii="arial" w:hAnsi="arial"/>
          <w:b/>
          <w:i/>
          <w:sz w:val="20"/>
        </w:rPr>
        <w:t xml:space="preserve">Free Cash Flow </w:t>
      </w:r>
    </w:p>
    <w:p>
      <w:pPr>
        <w:pStyle w:val="TextBody"/>
        <w:spacing w:before="120" w:after="0"/>
        <w:jc w:val="both"/>
        <w:rPr>
          <w:rFonts w:ascii="arial" w:hAnsi="arial"/>
          <w:sz w:val="18"/>
        </w:rPr>
      </w:pPr>
      <w:r>
        <w:rPr>
          <w:rFonts w:ascii="arial" w:hAnsi="arial"/>
          <w:sz w:val="18"/>
        </w:rPr>
        <w:t xml:space="preserve">Free cash flow is derived from Viatris’ audited financial statements in the same manner as Viatris’ publicly reported free cash flow (U.S. GAAP net cash provided by operating activities, less capital expenditures) (“as reported”), except that the calculation for 2022 incentive program (“for 2022 annual incentive compensation”) utilized budgeted foreign exchange rates (“currency impact”) and further adjusts for any of the following, as applicable: unplanned litigation gains or losses equal to or greater than $25 million in the aggregate, material changes related to changes in tax laws, unbudgeted IPR&amp;D costs, proceeds from the sale of property, plant and equipment, all impacts of the Biocon Biologics transaction following its consummation including results after closing and transaction related costs, and any incremental transaction costs related to other select assets sales/reshaping initiatives and material acquisition activities. For purposes of the 2022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A-1 </w:t>
      </w:r>
      <w:r>
        <w:br w:type="page"/>
      </w:r>
    </w:p>
    <w:p>
      <w:pPr>
        <w:pStyle w:val="HorizontalLine"/>
        <w:rPr/>
      </w:pPr>
      <w:r>
        <w:rPr/>
      </w:r>
    </w:p>
    <w:p>
      <w:pPr>
        <w:pStyle w:val="TextBody"/>
        <w:spacing w:before="0" w:after="0"/>
        <w:jc w:val="both"/>
        <w:rPr>
          <w:rFonts w:ascii="arial" w:hAnsi="arial"/>
          <w:sz w:val="18"/>
        </w:rPr>
      </w:pPr>
      <w:r>
        <w:rPr>
          <w:rFonts w:ascii="arial" w:hAnsi="arial"/>
          <w:sz w:val="18"/>
        </w:rPr>
        <w:t xml:space="preserve">three-year PRSUs, free cash flow is derived from Viatris’ audited financial statements in the same manner as the calculation for 2022 annual incentive compensation, except that the calculation for the 2022 PRSUs further adjusts for any of the following, as applicable: all impacts of other select asset sales/reshaping initiatives, all impacts of material aquisition activities and proceeds from the monetization of the Biocon Biologics equity interest.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8500"/>
        <w:gridCol w:w="120"/>
        <w:gridCol w:w="283"/>
        <w:gridCol w:w="1132"/>
        <w:gridCol w:w="170"/>
      </w:tblGrid>
      <w:tr>
        <w:trPr/>
        <w:tc>
          <w:tcPr>
            <w:tcW w:w="85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1132"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8500" w:type="dxa"/>
            <w:tcBorders>
              <w:bottom w:val="single" w:sz="8" w:space="0" w:color="732282"/>
            </w:tcBorders>
            <w:shd w:fill="auto" w:val="clear"/>
            <w:tcMar>
              <w:bottom w:w="28" w:type="dxa"/>
            </w:tcMar>
            <w:vAlign w:val="center"/>
          </w:tcPr>
          <w:p>
            <w:pPr>
              <w:pStyle w:val="TableContents"/>
              <w:spacing w:before="0" w:after="0"/>
              <w:rPr>
                <w:rFonts w:ascii="arial" w:hAnsi="arial"/>
                <w:b/>
                <w:color w:val="732282"/>
                <w:sz w:val="16"/>
              </w:rPr>
            </w:pPr>
            <w:r>
              <w:rPr>
                <w:rFonts w:ascii="arial" w:hAnsi="arial"/>
                <w:b/>
                <w:color w:val="732282"/>
                <w:sz w:val="16"/>
              </w:rPr>
              <w:t>(in millions)</w:t>
            </w:r>
          </w:p>
        </w:tc>
        <w:tc>
          <w:tcPr>
            <w:tcW w:w="120" w:type="dxa"/>
            <w:tcBorders>
              <w:bottom w:val="single" w:sz="8" w:space="0" w:color="732282"/>
            </w:tcBorders>
            <w:shd w:fill="auto" w:val="clear"/>
            <w:tcMar>
              <w:bottom w:w="28" w:type="dxa"/>
            </w:tcMar>
            <w:vAlign w:val="center"/>
          </w:tcPr>
          <w:p>
            <w:pPr>
              <w:pStyle w:val="TableContents"/>
              <w:spacing w:before="0" w:after="283"/>
              <w:rPr/>
            </w:pPr>
            <w:r>
              <w:rPr/>
              <w:t>  </w:t>
            </w:r>
          </w:p>
        </w:tc>
        <w:tc>
          <w:tcPr>
            <w:tcW w:w="1415" w:type="dxa"/>
            <w:gridSpan w:val="2"/>
            <w:tcBorders>
              <w:bottom w:val="single" w:sz="8" w:space="0" w:color="732282"/>
            </w:tcBorders>
            <w:shd w:fill="auto" w:val="clear"/>
            <w:tcMar>
              <w:bottom w:w="28" w:type="dxa"/>
            </w:tcMar>
            <w:vAlign w:val="center"/>
          </w:tcPr>
          <w:p>
            <w:pPr>
              <w:pStyle w:val="TableContents"/>
              <w:spacing w:before="0" w:after="283"/>
              <w:jc w:val="right"/>
              <w:rPr>
                <w:b/>
                <w:color w:val="732282"/>
              </w:rPr>
            </w:pPr>
            <w:r>
              <w:rPr>
                <w:b/>
                <w:color w:val="732282"/>
              </w:rPr>
              <w:t>Year Ended</w:t>
              <w:br/>
              <w:t>December 31,</w:t>
              <w:br/>
              <w:t>2022</w:t>
            </w:r>
          </w:p>
        </w:tc>
        <w:tc>
          <w:tcPr>
            <w:tcW w:w="170" w:type="dxa"/>
            <w:tcBorders>
              <w:bottom w:val="single" w:sz="8" w:space="0" w:color="732282"/>
            </w:tcBorders>
            <w:shd w:fill="auto" w:val="clear"/>
            <w:tcMar>
              <w:bottom w:w="28" w:type="dxa"/>
            </w:tcMar>
            <w:vAlign w:val="center"/>
          </w:tcPr>
          <w:p>
            <w:pPr>
              <w:pStyle w:val="TableContents"/>
              <w:spacing w:before="0" w:after="283"/>
              <w:rPr/>
            </w:pPr>
            <w:r>
              <w:rPr/>
              <w:t> </w:t>
            </w:r>
          </w:p>
        </w:tc>
      </w:tr>
      <w:tr>
        <w:trPr/>
        <w:tc>
          <w:tcPr>
            <w:tcW w:w="8500" w:type="dxa"/>
            <w:tcBorders/>
            <w:shd w:fill="E5E5E5" w:val="clear"/>
            <w:vAlign w:val="center"/>
          </w:tcPr>
          <w:p>
            <w:pPr>
              <w:pStyle w:val="TableContents"/>
              <w:spacing w:before="0" w:after="0"/>
              <w:rPr>
                <w:rFonts w:ascii="arial" w:hAnsi="arial"/>
                <w:sz w:val="18"/>
              </w:rPr>
            </w:pPr>
            <w:r>
              <w:rPr>
                <w:rFonts w:ascii="arial" w:hAnsi="arial"/>
                <w:sz w:val="18"/>
              </w:rPr>
              <w:t>U.S. GAAP net cash provided by operating activities</w:t>
            </w:r>
          </w:p>
        </w:tc>
        <w:tc>
          <w:tcPr>
            <w:tcW w:w="120" w:type="dxa"/>
            <w:tcBorders/>
            <w:shd w:fill="E5E5E5" w:val="clear"/>
            <w:vAlign w:val="center"/>
          </w:tcPr>
          <w:p>
            <w:pPr>
              <w:pStyle w:val="TableContents"/>
              <w:spacing w:before="0" w:after="283"/>
              <w:rPr/>
            </w:pPr>
            <w:r>
              <w:rPr/>
              <w:t>  </w:t>
            </w:r>
          </w:p>
        </w:tc>
        <w:tc>
          <w:tcPr>
            <w:tcW w:w="283" w:type="dxa"/>
            <w:tcBorders/>
            <w:shd w:fill="E5E5E5" w:val="clear"/>
            <w:vAlign w:val="center"/>
          </w:tcPr>
          <w:p>
            <w:pPr>
              <w:pStyle w:val="TableContents"/>
              <w:spacing w:before="0" w:after="283"/>
              <w:rPr/>
            </w:pPr>
            <w:r>
              <w:rPr/>
              <w:t>$</w:t>
            </w:r>
          </w:p>
        </w:tc>
        <w:tc>
          <w:tcPr>
            <w:tcW w:w="1132" w:type="dxa"/>
            <w:tcBorders/>
            <w:shd w:fill="E5E5E5" w:val="clear"/>
            <w:vAlign w:val="center"/>
          </w:tcPr>
          <w:p>
            <w:pPr>
              <w:pStyle w:val="TableContents"/>
              <w:spacing w:before="0" w:after="283"/>
              <w:jc w:val="right"/>
              <w:rPr/>
            </w:pPr>
            <w:r>
              <w:rPr/>
              <w:t>2,953</w:t>
            </w:r>
          </w:p>
        </w:tc>
        <w:tc>
          <w:tcPr>
            <w:tcW w:w="170" w:type="dxa"/>
            <w:tcBorders/>
            <w:shd w:fill="E5E5E5" w:val="clear"/>
            <w:vAlign w:val="center"/>
          </w:tcPr>
          <w:p>
            <w:pPr>
              <w:pStyle w:val="TableContents"/>
              <w:spacing w:before="0" w:after="283"/>
              <w:rPr/>
            </w:pPr>
            <w:r>
              <w:rPr/>
              <w:t> </w:t>
            </w:r>
          </w:p>
        </w:tc>
      </w:tr>
      <w:tr>
        <w:trPr/>
        <w:tc>
          <w:tcPr>
            <w:tcW w:w="8500" w:type="dxa"/>
            <w:tcBorders/>
            <w:shd w:fill="auto" w:val="clear"/>
            <w:vAlign w:val="center"/>
          </w:tcPr>
          <w:p>
            <w:pPr>
              <w:pStyle w:val="TableContents"/>
              <w:spacing w:before="0" w:after="0"/>
              <w:rPr>
                <w:rFonts w:ascii="arial" w:hAnsi="arial"/>
                <w:sz w:val="18"/>
              </w:rPr>
            </w:pPr>
            <w:r>
              <w:rPr>
                <w:rFonts w:ascii="arial" w:hAnsi="arial"/>
                <w:sz w:val="18"/>
              </w:rPr>
              <w:t>Add/(deduct):</w:t>
            </w:r>
          </w:p>
        </w:tc>
        <w:tc>
          <w:tcPr>
            <w:tcW w:w="120" w:type="dxa"/>
            <w:tcBorders/>
            <w:shd w:fill="auto" w:val="clear"/>
            <w:vAlign w:val="center"/>
          </w:tcPr>
          <w:p>
            <w:pPr>
              <w:pStyle w:val="TableContents"/>
              <w:spacing w:before="0" w:after="283"/>
              <w:rPr/>
            </w:pPr>
            <w:r>
              <w:rPr/>
              <w:t>  </w:t>
            </w:r>
          </w:p>
        </w:tc>
        <w:tc>
          <w:tcPr>
            <w:tcW w:w="283" w:type="dxa"/>
            <w:tcBorders/>
            <w:shd w:fill="auto" w:val="clear"/>
            <w:vAlign w:val="center"/>
          </w:tcPr>
          <w:p>
            <w:pPr>
              <w:pStyle w:val="TableContents"/>
              <w:spacing w:before="0" w:after="283"/>
              <w:rPr>
                <w:sz w:val="4"/>
                <w:szCs w:val="4"/>
              </w:rPr>
            </w:pPr>
            <w:r>
              <w:rPr>
                <w:sz w:val="4"/>
                <w:szCs w:val="4"/>
              </w:rPr>
            </w:r>
          </w:p>
        </w:tc>
        <w:tc>
          <w:tcPr>
            <w:tcW w:w="1132"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8500" w:type="dxa"/>
            <w:tcBorders/>
            <w:shd w:fill="E5E5E5" w:val="clear"/>
            <w:vAlign w:val="center"/>
          </w:tcPr>
          <w:p>
            <w:pPr>
              <w:pStyle w:val="TableContents"/>
              <w:spacing w:before="0" w:after="0"/>
              <w:rPr>
                <w:rFonts w:ascii="arial" w:hAnsi="arial"/>
                <w:sz w:val="18"/>
              </w:rPr>
            </w:pPr>
            <w:r>
              <w:rPr>
                <w:rFonts w:ascii="arial" w:hAnsi="arial"/>
                <w:sz w:val="18"/>
              </w:rPr>
              <w:t>Capital expenditures</w:t>
            </w:r>
          </w:p>
        </w:tc>
        <w:tc>
          <w:tcPr>
            <w:tcW w:w="120" w:type="dxa"/>
            <w:tcBorders/>
            <w:shd w:fill="E5E5E5" w:val="clear"/>
            <w:vAlign w:val="center"/>
          </w:tcPr>
          <w:p>
            <w:pPr>
              <w:pStyle w:val="TableContents"/>
              <w:spacing w:before="0" w:after="283"/>
              <w:rPr/>
            </w:pPr>
            <w:r>
              <w:rPr/>
              <w:t>  </w:t>
            </w:r>
          </w:p>
        </w:tc>
        <w:tc>
          <w:tcPr>
            <w:tcW w:w="283" w:type="dxa"/>
            <w:tcBorders/>
            <w:shd w:fill="E5E5E5" w:val="clear"/>
            <w:vAlign w:val="center"/>
          </w:tcPr>
          <w:p>
            <w:pPr>
              <w:pStyle w:val="TableContents"/>
              <w:spacing w:before="0" w:after="283"/>
              <w:rPr/>
            </w:pPr>
            <w:r>
              <w:rPr/>
              <w:t> </w:t>
            </w:r>
          </w:p>
        </w:tc>
        <w:tc>
          <w:tcPr>
            <w:tcW w:w="1132" w:type="dxa"/>
            <w:tcBorders/>
            <w:shd w:fill="E5E5E5" w:val="clear"/>
            <w:vAlign w:val="center"/>
          </w:tcPr>
          <w:p>
            <w:pPr>
              <w:pStyle w:val="TableContents"/>
              <w:spacing w:before="0" w:after="283"/>
              <w:jc w:val="right"/>
              <w:rPr/>
            </w:pPr>
            <w:r>
              <w:rPr/>
              <w:t>(406</w:t>
            </w:r>
          </w:p>
        </w:tc>
        <w:tc>
          <w:tcPr>
            <w:tcW w:w="170" w:type="dxa"/>
            <w:tcBorders/>
            <w:shd w:fill="E5E5E5" w:val="clear"/>
            <w:vAlign w:val="center"/>
          </w:tcPr>
          <w:p>
            <w:pPr>
              <w:pStyle w:val="TableContents"/>
              <w:spacing w:before="0" w:after="283"/>
              <w:rPr/>
            </w:pPr>
            <w:r>
              <w:rPr/>
              <w:t>) </w:t>
            </w:r>
          </w:p>
        </w:tc>
      </w:tr>
      <w:tr>
        <w:trPr/>
        <w:tc>
          <w:tcPr>
            <w:tcW w:w="8500" w:type="dxa"/>
            <w:tcBorders/>
            <w:shd w:fill="auto" w:val="clear"/>
            <w:vAlign w:val="center"/>
          </w:tcPr>
          <w:p>
            <w:pPr>
              <w:pStyle w:val="TableContents"/>
              <w:spacing w:before="0" w:after="0"/>
              <w:rPr>
                <w:rFonts w:ascii="arial" w:hAnsi="arial"/>
                <w:sz w:val="18"/>
              </w:rPr>
            </w:pPr>
            <w:r>
              <w:rPr>
                <w:rFonts w:ascii="arial" w:hAnsi="arial"/>
                <w:sz w:val="18"/>
              </w:rPr>
              <w:t>Free cash flow (as reported)</w:t>
            </w:r>
          </w:p>
        </w:tc>
        <w:tc>
          <w:tcPr>
            <w:tcW w:w="120" w:type="dxa"/>
            <w:tcBorders/>
            <w:shd w:fill="auto" w:val="clear"/>
            <w:vAlign w:val="center"/>
          </w:tcPr>
          <w:p>
            <w:pPr>
              <w:pStyle w:val="TableContents"/>
              <w:spacing w:before="0" w:after="283"/>
              <w:rPr/>
            </w:pPr>
            <w:r>
              <w:rPr/>
              <w:t>  </w:t>
            </w:r>
          </w:p>
        </w:tc>
        <w:tc>
          <w:tcPr>
            <w:tcW w:w="283" w:type="dxa"/>
            <w:tcBorders/>
            <w:shd w:fill="auto" w:val="clear"/>
            <w:vAlign w:val="center"/>
          </w:tcPr>
          <w:p>
            <w:pPr>
              <w:pStyle w:val="TableContents"/>
              <w:spacing w:before="0" w:after="283"/>
              <w:rPr/>
            </w:pPr>
            <w:r>
              <w:rPr/>
              <w:t> </w:t>
            </w:r>
          </w:p>
        </w:tc>
        <w:tc>
          <w:tcPr>
            <w:tcW w:w="1132" w:type="dxa"/>
            <w:tcBorders/>
            <w:shd w:fill="auto" w:val="clear"/>
            <w:vAlign w:val="center"/>
          </w:tcPr>
          <w:p>
            <w:pPr>
              <w:pStyle w:val="TableContents"/>
              <w:spacing w:before="0" w:after="283"/>
              <w:jc w:val="right"/>
              <w:rPr/>
            </w:pPr>
            <w:r>
              <w:rPr/>
              <w:t>2,547</w:t>
            </w:r>
          </w:p>
        </w:tc>
        <w:tc>
          <w:tcPr>
            <w:tcW w:w="170" w:type="dxa"/>
            <w:tcBorders/>
            <w:shd w:fill="auto" w:val="clear"/>
            <w:vAlign w:val="center"/>
          </w:tcPr>
          <w:p>
            <w:pPr>
              <w:pStyle w:val="TableContents"/>
              <w:spacing w:before="0" w:after="283"/>
              <w:rPr/>
            </w:pPr>
            <w:r>
              <w:rPr/>
              <w:t> </w:t>
            </w:r>
          </w:p>
        </w:tc>
      </w:tr>
      <w:tr>
        <w:trPr/>
        <w:tc>
          <w:tcPr>
            <w:tcW w:w="8500" w:type="dxa"/>
            <w:tcBorders/>
            <w:shd w:fill="E5E5E5" w:val="clear"/>
            <w:vAlign w:val="center"/>
          </w:tcPr>
          <w:p>
            <w:pPr>
              <w:pStyle w:val="TableContents"/>
              <w:spacing w:before="0" w:after="0"/>
              <w:rPr>
                <w:rFonts w:ascii="arial" w:hAnsi="arial"/>
                <w:sz w:val="18"/>
              </w:rPr>
            </w:pPr>
            <w:r>
              <w:rPr>
                <w:rFonts w:ascii="arial" w:hAnsi="arial"/>
                <w:sz w:val="18"/>
              </w:rPr>
              <w:t>Biocon Biologics transaction related taxes and transaction costs</w:t>
            </w:r>
          </w:p>
        </w:tc>
        <w:tc>
          <w:tcPr>
            <w:tcW w:w="120" w:type="dxa"/>
            <w:tcBorders/>
            <w:shd w:fill="E5E5E5" w:val="clear"/>
            <w:vAlign w:val="center"/>
          </w:tcPr>
          <w:p>
            <w:pPr>
              <w:pStyle w:val="TableContents"/>
              <w:spacing w:before="0" w:after="283"/>
              <w:rPr/>
            </w:pPr>
            <w:r>
              <w:rPr/>
              <w:t>  </w:t>
            </w:r>
          </w:p>
        </w:tc>
        <w:tc>
          <w:tcPr>
            <w:tcW w:w="283" w:type="dxa"/>
            <w:tcBorders/>
            <w:shd w:fill="E5E5E5" w:val="clear"/>
            <w:vAlign w:val="center"/>
          </w:tcPr>
          <w:p>
            <w:pPr>
              <w:pStyle w:val="TableContents"/>
              <w:spacing w:before="0" w:after="283"/>
              <w:rPr/>
            </w:pPr>
            <w:r>
              <w:rPr/>
              <w:t> </w:t>
            </w:r>
          </w:p>
        </w:tc>
        <w:tc>
          <w:tcPr>
            <w:tcW w:w="1132" w:type="dxa"/>
            <w:tcBorders/>
            <w:shd w:fill="E5E5E5" w:val="clear"/>
            <w:vAlign w:val="center"/>
          </w:tcPr>
          <w:p>
            <w:pPr>
              <w:pStyle w:val="TableContents"/>
              <w:spacing w:before="0" w:after="283"/>
              <w:jc w:val="right"/>
              <w:rPr/>
            </w:pPr>
            <w:r>
              <w:rPr/>
              <w:t>252</w:t>
            </w:r>
          </w:p>
        </w:tc>
        <w:tc>
          <w:tcPr>
            <w:tcW w:w="170" w:type="dxa"/>
            <w:tcBorders/>
            <w:shd w:fill="E5E5E5" w:val="clear"/>
            <w:vAlign w:val="center"/>
          </w:tcPr>
          <w:p>
            <w:pPr>
              <w:pStyle w:val="TableContents"/>
              <w:spacing w:before="0" w:after="283"/>
              <w:rPr/>
            </w:pPr>
            <w:r>
              <w:rPr/>
              <w:t> </w:t>
            </w:r>
          </w:p>
        </w:tc>
      </w:tr>
      <w:tr>
        <w:trPr/>
        <w:tc>
          <w:tcPr>
            <w:tcW w:w="8500" w:type="dxa"/>
            <w:tcBorders/>
            <w:shd w:fill="auto" w:val="clear"/>
            <w:vAlign w:val="center"/>
          </w:tcPr>
          <w:p>
            <w:pPr>
              <w:pStyle w:val="TableContents"/>
              <w:spacing w:before="0" w:after="0"/>
              <w:rPr>
                <w:rFonts w:ascii="arial" w:hAnsi="arial"/>
                <w:sz w:val="18"/>
              </w:rPr>
            </w:pPr>
            <w:r>
              <w:rPr>
                <w:rFonts w:ascii="arial" w:hAnsi="arial"/>
                <w:sz w:val="18"/>
              </w:rPr>
              <w:t>Results of the divested biosimilars business from the closing of the transaction on November 29, 2022 through December 31, 2022</w:t>
            </w:r>
          </w:p>
        </w:tc>
        <w:tc>
          <w:tcPr>
            <w:tcW w:w="120" w:type="dxa"/>
            <w:tcBorders/>
            <w:shd w:fill="auto" w:val="clear"/>
            <w:vAlign w:val="center"/>
          </w:tcPr>
          <w:p>
            <w:pPr>
              <w:pStyle w:val="TableContents"/>
              <w:spacing w:before="0" w:after="283"/>
              <w:rPr/>
            </w:pPr>
            <w:r>
              <w:rPr/>
              <w:t>  </w:t>
            </w:r>
          </w:p>
        </w:tc>
        <w:tc>
          <w:tcPr>
            <w:tcW w:w="283" w:type="dxa"/>
            <w:tcBorders/>
            <w:shd w:fill="auto" w:val="clear"/>
            <w:vAlign w:val="center"/>
          </w:tcPr>
          <w:p>
            <w:pPr>
              <w:pStyle w:val="TableContents"/>
              <w:spacing w:before="0" w:after="283"/>
              <w:rPr/>
            </w:pPr>
            <w:r>
              <w:rPr/>
              <w:t> </w:t>
            </w:r>
          </w:p>
        </w:tc>
        <w:tc>
          <w:tcPr>
            <w:tcW w:w="1132" w:type="dxa"/>
            <w:tcBorders/>
            <w:shd w:fill="auto" w:val="clear"/>
            <w:vAlign w:val="center"/>
          </w:tcPr>
          <w:p>
            <w:pPr>
              <w:pStyle w:val="TableContents"/>
              <w:spacing w:before="0" w:after="283"/>
              <w:jc w:val="right"/>
              <w:rPr/>
            </w:pPr>
            <w:r>
              <w:rPr/>
              <w:t>20</w:t>
            </w:r>
          </w:p>
        </w:tc>
        <w:tc>
          <w:tcPr>
            <w:tcW w:w="170" w:type="dxa"/>
            <w:tcBorders/>
            <w:shd w:fill="auto" w:val="clear"/>
            <w:vAlign w:val="center"/>
          </w:tcPr>
          <w:p>
            <w:pPr>
              <w:pStyle w:val="TableContents"/>
              <w:spacing w:before="0" w:after="283"/>
              <w:rPr/>
            </w:pPr>
            <w:r>
              <w:rPr/>
              <w:t> </w:t>
            </w:r>
          </w:p>
        </w:tc>
      </w:tr>
      <w:tr>
        <w:trPr/>
        <w:tc>
          <w:tcPr>
            <w:tcW w:w="8500" w:type="dxa"/>
            <w:tcBorders/>
            <w:shd w:fill="E5E5E5" w:val="clear"/>
            <w:vAlign w:val="center"/>
          </w:tcPr>
          <w:p>
            <w:pPr>
              <w:pStyle w:val="TableContents"/>
              <w:spacing w:before="0" w:after="0"/>
              <w:rPr>
                <w:rFonts w:ascii="arial" w:hAnsi="arial"/>
                <w:sz w:val="18"/>
              </w:rPr>
            </w:pPr>
            <w:r>
              <w:rPr>
                <w:rFonts w:ascii="arial" w:hAnsi="arial"/>
                <w:sz w:val="18"/>
              </w:rPr>
              <w:t>Unplanned litigation – Lyrica settlement</w:t>
            </w:r>
          </w:p>
        </w:tc>
        <w:tc>
          <w:tcPr>
            <w:tcW w:w="120" w:type="dxa"/>
            <w:tcBorders/>
            <w:shd w:fill="E5E5E5" w:val="clear"/>
            <w:vAlign w:val="center"/>
          </w:tcPr>
          <w:p>
            <w:pPr>
              <w:pStyle w:val="TableContents"/>
              <w:spacing w:before="0" w:after="283"/>
              <w:rPr/>
            </w:pPr>
            <w:r>
              <w:rPr/>
              <w:t>  </w:t>
            </w:r>
          </w:p>
        </w:tc>
        <w:tc>
          <w:tcPr>
            <w:tcW w:w="283" w:type="dxa"/>
            <w:tcBorders/>
            <w:shd w:fill="E5E5E5" w:val="clear"/>
            <w:vAlign w:val="center"/>
          </w:tcPr>
          <w:p>
            <w:pPr>
              <w:pStyle w:val="TableContents"/>
              <w:spacing w:before="0" w:after="283"/>
              <w:rPr/>
            </w:pPr>
            <w:r>
              <w:rPr/>
              <w:t> </w:t>
            </w:r>
          </w:p>
        </w:tc>
        <w:tc>
          <w:tcPr>
            <w:tcW w:w="1132" w:type="dxa"/>
            <w:tcBorders/>
            <w:shd w:fill="E5E5E5" w:val="clear"/>
            <w:vAlign w:val="center"/>
          </w:tcPr>
          <w:p>
            <w:pPr>
              <w:pStyle w:val="TableContents"/>
              <w:spacing w:before="0" w:after="283"/>
              <w:jc w:val="right"/>
              <w:rPr/>
            </w:pPr>
            <w:r>
              <w:rPr/>
              <w:t>86</w:t>
            </w:r>
          </w:p>
        </w:tc>
        <w:tc>
          <w:tcPr>
            <w:tcW w:w="170" w:type="dxa"/>
            <w:tcBorders/>
            <w:shd w:fill="E5E5E5" w:val="clear"/>
            <w:vAlign w:val="center"/>
          </w:tcPr>
          <w:p>
            <w:pPr>
              <w:pStyle w:val="TableContents"/>
              <w:spacing w:before="0" w:after="283"/>
              <w:rPr/>
            </w:pPr>
            <w:r>
              <w:rPr/>
              <w:t> </w:t>
            </w:r>
          </w:p>
        </w:tc>
      </w:tr>
      <w:tr>
        <w:trPr/>
        <w:tc>
          <w:tcPr>
            <w:tcW w:w="8500" w:type="dxa"/>
            <w:tcBorders/>
            <w:shd w:fill="auto" w:val="clear"/>
            <w:vAlign w:val="center"/>
          </w:tcPr>
          <w:p>
            <w:pPr>
              <w:pStyle w:val="TableContents"/>
              <w:spacing w:before="0" w:after="0"/>
              <w:rPr>
                <w:rFonts w:ascii="arial" w:hAnsi="arial"/>
                <w:sz w:val="18"/>
              </w:rPr>
            </w:pPr>
            <w:r>
              <w:rPr>
                <w:rFonts w:ascii="arial" w:hAnsi="arial"/>
                <w:sz w:val="18"/>
              </w:rPr>
              <w:t>Unbudgeted IPR&amp;D costs</w:t>
            </w:r>
          </w:p>
        </w:tc>
        <w:tc>
          <w:tcPr>
            <w:tcW w:w="120" w:type="dxa"/>
            <w:tcBorders/>
            <w:shd w:fill="auto" w:val="clear"/>
            <w:vAlign w:val="center"/>
          </w:tcPr>
          <w:p>
            <w:pPr>
              <w:pStyle w:val="TableContents"/>
              <w:spacing w:before="0" w:after="283"/>
              <w:rPr/>
            </w:pPr>
            <w:r>
              <w:rPr/>
              <w:t>  </w:t>
            </w:r>
          </w:p>
        </w:tc>
        <w:tc>
          <w:tcPr>
            <w:tcW w:w="283" w:type="dxa"/>
            <w:tcBorders/>
            <w:shd w:fill="auto" w:val="clear"/>
            <w:vAlign w:val="center"/>
          </w:tcPr>
          <w:p>
            <w:pPr>
              <w:pStyle w:val="TableContents"/>
              <w:spacing w:before="0" w:after="283"/>
              <w:rPr/>
            </w:pPr>
            <w:r>
              <w:rPr/>
              <w:t> </w:t>
            </w:r>
          </w:p>
        </w:tc>
        <w:tc>
          <w:tcPr>
            <w:tcW w:w="1132" w:type="dxa"/>
            <w:tcBorders/>
            <w:shd w:fill="auto" w:val="clear"/>
            <w:vAlign w:val="center"/>
          </w:tcPr>
          <w:p>
            <w:pPr>
              <w:pStyle w:val="TableContents"/>
              <w:spacing w:before="0" w:after="283"/>
              <w:jc w:val="right"/>
              <w:rPr/>
            </w:pPr>
            <w:r>
              <w:rPr/>
              <w:t>36</w:t>
            </w:r>
          </w:p>
        </w:tc>
        <w:tc>
          <w:tcPr>
            <w:tcW w:w="170" w:type="dxa"/>
            <w:tcBorders/>
            <w:shd w:fill="auto" w:val="clear"/>
            <w:vAlign w:val="center"/>
          </w:tcPr>
          <w:p>
            <w:pPr>
              <w:pStyle w:val="TableContents"/>
              <w:spacing w:before="0" w:after="283"/>
              <w:rPr/>
            </w:pPr>
            <w:r>
              <w:rPr/>
              <w:t> </w:t>
            </w:r>
          </w:p>
        </w:tc>
      </w:tr>
      <w:tr>
        <w:trPr/>
        <w:tc>
          <w:tcPr>
            <w:tcW w:w="8500" w:type="dxa"/>
            <w:tcBorders/>
            <w:shd w:fill="E5E5E5" w:val="clear"/>
            <w:vAlign w:val="center"/>
          </w:tcPr>
          <w:p>
            <w:pPr>
              <w:pStyle w:val="TableContents"/>
              <w:spacing w:before="0" w:after="0"/>
              <w:rPr>
                <w:rFonts w:ascii="arial" w:hAnsi="arial"/>
                <w:sz w:val="18"/>
              </w:rPr>
            </w:pPr>
            <w:r>
              <w:rPr>
                <w:rFonts w:ascii="arial" w:hAnsi="arial"/>
                <w:sz w:val="18"/>
              </w:rPr>
              <w:t>Proceeds from the sale of certain property, plant and equipment</w:t>
            </w:r>
          </w:p>
        </w:tc>
        <w:tc>
          <w:tcPr>
            <w:tcW w:w="120" w:type="dxa"/>
            <w:tcBorders/>
            <w:shd w:fill="E5E5E5" w:val="clear"/>
            <w:vAlign w:val="center"/>
          </w:tcPr>
          <w:p>
            <w:pPr>
              <w:pStyle w:val="TableContents"/>
              <w:spacing w:before="0" w:after="283"/>
              <w:rPr/>
            </w:pPr>
            <w:r>
              <w:rPr/>
              <w:t>  </w:t>
            </w:r>
          </w:p>
        </w:tc>
        <w:tc>
          <w:tcPr>
            <w:tcW w:w="283" w:type="dxa"/>
            <w:tcBorders/>
            <w:shd w:fill="E5E5E5" w:val="clear"/>
            <w:vAlign w:val="center"/>
          </w:tcPr>
          <w:p>
            <w:pPr>
              <w:pStyle w:val="TableContents"/>
              <w:spacing w:before="0" w:after="283"/>
              <w:rPr/>
            </w:pPr>
            <w:r>
              <w:rPr/>
              <w:t> </w:t>
            </w:r>
          </w:p>
        </w:tc>
        <w:tc>
          <w:tcPr>
            <w:tcW w:w="1132" w:type="dxa"/>
            <w:tcBorders/>
            <w:shd w:fill="E5E5E5" w:val="clear"/>
            <w:vAlign w:val="center"/>
          </w:tcPr>
          <w:p>
            <w:pPr>
              <w:pStyle w:val="TableContents"/>
              <w:spacing w:before="0" w:after="283"/>
              <w:jc w:val="right"/>
              <w:rPr/>
            </w:pPr>
            <w:r>
              <w:rPr/>
              <w:t>14</w:t>
            </w:r>
          </w:p>
        </w:tc>
        <w:tc>
          <w:tcPr>
            <w:tcW w:w="170" w:type="dxa"/>
            <w:tcBorders/>
            <w:shd w:fill="E5E5E5" w:val="clear"/>
            <w:vAlign w:val="center"/>
          </w:tcPr>
          <w:p>
            <w:pPr>
              <w:pStyle w:val="TableContents"/>
              <w:spacing w:before="0" w:after="283"/>
              <w:rPr/>
            </w:pPr>
            <w:r>
              <w:rPr/>
              <w:t> </w:t>
            </w:r>
          </w:p>
        </w:tc>
      </w:tr>
      <w:tr>
        <w:trPr/>
        <w:tc>
          <w:tcPr>
            <w:tcW w:w="8500" w:type="dxa"/>
            <w:tcBorders/>
            <w:shd w:fill="auto" w:val="clear"/>
            <w:vAlign w:val="center"/>
          </w:tcPr>
          <w:p>
            <w:pPr>
              <w:pStyle w:val="TableContents"/>
              <w:spacing w:before="0" w:after="0"/>
              <w:rPr>
                <w:rFonts w:ascii="arial" w:hAnsi="arial"/>
                <w:sz w:val="18"/>
              </w:rPr>
            </w:pPr>
            <w:r>
              <w:rPr>
                <w:rFonts w:ascii="arial" w:hAnsi="arial"/>
                <w:sz w:val="18"/>
              </w:rPr>
              <w:t>Currency impact</w:t>
            </w:r>
          </w:p>
        </w:tc>
        <w:tc>
          <w:tcPr>
            <w:tcW w:w="120" w:type="dxa"/>
            <w:tcBorders/>
            <w:shd w:fill="auto" w:val="clear"/>
            <w:vAlign w:val="center"/>
          </w:tcPr>
          <w:p>
            <w:pPr>
              <w:pStyle w:val="TableContents"/>
              <w:spacing w:before="0" w:after="283"/>
              <w:rPr/>
            </w:pPr>
            <w:r>
              <w:rPr/>
              <w:t>  </w:t>
            </w:r>
          </w:p>
        </w:tc>
        <w:tc>
          <w:tcPr>
            <w:tcW w:w="283" w:type="dxa"/>
            <w:tcBorders/>
            <w:shd w:fill="auto" w:val="clear"/>
            <w:vAlign w:val="center"/>
          </w:tcPr>
          <w:p>
            <w:pPr>
              <w:pStyle w:val="TableContents"/>
              <w:spacing w:before="0" w:after="283"/>
              <w:rPr/>
            </w:pPr>
            <w:r>
              <w:rPr/>
              <w:t> </w:t>
            </w:r>
          </w:p>
        </w:tc>
        <w:tc>
          <w:tcPr>
            <w:tcW w:w="1132" w:type="dxa"/>
            <w:tcBorders/>
            <w:shd w:fill="auto" w:val="clear"/>
            <w:vAlign w:val="center"/>
          </w:tcPr>
          <w:p>
            <w:pPr>
              <w:pStyle w:val="TableContents"/>
              <w:spacing w:before="0" w:after="283"/>
              <w:jc w:val="right"/>
              <w:rPr/>
            </w:pPr>
            <w:r>
              <w:rPr/>
              <w:t>213</w:t>
            </w:r>
          </w:p>
        </w:tc>
        <w:tc>
          <w:tcPr>
            <w:tcW w:w="170" w:type="dxa"/>
            <w:tcBorders/>
            <w:shd w:fill="auto" w:val="clear"/>
            <w:vAlign w:val="center"/>
          </w:tcPr>
          <w:p>
            <w:pPr>
              <w:pStyle w:val="TableContents"/>
              <w:spacing w:before="0" w:after="283"/>
              <w:rPr/>
            </w:pPr>
            <w:r>
              <w:rPr/>
              <w:t> </w:t>
            </w:r>
          </w:p>
        </w:tc>
      </w:tr>
      <w:tr>
        <w:trPr/>
        <w:tc>
          <w:tcPr>
            <w:tcW w:w="8500" w:type="dxa"/>
            <w:tcBorders>
              <w:bottom w:val="single" w:sz="6" w:space="0" w:color="732282"/>
            </w:tcBorders>
            <w:shd w:fill="E5E5E5" w:val="clear"/>
            <w:tcMar>
              <w:bottom w:w="28" w:type="dxa"/>
            </w:tcMar>
            <w:vAlign w:val="center"/>
          </w:tcPr>
          <w:p>
            <w:pPr>
              <w:pStyle w:val="TableContents"/>
              <w:spacing w:before="0" w:after="0"/>
              <w:rPr>
                <w:rFonts w:ascii="arial" w:hAnsi="arial"/>
                <w:sz w:val="18"/>
              </w:rPr>
            </w:pPr>
            <w:r>
              <w:rPr>
                <w:rFonts w:ascii="arial" w:hAnsi="arial"/>
                <w:sz w:val="18"/>
              </w:rPr>
              <w:t>Free cash flow (for 2022 annual incentive compensation)</w:t>
            </w:r>
          </w:p>
        </w:tc>
        <w:tc>
          <w:tcPr>
            <w:tcW w:w="120" w:type="dxa"/>
            <w:tcBorders>
              <w:bottom w:val="single" w:sz="6" w:space="0" w:color="732282"/>
            </w:tcBorders>
            <w:shd w:fill="E5E5E5" w:val="clear"/>
            <w:tcMar>
              <w:bottom w:w="28" w:type="dxa"/>
            </w:tcMar>
            <w:vAlign w:val="center"/>
          </w:tcPr>
          <w:p>
            <w:pPr>
              <w:pStyle w:val="TableContents"/>
              <w:spacing w:before="0" w:after="283"/>
              <w:rPr/>
            </w:pPr>
            <w:r>
              <w:rPr/>
              <w:t>  </w:t>
            </w:r>
          </w:p>
        </w:tc>
        <w:tc>
          <w:tcPr>
            <w:tcW w:w="283" w:type="dxa"/>
            <w:tcBorders>
              <w:bottom w:val="single" w:sz="6" w:space="0" w:color="732282"/>
            </w:tcBorders>
            <w:shd w:fill="E5E5E5" w:val="clear"/>
            <w:tcMar>
              <w:bottom w:w="28" w:type="dxa"/>
            </w:tcMar>
            <w:vAlign w:val="center"/>
          </w:tcPr>
          <w:p>
            <w:pPr>
              <w:pStyle w:val="TableContents"/>
              <w:spacing w:before="0" w:after="283"/>
              <w:rPr/>
            </w:pPr>
            <w:r>
              <w:rPr/>
              <w:t>$</w:t>
            </w:r>
          </w:p>
        </w:tc>
        <w:tc>
          <w:tcPr>
            <w:tcW w:w="1132" w:type="dxa"/>
            <w:tcBorders>
              <w:bottom w:val="single" w:sz="6" w:space="0" w:color="732282"/>
            </w:tcBorders>
            <w:shd w:fill="E5E5E5" w:val="clear"/>
            <w:tcMar>
              <w:bottom w:w="28" w:type="dxa"/>
            </w:tcMar>
            <w:vAlign w:val="center"/>
          </w:tcPr>
          <w:p>
            <w:pPr>
              <w:pStyle w:val="TableContents"/>
              <w:spacing w:before="0" w:after="283"/>
              <w:jc w:val="right"/>
              <w:rPr/>
            </w:pPr>
            <w:r>
              <w:rPr/>
              <w:t>3,168</w:t>
            </w:r>
          </w:p>
        </w:tc>
        <w:tc>
          <w:tcPr>
            <w:tcW w:w="170" w:type="dxa"/>
            <w:tcBorders>
              <w:bottom w:val="single" w:sz="6" w:space="0" w:color="732282"/>
            </w:tcBorders>
            <w:shd w:fill="E5E5E5" w:val="clear"/>
            <w:tcMar>
              <w:bottom w:w="28" w:type="dxa"/>
            </w:tcMar>
            <w:vAlign w:val="center"/>
          </w:tcPr>
          <w:p>
            <w:pPr>
              <w:pStyle w:val="TableContents"/>
              <w:spacing w:before="0" w:after="283"/>
              <w:rPr/>
            </w:pPr>
            <w:r>
              <w:rPr/>
              <w:t> </w:t>
            </w:r>
          </w:p>
        </w:tc>
      </w:tr>
    </w:tbl>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arial" w:hAnsi="arial"/>
          <w:sz w:val="20"/>
        </w:rPr>
      </w:pPr>
      <w:r>
        <w:rPr>
          <w:rFonts w:ascii="arial" w:hAnsi="arial"/>
          <w:sz w:val="20"/>
        </w:rPr>
        <w:t xml:space="preserve">A-2 </w:t>
      </w:r>
      <w:r>
        <w:br w:type="page"/>
      </w:r>
    </w:p>
    <w:p>
      <w:pPr>
        <w:pStyle w:val="TextBody"/>
        <w:spacing w:before="0" w:after="0"/>
        <w:jc w:val="right"/>
        <w:rPr>
          <w:rFonts w:ascii="arial" w:hAnsi="arial"/>
          <w:b/>
          <w:sz w:val="20"/>
        </w:rPr>
      </w:pPr>
      <w:bookmarkStart w:id="11" w:name="d487324dex311.htm"/>
      <w:bookmarkStart w:id="12" w:name="ksd487324dex311"/>
      <w:bookmarkEnd w:id="11"/>
      <w:bookmarkEnd w:id="12"/>
      <w:r>
        <w:rPr>
          <w:rFonts w:ascii="arial" w:hAnsi="arial"/>
          <w:b/>
          <w:sz w:val="20"/>
        </w:rPr>
        <w:t xml:space="preserve">Exhibit 31.1 </w:t>
      </w:r>
    </w:p>
    <w:p>
      <w:pPr>
        <w:pStyle w:val="TextBody"/>
        <w:spacing w:before="240" w:after="0"/>
        <w:jc w:val="center"/>
        <w:rPr>
          <w:rFonts w:ascii="arial" w:hAnsi="arial"/>
          <w:b/>
          <w:sz w:val="20"/>
        </w:rPr>
      </w:pPr>
      <w:r>
        <w:rPr>
          <w:rFonts w:ascii="arial" w:hAnsi="arial"/>
          <w:b/>
          <w:sz w:val="20"/>
        </w:rPr>
        <w:t xml:space="preserve">Certification of Principal Executive Officer Pursuant to </w:t>
      </w:r>
    </w:p>
    <w:p>
      <w:pPr>
        <w:pStyle w:val="TextBody"/>
        <w:spacing w:before="0" w:after="0"/>
        <w:jc w:val="center"/>
        <w:rPr>
          <w:rFonts w:ascii="arial" w:hAnsi="arial"/>
          <w:b/>
          <w:sz w:val="20"/>
        </w:rPr>
      </w:pPr>
      <w:r>
        <w:rPr>
          <w:rFonts w:ascii="arial" w:hAnsi="arial"/>
          <w:b/>
          <w:sz w:val="20"/>
        </w:rPr>
        <w:t xml:space="preserve">Section 302 of the Sarbanes-Oxley Act of 2002 </w:t>
      </w:r>
    </w:p>
    <w:p>
      <w:pPr>
        <w:pStyle w:val="TextBody"/>
        <w:spacing w:before="240" w:after="0"/>
        <w:jc w:val="both"/>
        <w:rPr>
          <w:rFonts w:ascii="arial" w:hAnsi="arial"/>
          <w:sz w:val="18"/>
        </w:rPr>
      </w:pPr>
      <w:r>
        <w:rPr>
          <w:rFonts w:ascii="arial" w:hAnsi="arial"/>
          <w:sz w:val="18"/>
        </w:rPr>
        <w:t xml:space="preserve">I, Scott A. Smith, certify that: </w:t>
      </w:r>
    </w:p>
    <w:p>
      <w:pPr>
        <w:pStyle w:val="TextBody"/>
        <w:spacing w:before="240" w:after="0"/>
        <w:jc w:val="both"/>
        <w:rPr>
          <w:rFonts w:ascii="arial" w:hAnsi="arial"/>
          <w:sz w:val="18"/>
        </w:rPr>
      </w:pPr>
      <w:r>
        <w:rPr>
          <w:rFonts w:ascii="arial" w:hAnsi="arial"/>
          <w:sz w:val="18"/>
        </w:rPr>
        <w:t xml:space="preserve">1. I have reviewed this Form 10-K/A of Viatris Inc.; and </w:t>
      </w:r>
    </w:p>
    <w:p>
      <w:pPr>
        <w:pStyle w:val="TextBody"/>
        <w:spacing w:before="240" w:after="0"/>
        <w:jc w:val="both"/>
        <w:rPr>
          <w:rFonts w:ascii="arial" w:hAnsi="arial"/>
          <w:sz w:val="18"/>
        </w:rPr>
      </w:pPr>
      <w:r>
        <w:rPr>
          <w:rFonts w:ascii="arial" w:hAnsi="arial"/>
          <w:sz w:val="18"/>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spacing w:before="0" w:after="0"/>
        <w:jc w:val="left"/>
        <w:rPr/>
      </w:pPr>
      <w:r>
        <w:rPr/>
        <w:t> </w:t>
      </w:r>
    </w:p>
    <w:tbl>
      <w:tblPr>
        <w:tblW w:w="2000" w:type="pct"/>
        <w:jc w:val="lef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bottom w:val="single" w:sz="2" w:space="0" w:color="000000"/>
            </w:tcBorders>
            <w:shd w:fill="auto" w:val="clear"/>
            <w:tcMar>
              <w:bottom w:w="28" w:type="dxa"/>
            </w:tcMar>
          </w:tcPr>
          <w:p>
            <w:pPr>
              <w:pStyle w:val="TableContents"/>
              <w:spacing w:before="0" w:after="283"/>
              <w:rPr/>
            </w:pPr>
            <w:r>
              <w:rPr/>
              <w:t>/s/ Scott A. Smith</w:t>
            </w:r>
          </w:p>
        </w:tc>
      </w:tr>
      <w:tr>
        <w:trPr/>
        <w:tc>
          <w:tcPr>
            <w:tcW w:w="4082" w:type="dxa"/>
            <w:tcBorders/>
            <w:shd w:fill="auto" w:val="clear"/>
            <w:vAlign w:val="bottom"/>
          </w:tcPr>
          <w:p>
            <w:pPr>
              <w:pStyle w:val="TableContents"/>
              <w:spacing w:before="0" w:after="283"/>
              <w:rPr/>
            </w:pPr>
            <w:r>
              <w:rPr/>
              <w:t>Scott A. Smith</w:t>
            </w:r>
          </w:p>
        </w:tc>
      </w:tr>
      <w:tr>
        <w:trPr/>
        <w:tc>
          <w:tcPr>
            <w:tcW w:w="4082" w:type="dxa"/>
            <w:tcBorders/>
            <w:shd w:fill="auto" w:val="clear"/>
            <w:vAlign w:val="bottom"/>
          </w:tcPr>
          <w:p>
            <w:pPr>
              <w:pStyle w:val="TableContents"/>
              <w:spacing w:before="0" w:after="283"/>
              <w:rPr/>
            </w:pPr>
            <w:r>
              <w:rPr/>
              <w:t>Chief Executive Officer</w:t>
            </w:r>
          </w:p>
        </w:tc>
      </w:tr>
      <w:tr>
        <w:trPr/>
        <w:tc>
          <w:tcPr>
            <w:tcW w:w="4082" w:type="dxa"/>
            <w:tcBorders/>
            <w:shd w:fill="auto" w:val="clear"/>
          </w:tcPr>
          <w:p>
            <w:pPr>
              <w:pStyle w:val="TableContents"/>
              <w:spacing w:before="0" w:after="283"/>
              <w:rPr>
                <w:i/>
              </w:rPr>
            </w:pPr>
            <w:r>
              <w:rPr>
                <w:i/>
              </w:rPr>
              <w:t>(Principal Executive Officer)</w:t>
            </w:r>
          </w:p>
        </w:tc>
      </w:tr>
      <w:tr>
        <w:trPr/>
        <w:tc>
          <w:tcPr>
            <w:tcW w:w="4082" w:type="dxa"/>
            <w:tcBorders/>
            <w:shd w:fill="auto" w:val="clear"/>
            <w:vAlign w:val="bottom"/>
          </w:tcPr>
          <w:p>
            <w:pPr>
              <w:pStyle w:val="TableContents"/>
              <w:spacing w:before="0" w:after="283"/>
              <w:rPr/>
            </w:pPr>
            <w:r>
              <w:rPr/>
              <w:t>Date: April 28, 2023</w:t>
            </w:r>
          </w:p>
        </w:tc>
      </w:tr>
    </w:tbl>
    <w:p>
      <w:pPr>
        <w:pStyle w:val="TextBody"/>
        <w:spacing w:before="0" w:after="0"/>
        <w:jc w:val="right"/>
        <w:rPr>
          <w:rFonts w:ascii="arial" w:hAnsi="arial"/>
          <w:b/>
          <w:sz w:val="20"/>
        </w:rPr>
      </w:pPr>
      <w:r>
        <w:br w:type="page"/>
      </w:r>
      <w:bookmarkStart w:id="13" w:name="d487324dex312.htm"/>
      <w:bookmarkStart w:id="14" w:name="ksd487324dex312"/>
      <w:bookmarkEnd w:id="13"/>
      <w:bookmarkEnd w:id="14"/>
      <w:r>
        <w:rPr>
          <w:rFonts w:ascii="arial" w:hAnsi="arial"/>
          <w:b/>
          <w:sz w:val="20"/>
        </w:rPr>
        <w:t xml:space="preserve">Exhibit 31.2 </w:t>
      </w:r>
    </w:p>
    <w:p>
      <w:pPr>
        <w:pStyle w:val="TextBody"/>
        <w:spacing w:before="240" w:after="0"/>
        <w:jc w:val="center"/>
        <w:rPr>
          <w:rFonts w:ascii="arial" w:hAnsi="arial"/>
          <w:b/>
          <w:sz w:val="20"/>
        </w:rPr>
      </w:pPr>
      <w:r>
        <w:rPr>
          <w:rFonts w:ascii="arial" w:hAnsi="arial"/>
          <w:b/>
          <w:sz w:val="20"/>
        </w:rPr>
        <w:t xml:space="preserve">Certification of Principal Financial Officer Pursuant to </w:t>
      </w:r>
    </w:p>
    <w:p>
      <w:pPr>
        <w:pStyle w:val="TextBody"/>
        <w:spacing w:before="0" w:after="0"/>
        <w:jc w:val="center"/>
        <w:rPr>
          <w:rFonts w:ascii="arial" w:hAnsi="arial"/>
          <w:b/>
          <w:sz w:val="20"/>
        </w:rPr>
      </w:pPr>
      <w:r>
        <w:rPr>
          <w:rFonts w:ascii="arial" w:hAnsi="arial"/>
          <w:b/>
          <w:sz w:val="20"/>
        </w:rPr>
        <w:t xml:space="preserve">Section 302 of the Sarbanes-Oxley Act of 2002 </w:t>
      </w:r>
    </w:p>
    <w:p>
      <w:pPr>
        <w:pStyle w:val="TextBody"/>
        <w:spacing w:before="240" w:after="0"/>
        <w:jc w:val="both"/>
        <w:rPr>
          <w:rFonts w:ascii="arial" w:hAnsi="arial"/>
          <w:sz w:val="18"/>
        </w:rPr>
      </w:pPr>
      <w:r>
        <w:rPr>
          <w:rFonts w:ascii="arial" w:hAnsi="arial"/>
          <w:sz w:val="18"/>
        </w:rPr>
        <w:t xml:space="preserve">I, Sanjeev Narula, certify that: </w:t>
      </w:r>
    </w:p>
    <w:p>
      <w:pPr>
        <w:pStyle w:val="TextBody"/>
        <w:spacing w:before="240" w:after="0"/>
        <w:jc w:val="both"/>
        <w:rPr>
          <w:rFonts w:ascii="arial" w:hAnsi="arial"/>
          <w:sz w:val="18"/>
        </w:rPr>
      </w:pPr>
      <w:r>
        <w:rPr>
          <w:rFonts w:ascii="arial" w:hAnsi="arial"/>
          <w:sz w:val="18"/>
        </w:rPr>
        <w:t xml:space="preserve">1. I have reviewed this Form 10-K/A of Viatris Inc.; and </w:t>
      </w:r>
    </w:p>
    <w:p>
      <w:pPr>
        <w:pStyle w:val="TextBody"/>
        <w:spacing w:before="240" w:after="0"/>
        <w:jc w:val="both"/>
        <w:rPr>
          <w:rFonts w:ascii="arial" w:hAnsi="arial"/>
          <w:sz w:val="18"/>
        </w:rPr>
      </w:pPr>
      <w:r>
        <w:rPr>
          <w:rFonts w:ascii="arial" w:hAnsi="arial"/>
          <w:sz w:val="18"/>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spacing w:before="0" w:after="0"/>
        <w:jc w:val="left"/>
        <w:rPr/>
      </w:pPr>
      <w:r>
        <w:rPr/>
        <w:t> </w:t>
      </w:r>
    </w:p>
    <w:tbl>
      <w:tblPr>
        <w:tblW w:w="2000" w:type="pct"/>
        <w:jc w:val="lef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bottom w:val="single" w:sz="2" w:space="0" w:color="000000"/>
            </w:tcBorders>
            <w:shd w:fill="auto" w:val="clear"/>
            <w:tcMar>
              <w:bottom w:w="28" w:type="dxa"/>
            </w:tcMar>
          </w:tcPr>
          <w:p>
            <w:pPr>
              <w:pStyle w:val="TableContents"/>
              <w:spacing w:before="0" w:after="283"/>
              <w:rPr/>
            </w:pPr>
            <w:r>
              <w:rPr/>
              <w:t>/s/ Sanjeev Narula</w:t>
            </w:r>
          </w:p>
        </w:tc>
      </w:tr>
      <w:tr>
        <w:trPr/>
        <w:tc>
          <w:tcPr>
            <w:tcW w:w="4082" w:type="dxa"/>
            <w:tcBorders/>
            <w:shd w:fill="auto" w:val="clear"/>
            <w:vAlign w:val="bottom"/>
          </w:tcPr>
          <w:p>
            <w:pPr>
              <w:pStyle w:val="TableContents"/>
              <w:spacing w:before="0" w:after="283"/>
              <w:rPr/>
            </w:pPr>
            <w:r>
              <w:rPr/>
              <w:t>Sanjeev Narula</w:t>
            </w:r>
          </w:p>
        </w:tc>
      </w:tr>
      <w:tr>
        <w:trPr/>
        <w:tc>
          <w:tcPr>
            <w:tcW w:w="4082" w:type="dxa"/>
            <w:tcBorders/>
            <w:shd w:fill="auto" w:val="clear"/>
            <w:vAlign w:val="bottom"/>
          </w:tcPr>
          <w:p>
            <w:pPr>
              <w:pStyle w:val="TableContents"/>
              <w:spacing w:before="0" w:after="283"/>
              <w:rPr/>
            </w:pPr>
            <w:r>
              <w:rPr/>
              <w:t>Chief Financial Officer</w:t>
            </w:r>
          </w:p>
        </w:tc>
      </w:tr>
      <w:tr>
        <w:trPr/>
        <w:tc>
          <w:tcPr>
            <w:tcW w:w="4082" w:type="dxa"/>
            <w:tcBorders/>
            <w:shd w:fill="auto" w:val="clear"/>
          </w:tcPr>
          <w:p>
            <w:pPr>
              <w:pStyle w:val="TableContents"/>
              <w:spacing w:before="0" w:after="283"/>
              <w:rPr>
                <w:i/>
              </w:rPr>
            </w:pPr>
            <w:r>
              <w:rPr>
                <w:i/>
              </w:rPr>
              <w:t>(Principal Financial Officer)</w:t>
            </w:r>
          </w:p>
        </w:tc>
      </w:tr>
      <w:tr>
        <w:trPr/>
        <w:tc>
          <w:tcPr>
            <w:tcW w:w="4082" w:type="dxa"/>
            <w:tcBorders/>
            <w:shd w:fill="auto" w:val="clear"/>
            <w:vAlign w:val="bottom"/>
          </w:tcPr>
          <w:p>
            <w:pPr>
              <w:pStyle w:val="TableContents"/>
              <w:spacing w:before="0" w:after="283"/>
              <w:rPr/>
            </w:pPr>
            <w:r>
              <w:rPr/>
              <w:t>Date: April 28, 2023</w:t>
            </w:r>
          </w:p>
        </w:tc>
      </w:tr>
    </w:tbl>
    <w:p>
      <w:pPr>
        <w:pStyle w:val="TextBody"/>
        <w:spacing w:before="0" w:after="283"/>
        <w:rPr/>
      </w:pPr>
      <w:r>
        <w:br w:type="page"/>
      </w: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63</Pages>
  <Words>30984</Words>
  <CharactersWithSpaces>210971</CharactersWithSpaces>
  <Paragraphs>6647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EX-31.2</dc:title>
</cp:coreProperties>
</file>