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220345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208915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VIATRIS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0"/>
          </w:cols>
          <w:pgMar w:left="1120" w:top="333"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83-4364296</w:t>
      </w:r>
    </w:p>
    <w:p>
      <w:pPr>
        <w:spacing w:after="0" w:line="10" w:lineRule="exact"/>
        <w:rPr>
          <w:sz w:val="24"/>
          <w:szCs w:val="24"/>
          <w:color w:val="auto"/>
        </w:rPr>
      </w:pPr>
    </w:p>
    <w:p>
      <w:pPr>
        <w:sectPr>
          <w:pgSz w:w="11900" w:h="16838" w:orient="portrait"/>
          <w:cols w:equalWidth="0" w:num="3">
            <w:col w:w="3860" w:space="720"/>
            <w:col w:w="2420" w:space="720"/>
            <w:col w:w="1920"/>
          </w:cols>
          <w:pgMar w:left="1120" w:top="333" w:right="1139" w:bottom="1440" w:gutter="0" w:footer="0" w:header="0"/>
          <w:type w:val="continuous"/>
        </w:sectPr>
      </w:pPr>
    </w:p>
    <w:p>
      <w:pPr>
        <w:spacing w:after="0" w:line="1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80" w:lineRule="exact"/>
        <w:rPr>
          <w:sz w:val="24"/>
          <w:szCs w:val="24"/>
          <w:color w:val="auto"/>
        </w:rPr>
      </w:pPr>
    </w:p>
    <w:p>
      <w:pPr>
        <w:sectPr>
          <w:pgSz w:w="11900" w:h="16838" w:orient="portrait"/>
          <w:cols w:equalWidth="0" w:num="3">
            <w:col w:w="3840" w:space="720"/>
            <w:col w:w="2340" w:space="720"/>
            <w:col w:w="2020"/>
          </w:cols>
          <w:pgMar w:left="1120" w:top="333"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1000 Mylan Boulevard, Canonsburg, Pennsylvania , 15317</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225425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0"/>
          </w:cols>
          <w:pgMar w:left="1120" w:top="333" w:right="1139"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ind w:right="20" w:firstLine="386"/>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 (b))</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 (c))</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par value $0.01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VTRS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right="140" w:firstLine="386"/>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8" w:lineRule="exact"/>
        <w:rPr>
          <w:sz w:val="24"/>
          <w:szCs w:val="24"/>
          <w:color w:val="auto"/>
        </w:rPr>
      </w:pPr>
    </w:p>
    <w:p>
      <w:pPr>
        <w:ind w:left="380" w:right="1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0"/>
          </w:cols>
          <w:pgMar w:left="1120" w:top="333"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3746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0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6"/>
          <w:szCs w:val="16"/>
          <w:color w:val="auto"/>
        </w:rPr>
        <w:t>As previously disclosed, Viatris Inc. (“Viatris”) will host a conference call and live webcast today, February 22, 2021, at 8 a.m. ET to discuss 2021 financial guidance. A copy of the presentation to be made during the call/webcast, which includes preliminary estimated 2020 measures, is attached hereto as Exhibit 99.1 and is incorporated herein by reference.</w:t>
      </w:r>
    </w:p>
    <w:p>
      <w:pPr>
        <w:spacing w:after="0" w:line="2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On February 22, 2021, Viatris issued a press release announcing 2021 financial guidance. A copy of the press release is attached hereto as Exhibit 99.2 and is incorporated herein by reference.</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information in Items 2.02 and 7.01 (including Exhibits 99.1 and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9580"/>
          </w:cols>
          <w:pgMar w:left="1120" w:top="275" w:right="1199" w:bottom="1440" w:gutter="0" w:footer="0" w:header="0"/>
        </w:sectPr>
      </w:pPr>
    </w:p>
    <w:bookmarkStart w:id="2" w:name="page3"/>
    <w:bookmarkEnd w:id="2"/>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3746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14" w:lineRule="exact"/>
        <w:rPr>
          <w:sz w:val="20"/>
          <w:szCs w:val="20"/>
          <w:color w:val="auto"/>
        </w:rPr>
      </w:pPr>
    </w:p>
    <w:p>
      <w:pPr>
        <w:ind w:left="341" w:hanging="341"/>
        <w:spacing w:after="0"/>
        <w:tabs>
          <w:tab w:leader="none" w:pos="34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40" w:type="dxa"/>
            <w:vAlign w:val="bottom"/>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w w:val="92"/>
              </w:rPr>
              <w:t>Exhibit</w:t>
            </w:r>
          </w:p>
        </w:tc>
        <w:tc>
          <w:tcPr>
            <w:tcW w:w="7260" w:type="dxa"/>
            <w:vAlign w:val="bottom"/>
          </w:tcPr>
          <w:p>
            <w:pPr>
              <w:spacing w:after="0"/>
              <w:rPr>
                <w:sz w:val="12"/>
                <w:szCs w:val="12"/>
                <w:color w:val="auto"/>
              </w:rPr>
            </w:pPr>
          </w:p>
        </w:tc>
      </w:tr>
      <w:tr>
        <w:trPr>
          <w:trHeight w:val="178"/>
        </w:trPr>
        <w:tc>
          <w:tcPr>
            <w:tcW w:w="640" w:type="dxa"/>
            <w:vAlign w:val="bottom"/>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No.</w:t>
            </w:r>
          </w:p>
        </w:tc>
        <w:tc>
          <w:tcPr>
            <w:tcW w:w="72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0"/>
        </w:trPr>
        <w:tc>
          <w:tcPr>
            <w:tcW w:w="64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w w:val="92"/>
              </w:rPr>
              <w:t>99.1</w:t>
            </w:r>
          </w:p>
        </w:tc>
        <w:tc>
          <w:tcPr>
            <w:tcW w:w="7260" w:type="dxa"/>
            <w:vAlign w:val="bottom"/>
          </w:tcPr>
          <w:p>
            <w:pPr>
              <w:ind w:left="220"/>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2021 Guidance Presentation, dated February 22, 2021.</w:t>
              </w:r>
            </w:hyperlink>
          </w:p>
        </w:tc>
      </w:tr>
      <w:tr>
        <w:trPr>
          <w:trHeight w:val="284"/>
        </w:trPr>
        <w:tc>
          <w:tcPr>
            <w:tcW w:w="64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w w:val="92"/>
              </w:rPr>
              <w:t>99.2</w:t>
            </w:r>
          </w:p>
        </w:tc>
        <w:tc>
          <w:tcPr>
            <w:tcW w:w="7260" w:type="dxa"/>
            <w:vAlign w:val="bottom"/>
          </w:tcPr>
          <w:p>
            <w:pPr>
              <w:ind w:left="220"/>
              <w:spacing w:after="0"/>
              <w:rPr>
                <w:rFonts w:ascii="Times New Roman" w:cs="Times New Roman" w:eastAsia="Times New Roman" w:hAnsi="Times New Roman"/>
                <w:sz w:val="16"/>
                <w:szCs w:val="16"/>
                <w:u w:val="single" w:color="auto"/>
                <w:color w:val="0000EE"/>
              </w:rPr>
            </w:pPr>
            <w:hyperlink w:anchor="page33">
              <w:r>
                <w:rPr>
                  <w:rFonts w:ascii="Times New Roman" w:cs="Times New Roman" w:eastAsia="Times New Roman" w:hAnsi="Times New Roman"/>
                  <w:sz w:val="16"/>
                  <w:szCs w:val="16"/>
                  <w:u w:val="single" w:color="auto"/>
                  <w:color w:val="0000EE"/>
                </w:rPr>
                <w:t>Press release announcing 2021 financial guidance, dated February 22, 2021.</w:t>
              </w:r>
            </w:hyperlink>
          </w:p>
        </w:tc>
      </w:tr>
      <w:tr>
        <w:trPr>
          <w:trHeight w:val="284"/>
        </w:trPr>
        <w:tc>
          <w:tcPr>
            <w:tcW w:w="64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104</w:t>
            </w:r>
          </w:p>
        </w:tc>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Cover Page Interactive Data File - the cover page XBRL tags are embedded within the Inline XBRL document.</w:t>
            </w:r>
          </w:p>
        </w:tc>
      </w:tr>
    </w:tbl>
    <w:p>
      <w:pPr>
        <w:sectPr>
          <w:pgSz w:w="11900" w:h="16838" w:orient="portrait"/>
          <w:cols w:equalWidth="0" w:num="1">
            <w:col w:w="9340"/>
          </w:cols>
          <w:pgMar w:left="1119" w:top="275" w:right="1440"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37465"/>
                    </a:xfrm>
                    <a:prstGeom prst="rect">
                      <a:avLst/>
                    </a:prstGeom>
                    <a:noFill/>
                  </pic:spPr>
                </pic:pic>
              </a:graphicData>
            </a:graphic>
          </wp:anchor>
        </w:drawing>
        <w:t>SIGNATURE</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VIATRIS INC.</w:t>
      </w:r>
    </w:p>
    <w:p>
      <w:pPr>
        <w:spacing w:after="0" w:line="194" w:lineRule="exact"/>
        <w:rPr>
          <w:sz w:val="20"/>
          <w:szCs w:val="20"/>
          <w:color w:val="auto"/>
        </w:rPr>
      </w:pPr>
    </w:p>
    <w:p>
      <w:pPr>
        <w:spacing w:after="0"/>
        <w:tabs>
          <w:tab w:leader="none" w:pos="4620" w:val="left"/>
          <w:tab w:leader="none" w:pos="5000" w:val="left"/>
        </w:tabs>
        <w:rPr>
          <w:sz w:val="20"/>
          <w:szCs w:val="20"/>
          <w:color w:val="auto"/>
        </w:rPr>
      </w:pPr>
      <w:r>
        <w:rPr>
          <w:rFonts w:ascii="Times New Roman" w:cs="Times New Roman" w:eastAsia="Times New Roman" w:hAnsi="Times New Roman"/>
          <w:sz w:val="16"/>
          <w:szCs w:val="16"/>
          <w:color w:val="auto"/>
        </w:rPr>
        <w:t>Date: February 22, 2021</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13970</wp:posOffset>
            </wp:positionV>
            <wp:extent cx="29362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36240" cy="7620"/>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Sanjeev Narula</w:t>
      </w:r>
    </w:p>
    <w:p>
      <w:pPr>
        <w:spacing w:after="0" w:line="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9380"/>
          </w:cols>
          <w:pgMar w:left="1120" w:top="275" w:right="13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329055" cy="353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9055"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Viatris Inc. Announces 2021 Financial Guidance and Reaffirms Strategic and Financial Commitments</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PITTSBURGH, February 22, 2021 – Viatris Inc. (NASDAQ: VTRS) today announced its 2021 financial guidance and reaffirmed its commitment to rapid de-leveraging, to enhancing and growing free cash flows, particularly following the phasing out of one-time and other stand up costs, to initiating a dividend, and to delivering total shareholder return (TSR).</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2021 Financial Guidance</w:t>
      </w:r>
    </w:p>
    <w:p>
      <w:pPr>
        <w:spacing w:after="0" w:line="195"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680" w:type="dxa"/>
            <w:vAlign w:val="bottom"/>
          </w:tcPr>
          <w:p>
            <w:pPr>
              <w:spacing w:after="0"/>
              <w:rPr>
                <w:sz w:val="12"/>
                <w:szCs w:val="12"/>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Midpoint</w:t>
            </w:r>
          </w:p>
        </w:tc>
      </w:tr>
      <w:tr>
        <w:trPr>
          <w:trHeight w:val="152"/>
        </w:trPr>
        <w:tc>
          <w:tcPr>
            <w:tcW w:w="5680" w:type="dxa"/>
            <w:vAlign w:val="bottom"/>
          </w:tcPr>
          <w:p>
            <w:pPr>
              <w:spacing w:after="0"/>
              <w:rPr>
                <w:sz w:val="13"/>
                <w:szCs w:val="13"/>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(Billions)</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(Billions)</w:t>
            </w:r>
          </w:p>
        </w:tc>
      </w:tr>
      <w:tr>
        <w:trPr>
          <w:trHeight w:val="181"/>
        </w:trPr>
        <w:tc>
          <w:tcPr>
            <w:tcW w:w="56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4"/>
              </w:rPr>
              <w:t>$17.2</w:t>
            </w:r>
          </w:p>
        </w:tc>
        <w:tc>
          <w:tcPr>
            <w:tcW w:w="480" w:type="dxa"/>
            <w:vAlign w:val="bottom"/>
            <w:tcBorders>
              <w:top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w w:val="96"/>
              </w:rPr>
              <w:t>- $17.8</w:t>
            </w:r>
          </w:p>
        </w:tc>
        <w:tc>
          <w:tcPr>
            <w:tcW w:w="2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$17.5</w:t>
            </w:r>
          </w:p>
        </w:tc>
      </w:tr>
      <w:tr>
        <w:trPr>
          <w:trHeight w:val="189"/>
        </w:trPr>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EBIDTA (1)</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$6.4</w:t>
            </w:r>
          </w:p>
        </w:tc>
        <w:tc>
          <w:tcPr>
            <w:tcW w:w="2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8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Free Cash Flow (1)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$2.3</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$2.15</w:t>
            </w:r>
          </w:p>
        </w:tc>
      </w:tr>
    </w:tbl>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(1)  Non-GAAP financial measures. Please see “Non-GAAP Financial Measures” for additional information.</w:t>
      </w:r>
    </w:p>
    <w:p>
      <w:pPr>
        <w:spacing w:after="0" w:line="194" w:lineRule="exact"/>
        <w:rPr>
          <w:sz w:val="20"/>
          <w:szCs w:val="20"/>
          <w:color w:val="auto"/>
        </w:rPr>
      </w:pPr>
    </w:p>
    <w:p>
      <w:pPr>
        <w:ind w:left="1160" w:right="1420"/>
        <w:spacing w:after="0" w:line="276" w:lineRule="auto"/>
        <w:rPr>
          <w:sz w:val="20"/>
          <w:szCs w:val="20"/>
          <w:color w:val="auto"/>
        </w:rPr>
      </w:pPr>
      <w:r>
        <w:rPr>
          <w:rFonts w:ascii="Times New Roman" w:cs="Times New Roman" w:eastAsia="Times New Roman" w:hAnsi="Times New Roman"/>
          <w:sz w:val="16"/>
          <w:szCs w:val="16"/>
          <w:color w:val="auto"/>
        </w:rPr>
        <w:t>The 2021 Free Cash Flow guidance includes $1.5 billion cash cost to achieve synergies and other one-time cash costs.</w:t>
      </w:r>
    </w:p>
    <w:p>
      <w:pPr>
        <w:spacing w:after="0" w:line="15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6"/>
          <w:szCs w:val="16"/>
          <w:color w:val="auto"/>
        </w:rPr>
        <w:t>Viatris CEO Michael Goettler said, “The strategic rationale for creating Viatris is as compelling today as when we announced the transaction to create this new company in July 2019. We launched Viatris with a TSR-focused operating model and a commitment to maintaining a strong balance sheet. As we previously stated, our company’s priorities in the first three years as we stand up Viatris will be predominately focused on rebalancing the business, generating strong and growing free cash flows, and rapidly de-leveraging.</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“We are confident that our financial guidance for 2021 is the right starting point for Viatris and continue to expect 2021 to be our trough year in terms of revenue, adjusted EBITDA and free cash flow, reflecting a balanced view of both near-term tailwinds and headwinds, particularly given the delay in closing of the combination between Mylan and Pfizer’s Upjohn business,” Goettler said.</w:t>
      </w:r>
    </w:p>
    <w:p>
      <w:pPr>
        <w:spacing w:after="0" w:line="157"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6"/>
          <w:szCs w:val="16"/>
          <w:color w:val="auto"/>
        </w:rPr>
        <w:t>Goettler continued, “Our Global Healthcare Gateway</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will fuel our future growth by leveraging our own diverse portfolio and pipeline, as well as those of our current and future partners through our unmatched global infrastructure, and significant scientific, manufacturing and commercial capabilities, all while executing on our mission to empower people worldwide to live healthier at every stage of life. We also look forward to meeting our commitment to provide a longer-term financial outlook in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23570" cy="60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sectPr>
      </w:pPr>
    </w:p>
    <w:bookmarkStart w:id="33" w:name="page34"/>
    <w:bookmarkEnd w:id="33"/>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Viatris president Rajiv Malik said, “Since we launched Viatris approximately 90 days ago, we have taken swift and decisive action to rebalance and position our business to succeed and compete in the current environment. This includes our multi-year global restructuring program we expect will accelerate the achievement of our $1 billion in cost synergies in three years, instead of our initial four-year timeframe, and will position us to continue to optimize our unique platform over the long term. We have made significant progress on this program, including taking steps to optimize our commercial and functional infrastructure, consolidate manufacturing sites and implement centers of excellence to enhance innovation and efficiency. We expect this work will enable us to create a more flexible, efficient Viatris better positioned to achieve our long-term objectives. We are looking forward to maximizing our anticipated new product launches, including biosimilars and complex generics, through our enhanced combined global manufacturing and commercial platforms.”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Initiating 2021 Dividend and Reaffirming Capital Allocation Priorities</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The Viatris Board has undertaken a comprehensive review of management’s operating plan for 2021 and unanimously supports the Company’s priorities for the next few years, including its priorities for capital allocation and initiating an annualized dividend of at least 25% of free cash flow for 2021. Based on the mid-point of Viatris’ 2021 free cash flow guidance of $2.15 billion, the Board expects the Company to pay an annualized dividend of approximately $540 million, or $0.44 per share, with the expectation to grow the dividend amount thereafter. Due to the timing of the initiation of the dividend we expect to make three payments in 2021 totaling approximately $400 million. The Company expects the first quarterly dividend of $0.11 per share to be declared in May 2021 and distributed in June 2021, subject to the Board’s first quarter 2021 review.</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The Company expanded its commitment to debt paydown and to maintaining its investment grade credit rating, and now expects to repay approximately $6.5 billion in debt by the end of 2023. In addition, the Company is targeting a long-term leverage ratio of 2.5x, with a range of 2.2x to 2.8x. The Company also continues to be committed not to institute any share repurchase programs until the leverage ratio is at least </w:t>
      </w:r>
      <w:r>
        <w:rPr>
          <w:rFonts w:ascii="Times New Roman" w:cs="Times New Roman" w:eastAsia="Times New Roman" w:hAnsi="Times New Roman"/>
          <w:sz w:val="16"/>
          <w:szCs w:val="16"/>
          <w:u w:val="single" w:color="auto"/>
          <w:color w:val="auto"/>
        </w:rPr>
        <w:t>&lt;</w:t>
      </w:r>
      <w:r>
        <w:rPr>
          <w:rFonts w:ascii="Times New Roman" w:cs="Times New Roman" w:eastAsia="Times New Roman" w:hAnsi="Times New Roman"/>
          <w:sz w:val="16"/>
          <w:szCs w:val="16"/>
          <w:color w:val="auto"/>
        </w:rPr>
        <w:t>2.5x.</w:t>
      </w:r>
    </w:p>
    <w:p>
      <w:pPr>
        <w:spacing w:after="0" w:line="15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Viatris chief financial officer Sanjeev Narula said, “Our disciplined approach and financial commitments of de-levering the balance sheet while delivering value to shareholders are paramount to our priorities and operational thesis. This will be supported by our expectation to enhance cash flows and create more financial flexibility. We are confident that 2021 will be our trough year as we have no significant additional near-term product Loss of Exclusivities.”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23570" cy="60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620"/>
          </w:cols>
          <w:pgMar w:left="1120" w:top="939" w:right="1159" w:bottom="1440" w:gutter="0" w:footer="0" w:header="0"/>
        </w:sectPr>
      </w:pPr>
    </w:p>
    <w:bookmarkStart w:id="34" w:name="page35"/>
    <w:bookmarkEnd w:id="34"/>
    <w:tbl>
      <w:tblPr>
        <w:tblLayout w:type="fixed"/>
        <w:tblInd w:w="15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2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Key Metrics Utilized for 2021 Financial Guidance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20" w:type="dxa"/>
            <w:vAlign w:val="bottom"/>
          </w:tcPr>
          <w:p>
            <w:pPr>
              <w:spacing w:after="0"/>
              <w:rPr>
                <w:sz w:val="16"/>
                <w:szCs w:val="16"/>
                <w:color w:val="auto"/>
              </w:rPr>
            </w:pPr>
          </w:p>
        </w:tc>
        <w:tc>
          <w:tcPr>
            <w:tcW w:w="15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Gross Margin (1)</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58.0% - 59.0%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SG&amp;A % of Total Revenue (1)</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20.5% - 21.5%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R&amp;D % of Total Revenue (1)</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3.7%</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$2.65</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$2.80 billion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$0.5 - $0.65 billion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Effective Tax Rate (1)</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18.0% - 19.0%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Shares Outstanding</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1.209</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- 1.213 billion</w:t>
            </w: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r>
    </w:p>
    <w:p>
      <w:pPr>
        <w:ind w:left="1920" w:hanging="384"/>
        <w:spacing w:after="0"/>
        <w:tabs>
          <w:tab w:leader="none" w:pos="19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financial measures. Please see “Non-GAAP Financial Measures” for additional information.</w:t>
      </w:r>
    </w:p>
    <w:p>
      <w:pPr>
        <w:spacing w:after="0" w:line="200" w:lineRule="exact"/>
        <w:rPr>
          <w:sz w:val="20"/>
          <w:szCs w:val="20"/>
          <w:color w:val="auto"/>
        </w:rPr>
      </w:pPr>
    </w:p>
    <w:p>
      <w:pPr>
        <w:spacing w:after="0" w:line="335" w:lineRule="exact"/>
        <w:rPr>
          <w:sz w:val="20"/>
          <w:szCs w:val="20"/>
          <w:color w:val="auto"/>
        </w:rPr>
      </w:pPr>
    </w:p>
    <w:tbl>
      <w:tblPr>
        <w:tblLayout w:type="fixed"/>
        <w:tblInd w:w="15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6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Key Exchange Rates Used for 2021 Guidance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Australian Dollar ($ / AUD)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British Pound ($ / GBP)</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Canadian Dollar ($ / CAD)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China Renminbi ($ / CNY)</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Euro ($ / EUR)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Indian Rupee ($ / INR)</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Japanese Yen ($ / JPY)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South Korean Won ($ / KRW)</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1,138.64</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previously announced, Viatris will host a conference call at 8 a.m. ET today, Feb. 22, 2021, to discuss 2021 financial guidance.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briefing can be accessed live by calling (855) 493-3607 or (346) 354-0950 for international callers (ID#: 3235536) or at the following address 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company’s website: </w:t>
      </w:r>
      <w:r>
        <w:rPr>
          <w:rFonts w:ascii="Times New Roman" w:cs="Times New Roman" w:eastAsia="Times New Roman" w:hAnsi="Times New Roman"/>
          <w:sz w:val="16"/>
          <w:szCs w:val="16"/>
          <w:u w:val="single" w:color="auto"/>
          <w:color w:val="auto"/>
        </w:rPr>
        <w:t>investor.viatris.com</w:t>
      </w:r>
      <w:r>
        <w:rPr>
          <w:rFonts w:ascii="Times New Roman" w:cs="Times New Roman" w:eastAsia="Times New Roman" w:hAnsi="Times New Roman"/>
          <w:sz w:val="16"/>
          <w:szCs w:val="16"/>
          <w:color w:val="auto"/>
        </w:rPr>
        <w:t>. The slide presentation and replay of the webcast also will be available on the website.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This press release includes the presentation and discussion of certain financial information that differs from what is reported under accounting principles generally accepted in the United States of America (“U.S. GAAP”). These non-GAAP financial measures, including, but not limited to, adjusted EBITDA, free cash flow, adjusted gross margin, adjusted R&amp;D and as a % of total revenues, adjusted SG&amp;A and as a %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23570" cy="60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620"/>
          </w:cols>
          <w:pgMar w:left="1120" w:top="1150" w:right="1159" w:bottom="1440" w:gutter="0" w:footer="0" w:header="0"/>
        </w:sectPr>
      </w:pPr>
    </w:p>
    <w:bookmarkStart w:id="35" w:name="page36"/>
    <w:bookmarkEnd w:id="35"/>
    <w:p>
      <w:pPr>
        <w:ind w:right="8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revenues, adjusted effective tax rate and long-term leverage ratio target of £ 2.5x, are presented in order to supplement investors’ and other readers’ understanding and assessment of the financial performance of Viatris.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press release, and investors and other readers should consider non-GAAP measures only as supplements to, not as substitutes for or as superior measures to, the measures of financial performance prepared in accordance with U.S. GAAP.</w:t>
      </w:r>
    </w:p>
    <w:p>
      <w:pPr>
        <w:spacing w:after="0" w:line="1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The stated forward-looking non-GAAP financial measure of Viatris targeting a long-term leverage ratio of 2.5x, with a range of 2.2x to 2.8x, is based on the ratio of (i) targeted long-term average debt and (ii) targeted long-term Credit Agreement Adjusted EBITDA. However, Viatris has not quantified future amounts to develop this target but has stated its goal to manage long-term average debt and adjusted EBITDA over time in order to generally maintain or reach the target. This target does not reflect company guidance. For the quarter ended September 30, 2020, Mylan’s Credit Agreement Adjusted EBITDA was based on the sum of (i) Mylan’s adjusted EBITDA for the quarters ended December 31, 2019, March 31, 2020, June 30, 2020 and September 30, 2020 and (ii) certain adjustments permitted to be included in Credit Agreement Adjusted EBITDA as of September 30, 2020 pursuant to the revolving credit facility dated as of July 27, 2018 (as amended, supplemented or otherwise modified from time to time), among Mylan Inc., as borrower, the Company, as guarantor, certain affiliates and subsidiaries of the Company from time to time party thereto as guarantors, each lender from time to time party thereto and Bank of America, N.A., as administrative agent (the “Credit Agreement”). Viatris is party to a credit agreement, dated June 16, 2020, by and among Viatris, certain lenders and issuing banks from time-to-time party thereto and Bank of America, N.A., as administrative agent, that going forward will permit similar adjustments as the Credit Agreement to be included in Credit Agreement Adjusted EBITDA for Viatris. For the quarter ended September 30, 2020, Mylan N.V. (“Mylan”) calculated adjusted EBITDA as U.S. GAAP net earnings (loss) adjusted for clean energy investments pre-tax loss, income tax (benefit) provision, interest expense and depreciation and amortization (to get to EBITDA) and further adjusted for share-based compensation expense, litigation settlements and other contingencies, net and restructuring, acquisition related and other special items to get to adjusted EBITDA. Mylan was the accounting acquiror in the transaction pursuant to which Mylan combined with Pfizer Inc.’s Upjohn business (the “Upjohn Business”) in a Reverse Morris Trust transaction (the “Combination”) and therefore the historical financial statements of Mylan for periods prior to the Combination are considered to be the historical financial statements of Viatris. However, future non-GAAP financial measures used by Viatris may not be directly comparable to the historical Mylan non-GAAP financial measures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623570" cy="60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640"/>
          </w:cols>
          <w:pgMar w:left="1120" w:top="939" w:right="1139" w:bottom="1440" w:gutter="0" w:footer="0" w:header="0"/>
        </w:sectPr>
      </w:pPr>
    </w:p>
    <w:bookmarkStart w:id="36" w:name="page37"/>
    <w:bookmarkEnd w:id="36"/>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Full Year 2021 Guidance Items</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96"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760" w:type="dxa"/>
            <w:vAlign w:val="bottom"/>
          </w:tcPr>
          <w:p>
            <w:pPr>
              <w:spacing w:after="0"/>
              <w:rPr>
                <w:sz w:val="13"/>
                <w:szCs w:val="13"/>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Non-GAAP</w:t>
            </w:r>
          </w:p>
        </w:tc>
      </w:tr>
      <w:tr>
        <w:trPr>
          <w:trHeight w:val="181"/>
        </w:trPr>
        <w:tc>
          <w:tcPr>
            <w:tcW w:w="476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Revenue</w:t>
            </w:r>
          </w:p>
        </w:tc>
        <w:tc>
          <w:tcPr>
            <w:tcW w:w="5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$17,200</w:t>
            </w:r>
          </w:p>
        </w:tc>
        <w:tc>
          <w:tcPr>
            <w:tcW w:w="680" w:type="dxa"/>
            <w:vAlign w:val="bottom"/>
            <w:tcBorders>
              <w:top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 $17,800</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w:t>
            </w:r>
          </w:p>
        </w:tc>
      </w:tr>
      <w:tr>
        <w:trPr>
          <w:trHeight w:val="189"/>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$(300)</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EBIDTA</w:t>
            </w:r>
          </w:p>
        </w:tc>
        <w:tc>
          <w:tcPr>
            <w:tcW w:w="148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$6,000 - $6,400</w:t>
            </w:r>
          </w:p>
        </w:tc>
      </w:tr>
      <w:tr>
        <w:trPr>
          <w:trHeight w:val="189"/>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$2,650</w:t>
            </w: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$2,800</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r>
      <w:tr>
        <w:trPr>
          <w:trHeight w:val="18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48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$2,000 - $2,300</w:t>
            </w:r>
          </w:p>
        </w:tc>
      </w:tr>
    </w:tbl>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Reconciliation of Estimated 2021 GAAP Net Loss to Non-GAAP Adjusted EBITDA</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7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 reconciliation of the estimated 2021 GAAP Net Loss to Non-GAAP Adjusted EBITDA and the items excluded from Adjusted EBITDA is presented below.</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Estimated GAAP Net Loss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$(100) – $(300)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Adjusted EBIDTA</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 xml:space="preserve">6,000 - </w:t>
            </w: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6,400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Difference at Mid-Point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$6,400</w:t>
            </w:r>
          </w:p>
        </w:tc>
        <w:tc>
          <w:tcPr>
            <w:tcW w:w="0" w:type="dxa"/>
            <w:vAlign w:val="bottom"/>
          </w:tcPr>
          <w:p>
            <w:pPr>
              <w:spacing w:after="0"/>
              <w:rPr>
                <w:sz w:val="1"/>
                <w:szCs w:val="1"/>
                <w:color w:val="auto"/>
              </w:rPr>
            </w:pPr>
          </w:p>
        </w:tc>
      </w:tr>
      <w:tr>
        <w:trPr>
          <w:trHeight w:val="367"/>
        </w:trPr>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Estimated Reconciling Items: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4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$3,100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Amortization of the Inventory Fair Value Adjustment from the Combination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$1,200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Restructuring and Acquisition Related Costs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$700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Items included tax expense, net</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$400</w:t>
            </w:r>
          </w:p>
        </w:tc>
        <w:tc>
          <w:tcPr>
            <w:tcW w:w="0" w:type="dxa"/>
            <w:vAlign w:val="bottom"/>
          </w:tcPr>
          <w:p>
            <w:pPr>
              <w:spacing w:after="0"/>
              <w:rPr>
                <w:sz w:val="1"/>
                <w:szCs w:val="1"/>
                <w:color w:val="auto"/>
              </w:rPr>
            </w:pPr>
          </w:p>
        </w:tc>
      </w:tr>
      <w:tr>
        <w:trPr>
          <w:trHeight w:val="200"/>
        </w:trPr>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$6,400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623570" cy="60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520"/>
          </w:cols>
          <w:pgMar w:left="1120" w:top="937" w:right="125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Reconciliation of Estimated 2021 GAAP Net Cash Provided by Operating Activities to Free Cash Flow</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 in millions)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estimated 2021 GAAP Net Cash provided by Operating Activities to Free Cash Flow is presented below.</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Estimated GAAP Net Cash provided by Operating Activities</w:t>
            </w:r>
          </w:p>
        </w:tc>
        <w:tc>
          <w:tcPr>
            <w:tcW w:w="380" w:type="dxa"/>
            <w:vAlign w:val="bottom"/>
            <w:shd w:val="clear" w:color="auto" w:fill="CCEEFF"/>
          </w:tcPr>
          <w:p>
            <w:pPr>
              <w:spacing w:after="0"/>
              <w:rPr>
                <w:sz w:val="16"/>
                <w:szCs w:val="16"/>
                <w:color w:val="auto"/>
              </w:rPr>
            </w:pPr>
          </w:p>
        </w:tc>
        <w:tc>
          <w:tcPr>
            <w:tcW w:w="14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$2,650 - $2,800</w:t>
            </w:r>
          </w:p>
        </w:tc>
        <w:tc>
          <w:tcPr>
            <w:tcW w:w="400" w:type="dxa"/>
            <w:vAlign w:val="bottom"/>
          </w:tcPr>
          <w:p>
            <w:pPr>
              <w:spacing w:after="0"/>
              <w:rPr>
                <w:sz w:val="16"/>
                <w:szCs w:val="16"/>
                <w:color w:val="auto"/>
              </w:rPr>
            </w:pPr>
          </w:p>
        </w:tc>
      </w:tr>
      <w:tr>
        <w:trPr>
          <w:trHeight w:val="193"/>
        </w:trPr>
        <w:tc>
          <w:tcPr>
            <w:tcW w:w="38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 Capital Expenditures</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7"/>
              </w:rPr>
              <w:t xml:space="preserve">$ (500) - </w:t>
            </w: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(650)</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380" w:type="dxa"/>
            <w:vAlign w:val="bottom"/>
          </w:tcPr>
          <w:p>
            <w:pPr>
              <w:spacing w:after="0"/>
              <w:rPr>
                <w:sz w:val="16"/>
                <w:szCs w:val="16"/>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380" w:type="dxa"/>
            <w:vAlign w:val="bottom"/>
            <w:shd w:val="clear" w:color="auto" w:fill="CCEEFF"/>
          </w:tcPr>
          <w:p>
            <w:pPr>
              <w:spacing w:after="0"/>
              <w:rPr>
                <w:sz w:val="16"/>
                <w:szCs w:val="16"/>
                <w:color w:val="auto"/>
              </w:rPr>
            </w:pPr>
          </w:p>
        </w:tc>
        <w:tc>
          <w:tcPr>
            <w:tcW w:w="14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$2,000 - $2,300</w:t>
            </w:r>
          </w:p>
        </w:tc>
        <w:tc>
          <w:tcPr>
            <w:tcW w:w="400" w:type="dxa"/>
            <w:vAlign w:val="bottom"/>
          </w:tcPr>
          <w:p>
            <w:pPr>
              <w:spacing w:after="0"/>
              <w:rPr>
                <w:sz w:val="16"/>
                <w:szCs w:val="16"/>
                <w:color w:val="auto"/>
              </w:rPr>
            </w:pPr>
          </w:p>
        </w:tc>
      </w:tr>
      <w:tr>
        <w:trPr>
          <w:trHeight w:val="549"/>
        </w:trPr>
        <w:tc>
          <w:tcPr>
            <w:tcW w:w="380" w:type="dxa"/>
            <w:vAlign w:val="bottom"/>
          </w:tcPr>
          <w:p>
            <w:pPr>
              <w:spacing w:after="0"/>
              <w:rPr>
                <w:sz w:val="24"/>
                <w:szCs w:val="24"/>
                <w:color w:val="auto"/>
              </w:rPr>
            </w:pPr>
          </w:p>
        </w:tc>
        <w:tc>
          <w:tcPr>
            <w:tcW w:w="4780" w:type="dxa"/>
            <w:vAlign w:val="bottom"/>
            <w:gridSpan w:val="2"/>
          </w:tcPr>
          <w:p>
            <w:pPr>
              <w:jc w:val="center"/>
              <w:ind w:left="1701"/>
              <w:spacing w:after="0"/>
              <w:rPr>
                <w:sz w:val="20"/>
                <w:szCs w:val="20"/>
                <w:color w:val="auto"/>
              </w:rPr>
            </w:pPr>
            <w:r>
              <w:rPr>
                <w:rFonts w:ascii="Times New Roman" w:cs="Times New Roman" w:eastAsia="Times New Roman" w:hAnsi="Times New Roman"/>
                <w:sz w:val="16"/>
                <w:szCs w:val="16"/>
                <w:b w:val="1"/>
                <w:bCs w:val="1"/>
                <w:color w:val="auto"/>
                <w:w w:val="98"/>
              </w:rPr>
              <w:t>Key Metrics Utilized for 2021 Guidance</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8"/>
        </w:trPr>
        <w:tc>
          <w:tcPr>
            <w:tcW w:w="380" w:type="dxa"/>
            <w:vAlign w:val="bottom"/>
          </w:tcPr>
          <w:p>
            <w:pPr>
              <w:spacing w:after="0"/>
              <w:rPr>
                <w:sz w:val="18"/>
                <w:szCs w:val="18"/>
                <w:color w:val="auto"/>
              </w:rPr>
            </w:pPr>
          </w:p>
        </w:tc>
        <w:tc>
          <w:tcPr>
            <w:tcW w:w="4780" w:type="dxa"/>
            <w:vAlign w:val="bottom"/>
            <w:gridSpan w:val="2"/>
          </w:tcPr>
          <w:p>
            <w:pPr>
              <w:jc w:val="center"/>
              <w:ind w:left="1701"/>
              <w:spacing w:after="0"/>
              <w:rPr>
                <w:sz w:val="20"/>
                <w:szCs w:val="20"/>
                <w:color w:val="auto"/>
              </w:rPr>
            </w:pPr>
            <w:r>
              <w:rPr>
                <w:rFonts w:ascii="Times New Roman" w:cs="Times New Roman" w:eastAsia="Times New Roman" w:hAnsi="Times New Roman"/>
                <w:sz w:val="16"/>
                <w:szCs w:val="16"/>
                <w:b w:val="1"/>
                <w:bCs w:val="1"/>
                <w:color w:val="auto"/>
                <w:w w:val="98"/>
              </w:rPr>
              <w:t>(Unaudited; in millions, except percentages)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42"/>
        </w:trPr>
        <w:tc>
          <w:tcPr>
            <w:tcW w:w="3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GAAP</w:t>
            </w:r>
          </w:p>
        </w:tc>
        <w:tc>
          <w:tcPr>
            <w:tcW w:w="96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Non-GAAP</w:t>
            </w:r>
          </w:p>
        </w:tc>
      </w:tr>
      <w:tr>
        <w:trPr>
          <w:trHeight w:val="181"/>
        </w:trPr>
        <w:tc>
          <w:tcPr>
            <w:tcW w:w="380" w:type="dxa"/>
            <w:vAlign w:val="bottom"/>
            <w:tcBorders>
              <w:top w:val="single" w:sz="8" w:color="CCEEFF"/>
            </w:tcBorders>
            <w:shd w:val="clear" w:color="auto" w:fill="CCEEFF"/>
          </w:tcPr>
          <w:p>
            <w:pPr>
              <w:spacing w:after="0"/>
              <w:rPr>
                <w:sz w:val="15"/>
                <w:szCs w:val="15"/>
                <w:color w:val="auto"/>
              </w:rPr>
            </w:pPr>
          </w:p>
        </w:tc>
        <w:tc>
          <w:tcPr>
            <w:tcW w:w="4740" w:type="dxa"/>
            <w:vAlign w:val="bottom"/>
            <w:tcBorders>
              <w:top w:val="single" w:sz="8" w:color="CCEEFF"/>
            </w:tcBorders>
            <w:shd w:val="clear" w:color="auto" w:fill="CCEEFF"/>
          </w:tcPr>
          <w:p>
            <w:pPr>
              <w:jc w:val="center"/>
              <w:ind w:right="461"/>
              <w:spacing w:after="0" w:line="181" w:lineRule="exact"/>
              <w:rPr>
                <w:sz w:val="20"/>
                <w:szCs w:val="20"/>
                <w:color w:val="auto"/>
              </w:rPr>
            </w:pPr>
            <w:r>
              <w:rPr>
                <w:rFonts w:ascii="Times New Roman" w:cs="Times New Roman" w:eastAsia="Times New Roman" w:hAnsi="Times New Roman"/>
                <w:sz w:val="16"/>
                <w:szCs w:val="16"/>
                <w:b w:val="1"/>
                <w:bCs w:val="1"/>
                <w:color w:val="auto"/>
                <w:w w:val="98"/>
              </w:rPr>
              <w:t>Gross margin as a % of revenue</w:t>
            </w:r>
          </w:p>
        </w:tc>
        <w:tc>
          <w:tcPr>
            <w:tcW w:w="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31.0</w:t>
            </w:r>
          </w:p>
        </w:tc>
        <w:tc>
          <w:tcPr>
            <w:tcW w:w="700" w:type="dxa"/>
            <w:vAlign w:val="bottom"/>
            <w:tcBorders>
              <w:top w:val="single" w:sz="8" w:color="auto"/>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 33.0%</w:t>
            </w: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58.0</w:t>
            </w:r>
          </w:p>
        </w:tc>
        <w:tc>
          <w:tcPr>
            <w:tcW w:w="620" w:type="dxa"/>
            <w:vAlign w:val="bottom"/>
            <w:tcBorders>
              <w:top w:val="single" w:sz="8" w:color="auto"/>
            </w:tcBorders>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 59.0%</w:t>
            </w:r>
          </w:p>
        </w:tc>
      </w:tr>
      <w:tr>
        <w:trPr>
          <w:trHeight w:val="189"/>
        </w:trPr>
        <w:tc>
          <w:tcPr>
            <w:tcW w:w="380" w:type="dxa"/>
            <w:vAlign w:val="bottom"/>
          </w:tcPr>
          <w:p>
            <w:pPr>
              <w:spacing w:after="0"/>
              <w:rPr>
                <w:sz w:val="16"/>
                <w:szCs w:val="16"/>
                <w:color w:val="auto"/>
              </w:rPr>
            </w:pPr>
          </w:p>
        </w:tc>
        <w:tc>
          <w:tcPr>
            <w:tcW w:w="47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SG&amp;A expenses as a % of revenue</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26.0%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21.5%</w:t>
            </w:r>
          </w:p>
        </w:tc>
      </w:tr>
      <w:tr>
        <w:trPr>
          <w:trHeight w:val="189"/>
        </w:trPr>
        <w:tc>
          <w:tcPr>
            <w:tcW w:w="380" w:type="dxa"/>
            <w:vAlign w:val="bottom"/>
            <w:shd w:val="clear" w:color="auto" w:fill="CCEEFF"/>
          </w:tcPr>
          <w:p>
            <w:pPr>
              <w:spacing w:after="0"/>
              <w:rPr>
                <w:sz w:val="16"/>
                <w:szCs w:val="16"/>
                <w:color w:val="auto"/>
              </w:rPr>
            </w:pPr>
          </w:p>
        </w:tc>
        <w:tc>
          <w:tcPr>
            <w:tcW w:w="478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R&amp;D expenses as a % of revenue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3.9%</w:t>
            </w:r>
          </w:p>
        </w:tc>
      </w:tr>
      <w:tr>
        <w:trPr>
          <w:trHeight w:val="189"/>
        </w:trPr>
        <w:tc>
          <w:tcPr>
            <w:tcW w:w="380" w:type="dxa"/>
            <w:vAlign w:val="bottom"/>
          </w:tcPr>
          <w:p>
            <w:pPr>
              <w:spacing w:after="0"/>
              <w:rPr>
                <w:sz w:val="16"/>
                <w:szCs w:val="16"/>
                <w:color w:val="auto"/>
              </w:rPr>
            </w:pPr>
          </w:p>
        </w:tc>
        <w:tc>
          <w:tcPr>
            <w:tcW w:w="4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Net Cash provided by Operating Activities</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$2,650 - $2,800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380" w:type="dxa"/>
            <w:vAlign w:val="bottom"/>
            <w:shd w:val="clear" w:color="auto" w:fill="CCEEFF"/>
          </w:tcPr>
          <w:p>
            <w:pPr>
              <w:spacing w:after="0"/>
              <w:rPr>
                <w:sz w:val="16"/>
                <w:szCs w:val="16"/>
                <w:color w:val="auto"/>
              </w:rPr>
            </w:pPr>
          </w:p>
        </w:tc>
        <w:tc>
          <w:tcPr>
            <w:tcW w:w="478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Capital Expenditures</w:t>
            </w:r>
          </w:p>
        </w:tc>
        <w:tc>
          <w:tcPr>
            <w:tcW w:w="1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$500 - $650</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380" w:type="dxa"/>
            <w:vAlign w:val="bottom"/>
          </w:tcPr>
          <w:p>
            <w:pPr>
              <w:spacing w:after="0"/>
              <w:rPr>
                <w:sz w:val="16"/>
                <w:szCs w:val="16"/>
                <w:color w:val="auto"/>
              </w:rPr>
            </w:pPr>
          </w:p>
        </w:tc>
        <w:tc>
          <w:tcPr>
            <w:tcW w:w="47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7"/>
              </w:rPr>
              <w:t>Effective Tax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16.0%</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19.0%</w:t>
            </w:r>
          </w:p>
        </w:tc>
      </w:tr>
      <w:tr>
        <w:trPr>
          <w:trHeight w:val="189"/>
        </w:trPr>
        <w:tc>
          <w:tcPr>
            <w:tcW w:w="380" w:type="dxa"/>
            <w:vAlign w:val="bottom"/>
            <w:shd w:val="clear" w:color="auto" w:fill="CCEEFF"/>
          </w:tcPr>
          <w:p>
            <w:pPr>
              <w:spacing w:after="0"/>
              <w:rPr>
                <w:sz w:val="16"/>
                <w:szCs w:val="16"/>
                <w:color w:val="auto"/>
              </w:rPr>
            </w:pPr>
          </w:p>
        </w:tc>
        <w:tc>
          <w:tcPr>
            <w:tcW w:w="478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Shares Outstanding</w:t>
            </w:r>
          </w:p>
        </w:tc>
        <w:tc>
          <w:tcPr>
            <w:tcW w:w="12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1,209 – 1,213</w:t>
            </w:r>
          </w:p>
        </w:tc>
        <w:tc>
          <w:tcPr>
            <w:tcW w:w="3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2021 Non-GAAP Financial Metrics</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Non-GAAP financial metric Adjusted Gross Margin as a percentage of Revenues excludes the impact of Depreciation and Amortization, the Amortization of the Inventory Fair Value Adjustment from the Combination and certain Restructuring and Acquisition Related Costs when compared to the GAAP Gross Margin as a percentage of Revenues.</w:t>
      </w:r>
    </w:p>
    <w:p>
      <w:pPr>
        <w:spacing w:after="0" w:line="157"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The Non-GAAP financial metric Adjusted R&amp;D as a percentage of Revenues excludes the impact of certain Restructuring and Acquisition Related Costs and other items when compared to the GAAP R&amp;D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23570" cy="60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580"/>
          </w:cols>
          <w:pgMar w:left="1120" w:top="937" w:right="1199" w:bottom="1440" w:gutter="0" w:footer="0" w:header="0"/>
        </w:sectPr>
      </w:pPr>
    </w:p>
    <w:bookmarkStart w:id="38" w:name="page39"/>
    <w:bookmarkEnd w:id="38"/>
    <w:p>
      <w:pPr>
        <w:ind w:right="24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The Non-GAAP financial metric Adjusted SG&amp;A as a percentage of Revenues excludes the impact of certain Restructuring and Acquisition Related Costs and other items when compared to the GAAP SG&amp;A as a percentage of Revenues.</w:t>
      </w:r>
    </w:p>
    <w:p>
      <w:pPr>
        <w:spacing w:after="0" w:line="145"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6"/>
          <w:szCs w:val="16"/>
          <w:color w:val="auto"/>
        </w:rPr>
        <w:t>The Non-GAAP financial metric Adjusted Effective Tax Rate percentage the impact of non-GAAP adjustments and other tax related items when compared to the GAAP Effective Tax Rate percentage.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Viatris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Viatris Inc. (NASDAQ: VTRS) is a new kind of healthcare company, empowering people worldwide to live healthier at every stage of life.</w:t>
      </w:r>
    </w:p>
    <w:p>
      <w:pPr>
        <w:spacing w:after="0" w:line="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We provide access to medicines, advance sustainable operations, develop innovative solutions and leverage our collective expertise to connect more people to more products and services through our one-of-a-kind Global Healthcare Gateway</w:t>
      </w:r>
      <w:r>
        <w:rPr>
          <w:rFonts w:ascii="Times New Roman" w:cs="Times New Roman" w:eastAsia="Times New Roman" w:hAnsi="Times New Roman"/>
          <w:sz w:val="12"/>
          <w:szCs w:val="12"/>
          <w:color w:val="auto"/>
        </w:rPr>
        <w:t>®</w:t>
      </w:r>
      <w:r>
        <w:rPr>
          <w:rFonts w:ascii="Times New Roman" w:cs="Times New Roman" w:eastAsia="Times New Roman" w:hAnsi="Times New Roman"/>
          <w:sz w:val="15"/>
          <w:szCs w:val="15"/>
          <w:color w:val="auto"/>
        </w:rPr>
        <w:t xml:space="preserve">. Formed in November 2020 through the combination of Mylan and Pfizer’s Upjohn business,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growing portfolio of biosimilars and a variety of over-the-counter consumer products. With a global workforce of approximately 45,000, Viatris is headquartered in the U.S., with global centers in Pittsburgh, Shanghai and Hyderabad, India. Learn more at viatris.com and investor.viatris.com, and connect with us on Twitter at </w:t>
      </w:r>
      <w:r>
        <w:rPr>
          <w:rFonts w:ascii="Times New Roman" w:cs="Times New Roman" w:eastAsia="Times New Roman" w:hAnsi="Times New Roman"/>
          <w:sz w:val="15"/>
          <w:szCs w:val="15"/>
          <w:u w:val="single" w:color="auto"/>
          <w:color w:val="auto"/>
        </w:rPr>
        <w:t>@ViatrisInc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LinkedIn</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YouTube</w:t>
      </w:r>
      <w:r>
        <w:rPr>
          <w:rFonts w:ascii="Times New Roman" w:cs="Times New Roman" w:eastAsia="Times New Roman" w:hAnsi="Times New Roman"/>
          <w:sz w:val="15"/>
          <w:szCs w:val="15"/>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i w:val="1"/>
          <w:iCs w:val="1"/>
          <w:color w:val="auto"/>
        </w:rPr>
        <w:t>This release contains “forward-looking statements.” These statements are made pursuant to the safe harbor provisions of the Private Securities Litigation Reform Act of 1995. Such forward-looking statements may include, without limitation, statements with respect to 2021 financial guidance, rapid de-leveraging, debt repayments, long-term leverage ratio target and ranges, enhancement and growth of free cash flows, initiating a dividend and the expected dividend amounts, delivering total shareholder return (TSR), maintaining a strong balance sheet, rebalancing the business, 2021 being a trough year in terms of revenue, adjusted EBITDA and free cash flow, tailwinds and headwinds, our Global Healthcare Gateway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5"/>
          <w:szCs w:val="15"/>
          <w:i w:val="1"/>
          <w:iCs w:val="1"/>
          <w:color w:val="auto"/>
        </w:rPr>
        <w:t xml:space="preserve"> fueling our future growth, executing on our mission to empower people worldwide to live healthier at every stage of life, meeting our commitment to provide a longer-term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23570" cy="60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620"/>
          </w:cols>
          <w:pgMar w:left="1120" w:top="939" w:right="1159" w:bottom="1440" w:gutter="0" w:footer="0" w:header="0"/>
        </w:sectPr>
      </w:pPr>
    </w:p>
    <w:bookmarkStart w:id="39" w:name="page40"/>
    <w:bookmarkEnd w:id="39"/>
    <w:p>
      <w:pPr>
        <w:spacing w:after="0" w:line="265" w:lineRule="auto"/>
        <w:rPr>
          <w:sz w:val="20"/>
          <w:szCs w:val="20"/>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financial outlook in the coming months, positioning our business to succeed and compete in the current environment, maintaining investment grade credit rating, not instituting any share repurchase programs until the leverage ratio is at less than 2.5x, financial flexibility, delivering value to shareholders being paramount to our priorities and operational thesis, the benefits and synergies of the Combination or our global restructuring program, future opportunities for the Company and its products and any other statements regarding the Company’s future operations, financial or operating results, capital allocation, anticipated business levels,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integration of Mylan and the Upjohn Business or the implementation of the Company’s global restructuring program being more difficult, time consuming or costly than expected; the possibility that the Company may be unable to achieve expected benefits, synergies and operating efficiencies in connection with the Combination or its global restructuring program within the expected timeframe or at all or to successfully integrate Mylan and the Upjohn Business or implement its global restructuring program; operational or financial difficulties or losses associated with the Company’s reliance on agreements with Pfizer in connection with the Combination, including with respect to transition services; the possibility that the Company may be unable to achieve all intended benefits of its strategic initiatives;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623570" cy="60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640"/>
          </w:cols>
          <w:pgMar w:left="1120" w:top="937" w:right="1139" w:bottom="1440" w:gutter="0" w:footer="0" w:header="0"/>
        </w:sectPr>
      </w:pPr>
    </w:p>
    <w:bookmarkStart w:id="40" w:name="page41"/>
    <w:bookmarkEnd w:id="40"/>
    <w:p>
      <w:pPr>
        <w:spacing w:after="0" w:line="249"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U.S. GAAP and related standards or on an adjusted basis. For more detailed information on the risks and uncertainties associated with Viatris, see the risks described in the final information statement, dated August 6, 2020, which is attached as Exhibit 99.1 to Upjohn’s Current Report on Form 8-K filed on August 6, 2020. You can access this and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Viatris undertakes no obligation to update any statements herein for revisions or changes after the date of this release other than as required by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+1.724.514.1968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Communications@viatris.com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Jennifer Mauer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Global Communications and Corporate Brand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Jennifer.Mauer@viatris.com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+1.724.514.1813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InvestorRelations@viatris.com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 Szablewski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Capital Markets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William.Szablewski@viatris.com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23570" cy="60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p>
      <w:pPr>
        <w:sectPr>
          <w:pgSz w:w="11900" w:h="16838" w:orient="portrait"/>
          <w:cols w:equalWidth="0" w:num="1">
            <w:col w:w="9580"/>
          </w:cols>
          <w:pgMar w:left="1120" w:top="937"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222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329055" cy="353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29055" cy="353060"/>
                    </a:xfrm>
                    <a:prstGeom prst="rect">
                      <a:avLst/>
                    </a:prstGeom>
                    <a:noFill/>
                  </pic:spPr>
                </pic:pic>
              </a:graphicData>
            </a:graphic>
          </wp:anchor>
        </w:drawing>
        <w:t>Melissa Trombetta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Melissa.Trombetta@viatris.com</w:t>
      </w:r>
    </w:p>
    <w:p>
      <w:pPr>
        <w:spacing w:after="0" w:line="1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23570" cy="603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3570" cy="60325"/>
                    </a:xfrm>
                    <a:prstGeom prst="rect">
                      <a:avLst/>
                    </a:prstGeom>
                    <a:noFill/>
                  </pic:spPr>
                </pic:pic>
              </a:graphicData>
            </a:graphic>
          </wp:anchor>
        </w:drawing>
      </w:r>
    </w:p>
    <w:sectPr>
      <w:pgSz w:w="11900" w:h="16838" w:orient="portrait"/>
      <w:cols w:equalWidth="0" w:num="1">
        <w:col w:w="9339"/>
      </w:cols>
      <w:pgMar w:left="1120" w:top="9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2021-02-22T06:13:25Z</dcterms:created>
  <dcterms:modified xsi:type="dcterms:W3CDTF">2021-02-22T06:13:25Z</dcterms:modified>
</cp:coreProperties>
</file>