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20"/>
        <w:spacing w:after="0"/>
        <w:rPr>
          <w:sz w:val="20"/>
          <w:szCs w:val="20"/>
          <w:color w:val="auto"/>
        </w:rPr>
      </w:pPr>
      <w:r>
        <w:rPr>
          <w:rFonts w:ascii="Arial" w:cs="Arial" w:eastAsia="Arial" w:hAnsi="Arial"/>
          <w:sz w:val="67"/>
          <w:szCs w:val="67"/>
          <w:color w:val="46007B"/>
        </w:rPr>
        <w:t>Everywhere</w:t>
      </w:r>
    </w:p>
    <w:p>
      <w:pPr>
        <w:ind w:left="20"/>
        <w:spacing w:after="0"/>
        <w:rPr>
          <w:sz w:val="20"/>
          <w:szCs w:val="20"/>
          <w:color w:val="auto"/>
        </w:rPr>
      </w:pPr>
      <w:r>
        <w:rPr>
          <w:rFonts w:ascii="Arial" w:cs="Arial" w:eastAsia="Arial" w:hAnsi="Arial"/>
          <w:sz w:val="67"/>
          <w:szCs w:val="67"/>
          <w:u w:val="single" w:color="auto"/>
          <w:color w:val="46007B"/>
        </w:rPr>
        <w:t>health matters</w:t>
      </w:r>
    </w:p>
    <w:p>
      <w:pPr>
        <w:spacing w:after="0" w:line="354" w:lineRule="exact"/>
        <w:rPr>
          <w:sz w:val="24"/>
          <w:szCs w:val="24"/>
          <w:color w:val="auto"/>
        </w:rPr>
      </w:pPr>
    </w:p>
    <w:p>
      <w:pPr>
        <w:spacing w:after="0"/>
        <w:rPr>
          <w:sz w:val="20"/>
          <w:szCs w:val="20"/>
          <w:color w:val="auto"/>
        </w:rPr>
      </w:pPr>
      <w:r>
        <w:rPr>
          <w:rFonts w:ascii="Arial" w:cs="Arial" w:eastAsia="Arial" w:hAnsi="Arial"/>
          <w:sz w:val="44"/>
          <w:szCs w:val="44"/>
          <w:b w:val="1"/>
          <w:bCs w:val="1"/>
          <w:color w:val="46007B"/>
        </w:rPr>
        <w:t>2022 Annual Report</w:t>
      </w:r>
    </w:p>
    <w:p>
      <w:pPr>
        <w:sectPr>
          <w:pgSz w:w="11880" w:h="15480" w:orient="portrait"/>
          <w:cols w:equalWidth="0" w:num="1">
            <w:col w:w="9720"/>
          </w:cols>
          <w:pgMar w:left="720" w:top="1440" w:right="1440" w:bottom="1440" w:gutter="0" w:footer="0" w:header="0"/>
        </w:sectPr>
      </w:pPr>
    </w:p>
    <w:bookmarkStart w:id="1" w:name="page2"/>
    <w:bookmarkEnd w:id="1"/>
    <w:p>
      <w:pPr>
        <w:ind w:left="80" w:right="460"/>
        <w:spacing w:after="0" w:line="318" w:lineRule="auto"/>
        <w:rPr>
          <w:sz w:val="20"/>
          <w:szCs w:val="20"/>
          <w:color w:val="auto"/>
        </w:rPr>
      </w:pPr>
      <w:r>
        <w:rPr>
          <w:rFonts w:ascii="Arial" w:cs="Arial" w:eastAsia="Arial" w:hAnsi="Arial"/>
          <w:sz w:val="18"/>
          <w:szCs w:val="18"/>
          <w:b w:val="1"/>
          <w:bCs w:val="1"/>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24003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2400300"/>
                        </a:xfrm>
                        <a:prstGeom prst="rect">
                          <a:avLst/>
                        </a:prstGeom>
                        <a:solidFill>
                          <a:srgbClr val="46007B"/>
                        </a:solidFill>
                      </wps:spPr>
                      <wps:bodyPr/>
                    </wps:wsp>
                  </a:graphicData>
                </a:graphic>
              </wp:anchor>
            </w:drawing>
          </mc:Choice>
          <mc:Fallback>
            <w:pict>
              <v:rect id="Shape 2" o:spid="_x0000_s1027" style="position:absolute;margin-left:0pt;margin-top:0pt;width:594pt;height:189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6007B" stroked="f">
                <w10:wrap anchorx="page" anchory="page"/>
              </v:rect>
            </w:pict>
          </mc:Fallback>
        </mc:AlternateContent>
        <w:t xml:space="preserve">Pictured on the cover: </w:t>
      </w:r>
      <w:r>
        <w:rPr>
          <w:rFonts w:ascii="Arial" w:cs="Arial" w:eastAsia="Arial" w:hAnsi="Arial"/>
          <w:sz w:val="18"/>
          <w:szCs w:val="18"/>
          <w:color w:val="FFFFFF"/>
        </w:rPr>
        <w:t>Duane Ruggier, multiple sclerosis (MS) patient and advocate. In his first year</w:t>
      </w:r>
      <w:r>
        <w:rPr>
          <w:rFonts w:ascii="Arial" w:cs="Arial" w:eastAsia="Arial" w:hAnsi="Arial"/>
          <w:sz w:val="18"/>
          <w:szCs w:val="18"/>
          <w:b w:val="1"/>
          <w:bCs w:val="1"/>
          <w:color w:val="FFFFFF"/>
        </w:rPr>
        <w:t xml:space="preserve"> </w:t>
      </w:r>
      <w:r>
        <w:rPr>
          <w:rFonts w:ascii="Arial" w:cs="Arial" w:eastAsia="Arial" w:hAnsi="Arial"/>
          <w:sz w:val="18"/>
          <w:szCs w:val="18"/>
          <w:color w:val="FFFFFF"/>
        </w:rPr>
        <w:t>of law school, Duane Ruggier was diagnosed with MS. Because he had always been healthy and active, the news came as a surprise: he was 27 years old, newly married and a new father.</w:t>
      </w:r>
    </w:p>
    <w:p>
      <w:pPr>
        <w:spacing w:after="0" w:line="47" w:lineRule="exact"/>
        <w:rPr>
          <w:sz w:val="20"/>
          <w:szCs w:val="20"/>
          <w:color w:val="auto"/>
        </w:rPr>
      </w:pPr>
    </w:p>
    <w:p>
      <w:pPr>
        <w:ind w:left="80" w:right="660"/>
        <w:spacing w:after="0" w:line="312" w:lineRule="auto"/>
        <w:rPr>
          <w:sz w:val="20"/>
          <w:szCs w:val="20"/>
          <w:color w:val="auto"/>
        </w:rPr>
      </w:pPr>
      <w:r>
        <w:rPr>
          <w:rFonts w:ascii="Arial" w:cs="Arial" w:eastAsia="Arial" w:hAnsi="Arial"/>
          <w:sz w:val="18"/>
          <w:szCs w:val="18"/>
          <w:color w:val="FFFFFF"/>
        </w:rPr>
        <w:t>Today, in his 50s, Duane’s three children are grown, he has remarried (his wife Jennifer is also pictured), and he is a partner in the firm where he once worked as a law clerk. In addition to his robust career, his accomplishments are wide, something he attributes to the support of his family and friends, improvements to medications, and a determination to push forward.</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Duane strives to serve as an example not only for other people living with MS, but also his children.</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He continues to maintain an active and productive lifestyle.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412750</wp:posOffset>
            </wp:positionV>
            <wp:extent cx="7543800" cy="7429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7543800" cy="742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right="4020"/>
        <w:spacing w:after="0" w:line="327" w:lineRule="auto"/>
        <w:rPr>
          <w:sz w:val="20"/>
          <w:szCs w:val="20"/>
          <w:color w:val="auto"/>
        </w:rPr>
      </w:pPr>
      <w:r>
        <w:rPr>
          <w:rFonts w:ascii="Arial" w:cs="Arial" w:eastAsia="Arial" w:hAnsi="Arial"/>
          <w:sz w:val="28"/>
          <w:szCs w:val="28"/>
          <w:b w:val="1"/>
          <w:bCs w:val="1"/>
          <w:color w:val="00004D"/>
        </w:rPr>
        <w:t xml:space="preserve">At Viatris, access is fundamental to our mission of empowering people worldwide to live healthier at every stage of life. </w:t>
      </w:r>
      <w:r>
        <w:rPr>
          <w:rFonts w:ascii="Arial" w:cs="Arial" w:eastAsia="Arial" w:hAnsi="Arial"/>
          <w:sz w:val="28"/>
          <w:szCs w:val="28"/>
          <w:color w:val="000000"/>
        </w:rPr>
        <w:t>It begins with our ability</w:t>
      </w:r>
      <w:r>
        <w:rPr>
          <w:rFonts w:ascii="Arial" w:cs="Arial" w:eastAsia="Arial" w:hAnsi="Arial"/>
          <w:sz w:val="28"/>
          <w:szCs w:val="28"/>
          <w:b w:val="1"/>
          <w:bCs w:val="1"/>
          <w:color w:val="00004D"/>
        </w:rPr>
        <w:t xml:space="preserve"> </w:t>
      </w:r>
      <w:r>
        <w:rPr>
          <w:rFonts w:ascii="Arial" w:cs="Arial" w:eastAsia="Arial" w:hAnsi="Arial"/>
          <w:sz w:val="28"/>
          <w:szCs w:val="28"/>
          <w:color w:val="000000"/>
        </w:rPr>
        <w:t>to sustainably deliver high-quality medicines to people, regardless of geography or circumstance. We are a company uniquely positioned to bridge the traditional divide between generics and brands, combining</w:t>
      </w:r>
    </w:p>
    <w:p>
      <w:pPr>
        <w:spacing w:after="0" w:line="12" w:lineRule="exact"/>
        <w:rPr>
          <w:sz w:val="20"/>
          <w:szCs w:val="20"/>
          <w:color w:val="auto"/>
        </w:rPr>
      </w:pPr>
    </w:p>
    <w:p>
      <w:pPr>
        <w:ind w:left="100" w:right="4180"/>
        <w:spacing w:after="0" w:line="345" w:lineRule="auto"/>
        <w:rPr>
          <w:sz w:val="20"/>
          <w:szCs w:val="20"/>
          <w:color w:val="auto"/>
        </w:rPr>
      </w:pPr>
      <w:r>
        <w:rPr>
          <w:rFonts w:ascii="Arial" w:cs="Arial" w:eastAsia="Arial" w:hAnsi="Arial"/>
          <w:sz w:val="28"/>
          <w:szCs w:val="28"/>
          <w:color w:val="auto"/>
        </w:rPr>
        <w:t>the best of both to more holistically address healthcare needs globally. Because health matters everywhere.</w:t>
      </w:r>
    </w:p>
    <w:p>
      <w:pPr>
        <w:sectPr>
          <w:pgSz w:w="11880" w:h="15480" w:orient="portrait"/>
          <w:cols w:equalWidth="0" w:num="1">
            <w:col w:w="9000"/>
          </w:cols>
          <w:pgMar w:left="1440" w:top="663" w:right="1440" w:bottom="1440" w:gutter="0" w:footer="0" w:header="0"/>
        </w:sectPr>
      </w:pPr>
    </w:p>
    <w:bookmarkStart w:id="2" w:name="page3"/>
    <w:bookmarkEnd w:id="2"/>
    <w:p>
      <w:pPr>
        <w:ind w:left="68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966470</wp:posOffset>
            </wp:positionH>
            <wp:positionV relativeFrom="page">
              <wp:posOffset>246380</wp:posOffset>
            </wp:positionV>
            <wp:extent cx="1214755" cy="320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214755" cy="320040"/>
                    </a:xfrm>
                    <a:prstGeom prst="rect">
                      <a:avLst/>
                    </a:prstGeom>
                    <a:noFill/>
                  </pic:spPr>
                </pic:pic>
              </a:graphicData>
            </a:graphic>
          </wp:anchor>
        </w:drawing>
        <w:t>2022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wp:posOffset>
                </wp:positionH>
                <wp:positionV relativeFrom="paragraph">
                  <wp:posOffset>161290</wp:posOffset>
                </wp:positionV>
                <wp:extent cx="56057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5780"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2.7pt" to="445.5pt,12.7pt" o:allowincell="f" strokecolor="#46007B" strokeweight="1pt"/>
            </w:pict>
          </mc:Fallback>
        </mc:AlternateContent>
      </w:r>
    </w:p>
    <w:p>
      <w:pPr>
        <w:spacing w:after="0" w:line="200" w:lineRule="exact"/>
        <w:rPr>
          <w:sz w:val="20"/>
          <w:szCs w:val="20"/>
          <w:color w:val="auto"/>
        </w:rPr>
      </w:pPr>
    </w:p>
    <w:p>
      <w:pPr>
        <w:spacing w:after="0" w:line="216" w:lineRule="exact"/>
        <w:rPr>
          <w:sz w:val="20"/>
          <w:szCs w:val="20"/>
          <w:color w:val="auto"/>
        </w:rPr>
      </w:pPr>
    </w:p>
    <w:p>
      <w:pPr>
        <w:ind w:left="80" w:right="680"/>
        <w:spacing w:after="0" w:line="285" w:lineRule="auto"/>
        <w:rPr>
          <w:sz w:val="20"/>
          <w:szCs w:val="20"/>
          <w:color w:val="auto"/>
        </w:rPr>
      </w:pPr>
      <w:r>
        <w:rPr>
          <w:rFonts w:ascii="Arial" w:cs="Arial" w:eastAsia="Arial" w:hAnsi="Arial"/>
          <w:sz w:val="40"/>
          <w:szCs w:val="40"/>
          <w:color w:val="46007B"/>
        </w:rPr>
        <w:t>A Joint Message from Our Executive Chairman and Chief Executive Officer</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Dear Fellow Shareholders:</w:t>
      </w:r>
    </w:p>
    <w:p>
      <w:pPr>
        <w:spacing w:after="0" w:line="136" w:lineRule="exact"/>
        <w:rPr>
          <w:sz w:val="20"/>
          <w:szCs w:val="20"/>
          <w:color w:val="auto"/>
        </w:rPr>
      </w:pPr>
    </w:p>
    <w:p>
      <w:pPr>
        <w:ind w:left="100"/>
        <w:spacing w:after="0" w:line="305" w:lineRule="auto"/>
        <w:rPr>
          <w:sz w:val="20"/>
          <w:szCs w:val="20"/>
          <w:color w:val="auto"/>
        </w:rPr>
      </w:pPr>
      <w:r>
        <w:rPr>
          <w:rFonts w:ascii="Arial" w:cs="Arial" w:eastAsia="Arial" w:hAnsi="Arial"/>
          <w:sz w:val="16"/>
          <w:szCs w:val="16"/>
          <w:color w:val="auto"/>
        </w:rPr>
        <w:t>Several years ago, we identified an unmet need in the global healthcare industry and set out to fill it by building a true one-of-a-kind platform uniquely positioned to bridge the traditional divide between brands and generics. We sought to combine the best of both to address global healthcare needs more holistically and bring access to more patients worldwide. It has been a journey unlike any other, and after completing the foundational work necessary to successfully stand up our new Company, we have realized that vision. Today, Viatris is extremely solid, standing tall and squarely on the path to continue making a real difference in healthcare for many years to come. We have never been more confident in our future and our ability to serve the needs of patients worldwide.</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004D"/>
        </w:rPr>
        <w:t>Creating Our Strong Foundation</w:t>
      </w:r>
    </w:p>
    <w:p>
      <w:pPr>
        <w:spacing w:after="0" w:line="134" w:lineRule="exact"/>
        <w:rPr>
          <w:sz w:val="20"/>
          <w:szCs w:val="20"/>
          <w:color w:val="auto"/>
        </w:rPr>
      </w:pPr>
    </w:p>
    <w:p>
      <w:pPr>
        <w:ind w:left="100" w:right="180"/>
        <w:spacing w:after="0" w:line="308" w:lineRule="auto"/>
        <w:rPr>
          <w:sz w:val="20"/>
          <w:szCs w:val="20"/>
          <w:color w:val="auto"/>
        </w:rPr>
      </w:pPr>
      <w:r>
        <w:rPr>
          <w:rFonts w:ascii="Arial" w:cs="Arial" w:eastAsia="Arial" w:hAnsi="Arial"/>
          <w:sz w:val="16"/>
          <w:szCs w:val="16"/>
          <w:color w:val="auto"/>
        </w:rPr>
        <w:t>In achieving this strong foundation, we laid out a clear two-phased strategic plan. Phase 1 of our strategy started in 2020 with the creation of Viatris from the combination of Mylan and the Upjohn business. During this phase, we have been relentless in taking the necessary steps to reshape our Company, build for the future and increase our financial flexibility, which we believe has led us to be considered one of the strongest platforms in the pharmaceutical industry today. This has been predominantly achieved by our focus on:</w:t>
      </w:r>
    </w:p>
    <w:p>
      <w:pPr>
        <w:spacing w:after="0" w:line="59" w:lineRule="exact"/>
        <w:rPr>
          <w:sz w:val="20"/>
          <w:szCs w:val="20"/>
          <w:color w:val="auto"/>
        </w:rPr>
      </w:pPr>
    </w:p>
    <w:p>
      <w:pPr>
        <w:ind w:left="460" w:right="140" w:hanging="190"/>
        <w:spacing w:after="0" w:line="33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De-leveraging our balance sheet, paying down approximately $6.1 billion in debt through the end of Q2 2023 and maintaining our investment grade credit rating.</w:t>
      </w:r>
    </w:p>
    <w:p>
      <w:pPr>
        <w:spacing w:after="0" w:line="39" w:lineRule="exact"/>
        <w:rPr>
          <w:rFonts w:ascii="Arial" w:cs="Arial" w:eastAsia="Arial" w:hAnsi="Arial"/>
          <w:sz w:val="16"/>
          <w:szCs w:val="16"/>
          <w:color w:val="auto"/>
        </w:rPr>
      </w:pPr>
    </w:p>
    <w:p>
      <w:pPr>
        <w:ind w:left="460" w:right="300" w:hanging="190"/>
        <w:spacing w:after="0" w:line="33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Returning capital to shareholders in the form of dividends and share buybacks in the amount of approximately $1.5 billion through the end of Q2 2023.</w:t>
      </w:r>
    </w:p>
    <w:p>
      <w:pPr>
        <w:spacing w:after="0" w:line="39" w:lineRule="exact"/>
        <w:rPr>
          <w:rFonts w:ascii="Arial" w:cs="Arial" w:eastAsia="Arial" w:hAnsi="Arial"/>
          <w:sz w:val="16"/>
          <w:szCs w:val="16"/>
          <w:color w:val="auto"/>
        </w:rPr>
      </w:pPr>
    </w:p>
    <w:p>
      <w:pPr>
        <w:ind w:left="460" w:right="180" w:hanging="190"/>
        <w:spacing w:after="0" w:line="33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Seamlessly integrating two diverse legacy organizations and working together to meet or exceed our target of $1 billion of synergies by the end of 2023.</w:t>
      </w:r>
    </w:p>
    <w:p>
      <w:pPr>
        <w:spacing w:after="0" w:line="39" w:lineRule="exact"/>
        <w:rPr>
          <w:rFonts w:ascii="Arial" w:cs="Arial" w:eastAsia="Arial" w:hAnsi="Arial"/>
          <w:sz w:val="16"/>
          <w:szCs w:val="16"/>
          <w:color w:val="auto"/>
        </w:rPr>
      </w:pPr>
    </w:p>
    <w:p>
      <w:pPr>
        <w:ind w:left="460" w:right="200" w:hanging="190"/>
        <w:spacing w:after="0" w:line="33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Simplifying our operations so that we could focus on areas with the greatest potential for growth, patient impact and shareholder value.</w:t>
      </w:r>
    </w:p>
    <w:p>
      <w:pPr>
        <w:spacing w:after="0" w:line="39" w:lineRule="exact"/>
        <w:rPr>
          <w:rFonts w:ascii="Arial" w:cs="Arial" w:eastAsia="Arial" w:hAnsi="Arial"/>
          <w:sz w:val="16"/>
          <w:szCs w:val="16"/>
          <w:color w:val="auto"/>
        </w:rPr>
      </w:pPr>
    </w:p>
    <w:p>
      <w:pPr>
        <w:ind w:left="460" w:right="160" w:hanging="190"/>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And finally, upon the closing of our recently announced transactions to divest substantially all of our Over-the-Counter business, our Women’s Healthcare business primarily related to oral and injectable contraceptives, our Active Pharmaceutical Ingredients business in India and commercialization rights in certain non-core markets that were acquired as part of the Upjohn transaction, coupled with the previous completion of our transaction to contribute our biosimilars portfolio to Biocon Biologics Limited, we will prioritize the use of the net proceeds for debt paydown to reach our deleveraging target of three times gross leverage in the first half of 2024*.</w:t>
      </w:r>
    </w:p>
    <w:p>
      <w:pPr>
        <w:spacing w:after="0" w:line="62" w:lineRule="exact"/>
        <w:rPr>
          <w:rFonts w:ascii="Arial" w:cs="Arial" w:eastAsia="Arial" w:hAnsi="Arial"/>
          <w:sz w:val="16"/>
          <w:szCs w:val="16"/>
          <w:color w:val="auto"/>
        </w:rPr>
      </w:pPr>
    </w:p>
    <w:p>
      <w:pPr>
        <w:ind w:left="460" w:right="600" w:hanging="190"/>
        <w:spacing w:after="0" w:line="34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will bring to conclusion all of our Phase 1 stated commitments. We believe these accomplishments are unparalleled in our sector.</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004D"/>
        </w:rPr>
        <w:t>Achieving Our Bold Vision – The Creation of a Next-Gen Integrated Pharmaceutical Company</w:t>
      </w:r>
    </w:p>
    <w:p>
      <w:pPr>
        <w:spacing w:after="0" w:line="134" w:lineRule="exact"/>
        <w:rPr>
          <w:sz w:val="20"/>
          <w:szCs w:val="20"/>
          <w:color w:val="auto"/>
        </w:rPr>
      </w:pPr>
    </w:p>
    <w:p>
      <w:pPr>
        <w:ind w:left="100" w:right="240"/>
        <w:spacing w:after="0" w:line="316" w:lineRule="auto"/>
        <w:rPr>
          <w:sz w:val="20"/>
          <w:szCs w:val="20"/>
          <w:color w:val="auto"/>
        </w:rPr>
      </w:pPr>
      <w:r>
        <w:rPr>
          <w:rFonts w:ascii="Arial" w:cs="Arial" w:eastAsia="Arial" w:hAnsi="Arial"/>
          <w:sz w:val="16"/>
          <w:szCs w:val="16"/>
          <w:color w:val="auto"/>
        </w:rPr>
        <w:t xml:space="preserve">What Viatris is today is not just a brand company or a generics company or even a specialty company. Rather, we are a new kind of healthcare company – a </w:t>
      </w:r>
      <w:r>
        <w:rPr>
          <w:rFonts w:ascii="Arial" w:cs="Arial" w:eastAsia="Arial" w:hAnsi="Arial"/>
          <w:sz w:val="16"/>
          <w:szCs w:val="16"/>
          <w:b w:val="1"/>
          <w:bCs w:val="1"/>
          <w:color w:val="auto"/>
        </w:rPr>
        <w:t>Next-Gen Integrated Pharmaceutical Company</w:t>
      </w:r>
      <w:r>
        <w:rPr>
          <w:rFonts w:ascii="Arial" w:cs="Arial" w:eastAsia="Arial" w:hAnsi="Arial"/>
          <w:sz w:val="16"/>
          <w:szCs w:val="16"/>
          <w:color w:val="auto"/>
        </w:rPr>
        <w:t xml:space="preserve"> with a relentless focus on delivering access at scale that has been built for the future of healthcare.</w:t>
      </w:r>
    </w:p>
    <w:p>
      <w:pPr>
        <w:spacing w:after="0" w:line="53" w:lineRule="exact"/>
        <w:rPr>
          <w:sz w:val="20"/>
          <w:szCs w:val="20"/>
          <w:color w:val="auto"/>
        </w:rPr>
      </w:pPr>
    </w:p>
    <w:p>
      <w:pPr>
        <w:ind w:left="100" w:right="60"/>
        <w:spacing w:after="0" w:line="304" w:lineRule="auto"/>
        <w:rPr>
          <w:sz w:val="20"/>
          <w:szCs w:val="20"/>
          <w:color w:val="auto"/>
        </w:rPr>
      </w:pPr>
      <w:r>
        <w:rPr>
          <w:rFonts w:ascii="Arial" w:cs="Arial" w:eastAsia="Arial" w:hAnsi="Arial"/>
          <w:sz w:val="16"/>
          <w:szCs w:val="16"/>
          <w:color w:val="auto"/>
        </w:rPr>
        <w:t xml:space="preserve">Our strength is in our diversity and in our mission to empower people worldwide to live healthier at every stage of life. It is also in the power of the very definition of our name, Viatris, which in Latin means three paths. From the outset, our company’s three cornerstone pillars have been to provide </w:t>
      </w:r>
      <w:r>
        <w:rPr>
          <w:rFonts w:ascii="Arial" w:cs="Arial" w:eastAsia="Arial" w:hAnsi="Arial"/>
          <w:sz w:val="16"/>
          <w:szCs w:val="16"/>
          <w:b w:val="1"/>
          <w:bCs w:val="1"/>
          <w:color w:val="auto"/>
        </w:rPr>
        <w:t>Access, Leadership</w:t>
      </w:r>
      <w:r>
        <w:rPr>
          <w:rFonts w:ascii="Arial" w:cs="Arial" w:eastAsia="Arial" w:hAnsi="Arial"/>
          <w:sz w:val="16"/>
          <w:szCs w:val="16"/>
          <w:color w:val="auto"/>
        </w:rPr>
        <w:t xml:space="preserve"> and </w:t>
      </w:r>
      <w:r>
        <w:rPr>
          <w:rFonts w:ascii="Arial" w:cs="Arial" w:eastAsia="Arial" w:hAnsi="Arial"/>
          <w:sz w:val="16"/>
          <w:szCs w:val="16"/>
          <w:b w:val="1"/>
          <w:bCs w:val="1"/>
          <w:color w:val="auto"/>
        </w:rPr>
        <w:t>Partnership</w:t>
      </w:r>
      <w:r>
        <w:rPr>
          <w:rFonts w:ascii="Arial" w:cs="Arial" w:eastAsia="Arial" w:hAnsi="Arial"/>
          <w:sz w:val="16"/>
          <w:szCs w:val="16"/>
          <w:color w:val="auto"/>
        </w:rPr>
        <w:t xml:space="preserve">. We were born with a focus on providing </w:t>
      </w:r>
      <w:r>
        <w:rPr>
          <w:rFonts w:ascii="Arial" w:cs="Arial" w:eastAsia="Arial" w:hAnsi="Arial"/>
          <w:sz w:val="16"/>
          <w:szCs w:val="16"/>
          <w:b w:val="1"/>
          <w:bCs w:val="1"/>
          <w:color w:val="auto"/>
        </w:rPr>
        <w:t>Access</w:t>
      </w:r>
      <w:r>
        <w:rPr>
          <w:rFonts w:ascii="Arial" w:cs="Arial" w:eastAsia="Arial" w:hAnsi="Arial"/>
          <w:sz w:val="16"/>
          <w:szCs w:val="16"/>
          <w:color w:val="auto"/>
        </w:rPr>
        <w:t xml:space="preserve"> to high-quality, trusted medicines, regardless of geography or circumstance. Our reputation for industry </w:t>
      </w:r>
      <w:r>
        <w:rPr>
          <w:rFonts w:ascii="Arial" w:cs="Arial" w:eastAsia="Arial" w:hAnsi="Arial"/>
          <w:sz w:val="16"/>
          <w:szCs w:val="16"/>
          <w:b w:val="1"/>
          <w:bCs w:val="1"/>
          <w:color w:val="auto"/>
        </w:rPr>
        <w:t>Leadership</w:t>
      </w:r>
      <w:r>
        <w:rPr>
          <w:rFonts w:ascii="Arial" w:cs="Arial" w:eastAsia="Arial" w:hAnsi="Arial"/>
          <w:sz w:val="16"/>
          <w:szCs w:val="16"/>
          <w:color w:val="auto"/>
        </w:rPr>
        <w:t xml:space="preserve"> and quality has been longstanding and recognized by all of our stakeholders, including governments around the world, when it comes to advancing and improving patient healthcare. Our commitment to </w:t>
      </w:r>
      <w:r>
        <w:rPr>
          <w:rFonts w:ascii="Arial" w:cs="Arial" w:eastAsia="Arial" w:hAnsi="Arial"/>
          <w:sz w:val="16"/>
          <w:szCs w:val="16"/>
          <w:b w:val="1"/>
          <w:bCs w:val="1"/>
          <w:color w:val="auto"/>
        </w:rPr>
        <w:t xml:space="preserve">Partnership </w:t>
      </w:r>
      <w:r>
        <w:rPr>
          <w:rFonts w:ascii="Arial" w:cs="Arial" w:eastAsia="Arial" w:hAnsi="Arial"/>
          <w:sz w:val="16"/>
          <w:szCs w:val="16"/>
          <w:color w:val="auto"/>
        </w:rPr>
        <w:t>runs deep as we have long collaborated with companies and organizations around the globe, leveraging</w:t>
      </w:r>
      <w:r>
        <w:rPr>
          <w:rFonts w:ascii="Arial" w:cs="Arial" w:eastAsia="Arial" w:hAnsi="Arial"/>
          <w:sz w:val="16"/>
          <w:szCs w:val="16"/>
          <w:b w:val="1"/>
          <w:bCs w:val="1"/>
          <w:color w:val="auto"/>
        </w:rPr>
        <w:t xml:space="preserve"> </w:t>
      </w:r>
      <w:r>
        <w:rPr>
          <w:rFonts w:ascii="Arial" w:cs="Arial" w:eastAsia="Arial" w:hAnsi="Arial"/>
          <w:sz w:val="16"/>
          <w:szCs w:val="16"/>
          <w:color w:val="auto"/>
        </w:rPr>
        <w:t>our collective expertise to connect more people to more products and services.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60" w:hanging="110"/>
        <w:spacing w:after="0" w:line="257" w:lineRule="auto"/>
        <w:tabs>
          <w:tab w:leader="none" w:pos="197"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stated forward-looking non-GAAP financial measure of long-term gross leverage target of 3.0x, with a range of 2.8x –3.2x, is based on the ratio of (i) targeted notional gross debt and (ii) targeted Adjusted EBITDA (as reported). However, the Company has not quantified future amounts to develop this target but has stated its goal to manage notional gross debt and adjusted EBITDA (as reported) over time in order to generally maintain or reach the target. This target does not reflect Company guidance. Notional gross debt is the sum of the Company’s long-term debt, including current portion, and short-term borrowings and other current obligations, adjusted for net premiums on various debt issuances, deferred financing fees and fair value adjustment for hedged debt. Please refer to pages 72-76 for more information about non-GAAP financial measures and a reconciliation of adjusted EBITDA (as reported) to the most directly comparable GAAP measure.</w:t>
      </w:r>
    </w:p>
    <w:p>
      <w:pPr>
        <w:sectPr>
          <w:pgSz w:w="11880" w:h="15480" w:orient="portrait"/>
          <w:cols w:equalWidth="0" w:num="1">
            <w:col w:w="9000"/>
          </w:cols>
          <w:pgMar w:left="1440" w:top="577" w:right="1440" w:bottom="0" w:gutter="0" w:footer="0" w:header="0"/>
        </w:sectPr>
      </w:pPr>
    </w:p>
    <w:bookmarkStart w:id="3" w:name="page4"/>
    <w:bookmarkEnd w:id="3"/>
    <w:p>
      <w:pPr>
        <w:ind w:left="68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966470</wp:posOffset>
            </wp:positionH>
            <wp:positionV relativeFrom="page">
              <wp:posOffset>246380</wp:posOffset>
            </wp:positionV>
            <wp:extent cx="1214755" cy="320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214755" cy="320040"/>
                    </a:xfrm>
                    <a:prstGeom prst="rect">
                      <a:avLst/>
                    </a:prstGeom>
                    <a:noFill/>
                  </pic:spPr>
                </pic:pic>
              </a:graphicData>
            </a:graphic>
          </wp:anchor>
        </w:drawing>
        <w:t>2022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161290</wp:posOffset>
                </wp:positionV>
                <wp:extent cx="560641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6415"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7pt" to="445.5pt,12.7pt" o:allowincell="f" strokecolor="#46007B" strokeweight="1pt"/>
            </w:pict>
          </mc:Fallback>
        </mc:AlternateContent>
      </w:r>
    </w:p>
    <w:p>
      <w:pPr>
        <w:spacing w:after="0" w:line="200" w:lineRule="exact"/>
        <w:rPr>
          <w:sz w:val="20"/>
          <w:szCs w:val="20"/>
          <w:color w:val="auto"/>
        </w:rPr>
      </w:pPr>
    </w:p>
    <w:p>
      <w:pPr>
        <w:spacing w:after="0" w:line="304" w:lineRule="exact"/>
        <w:rPr>
          <w:sz w:val="20"/>
          <w:szCs w:val="20"/>
          <w:color w:val="auto"/>
        </w:rPr>
      </w:pPr>
    </w:p>
    <w:p>
      <w:pPr>
        <w:jc w:val="both"/>
        <w:ind w:left="100" w:right="640"/>
        <w:spacing w:after="0" w:line="316" w:lineRule="auto"/>
        <w:rPr>
          <w:sz w:val="20"/>
          <w:szCs w:val="20"/>
          <w:color w:val="auto"/>
        </w:rPr>
      </w:pPr>
      <w:r>
        <w:rPr>
          <w:rFonts w:ascii="Arial" w:cs="Arial" w:eastAsia="Arial" w:hAnsi="Arial"/>
          <w:sz w:val="16"/>
          <w:szCs w:val="16"/>
          <w:color w:val="auto"/>
        </w:rPr>
        <w:t>By continuing to leverage these pillars and our large global network, we intend to bring more medicines to patients worldwide. Our focus will be on delivering and innovating across the full spectrum of healthcare in a way no other company has or can:</w:t>
      </w:r>
    </w:p>
    <w:p>
      <w:pPr>
        <w:spacing w:after="0" w:line="53" w:lineRule="exact"/>
        <w:rPr>
          <w:sz w:val="20"/>
          <w:szCs w:val="20"/>
          <w:color w:val="auto"/>
        </w:rPr>
      </w:pPr>
    </w:p>
    <w:p>
      <w:pPr>
        <w:ind w:left="460" w:right="300" w:hanging="190"/>
        <w:spacing w:after="0" w:line="31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global generics</w:t>
      </w:r>
      <w:r>
        <w:rPr>
          <w:rFonts w:ascii="Arial" w:cs="Arial" w:eastAsia="Arial" w:hAnsi="Arial"/>
          <w:sz w:val="16"/>
          <w:szCs w:val="16"/>
          <w:color w:val="auto"/>
        </w:rPr>
        <w:t xml:space="preserve"> business will continue to provide stable cash flows on which to build upon. We are committed to leveraging our unparalleled capabilities to bring access to a portfolio of high-value generics to the world, while working with agility and flexibility so that we can capitalize when and where necessary.</w:t>
      </w:r>
    </w:p>
    <w:p>
      <w:pPr>
        <w:spacing w:after="0" w:line="53" w:lineRule="exact"/>
        <w:rPr>
          <w:rFonts w:ascii="Arial" w:cs="Arial" w:eastAsia="Arial" w:hAnsi="Arial"/>
          <w:sz w:val="16"/>
          <w:szCs w:val="16"/>
          <w:color w:val="auto"/>
        </w:rPr>
      </w:pPr>
    </w:p>
    <w:p>
      <w:pPr>
        <w:ind w:left="460" w:right="380" w:hanging="190"/>
        <w:spacing w:after="0" w:line="33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We will continue to make significant investments in our pipeline, including </w:t>
      </w:r>
      <w:r>
        <w:rPr>
          <w:rFonts w:ascii="Arial" w:cs="Arial" w:eastAsia="Arial" w:hAnsi="Arial"/>
          <w:sz w:val="16"/>
          <w:szCs w:val="16"/>
          <w:b w:val="1"/>
          <w:bCs w:val="1"/>
          <w:color w:val="auto"/>
        </w:rPr>
        <w:t>complex generics and 505(b)(2)s</w:t>
      </w:r>
      <w:r>
        <w:rPr>
          <w:rFonts w:ascii="Arial" w:cs="Arial" w:eastAsia="Arial" w:hAnsi="Arial"/>
          <w:sz w:val="16"/>
          <w:szCs w:val="16"/>
          <w:color w:val="auto"/>
        </w:rPr>
        <w:t>, that will leverage our scientific expertise to address some of the world’s most enduring health challenges.</w:t>
      </w:r>
    </w:p>
    <w:p>
      <w:pPr>
        <w:spacing w:after="0" w:line="39" w:lineRule="exact"/>
        <w:rPr>
          <w:rFonts w:ascii="Arial" w:cs="Arial" w:eastAsia="Arial" w:hAnsi="Arial"/>
          <w:sz w:val="16"/>
          <w:szCs w:val="16"/>
          <w:color w:val="auto"/>
        </w:rPr>
      </w:pPr>
    </w:p>
    <w:p>
      <w:pPr>
        <w:ind w:left="460" w:hanging="190"/>
        <w:spacing w:after="0" w:line="31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Finally, we will put further emphasis on moving up the value chain as we work to expand our </w:t>
      </w:r>
      <w:r>
        <w:rPr>
          <w:rFonts w:ascii="Arial" w:cs="Arial" w:eastAsia="Arial" w:hAnsi="Arial"/>
          <w:sz w:val="16"/>
          <w:szCs w:val="16"/>
          <w:b w:val="1"/>
          <w:bCs w:val="1"/>
          <w:color w:val="auto"/>
        </w:rPr>
        <w:t>branded and innovative</w:t>
      </w:r>
      <w:r>
        <w:rPr>
          <w:rFonts w:ascii="Arial" w:cs="Arial" w:eastAsia="Arial" w:hAnsi="Arial"/>
          <w:sz w:val="16"/>
          <w:szCs w:val="16"/>
          <w:color w:val="auto"/>
        </w:rPr>
        <w:t xml:space="preserve"> portfolio and pipeline. This includes continuing to emphasize and grow our strategic licensing and partnerships as well as being open to potential mergers and acquisitions that could accelerate our efforts in this space.</w:t>
      </w:r>
    </w:p>
    <w:p>
      <w:pPr>
        <w:spacing w:after="0" w:line="53" w:lineRule="exact"/>
        <w:rPr>
          <w:sz w:val="20"/>
          <w:szCs w:val="20"/>
          <w:color w:val="auto"/>
        </w:rPr>
      </w:pPr>
    </w:p>
    <w:p>
      <w:pPr>
        <w:ind w:left="100" w:right="280"/>
        <w:spacing w:after="0" w:line="346" w:lineRule="auto"/>
        <w:rPr>
          <w:sz w:val="20"/>
          <w:szCs w:val="20"/>
          <w:color w:val="auto"/>
        </w:rPr>
      </w:pPr>
      <w:r>
        <w:rPr>
          <w:rFonts w:ascii="Arial" w:cs="Arial" w:eastAsia="Arial" w:hAnsi="Arial"/>
          <w:sz w:val="16"/>
          <w:szCs w:val="16"/>
          <w:color w:val="auto"/>
        </w:rPr>
        <w:t>Importantly, we expect the power of our integrated business and its distinct complementary components to continue to generate strong cash flows, which has been and will continue to be the North Star for our long-term financial strength.</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004D"/>
        </w:rPr>
        <w:t>Transitioning Our Leadership – A Message from Our Executive Chairman</w:t>
      </w:r>
    </w:p>
    <w:p>
      <w:pPr>
        <w:spacing w:after="0" w:line="134" w:lineRule="exact"/>
        <w:rPr>
          <w:sz w:val="20"/>
          <w:szCs w:val="20"/>
          <w:color w:val="auto"/>
        </w:rPr>
      </w:pPr>
    </w:p>
    <w:p>
      <w:pPr>
        <w:ind w:left="100" w:right="440"/>
        <w:spacing w:after="0" w:line="306" w:lineRule="auto"/>
        <w:rPr>
          <w:sz w:val="20"/>
          <w:szCs w:val="20"/>
          <w:color w:val="auto"/>
        </w:rPr>
      </w:pPr>
      <w:r>
        <w:rPr>
          <w:rFonts w:ascii="Arial" w:cs="Arial" w:eastAsia="Arial" w:hAnsi="Arial"/>
          <w:sz w:val="16"/>
          <w:szCs w:val="16"/>
          <w:color w:val="auto"/>
        </w:rPr>
        <w:t>Speaking as Executive Chairman of Viatris for the final time, I could not be more pleased with the success and stability of Viatris to date, which is due in large part to our thousands of colleagues past and present around the world who have consistently sacrificed and were the backbone to the completion of all the hard work necessary to get us to this point. We are exactly in the strong position that I envisioned for our Company when we began this journey long ago, including the final chapter to undertake a clear and orderly transition for the Company once it was ready and to provide opportunities for its future leaders to enhance the Company’s progress and growth moving forward.</w:t>
      </w:r>
    </w:p>
    <w:p>
      <w:pPr>
        <w:spacing w:after="0" w:line="62" w:lineRule="exact"/>
        <w:rPr>
          <w:sz w:val="20"/>
          <w:szCs w:val="20"/>
          <w:color w:val="auto"/>
        </w:rPr>
      </w:pPr>
    </w:p>
    <w:p>
      <w:pPr>
        <w:ind w:left="100" w:right="600"/>
        <w:spacing w:after="0" w:line="323" w:lineRule="auto"/>
        <w:rPr>
          <w:sz w:val="20"/>
          <w:szCs w:val="20"/>
          <w:color w:val="auto"/>
        </w:rPr>
      </w:pPr>
      <w:r>
        <w:rPr>
          <w:rFonts w:ascii="Arial" w:cs="Arial" w:eastAsia="Arial" w:hAnsi="Arial"/>
          <w:sz w:val="16"/>
          <w:szCs w:val="16"/>
          <w:color w:val="auto"/>
        </w:rPr>
        <w:t>With Viatris’ powerful foundation now securely in place, and with Scott now fully at the helm as our new CEO, I have never been more excited about, or more confident in, the future for our Company, our colleagues and all of our stakeholders, including our shareholders.</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004D"/>
        </w:rPr>
        <w:t>Setting Sail for the Future – A Message from Our CEO</w:t>
      </w:r>
    </w:p>
    <w:p>
      <w:pPr>
        <w:spacing w:after="0" w:line="134" w:lineRule="exact"/>
        <w:rPr>
          <w:sz w:val="20"/>
          <w:szCs w:val="20"/>
          <w:color w:val="auto"/>
        </w:rPr>
      </w:pPr>
    </w:p>
    <w:p>
      <w:pPr>
        <w:ind w:left="100" w:right="360"/>
        <w:spacing w:after="0" w:line="306" w:lineRule="auto"/>
        <w:rPr>
          <w:sz w:val="20"/>
          <w:szCs w:val="20"/>
          <w:color w:val="auto"/>
        </w:rPr>
      </w:pPr>
      <w:r>
        <w:rPr>
          <w:rFonts w:ascii="Arial" w:cs="Arial" w:eastAsia="Arial" w:hAnsi="Arial"/>
          <w:sz w:val="16"/>
          <w:szCs w:val="16"/>
          <w:color w:val="auto"/>
        </w:rPr>
        <w:t>Having the opportunity to take the helm of Viatris from Robert, the original architect behind the creation of this unique and powerful global platform, has been my tremendous honor. Since joining the Board in January and then becoming CEO in April, I have been extremely impressed by the vision and well-crafted strategic plan laid out for our future. And this is notwithstanding management’s ability to deliver 10 consecutive quarters of strong financial results through Q2 2023. I am proud of everything that has been accomplished to date and believe we have solidified our strong and unique place in the global healthcare landscape.</w:t>
      </w:r>
    </w:p>
    <w:p>
      <w:pPr>
        <w:spacing w:after="0" w:line="62" w:lineRule="exact"/>
        <w:rPr>
          <w:sz w:val="20"/>
          <w:szCs w:val="20"/>
          <w:color w:val="auto"/>
        </w:rPr>
      </w:pPr>
    </w:p>
    <w:p>
      <w:pPr>
        <w:ind w:left="100" w:right="500"/>
        <w:spacing w:after="0" w:line="306" w:lineRule="auto"/>
        <w:rPr>
          <w:sz w:val="20"/>
          <w:szCs w:val="20"/>
          <w:color w:val="auto"/>
        </w:rPr>
      </w:pPr>
      <w:r>
        <w:rPr>
          <w:rFonts w:ascii="Arial" w:cs="Arial" w:eastAsia="Arial" w:hAnsi="Arial"/>
          <w:sz w:val="16"/>
          <w:szCs w:val="16"/>
          <w:color w:val="auto"/>
        </w:rPr>
        <w:t>While much has already been accomplished, I am continually looking for ways to do even more to deliver on our mission for our patients, for our customers, for our partners, for the many colleagues and communities we serve and for our shareholders. Many companies have similar aspirations, but few have the key elements to do so: a firm financial footing, a clear vision, a sound strategy, a strong culture, talented colleagues and a shared passion to make a difference. Viatris has all the above. I could not ask for a better foundation, and I very much look forward to leading Viatris as we set sail for what we believe is a truly exciting future ahead.</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thank you for your continued support.</w:t>
      </w:r>
    </w:p>
    <w:p>
      <w:pPr>
        <w:spacing w:after="0" w:line="200" w:lineRule="exact"/>
        <w:rPr>
          <w:sz w:val="20"/>
          <w:szCs w:val="20"/>
          <w:color w:val="auto"/>
        </w:rPr>
      </w:pPr>
    </w:p>
    <w:p>
      <w:pPr>
        <w:spacing w:after="0" w:line="216" w:lineRule="exact"/>
        <w:rPr>
          <w:sz w:val="20"/>
          <w:szCs w:val="20"/>
          <w:color w:val="auto"/>
        </w:rPr>
      </w:pPr>
    </w:p>
    <w:tbl>
      <w:tblPr>
        <w:tblLayout w:type="fixed"/>
        <w:tblInd w:w="90" w:type="dxa"/>
        <w:tblCellMar>
          <w:top w:w="0" w:type="dxa"/>
          <w:left w:w="0" w:type="dxa"/>
          <w:bottom w:w="0" w:type="dxa"/>
          <w:right w:w="0" w:type="dxa"/>
        </w:tblCellMar>
      </w:tblPr>
      <w:tr>
        <w:trPr>
          <w:trHeight w:val="210"/>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Sincerely,</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98"/>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Robert J. Coury</w:t>
            </w:r>
          </w:p>
        </w:tc>
        <w:tc>
          <w:tcPr>
            <w:tcW w:w="1880" w:type="dxa"/>
            <w:vAlign w:val="bottom"/>
            <w:gridSpan w:val="3"/>
          </w:tcPr>
          <w:p>
            <w:pPr>
              <w:ind w:left="220"/>
              <w:spacing w:after="0"/>
              <w:rPr>
                <w:sz w:val="20"/>
                <w:szCs w:val="20"/>
                <w:color w:val="auto"/>
              </w:rPr>
            </w:pPr>
            <w:r>
              <w:rPr>
                <w:rFonts w:ascii="Arial" w:cs="Arial" w:eastAsia="Arial" w:hAnsi="Arial"/>
                <w:sz w:val="16"/>
                <w:szCs w:val="16"/>
                <w:color w:val="auto"/>
              </w:rPr>
              <w:t>Scott A. Smith</w:t>
            </w:r>
          </w:p>
        </w:tc>
      </w:tr>
      <w:tr>
        <w:trPr>
          <w:trHeight w:val="240"/>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Executive Chairman of the Board</w:t>
            </w:r>
          </w:p>
        </w:tc>
        <w:tc>
          <w:tcPr>
            <w:tcW w:w="1880" w:type="dxa"/>
            <w:vAlign w:val="bottom"/>
            <w:gridSpan w:val="3"/>
          </w:tcPr>
          <w:p>
            <w:pPr>
              <w:ind w:left="220"/>
              <w:spacing w:after="0"/>
              <w:rPr>
                <w:sz w:val="20"/>
                <w:szCs w:val="20"/>
                <w:color w:val="auto"/>
              </w:rPr>
            </w:pPr>
            <w:r>
              <w:rPr>
                <w:rFonts w:ascii="Arial" w:cs="Arial" w:eastAsia="Arial" w:hAnsi="Arial"/>
                <w:sz w:val="16"/>
                <w:szCs w:val="16"/>
                <w:color w:val="auto"/>
              </w:rPr>
              <w:t>Chief Executive Officer</w:t>
            </w:r>
          </w:p>
        </w:tc>
      </w:tr>
      <w:tr>
        <w:trPr>
          <w:trHeight w:val="90"/>
        </w:trPr>
        <w:tc>
          <w:tcPr>
            <w:tcW w:w="1260" w:type="dxa"/>
            <w:vAlign w:val="bottom"/>
            <w:tcBorders>
              <w:bottom w:val="single" w:sz="8" w:color="BFBFBF"/>
            </w:tcBorders>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Borders>
              <w:bottom w:val="single" w:sz="8" w:color="BFBFBF"/>
            </w:tcBorders>
          </w:tcPr>
          <w:p>
            <w:pPr>
              <w:spacing w:after="0"/>
              <w:rPr>
                <w:sz w:val="7"/>
                <w:szCs w:val="7"/>
                <w:color w:val="auto"/>
              </w:rPr>
            </w:pPr>
          </w:p>
        </w:tc>
        <w:tc>
          <w:tcPr>
            <w:tcW w:w="420" w:type="dxa"/>
            <w:vAlign w:val="bottom"/>
          </w:tcPr>
          <w:p>
            <w:pPr>
              <w:spacing w:after="0"/>
              <w:rPr>
                <w:sz w:val="7"/>
                <w:szCs w:val="7"/>
                <w:color w:val="auto"/>
              </w:rPr>
            </w:pPr>
          </w:p>
        </w:tc>
      </w:tr>
      <w:tr>
        <w:trPr>
          <w:trHeight w:val="1711"/>
        </w:trPr>
        <w:tc>
          <w:tcPr>
            <w:tcW w:w="1260" w:type="dxa"/>
            <w:vAlign w:val="bottom"/>
            <w:tcBorders>
              <w:left w:val="single" w:sz="8" w:color="BFBFBF"/>
              <w:bottom w:val="single" w:sz="8" w:color="BFBFBF"/>
              <w:right w:val="single" w:sz="8" w:color="BFBFBF"/>
            </w:tcBorders>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right w:val="single" w:sz="8" w:color="BFBFBF"/>
            </w:tcBorders>
          </w:tcPr>
          <w:p>
            <w:pPr>
              <w:spacing w:after="0"/>
              <w:rPr>
                <w:sz w:val="24"/>
                <w:szCs w:val="24"/>
                <w:color w:val="auto"/>
              </w:rPr>
            </w:pPr>
          </w:p>
        </w:tc>
        <w:tc>
          <w:tcPr>
            <w:tcW w:w="1220" w:type="dxa"/>
            <w:vAlign w:val="bottom"/>
            <w:tcBorders>
              <w:bottom w:val="single" w:sz="8" w:color="BFBFBF"/>
              <w:right w:val="single" w:sz="8" w:color="BFBFBF"/>
            </w:tcBorders>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-1104900</wp:posOffset>
            </wp:positionV>
            <wp:extent cx="781050" cy="1102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781050" cy="110236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-1111250</wp:posOffset>
            </wp:positionV>
            <wp:extent cx="793750" cy="1115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793750" cy="1115060"/>
                    </a:xfrm>
                    <a:prstGeom prst="rect">
                      <a:avLst/>
                    </a:prstGeom>
                    <a:noFill/>
                  </pic:spPr>
                </pic:pic>
              </a:graphicData>
            </a:graphic>
          </wp:anchor>
        </w:drawing>
      </w:r>
    </w:p>
    <w:p>
      <w:pPr>
        <w:sectPr>
          <w:pgSz w:w="11880" w:h="15480" w:orient="portrait"/>
          <w:cols w:equalWidth="0" w:num="1">
            <w:col w:w="9280"/>
          </w:cols>
          <w:pgMar w:left="1440" w:top="577" w:right="1160" w:bottom="677" w:gutter="0" w:footer="0" w:header="0"/>
        </w:sectPr>
      </w:pPr>
    </w:p>
    <w:bookmarkStart w:id="4" w:name="page5"/>
    <w:bookmarkEnd w:id="4"/>
    <w:tbl>
      <w:tblPr>
        <w:tblLayout w:type="fixed"/>
        <w:tblInd w:w="80" w:type="dxa"/>
        <w:tblCellMar>
          <w:top w:w="0" w:type="dxa"/>
          <w:left w:w="0" w:type="dxa"/>
          <w:bottom w:w="0" w:type="dxa"/>
          <w:right w:w="0" w:type="dxa"/>
        </w:tblCellMar>
      </w:tblPr>
      <w:tr>
        <w:trPr>
          <w:trHeight w:val="28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2"/>
          </w:tcPr>
          <w:p>
            <w:pPr>
              <w:ind w:left="560"/>
              <w:spacing w:after="0"/>
              <w:rPr>
                <w:sz w:val="20"/>
                <w:szCs w:val="20"/>
                <w:color w:val="auto"/>
              </w:rPr>
            </w:pPr>
            <w:r>
              <w:rPr>
                <w:rFonts w:ascii="Arial" w:cs="Arial" w:eastAsia="Arial" w:hAnsi="Arial"/>
                <w:sz w:val="22"/>
                <w:szCs w:val="22"/>
                <w:color w:val="auto"/>
              </w:rPr>
              <w:t>2022 Annual Report</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46007B"/>
            </w:tcBorders>
            <w:gridSpan w:val="5"/>
          </w:tcPr>
          <w:p>
            <w:pPr>
              <w:spacing w:after="0"/>
              <w:rPr>
                <w:sz w:val="18"/>
                <w:szCs w:val="18"/>
                <w:color w:val="auto"/>
              </w:rPr>
            </w:pPr>
          </w:p>
        </w:tc>
        <w:tc>
          <w:tcPr>
            <w:tcW w:w="1380" w:type="dxa"/>
            <w:vAlign w:val="bottom"/>
            <w:tcBorders>
              <w:bottom w:val="single" w:sz="8" w:color="46007B"/>
            </w:tcBorders>
          </w:tcPr>
          <w:p>
            <w:pPr>
              <w:spacing w:after="0"/>
              <w:rPr>
                <w:sz w:val="18"/>
                <w:szCs w:val="18"/>
                <w:color w:val="auto"/>
              </w:rPr>
            </w:pPr>
          </w:p>
        </w:tc>
        <w:tc>
          <w:tcPr>
            <w:tcW w:w="20" w:type="dxa"/>
            <w:vAlign w:val="bottom"/>
            <w:tcBorders>
              <w:bottom w:val="single" w:sz="8" w:color="46007B"/>
            </w:tcBorders>
          </w:tcPr>
          <w:p>
            <w:pPr>
              <w:spacing w:after="0"/>
              <w:rPr>
                <w:sz w:val="18"/>
                <w:szCs w:val="18"/>
                <w:color w:val="auto"/>
              </w:rPr>
            </w:pPr>
          </w:p>
        </w:tc>
        <w:tc>
          <w:tcPr>
            <w:tcW w:w="2580" w:type="dxa"/>
            <w:vAlign w:val="bottom"/>
            <w:tcBorders>
              <w:bottom w:val="single" w:sz="8" w:color="46007B"/>
            </w:tcBorders>
          </w:tcPr>
          <w:p>
            <w:pPr>
              <w:spacing w:after="0"/>
              <w:rPr>
                <w:sz w:val="18"/>
                <w:szCs w:val="18"/>
                <w:color w:val="auto"/>
              </w:rPr>
            </w:pPr>
          </w:p>
        </w:tc>
        <w:tc>
          <w:tcPr>
            <w:tcW w:w="20" w:type="dxa"/>
            <w:vAlign w:val="bottom"/>
            <w:tcBorders>
              <w:bottom w:val="single" w:sz="8" w:color="46007B"/>
            </w:tcBorders>
          </w:tcPr>
          <w:p>
            <w:pPr>
              <w:spacing w:after="0"/>
              <w:rPr>
                <w:sz w:val="18"/>
                <w:szCs w:val="18"/>
                <w:color w:val="auto"/>
              </w:rPr>
            </w:pPr>
          </w:p>
        </w:tc>
        <w:tc>
          <w:tcPr>
            <w:tcW w:w="0" w:type="dxa"/>
            <w:vAlign w:val="bottom"/>
          </w:tcPr>
          <w:p>
            <w:pPr>
              <w:spacing w:after="0"/>
              <w:rPr>
                <w:sz w:val="1"/>
                <w:szCs w:val="1"/>
                <w:color w:val="auto"/>
              </w:rPr>
            </w:pPr>
          </w:p>
        </w:tc>
      </w:tr>
      <w:tr>
        <w:trPr>
          <w:trHeight w:val="778"/>
        </w:trPr>
        <w:tc>
          <w:tcPr>
            <w:tcW w:w="4840" w:type="dxa"/>
            <w:vAlign w:val="bottom"/>
            <w:gridSpan w:val="5"/>
          </w:tcPr>
          <w:p>
            <w:pPr>
              <w:ind w:left="20"/>
              <w:spacing w:after="0"/>
              <w:rPr>
                <w:sz w:val="20"/>
                <w:szCs w:val="20"/>
                <w:color w:val="auto"/>
              </w:rPr>
            </w:pPr>
            <w:r>
              <w:rPr>
                <w:rFonts w:ascii="Arial" w:cs="Arial" w:eastAsia="Arial" w:hAnsi="Arial"/>
                <w:sz w:val="40"/>
                <w:szCs w:val="40"/>
                <w:color w:val="46007B"/>
              </w:rPr>
              <w:t>2022 Financial Highlights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vMerge w:val="restart"/>
          </w:tcPr>
          <w:p>
            <w:pPr>
              <w:ind w:left="300"/>
              <w:spacing w:after="0"/>
              <w:rPr>
                <w:sz w:val="20"/>
                <w:szCs w:val="20"/>
                <w:color w:val="auto"/>
              </w:rPr>
            </w:pPr>
            <w:r>
              <w:rPr>
                <w:rFonts w:ascii="Arial" w:cs="Arial" w:eastAsia="Arial" w:hAnsi="Arial"/>
                <w:sz w:val="24"/>
                <w:szCs w:val="24"/>
                <w:color w:val="404040"/>
              </w:rPr>
              <w:t>Total Revenues</w:t>
            </w:r>
          </w:p>
        </w:tc>
        <w:tc>
          <w:tcPr>
            <w:tcW w:w="20" w:type="dxa"/>
            <w:vAlign w:val="bottom"/>
          </w:tcPr>
          <w:p>
            <w:pPr>
              <w:spacing w:after="0"/>
              <w:rPr>
                <w:sz w:val="22"/>
                <w:szCs w:val="22"/>
                <w:color w:val="auto"/>
              </w:rPr>
            </w:pPr>
          </w:p>
        </w:tc>
        <w:tc>
          <w:tcPr>
            <w:tcW w:w="3440" w:type="dxa"/>
            <w:vAlign w:val="bottom"/>
            <w:gridSpan w:val="3"/>
            <w:vMerge w:val="restart"/>
          </w:tcPr>
          <w:p>
            <w:pPr>
              <w:jc w:val="center"/>
              <w:spacing w:after="0"/>
              <w:rPr>
                <w:sz w:val="20"/>
                <w:szCs w:val="20"/>
                <w:color w:val="auto"/>
              </w:rPr>
            </w:pPr>
            <w:r>
              <w:rPr>
                <w:rFonts w:ascii="Arial" w:cs="Arial" w:eastAsia="Arial" w:hAnsi="Arial"/>
                <w:sz w:val="24"/>
                <w:szCs w:val="24"/>
                <w:color w:val="404040"/>
                <w:w w:val="97"/>
              </w:rPr>
              <w:t>U.S. GAAP Net Earnings</w:t>
            </w:r>
          </w:p>
        </w:tc>
        <w:tc>
          <w:tcPr>
            <w:tcW w:w="20" w:type="dxa"/>
            <w:vAlign w:val="bottom"/>
          </w:tcPr>
          <w:p>
            <w:pPr>
              <w:spacing w:after="0"/>
              <w:rPr>
                <w:sz w:val="22"/>
                <w:szCs w:val="22"/>
                <w:color w:val="auto"/>
              </w:rPr>
            </w:pPr>
          </w:p>
        </w:tc>
        <w:tc>
          <w:tcPr>
            <w:tcW w:w="2600" w:type="dxa"/>
            <w:vAlign w:val="bottom"/>
            <w:gridSpan w:val="2"/>
            <w:vMerge w:val="restart"/>
          </w:tcPr>
          <w:p>
            <w:pPr>
              <w:ind w:left="480"/>
              <w:spacing w:after="0"/>
              <w:rPr>
                <w:sz w:val="20"/>
                <w:szCs w:val="20"/>
                <w:color w:val="auto"/>
              </w:rPr>
            </w:pPr>
            <w:r>
              <w:rPr>
                <w:rFonts w:ascii="Arial" w:cs="Arial" w:eastAsia="Arial" w:hAnsi="Arial"/>
                <w:sz w:val="24"/>
                <w:szCs w:val="24"/>
                <w:color w:val="404040"/>
              </w:rPr>
              <w:t>Adjusted EBITDA</w:t>
            </w:r>
            <w:r>
              <w:rPr>
                <w:rFonts w:ascii="Arial" w:cs="Arial" w:eastAsia="Arial" w:hAnsi="Arial"/>
                <w:sz w:val="12"/>
                <w:szCs w:val="12"/>
                <w:color w:val="404040"/>
              </w:rPr>
              <w:t>*</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0" w:type="dxa"/>
            <w:vAlign w:val="bottom"/>
            <w:shd w:val="clear" w:color="auto" w:fill="808080"/>
          </w:tcPr>
          <w:p>
            <w:pPr>
              <w:spacing w:after="0"/>
              <w:rPr>
                <w:sz w:val="24"/>
                <w:szCs w:val="24"/>
                <w:color w:val="auto"/>
              </w:rPr>
            </w:pPr>
          </w:p>
        </w:tc>
        <w:tc>
          <w:tcPr>
            <w:tcW w:w="3440" w:type="dxa"/>
            <w:vAlign w:val="bottom"/>
            <w:gridSpan w:val="3"/>
            <w:vMerge w:val="continue"/>
          </w:tcPr>
          <w:p>
            <w:pPr>
              <w:spacing w:after="0"/>
              <w:rPr>
                <w:sz w:val="24"/>
                <w:szCs w:val="24"/>
                <w:color w:val="auto"/>
              </w:rPr>
            </w:pPr>
          </w:p>
        </w:tc>
        <w:tc>
          <w:tcPr>
            <w:tcW w:w="20" w:type="dxa"/>
            <w:vAlign w:val="bottom"/>
            <w:shd w:val="clear" w:color="auto" w:fill="808080"/>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91"/>
        </w:trPr>
        <w:tc>
          <w:tcPr>
            <w:tcW w:w="2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60"/>
                <w:szCs w:val="60"/>
                <w:color w:val="404040"/>
              </w:rPr>
              <w:t>$16.26B</w:t>
            </w:r>
          </w:p>
        </w:tc>
        <w:tc>
          <w:tcPr>
            <w:tcW w:w="20" w:type="dxa"/>
            <w:vAlign w:val="bottom"/>
            <w:shd w:val="clear" w:color="auto" w:fill="808080"/>
          </w:tcPr>
          <w:p>
            <w:pPr>
              <w:spacing w:after="0"/>
              <w:rPr>
                <w:sz w:val="24"/>
                <w:szCs w:val="24"/>
                <w:color w:val="auto"/>
              </w:rPr>
            </w:pPr>
          </w:p>
        </w:tc>
        <w:tc>
          <w:tcPr>
            <w:tcW w:w="3440" w:type="dxa"/>
            <w:vAlign w:val="bottom"/>
            <w:gridSpan w:val="3"/>
          </w:tcPr>
          <w:p>
            <w:pPr>
              <w:jc w:val="center"/>
              <w:spacing w:after="0"/>
              <w:rPr>
                <w:sz w:val="20"/>
                <w:szCs w:val="20"/>
                <w:color w:val="auto"/>
              </w:rPr>
            </w:pPr>
            <w:r>
              <w:rPr>
                <w:rFonts w:ascii="Arial" w:cs="Arial" w:eastAsia="Arial" w:hAnsi="Arial"/>
                <w:sz w:val="60"/>
                <w:szCs w:val="60"/>
                <w:color w:val="404040"/>
                <w:w w:val="96"/>
              </w:rPr>
              <w:t>$2.08B</w:t>
            </w:r>
          </w:p>
        </w:tc>
        <w:tc>
          <w:tcPr>
            <w:tcW w:w="20" w:type="dxa"/>
            <w:vAlign w:val="bottom"/>
            <w:shd w:val="clear" w:color="auto" w:fill="808080"/>
          </w:tcPr>
          <w:p>
            <w:pPr>
              <w:spacing w:after="0"/>
              <w:rPr>
                <w:sz w:val="24"/>
                <w:szCs w:val="24"/>
                <w:color w:val="auto"/>
              </w:rPr>
            </w:pPr>
          </w:p>
        </w:tc>
        <w:tc>
          <w:tcPr>
            <w:tcW w:w="2600" w:type="dxa"/>
            <w:vAlign w:val="bottom"/>
            <w:gridSpan w:val="2"/>
          </w:tcPr>
          <w:p>
            <w:pPr>
              <w:ind w:left="540"/>
              <w:spacing w:after="0"/>
              <w:rPr>
                <w:sz w:val="20"/>
                <w:szCs w:val="20"/>
                <w:color w:val="auto"/>
              </w:rPr>
            </w:pPr>
            <w:r>
              <w:rPr>
                <w:rFonts w:ascii="Arial" w:cs="Arial" w:eastAsia="Arial" w:hAnsi="Arial"/>
                <w:sz w:val="60"/>
                <w:szCs w:val="60"/>
                <w:color w:val="404040"/>
              </w:rPr>
              <w:t>$5.78B</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shd w:val="clear" w:color="auto" w:fill="808080"/>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shd w:val="clear" w:color="auto" w:fill="808080"/>
          </w:tcPr>
          <w:p>
            <w:pPr>
              <w:spacing w:after="0"/>
              <w:rPr>
                <w:sz w:val="16"/>
                <w:szCs w:val="16"/>
                <w:color w:val="auto"/>
              </w:rPr>
            </w:pPr>
          </w:p>
        </w:tc>
        <w:tc>
          <w:tcPr>
            <w:tcW w:w="2600" w:type="dxa"/>
            <w:vAlign w:val="bottom"/>
            <w:tcBorders>
              <w:bottom w:val="single" w:sz="8" w:color="808080"/>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60" w:type="dxa"/>
            <w:vAlign w:val="bottom"/>
            <w:tcBorders>
              <w:right w:val="single" w:sz="8" w:color="808080"/>
            </w:tcBorders>
            <w:gridSpan w:val="3"/>
          </w:tcPr>
          <w:p>
            <w:pPr>
              <w:ind w:left="1940"/>
              <w:spacing w:after="0"/>
              <w:rPr>
                <w:sz w:val="20"/>
                <w:szCs w:val="20"/>
                <w:color w:val="auto"/>
              </w:rPr>
            </w:pPr>
            <w:r>
              <w:rPr>
                <w:rFonts w:ascii="Arial" w:cs="Arial" w:eastAsia="Arial" w:hAnsi="Arial"/>
                <w:sz w:val="24"/>
                <w:szCs w:val="24"/>
                <w:color w:val="404040"/>
              </w:rPr>
              <w:t>Paid Down Debt</w:t>
            </w:r>
          </w:p>
        </w:tc>
        <w:tc>
          <w:tcPr>
            <w:tcW w:w="360" w:type="dxa"/>
            <w:vAlign w:val="bottom"/>
          </w:tcPr>
          <w:p>
            <w:pPr>
              <w:spacing w:after="0"/>
              <w:rPr>
                <w:sz w:val="24"/>
                <w:szCs w:val="24"/>
                <w:color w:val="auto"/>
              </w:rPr>
            </w:pPr>
          </w:p>
        </w:tc>
        <w:tc>
          <w:tcPr>
            <w:tcW w:w="4000" w:type="dxa"/>
            <w:vAlign w:val="bottom"/>
            <w:gridSpan w:val="4"/>
          </w:tcPr>
          <w:p>
            <w:pPr>
              <w:jc w:val="center"/>
              <w:ind w:right="1120"/>
              <w:spacing w:after="0"/>
              <w:rPr>
                <w:sz w:val="20"/>
                <w:szCs w:val="20"/>
                <w:color w:val="auto"/>
              </w:rPr>
            </w:pPr>
            <w:r>
              <w:rPr>
                <w:rFonts w:ascii="Arial" w:cs="Arial" w:eastAsia="Arial" w:hAnsi="Arial"/>
                <w:sz w:val="24"/>
                <w:szCs w:val="24"/>
                <w:color w:val="404040"/>
              </w:rPr>
              <w:t>Returned</w:t>
            </w:r>
          </w:p>
        </w:tc>
        <w:tc>
          <w:tcPr>
            <w:tcW w:w="0" w:type="dxa"/>
            <w:vAlign w:val="bottom"/>
          </w:tcPr>
          <w:p>
            <w:pPr>
              <w:spacing w:after="0"/>
              <w:rPr>
                <w:sz w:val="1"/>
                <w:szCs w:val="1"/>
                <w:color w:val="auto"/>
              </w:rPr>
            </w:pPr>
          </w:p>
        </w:tc>
      </w:tr>
      <w:tr>
        <w:trPr>
          <w:trHeight w:val="732"/>
        </w:trPr>
        <w:tc>
          <w:tcPr>
            <w:tcW w:w="20" w:type="dxa"/>
            <w:vAlign w:val="bottom"/>
          </w:tcPr>
          <w:p>
            <w:pPr>
              <w:spacing w:after="0"/>
              <w:rPr>
                <w:sz w:val="24"/>
                <w:szCs w:val="24"/>
                <w:color w:val="auto"/>
              </w:rPr>
            </w:pPr>
          </w:p>
        </w:tc>
        <w:tc>
          <w:tcPr>
            <w:tcW w:w="4460" w:type="dxa"/>
            <w:vAlign w:val="bottom"/>
            <w:tcBorders>
              <w:right w:val="single" w:sz="8" w:color="808080"/>
            </w:tcBorders>
            <w:gridSpan w:val="3"/>
          </w:tcPr>
          <w:p>
            <w:pPr>
              <w:ind w:left="1900"/>
              <w:spacing w:after="0"/>
              <w:rPr>
                <w:sz w:val="20"/>
                <w:szCs w:val="20"/>
                <w:color w:val="auto"/>
              </w:rPr>
            </w:pPr>
            <w:r>
              <w:rPr>
                <w:rFonts w:ascii="Arial" w:cs="Arial" w:eastAsia="Arial" w:hAnsi="Arial"/>
                <w:sz w:val="60"/>
                <w:szCs w:val="60"/>
                <w:color w:val="404040"/>
              </w:rPr>
              <w:t>$3.28B</w:t>
            </w:r>
          </w:p>
        </w:tc>
        <w:tc>
          <w:tcPr>
            <w:tcW w:w="360" w:type="dxa"/>
            <w:vAlign w:val="bottom"/>
          </w:tcPr>
          <w:p>
            <w:pPr>
              <w:spacing w:after="0"/>
              <w:rPr>
                <w:sz w:val="24"/>
                <w:szCs w:val="24"/>
                <w:color w:val="auto"/>
              </w:rPr>
            </w:pPr>
          </w:p>
        </w:tc>
        <w:tc>
          <w:tcPr>
            <w:tcW w:w="4000" w:type="dxa"/>
            <w:vAlign w:val="bottom"/>
            <w:gridSpan w:val="4"/>
          </w:tcPr>
          <w:p>
            <w:pPr>
              <w:jc w:val="center"/>
              <w:ind w:right="1120"/>
              <w:spacing w:after="0"/>
              <w:rPr>
                <w:sz w:val="20"/>
                <w:szCs w:val="20"/>
                <w:color w:val="auto"/>
              </w:rPr>
            </w:pPr>
            <w:r>
              <w:rPr>
                <w:rFonts w:ascii="Arial" w:cs="Arial" w:eastAsia="Arial" w:hAnsi="Arial"/>
                <w:sz w:val="60"/>
                <w:szCs w:val="60"/>
                <w:color w:val="404040"/>
                <w:w w:val="97"/>
              </w:rPr>
              <w:t>~$580M</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Borders>
              <w:right w:val="single" w:sz="8" w:color="808080"/>
            </w:tcBorders>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gridSpan w:val="4"/>
            <w:vMerge w:val="restart"/>
          </w:tcPr>
          <w:p>
            <w:pPr>
              <w:jc w:val="center"/>
              <w:ind w:right="1080"/>
              <w:spacing w:after="0"/>
              <w:rPr>
                <w:sz w:val="20"/>
                <w:szCs w:val="20"/>
                <w:color w:val="auto"/>
              </w:rPr>
            </w:pPr>
            <w:r>
              <w:rPr>
                <w:rFonts w:ascii="Arial" w:cs="Arial" w:eastAsia="Arial" w:hAnsi="Arial"/>
                <w:sz w:val="24"/>
                <w:szCs w:val="24"/>
                <w:color w:val="404040"/>
              </w:rPr>
              <w:t>in dividends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966470</wp:posOffset>
            </wp:positionH>
            <wp:positionV relativeFrom="page">
              <wp:posOffset>246380</wp:posOffset>
            </wp:positionV>
            <wp:extent cx="1214755" cy="320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1214755" cy="320040"/>
                    </a:xfrm>
                    <a:prstGeom prst="rect">
                      <a:avLst/>
                    </a:prstGeom>
                    <a:noFill/>
                  </pic:spPr>
                </pic:pic>
              </a:graphicData>
            </a:graphic>
          </wp:anchor>
        </w:drawing>
      </w:r>
    </w:p>
    <w:p>
      <w:pPr>
        <w:ind w:left="220" w:right="400" w:hanging="103"/>
        <w:spacing w:after="0" w:line="284"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Non-GAAP Financial Measure. Please refer to pages 72-76 for more information about non-GAAP financial measures and a reconciliation to the most directly comparable GAAP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241300</wp:posOffset>
                </wp:positionV>
                <wp:extent cx="8305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9pt" to="69.45pt,19pt" o:allowincell="f" strokecolor="#46007B" strokeweight="1pt"/>
            </w:pict>
          </mc:Fallback>
        </mc:AlternateContent>
      </w: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40"/>
          <w:szCs w:val="40"/>
          <w:color w:val="46007B"/>
        </w:rPr>
        <w:t>Fast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125095</wp:posOffset>
            </wp:positionV>
            <wp:extent cx="5589905" cy="756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589905" cy="756285"/>
                    </a:xfrm>
                    <a:prstGeom prst="rect">
                      <a:avLst/>
                    </a:prstGeom>
                    <a:noFill/>
                  </pic:spPr>
                </pic:pic>
              </a:graphicData>
            </a:graphic>
          </wp:anchor>
        </w:drawing>
      </w:r>
    </w:p>
    <w:p>
      <w:pPr>
        <w:spacing w:after="0" w:line="397"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We are access at scale, supplying medicines to</w:t>
      </w:r>
    </w:p>
    <w:p>
      <w:pPr>
        <w:ind w:left="2820"/>
        <w:spacing w:after="0"/>
        <w:rPr>
          <w:sz w:val="20"/>
          <w:szCs w:val="20"/>
          <w:color w:val="auto"/>
        </w:rPr>
      </w:pPr>
      <w:r>
        <w:rPr>
          <w:rFonts w:ascii="Arial" w:cs="Arial" w:eastAsia="Arial" w:hAnsi="Arial"/>
          <w:sz w:val="45"/>
          <w:szCs w:val="45"/>
          <w:color w:val="000045"/>
        </w:rPr>
        <w:t>~1B patients globally</w:t>
      </w:r>
      <w:r>
        <w:rPr>
          <w:rFonts w:ascii="Arial" w:cs="Arial" w:eastAsia="Arial" w:hAnsi="Arial"/>
          <w:sz w:val="12"/>
          <w:szCs w:val="12"/>
          <w:color w:val="000045"/>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1744980</wp:posOffset>
                </wp:positionH>
                <wp:positionV relativeFrom="paragraph">
                  <wp:posOffset>299720</wp:posOffset>
                </wp:positionV>
                <wp:extent cx="0" cy="64008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0080"/>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4pt,23.6pt" to="137.4pt,74pt" o:allowincell="f" strokecolor="#808080" strokeweight="0.25pt"/>
            </w:pict>
          </mc:Fallback>
        </mc:AlternateContent>
      </w:r>
    </w:p>
    <w:p>
      <w:pPr>
        <w:sectPr>
          <w:pgSz w:w="11880" w:h="15480" w:orient="portrait"/>
          <w:cols w:equalWidth="0" w:num="1">
            <w:col w:w="9000"/>
          </w:cols>
          <w:pgMar w:left="144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line="359" w:lineRule="auto"/>
        <w:rPr>
          <w:sz w:val="20"/>
          <w:szCs w:val="20"/>
          <w:color w:val="auto"/>
        </w:rPr>
      </w:pPr>
      <w:r>
        <w:rPr>
          <w:rFonts w:ascii="Arial" w:cs="Arial" w:eastAsia="Arial" w:hAnsi="Arial"/>
          <w:sz w:val="15"/>
          <w:szCs w:val="15"/>
          <w:color w:val="auto"/>
        </w:rPr>
        <w:t xml:space="preserve">Headquartered in the U.S. with global centers in </w:t>
      </w:r>
      <w:r>
        <w:rPr>
          <w:rFonts w:ascii="Arial" w:cs="Arial" w:eastAsia="Arial" w:hAnsi="Arial"/>
          <w:sz w:val="15"/>
          <w:szCs w:val="15"/>
          <w:b w:val="1"/>
          <w:bCs w:val="1"/>
          <w:color w:val="00004D"/>
        </w:rPr>
        <w:t>Pittsburgh,</w:t>
      </w:r>
      <w:r>
        <w:rPr>
          <w:rFonts w:ascii="Arial" w:cs="Arial" w:eastAsia="Arial" w:hAnsi="Arial"/>
          <w:sz w:val="15"/>
          <w:szCs w:val="15"/>
          <w:color w:val="auto"/>
        </w:rPr>
        <w:t xml:space="preserve"> </w:t>
      </w:r>
      <w:r>
        <w:rPr>
          <w:rFonts w:ascii="Arial" w:cs="Arial" w:eastAsia="Arial" w:hAnsi="Arial"/>
          <w:sz w:val="15"/>
          <w:szCs w:val="15"/>
          <w:b w:val="1"/>
          <w:bCs w:val="1"/>
          <w:color w:val="00004D"/>
        </w:rPr>
        <w:t xml:space="preserve">Shanghai </w:t>
      </w:r>
      <w:r>
        <w:rPr>
          <w:rFonts w:ascii="Arial" w:cs="Arial" w:eastAsia="Arial" w:hAnsi="Arial"/>
          <w:sz w:val="15"/>
          <w:szCs w:val="15"/>
          <w:color w:val="000000"/>
        </w:rPr>
        <w:t>and</w:t>
      </w:r>
      <w:r>
        <w:rPr>
          <w:rFonts w:ascii="Arial" w:cs="Arial" w:eastAsia="Arial" w:hAnsi="Arial"/>
          <w:sz w:val="15"/>
          <w:szCs w:val="15"/>
          <w:b w:val="1"/>
          <w:bCs w:val="1"/>
          <w:color w:val="00004D"/>
        </w:rPr>
        <w:t xml:space="preserve"> Hyderabad, India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26"/>
        </w:trPr>
        <w:tc>
          <w:tcPr>
            <w:tcW w:w="2940" w:type="dxa"/>
            <w:vAlign w:val="bottom"/>
            <w:tcBorders>
              <w:right w:val="single" w:sz="8" w:color="808080"/>
            </w:tcBorders>
          </w:tcPr>
          <w:p>
            <w:pPr>
              <w:spacing w:after="0"/>
              <w:rPr>
                <w:sz w:val="20"/>
                <w:szCs w:val="20"/>
                <w:color w:val="auto"/>
              </w:rPr>
            </w:pPr>
            <w:r>
              <w:rPr>
                <w:rFonts w:ascii="Arial" w:cs="Arial" w:eastAsia="Arial" w:hAnsi="Arial"/>
                <w:sz w:val="36"/>
                <w:szCs w:val="36"/>
                <w:color w:val="000045"/>
              </w:rPr>
              <w:t xml:space="preserve">~3,000 </w:t>
            </w:r>
            <w:r>
              <w:rPr>
                <w:rFonts w:ascii="Arial" w:cs="Arial" w:eastAsia="Arial" w:hAnsi="Arial"/>
                <w:sz w:val="16"/>
                <w:szCs w:val="16"/>
                <w:color w:val="000000"/>
              </w:rPr>
              <w:t>regulatory, clinical</w:t>
            </w:r>
          </w:p>
        </w:tc>
        <w:tc>
          <w:tcPr>
            <w:tcW w:w="2860" w:type="dxa"/>
            <w:vAlign w:val="bottom"/>
          </w:tcPr>
          <w:p>
            <w:pPr>
              <w:ind w:left="220"/>
              <w:spacing w:after="0" w:line="625" w:lineRule="exact"/>
              <w:rPr>
                <w:sz w:val="20"/>
                <w:szCs w:val="20"/>
                <w:color w:val="auto"/>
              </w:rPr>
            </w:pPr>
            <w:r>
              <w:rPr>
                <w:rFonts w:ascii="Arial" w:cs="Arial" w:eastAsia="Arial" w:hAnsi="Arial"/>
                <w:sz w:val="72"/>
                <w:szCs w:val="72"/>
                <w:color w:val="000045"/>
                <w:vertAlign w:val="superscript"/>
              </w:rPr>
              <w:t>38,000+</w:t>
            </w:r>
            <w:r>
              <w:rPr>
                <w:rFonts w:ascii="Arial" w:cs="Arial" w:eastAsia="Arial" w:hAnsi="Arial"/>
                <w:sz w:val="16"/>
                <w:szCs w:val="16"/>
                <w:color w:val="auto"/>
              </w:rPr>
              <w:t xml:space="preserve"> almost </w:t>
            </w:r>
            <w:r>
              <w:rPr>
                <w:rFonts w:ascii="Arial" w:cs="Arial" w:eastAsia="Arial" w:hAnsi="Arial"/>
                <w:sz w:val="16"/>
                <w:szCs w:val="16"/>
                <w:b w:val="1"/>
                <w:bCs w:val="1"/>
                <w:color w:val="00004D"/>
              </w:rPr>
              <w:t>70</w:t>
            </w:r>
          </w:p>
        </w:tc>
      </w:tr>
      <w:tr>
        <w:trPr>
          <w:trHeight w:val="210"/>
        </w:trPr>
        <w:tc>
          <w:tcPr>
            <w:tcW w:w="2940" w:type="dxa"/>
            <w:vAlign w:val="bottom"/>
            <w:tcBorders>
              <w:right w:val="single" w:sz="8" w:color="808080"/>
            </w:tcBorders>
          </w:tcPr>
          <w:p>
            <w:pPr>
              <w:ind w:left="1180"/>
              <w:spacing w:after="0"/>
              <w:rPr>
                <w:sz w:val="20"/>
                <w:szCs w:val="20"/>
                <w:color w:val="auto"/>
              </w:rPr>
            </w:pPr>
            <w:r>
              <w:rPr>
                <w:rFonts w:ascii="Arial" w:cs="Arial" w:eastAsia="Arial" w:hAnsi="Arial"/>
                <w:sz w:val="16"/>
                <w:szCs w:val="16"/>
                <w:color w:val="auto"/>
              </w:rPr>
              <w:t>colleagues in R&amp;D,</w:t>
            </w:r>
          </w:p>
        </w:tc>
        <w:tc>
          <w:tcPr>
            <w:tcW w:w="2860" w:type="dxa"/>
            <w:vAlign w:val="bottom"/>
          </w:tcPr>
          <w:p>
            <w:pPr>
              <w:ind w:left="1600"/>
              <w:spacing w:after="0"/>
              <w:rPr>
                <w:sz w:val="20"/>
                <w:szCs w:val="20"/>
                <w:color w:val="auto"/>
              </w:rPr>
            </w:pPr>
            <w:r>
              <w:rPr>
                <w:rFonts w:ascii="Arial" w:cs="Arial" w:eastAsia="Arial" w:hAnsi="Arial"/>
                <w:sz w:val="16"/>
                <w:szCs w:val="16"/>
                <w:color w:val="auto"/>
                <w:w w:val="96"/>
              </w:rPr>
              <w:t>colleagues across</w:t>
            </w:r>
          </w:p>
        </w:tc>
      </w:tr>
      <w:tr>
        <w:trPr>
          <w:trHeight w:val="480"/>
        </w:trPr>
        <w:tc>
          <w:tcPr>
            <w:tcW w:w="2940" w:type="dxa"/>
            <w:vAlign w:val="bottom"/>
            <w:tcBorders>
              <w:right w:val="single" w:sz="8" w:color="808080"/>
            </w:tcBorders>
          </w:tcPr>
          <w:p>
            <w:pPr>
              <w:ind w:left="1180"/>
              <w:spacing w:after="0"/>
              <w:rPr>
                <w:sz w:val="20"/>
                <w:szCs w:val="20"/>
                <w:color w:val="auto"/>
              </w:rPr>
            </w:pPr>
            <w:r>
              <w:rPr>
                <w:rFonts w:ascii="Arial" w:cs="Arial" w:eastAsia="Arial" w:hAnsi="Arial"/>
                <w:sz w:val="16"/>
                <w:szCs w:val="16"/>
                <w:color w:val="auto"/>
              </w:rPr>
              <w:t>and medical fields</w:t>
            </w:r>
          </w:p>
        </w:tc>
        <w:tc>
          <w:tcPr>
            <w:tcW w:w="2860" w:type="dxa"/>
            <w:vAlign w:val="bottom"/>
          </w:tcPr>
          <w:p>
            <w:pPr>
              <w:ind w:left="1600"/>
              <w:spacing w:after="0"/>
              <w:rPr>
                <w:sz w:val="20"/>
                <w:szCs w:val="20"/>
                <w:color w:val="auto"/>
              </w:rPr>
            </w:pPr>
            <w:r>
              <w:rPr>
                <w:rFonts w:ascii="Arial" w:cs="Arial" w:eastAsia="Arial" w:hAnsi="Arial"/>
                <w:sz w:val="16"/>
                <w:szCs w:val="16"/>
                <w:color w:val="auto"/>
              </w:rPr>
              <w:t>countries</w:t>
            </w:r>
          </w:p>
        </w:tc>
      </w:tr>
      <w:tr>
        <w:trPr>
          <w:trHeight w:val="165"/>
        </w:trPr>
        <w:tc>
          <w:tcPr>
            <w:tcW w:w="2940" w:type="dxa"/>
            <w:vAlign w:val="bottom"/>
            <w:tcBorders>
              <w:right w:val="single" w:sz="8" w:color="808080"/>
            </w:tcBorders>
          </w:tcPr>
          <w:p>
            <w:pPr>
              <w:spacing w:after="0"/>
              <w:rPr>
                <w:sz w:val="14"/>
                <w:szCs w:val="14"/>
                <w:color w:val="auto"/>
              </w:rPr>
            </w:pPr>
          </w:p>
        </w:tc>
        <w:tc>
          <w:tcPr>
            <w:tcW w:w="2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-1875155</wp:posOffset>
                </wp:positionH>
                <wp:positionV relativeFrom="paragraph">
                  <wp:posOffset>77470</wp:posOffset>
                </wp:positionV>
                <wp:extent cx="55892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9270" cy="4763"/>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6499pt,6.1pt" to="292.45pt,6.1pt" o:allowincell="f" strokecolor="#808080" strokeweight="0.25pt"/>
            </w:pict>
          </mc:Fallback>
        </mc:AlternateContent>
      </w:r>
    </w:p>
    <w:p>
      <w:pPr>
        <w:spacing w:after="0" w:line="200" w:lineRule="exact"/>
        <w:rPr>
          <w:sz w:val="20"/>
          <w:szCs w:val="20"/>
          <w:color w:val="auto"/>
        </w:rPr>
      </w:pPr>
    </w:p>
    <w:p>
      <w:pPr>
        <w:sectPr>
          <w:pgSz w:w="11880" w:h="15480" w:orient="portrait"/>
          <w:cols w:equalWidth="0" w:num="2">
            <w:col w:w="2460" w:space="600"/>
            <w:col w:w="5940"/>
          </w:cols>
          <w:pgMar w:left="1440" w:top="577" w:right="1440" w:bottom="0" w:gutter="0" w:footer="0" w:header="0"/>
          <w:type w:val="continuous"/>
        </w:sectPr>
      </w:pPr>
    </w:p>
    <w:p>
      <w:pPr>
        <w:spacing w:after="0" w:line="193" w:lineRule="exact"/>
        <w:rPr>
          <w:sz w:val="20"/>
          <w:szCs w:val="20"/>
          <w:color w:val="auto"/>
        </w:rPr>
      </w:pPr>
    </w:p>
    <w:p>
      <w:pPr>
        <w:ind w:left="240" w:right="640"/>
        <w:spacing w:after="0" w:line="346" w:lineRule="auto"/>
        <w:rPr>
          <w:sz w:val="20"/>
          <w:szCs w:val="20"/>
          <w:color w:val="auto"/>
        </w:rPr>
      </w:pPr>
      <w:r>
        <w:rPr>
          <w:rFonts w:ascii="Arial" w:cs="Arial" w:eastAsia="Arial" w:hAnsi="Arial"/>
          <w:sz w:val="16"/>
          <w:szCs w:val="16"/>
          <w:color w:val="auto"/>
        </w:rPr>
        <w:t xml:space="preserve">Companywide sustainability goals in the areas of </w:t>
      </w:r>
      <w:r>
        <w:rPr>
          <w:rFonts w:ascii="Arial" w:cs="Arial" w:eastAsia="Arial" w:hAnsi="Arial"/>
          <w:sz w:val="16"/>
          <w:szCs w:val="16"/>
          <w:b w:val="1"/>
          <w:bCs w:val="1"/>
          <w:color w:val="00004D"/>
        </w:rPr>
        <w:t>Access and Global Health; Diversity, Equity and Inclusion (DEI);</w:t>
      </w:r>
      <w:r>
        <w:rPr>
          <w:rFonts w:ascii="Arial" w:cs="Arial" w:eastAsia="Arial" w:hAnsi="Arial"/>
          <w:sz w:val="16"/>
          <w:szCs w:val="16"/>
          <w:color w:val="auto"/>
        </w:rPr>
        <w:t xml:space="preserve"> </w:t>
      </w:r>
      <w:r>
        <w:rPr>
          <w:rFonts w:ascii="Arial" w:cs="Arial" w:eastAsia="Arial" w:hAnsi="Arial"/>
          <w:sz w:val="16"/>
          <w:szCs w:val="16"/>
          <w:b w:val="1"/>
          <w:bCs w:val="1"/>
          <w:color w:val="00004D"/>
        </w:rPr>
        <w:t>and the Environment.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91440</wp:posOffset>
                </wp:positionV>
                <wp:extent cx="55905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0540" cy="4763"/>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7.2pt" to="444.25pt,7.2pt" o:allowincell="f" strokecolor="#808080" strokeweight="0.25pt"/>
            </w:pict>
          </mc:Fallback>
        </mc:AlternateContent>
        <mc:AlternateContent>
          <mc:Choice Requires="wps">
            <w:drawing>
              <wp:anchor simplePos="0" relativeHeight="251657728" behindDoc="1" locked="0" layoutInCell="0" allowOverlap="1">
                <wp:simplePos x="0" y="0"/>
                <wp:positionH relativeFrom="column">
                  <wp:posOffset>2997835</wp:posOffset>
                </wp:positionH>
                <wp:positionV relativeFrom="paragraph">
                  <wp:posOffset>180975</wp:posOffset>
                </wp:positionV>
                <wp:extent cx="0" cy="5975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05pt,14.25pt" to="236.05pt,61.3pt" o:allowincell="f" strokecolor="#808080" strokeweight="0.25pt"/>
            </w:pict>
          </mc:Fallback>
        </mc:AlternateContent>
      </w:r>
    </w:p>
    <w:p>
      <w:pPr>
        <w:sectPr>
          <w:pgSz w:w="11880" w:h="15480" w:orient="portrait"/>
          <w:cols w:equalWidth="0" w:num="1">
            <w:col w:w="9000"/>
          </w:cols>
          <w:pgMar w:left="1440" w:top="577" w:right="1440" w:bottom="0" w:gutter="0" w:footer="0" w:header="0"/>
          <w:type w:val="continuous"/>
        </w:sectPr>
      </w:pPr>
    </w:p>
    <w:p>
      <w:pPr>
        <w:spacing w:after="0" w:line="330" w:lineRule="exact"/>
        <w:rPr>
          <w:sz w:val="20"/>
          <w:szCs w:val="20"/>
          <w:color w:val="auto"/>
        </w:rPr>
      </w:pPr>
    </w:p>
    <w:p>
      <w:pPr>
        <w:jc w:val="both"/>
        <w:ind w:left="820" w:right="960" w:hanging="731"/>
        <w:spacing w:after="0" w:line="185" w:lineRule="auto"/>
        <w:rPr>
          <w:sz w:val="20"/>
          <w:szCs w:val="20"/>
          <w:color w:val="auto"/>
        </w:rPr>
      </w:pPr>
      <w:r>
        <w:rPr>
          <w:rFonts w:ascii="Arial" w:cs="Arial" w:eastAsia="Arial" w:hAnsi="Arial"/>
          <w:sz w:val="34"/>
          <w:szCs w:val="34"/>
          <w:color w:val="000045"/>
        </w:rPr>
        <w:t xml:space="preserve">~40 </w:t>
      </w:r>
      <w:r>
        <w:rPr>
          <w:rFonts w:ascii="Arial" w:cs="Arial" w:eastAsia="Arial" w:hAnsi="Arial"/>
          <w:sz w:val="15"/>
          <w:szCs w:val="15"/>
          <w:color w:val="000000"/>
        </w:rPr>
        <w:t>manufacturing sites worldwide that produce</w:t>
      </w:r>
      <w:r>
        <w:rPr>
          <w:rFonts w:ascii="Arial" w:cs="Arial" w:eastAsia="Arial" w:hAnsi="Arial"/>
          <w:sz w:val="34"/>
          <w:szCs w:val="34"/>
          <w:color w:val="000045"/>
        </w:rPr>
        <w:t xml:space="preserve"> </w:t>
      </w:r>
      <w:r>
        <w:rPr>
          <w:rFonts w:ascii="Arial" w:cs="Arial" w:eastAsia="Arial" w:hAnsi="Arial"/>
          <w:sz w:val="15"/>
          <w:szCs w:val="15"/>
          <w:color w:val="000000"/>
        </w:rPr>
        <w:t>complex dosage forms, injectables, oral solid doses and active pharmaceutical ingredients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191770</wp:posOffset>
                </wp:positionV>
                <wp:extent cx="559054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0540" cy="4763"/>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5.1pt" to="444.25pt,15.1pt" o:allowincell="f" strokecolor="#808080" strokeweight="0.25pt"/>
            </w:pict>
          </mc:Fallback>
        </mc:AlternateConten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460" w:hanging="459"/>
        <w:spacing w:after="0" w:line="185" w:lineRule="auto"/>
        <w:rPr>
          <w:sz w:val="20"/>
          <w:szCs w:val="20"/>
          <w:color w:val="auto"/>
        </w:rPr>
      </w:pPr>
      <w:r>
        <w:rPr>
          <w:rFonts w:ascii="Arial" w:cs="Arial" w:eastAsia="Arial" w:hAnsi="Arial"/>
          <w:sz w:val="34"/>
          <w:szCs w:val="34"/>
          <w:color w:val="000045"/>
        </w:rPr>
        <w:t xml:space="preserve">11 </w:t>
      </w:r>
      <w:r>
        <w:rPr>
          <w:rFonts w:ascii="Arial" w:cs="Arial" w:eastAsia="Arial" w:hAnsi="Arial"/>
          <w:sz w:val="15"/>
          <w:szCs w:val="15"/>
          <w:color w:val="000000"/>
        </w:rPr>
        <w:t>development centers executing multiple</w:t>
      </w:r>
      <w:r>
        <w:rPr>
          <w:rFonts w:ascii="Arial" w:cs="Arial" w:eastAsia="Arial" w:hAnsi="Arial"/>
          <w:sz w:val="34"/>
          <w:szCs w:val="34"/>
          <w:color w:val="000045"/>
        </w:rPr>
        <w:t xml:space="preserve"> </w:t>
      </w:r>
      <w:r>
        <w:rPr>
          <w:rFonts w:ascii="Arial" w:cs="Arial" w:eastAsia="Arial" w:hAnsi="Arial"/>
          <w:sz w:val="15"/>
          <w:szCs w:val="15"/>
          <w:color w:val="000000"/>
        </w:rPr>
        <w:t>technology platforms and therapeutic areas as of June 30, 2023</w:t>
      </w:r>
    </w:p>
    <w:p>
      <w:pPr>
        <w:spacing w:after="0" w:line="200" w:lineRule="exact"/>
        <w:rPr>
          <w:sz w:val="20"/>
          <w:szCs w:val="20"/>
          <w:color w:val="auto"/>
        </w:rPr>
      </w:pPr>
    </w:p>
    <w:p>
      <w:pPr>
        <w:sectPr>
          <w:pgSz w:w="11880" w:h="15480" w:orient="portrait"/>
          <w:cols w:equalWidth="0" w:num="2">
            <w:col w:w="4940" w:space="720"/>
            <w:col w:w="3340"/>
          </w:cols>
          <w:pgMar w:left="1440" w:top="577" w:right="1440" w:bottom="0" w:gutter="0" w:footer="0" w:header="0"/>
          <w:type w:val="continuous"/>
        </w:sectPr>
      </w:pPr>
    </w:p>
    <w:p>
      <w:pPr>
        <w:spacing w:after="0" w:line="196" w:lineRule="exact"/>
        <w:rPr>
          <w:sz w:val="20"/>
          <w:szCs w:val="20"/>
          <w:color w:val="auto"/>
        </w:rPr>
      </w:pPr>
    </w:p>
    <w:p>
      <w:pPr>
        <w:ind w:left="1000" w:right="1040" w:hanging="900"/>
        <w:spacing w:after="0" w:line="206" w:lineRule="auto"/>
        <w:rPr>
          <w:sz w:val="20"/>
          <w:szCs w:val="20"/>
          <w:color w:val="auto"/>
        </w:rPr>
      </w:pPr>
      <w:r>
        <w:rPr>
          <w:rFonts w:ascii="Arial" w:cs="Arial" w:eastAsia="Arial" w:hAnsi="Arial"/>
          <w:sz w:val="36"/>
          <w:szCs w:val="36"/>
          <w:color w:val="000045"/>
        </w:rPr>
        <w:t xml:space="preserve">250+ </w:t>
      </w:r>
      <w:r>
        <w:rPr>
          <w:rFonts w:ascii="Arial" w:cs="Arial" w:eastAsia="Arial" w:hAnsi="Arial"/>
          <w:sz w:val="16"/>
          <w:szCs w:val="16"/>
          <w:color w:val="000000"/>
        </w:rPr>
        <w:t>medicines on World Health Organization (WHO)</w:t>
      </w:r>
      <w:r>
        <w:rPr>
          <w:rFonts w:ascii="Arial" w:cs="Arial" w:eastAsia="Arial" w:hAnsi="Arial"/>
          <w:sz w:val="36"/>
          <w:szCs w:val="36"/>
          <w:color w:val="000045"/>
        </w:rPr>
        <w:t xml:space="preserve"> </w:t>
      </w:r>
      <w:r>
        <w:rPr>
          <w:rFonts w:ascii="Arial" w:cs="Arial" w:eastAsia="Arial" w:hAnsi="Arial"/>
          <w:sz w:val="16"/>
          <w:szCs w:val="16"/>
          <w:color w:val="000000"/>
        </w:rPr>
        <w:t xml:space="preserve">Essential Medicines List. Our broad global portfolio includes products that help treat </w:t>
      </w:r>
      <w:r>
        <w:rPr>
          <w:rFonts w:ascii="Arial" w:cs="Arial" w:eastAsia="Arial" w:hAnsi="Arial"/>
          <w:sz w:val="16"/>
          <w:szCs w:val="16"/>
          <w:b w:val="1"/>
          <w:bCs w:val="1"/>
          <w:color w:val="00004D"/>
        </w:rPr>
        <w:t>the</w:t>
      </w:r>
      <w:r>
        <w:rPr>
          <w:rFonts w:ascii="Arial" w:cs="Arial" w:eastAsia="Arial" w:hAnsi="Arial"/>
          <w:sz w:val="16"/>
          <w:szCs w:val="16"/>
          <w:color w:val="000000"/>
        </w:rPr>
        <w:t xml:space="preserve"> </w:t>
      </w:r>
      <w:r>
        <w:rPr>
          <w:rFonts w:ascii="Arial" w:cs="Arial" w:eastAsia="Arial" w:hAnsi="Arial"/>
          <w:sz w:val="16"/>
          <w:szCs w:val="16"/>
          <w:b w:val="1"/>
          <w:bCs w:val="1"/>
          <w:color w:val="00004D"/>
        </w:rPr>
        <w:t>top 10 leading causes of death globally, as determined by the WHO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2997835</wp:posOffset>
                </wp:positionH>
                <wp:positionV relativeFrom="paragraph">
                  <wp:posOffset>-719455</wp:posOffset>
                </wp:positionV>
                <wp:extent cx="0" cy="7556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5650"/>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05pt,-56.6499pt" to="236.05pt,2.85pt" o:allowincell="f" strokecolor="#808080" strokeweight="0.25pt"/>
            </w:pict>
          </mc:Fallback>
        </mc:AlternateContent>
        <mc:AlternateContent>
          <mc:Choice Requires="wps">
            <w:drawing>
              <wp:anchor simplePos="0" relativeHeight="251657728" behindDoc="1" locked="0" layoutInCell="0" allowOverlap="1">
                <wp:simplePos x="0" y="0"/>
                <wp:positionH relativeFrom="column">
                  <wp:posOffset>51435</wp:posOffset>
                </wp:positionH>
                <wp:positionV relativeFrom="paragraph">
                  <wp:posOffset>100965</wp:posOffset>
                </wp:positionV>
                <wp:extent cx="559054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0540" cy="4763"/>
                        </a:xfrm>
                        <a:prstGeom prst="line">
                          <a:avLst/>
                        </a:prstGeom>
                        <a:solidFill>
                          <a:srgbClr val="FFFFFF"/>
                        </a:solidFill>
                        <a:ln w="3175">
                          <a:solidFill>
                            <a:srgbClr val="80808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7.95pt" to="444.25pt,7.95pt" o:allowincell="f" strokecolor="#808080" strokeweight="0.25pt"/>
            </w:pict>
          </mc:Fallback>
        </mc:AlternateContent>
        <w:drawing>
          <wp:anchor simplePos="0" relativeHeight="251657728" behindDoc="1" locked="0" layoutInCell="0" allowOverlap="1">
            <wp:simplePos x="0" y="0"/>
            <wp:positionH relativeFrom="column">
              <wp:posOffset>383540</wp:posOffset>
            </wp:positionH>
            <wp:positionV relativeFrom="paragraph">
              <wp:posOffset>179705</wp:posOffset>
            </wp:positionV>
            <wp:extent cx="511175" cy="496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extLst>
                    </a:blip>
                    <a:srcRect/>
                    <a:stretch>
                      <a:fillRect/>
                    </a:stretch>
                  </pic:blipFill>
                  <pic:spPr bwMode="auto">
                    <a:xfrm>
                      <a:off x="0" y="0"/>
                      <a:ext cx="511175" cy="496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500" w:hanging="900"/>
        <w:spacing w:after="0" w:line="190" w:lineRule="auto"/>
        <w:rPr>
          <w:sz w:val="20"/>
          <w:szCs w:val="20"/>
          <w:color w:val="auto"/>
        </w:rPr>
      </w:pPr>
      <w:r>
        <w:rPr>
          <w:rFonts w:ascii="Arial" w:cs="Arial" w:eastAsia="Arial" w:hAnsi="Arial"/>
          <w:sz w:val="36"/>
          <w:szCs w:val="36"/>
          <w:color w:val="000045"/>
        </w:rPr>
        <w:t xml:space="preserve">&gt;100 </w:t>
      </w:r>
      <w:r>
        <w:rPr>
          <w:rFonts w:ascii="Arial" w:cs="Arial" w:eastAsia="Arial" w:hAnsi="Arial"/>
          <w:sz w:val="16"/>
          <w:szCs w:val="16"/>
          <w:color w:val="000000"/>
        </w:rPr>
        <w:t>countries in which our locally</w:t>
      </w:r>
      <w:r>
        <w:rPr>
          <w:rFonts w:ascii="Arial" w:cs="Arial" w:eastAsia="Arial" w:hAnsi="Arial"/>
          <w:sz w:val="36"/>
          <w:szCs w:val="36"/>
          <w:color w:val="000045"/>
        </w:rPr>
        <w:t xml:space="preserve"> </w:t>
      </w:r>
      <w:r>
        <w:rPr>
          <w:rFonts w:ascii="Arial" w:cs="Arial" w:eastAsia="Arial" w:hAnsi="Arial"/>
          <w:sz w:val="16"/>
          <w:szCs w:val="16"/>
          <w:color w:val="000000"/>
        </w:rPr>
        <w:t xml:space="preserve">available medicines address </w:t>
      </w:r>
      <w:r>
        <w:rPr>
          <w:rFonts w:ascii="Arial" w:cs="Arial" w:eastAsia="Arial" w:hAnsi="Arial"/>
          <w:sz w:val="16"/>
          <w:szCs w:val="16"/>
          <w:b w:val="1"/>
          <w:bCs w:val="1"/>
          <w:color w:val="00004D"/>
        </w:rPr>
        <w:t>more</w:t>
      </w:r>
      <w:r>
        <w:rPr>
          <w:rFonts w:ascii="Arial" w:cs="Arial" w:eastAsia="Arial" w:hAnsi="Arial"/>
          <w:sz w:val="16"/>
          <w:szCs w:val="16"/>
          <w:color w:val="000000"/>
        </w:rPr>
        <w:t xml:space="preserve"> </w:t>
      </w:r>
      <w:r>
        <w:rPr>
          <w:rFonts w:ascii="Arial" w:cs="Arial" w:eastAsia="Arial" w:hAnsi="Arial"/>
          <w:sz w:val="16"/>
          <w:szCs w:val="16"/>
          <w:b w:val="1"/>
          <w:bCs w:val="1"/>
          <w:color w:val="00004D"/>
        </w:rPr>
        <w:t>than half of the top 10 local causes of death</w:t>
      </w:r>
    </w:p>
    <w:p>
      <w:pPr>
        <w:spacing w:after="0" w:line="437" w:lineRule="exact"/>
        <w:rPr>
          <w:sz w:val="20"/>
          <w:szCs w:val="20"/>
          <w:color w:val="auto"/>
        </w:rPr>
      </w:pPr>
    </w:p>
    <w:p>
      <w:pPr>
        <w:sectPr>
          <w:pgSz w:w="11880" w:h="15480" w:orient="portrait"/>
          <w:cols w:equalWidth="0" w:num="2">
            <w:col w:w="5380" w:space="720"/>
            <w:col w:w="2900"/>
          </w:cols>
          <w:pgMar w:left="1440" w:top="577" w:right="1440" w:bottom="0" w:gutter="0" w:footer="0" w:header="0"/>
          <w:type w:val="continuous"/>
        </w:sectPr>
      </w:pPr>
    </w:p>
    <w:p>
      <w:pPr>
        <w:spacing w:after="0" w:line="144" w:lineRule="exact"/>
        <w:rPr>
          <w:sz w:val="20"/>
          <w:szCs w:val="20"/>
          <w:color w:val="auto"/>
        </w:rPr>
      </w:pPr>
    </w:p>
    <w:p>
      <w:pPr>
        <w:ind w:left="2700" w:right="380"/>
        <w:spacing w:after="0" w:line="329" w:lineRule="auto"/>
        <w:rPr>
          <w:sz w:val="20"/>
          <w:szCs w:val="20"/>
          <w:color w:val="auto"/>
        </w:rPr>
      </w:pPr>
      <w:r>
        <w:rPr>
          <w:rFonts w:ascii="Arial" w:cs="Arial" w:eastAsia="Arial" w:hAnsi="Arial"/>
          <w:sz w:val="16"/>
          <w:szCs w:val="16"/>
          <w:color w:val="auto"/>
        </w:rPr>
        <w:t>Our GLOBAL HEALTHCARE GATEWAY</w:t>
      </w:r>
      <w:r>
        <w:rPr>
          <w:rFonts w:ascii="Arial" w:cs="Arial" w:eastAsia="Arial" w:hAnsi="Arial"/>
          <w:sz w:val="9"/>
          <w:szCs w:val="9"/>
          <w:color w:val="auto"/>
        </w:rPr>
        <w:t>®</w:t>
      </w:r>
      <w:r>
        <w:rPr>
          <w:rFonts w:ascii="Arial" w:cs="Arial" w:eastAsia="Arial" w:hAnsi="Arial"/>
          <w:sz w:val="16"/>
          <w:szCs w:val="16"/>
          <w:color w:val="auto"/>
        </w:rPr>
        <w:t xml:space="preserve"> offers partners access to global infrastructure and expertise that connects people around the world to the high-quality medicines and health services they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-408940</wp:posOffset>
            </wp:positionV>
            <wp:extent cx="559435" cy="278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extLst>
                    </a:blip>
                    <a:srcRect/>
                    <a:stretch>
                      <a:fillRect/>
                    </a:stretch>
                  </pic:blipFill>
                  <pic:spPr bwMode="auto">
                    <a:xfrm>
                      <a:off x="0" y="0"/>
                      <a:ext cx="559435" cy="278765"/>
                    </a:xfrm>
                    <a:prstGeom prst="rect">
                      <a:avLst/>
                    </a:prstGeom>
                    <a:noFill/>
                  </pic:spPr>
                </pic:pic>
              </a:graphicData>
            </a:graphic>
          </wp:anchor>
        </w:drawing>
      </w:r>
    </w:p>
    <w:p>
      <w:pPr>
        <w:spacing w:after="0" w:line="329" w:lineRule="exact"/>
        <w:rPr>
          <w:sz w:val="20"/>
          <w:szCs w:val="20"/>
          <w:color w:val="auto"/>
        </w:rPr>
      </w:pPr>
    </w:p>
    <w:p>
      <w:pPr>
        <w:ind w:left="180" w:right="240" w:hanging="98"/>
        <w:spacing w:after="0" w:line="257" w:lineRule="auto"/>
        <w:tabs>
          <w:tab w:leader="none" w:pos="177"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number of patients served is an estimate calculated using internal sales data (global volume of doses sold in 2022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in consideration of announced divestitures and to account for acceptable alternatives to the patient usage factors noted above, and rounded to the nearest hundred million. Estimates may be subject to reassessment.</w:t>
      </w:r>
    </w:p>
    <w:p>
      <w:pPr>
        <w:sectPr>
          <w:pgSz w:w="11880" w:h="15480" w:orient="portrait"/>
          <w:cols w:equalWidth="0" w:num="1">
            <w:col w:w="9000"/>
          </w:cols>
          <w:pgMar w:left="1440" w:top="577" w:right="1440" w:bottom="0" w:gutter="0" w:footer="0" w:header="0"/>
          <w:type w:val="continuous"/>
        </w:sectPr>
      </w:pPr>
    </w:p>
    <w:bookmarkStart w:id="5" w:name="page6"/>
    <w:bookmarkEnd w:id="5"/>
    <w:p>
      <w:pPr>
        <w:jc w:val="right"/>
        <w:ind w:right="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966470</wp:posOffset>
            </wp:positionH>
            <wp:positionV relativeFrom="page">
              <wp:posOffset>246380</wp:posOffset>
            </wp:positionV>
            <wp:extent cx="1214755" cy="320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extLst>
                    </a:blip>
                    <a:srcRect/>
                    <a:stretch>
                      <a:fillRect/>
                    </a:stretch>
                  </pic:blipFill>
                  <pic:spPr bwMode="auto">
                    <a:xfrm>
                      <a:off x="0" y="0"/>
                      <a:ext cx="1214755" cy="320040"/>
                    </a:xfrm>
                    <a:prstGeom prst="rect">
                      <a:avLst/>
                    </a:prstGeom>
                    <a:noFill/>
                  </pic:spPr>
                </pic:pic>
              </a:graphicData>
            </a:graphic>
          </wp:anchor>
        </w:drawing>
        <w:t>2022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161290</wp:posOffset>
                </wp:positionV>
                <wp:extent cx="56064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6415"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7pt" to="445.5pt,12.7pt" o:allowincell="f" strokecolor="#46007B" strokeweight="1pt"/>
            </w:pict>
          </mc:Fallback>
        </mc:AlternateContent>
      </w:r>
    </w:p>
    <w:p>
      <w:pPr>
        <w:spacing w:after="0" w:line="200" w:lineRule="exact"/>
        <w:rPr>
          <w:sz w:val="20"/>
          <w:szCs w:val="20"/>
          <w:color w:val="auto"/>
        </w:rPr>
      </w:pPr>
    </w:p>
    <w:p>
      <w:pPr>
        <w:spacing w:after="0" w:line="296" w:lineRule="exact"/>
        <w:rPr>
          <w:sz w:val="20"/>
          <w:szCs w:val="20"/>
          <w:color w:val="auto"/>
        </w:rPr>
      </w:pPr>
    </w:p>
    <w:p>
      <w:pPr>
        <w:ind w:left="80"/>
        <w:spacing w:after="0"/>
        <w:rPr>
          <w:sz w:val="20"/>
          <w:szCs w:val="20"/>
          <w:color w:val="auto"/>
        </w:rPr>
      </w:pPr>
      <w:r>
        <w:rPr>
          <w:rFonts w:ascii="Arial" w:cs="Arial" w:eastAsia="Arial" w:hAnsi="Arial"/>
          <w:sz w:val="40"/>
          <w:szCs w:val="40"/>
          <w:color w:val="46007B"/>
        </w:rPr>
        <w:t>Commercial Reach</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004D"/>
        </w:rPr>
        <w:t xml:space="preserve">80 billion doses </w:t>
      </w:r>
      <w:r>
        <w:rPr>
          <w:rFonts w:ascii="Arial" w:cs="Arial" w:eastAsia="Arial" w:hAnsi="Arial"/>
          <w:sz w:val="16"/>
          <w:szCs w:val="16"/>
          <w:color w:val="000000"/>
        </w:rPr>
        <w:t>sold across</w:t>
      </w:r>
      <w:r>
        <w:rPr>
          <w:rFonts w:ascii="Arial" w:cs="Arial" w:eastAsia="Arial" w:hAnsi="Arial"/>
          <w:sz w:val="16"/>
          <w:szCs w:val="16"/>
          <w:b w:val="1"/>
          <w:bCs w:val="1"/>
          <w:color w:val="00004D"/>
        </w:rPr>
        <w:t xml:space="preserve"> 165+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264160</wp:posOffset>
            </wp:positionV>
            <wp:extent cx="4603115" cy="121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4603115" cy="121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40"/>
        <w:spacing w:after="0"/>
        <w:tabs>
          <w:tab w:leader="none" w:pos="5540" w:val="left"/>
        </w:tabs>
        <w:rPr>
          <w:sz w:val="20"/>
          <w:szCs w:val="20"/>
          <w:color w:val="auto"/>
        </w:rPr>
      </w:pPr>
      <w:r>
        <w:rPr>
          <w:rFonts w:ascii="Arial" w:cs="Arial" w:eastAsia="Arial" w:hAnsi="Arial"/>
          <w:sz w:val="19"/>
          <w:szCs w:val="19"/>
          <w:color w:val="auto"/>
        </w:rPr>
        <w:t>Developed markets</w:t>
      </w:r>
      <w:r>
        <w:rPr>
          <w:sz w:val="20"/>
          <w:szCs w:val="20"/>
          <w:color w:val="auto"/>
        </w:rPr>
        <w:tab/>
      </w:r>
      <w:r>
        <w:rPr>
          <w:rFonts w:ascii="Arial" w:cs="Arial" w:eastAsia="Arial" w:hAnsi="Arial"/>
          <w:sz w:val="19"/>
          <w:szCs w:val="19"/>
          <w:color w:val="auto"/>
        </w:rPr>
        <w:t>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195580</wp:posOffset>
            </wp:positionV>
            <wp:extent cx="4602480" cy="1225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4602480" cy="1225550"/>
                    </a:xfrm>
                    <a:prstGeom prst="rect">
                      <a:avLst/>
                    </a:prstGeom>
                    <a:noFill/>
                  </pic:spPr>
                </pic:pic>
              </a:graphicData>
            </a:graphic>
          </wp:anchor>
        </w:drawing>
      </w:r>
    </w:p>
    <w:p>
      <w:pPr>
        <w:sectPr>
          <w:pgSz w:w="11880" w:h="15480" w:orient="portrait"/>
          <w:cols w:equalWidth="0" w:num="1">
            <w:col w:w="9000"/>
          </w:cols>
          <w:pgMar w:left="1440" w:top="577" w:right="1440" w:bottom="7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Japan, Australia and</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New Zealand (JANZ)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405130</wp:posOffset>
                </wp:positionV>
                <wp:extent cx="83058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31.9pt" to="69.45pt,31.9pt" o:allowincell="f" strokecolor="#46007B"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280"/>
        <w:spacing w:after="0"/>
        <w:rPr>
          <w:sz w:val="20"/>
          <w:szCs w:val="20"/>
          <w:color w:val="auto"/>
        </w:rPr>
      </w:pPr>
      <w:r>
        <w:rPr>
          <w:rFonts w:ascii="Arial" w:cs="Arial" w:eastAsia="Arial" w:hAnsi="Arial"/>
          <w:sz w:val="19"/>
          <w:szCs w:val="19"/>
          <w:color w:val="auto"/>
        </w:rPr>
        <w:t>Greater China</w:t>
      </w:r>
    </w:p>
    <w:p>
      <w:pPr>
        <w:spacing w:after="0" w:line="416" w:lineRule="exact"/>
        <w:rPr>
          <w:sz w:val="20"/>
          <w:szCs w:val="20"/>
          <w:color w:val="auto"/>
        </w:rPr>
      </w:pPr>
    </w:p>
    <w:p>
      <w:pPr>
        <w:sectPr>
          <w:pgSz w:w="11880" w:h="15480" w:orient="portrait"/>
          <w:cols w:equalWidth="0" w:num="2">
            <w:col w:w="4800" w:space="720"/>
            <w:col w:w="3480"/>
          </w:cols>
          <w:pgMar w:left="1440" w:top="577" w:right="1440" w:bottom="7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38"/>
          <w:szCs w:val="38"/>
          <w:color w:val="00004D"/>
        </w:rPr>
        <w:t>Portfolio</w:t>
      </w:r>
    </w:p>
    <w:p>
      <w:pPr>
        <w:spacing w:after="0" w:line="123" w:lineRule="exact"/>
        <w:rPr>
          <w:sz w:val="20"/>
          <w:szCs w:val="20"/>
          <w:color w:val="auto"/>
        </w:rPr>
      </w:pPr>
    </w:p>
    <w:p>
      <w:pPr>
        <w:ind w:left="80" w:right="220"/>
        <w:spacing w:after="0" w:line="329" w:lineRule="auto"/>
        <w:rPr>
          <w:sz w:val="20"/>
          <w:szCs w:val="20"/>
          <w:color w:val="auto"/>
        </w:rPr>
      </w:pPr>
      <w:r>
        <w:rPr>
          <w:rFonts w:ascii="Arial" w:cs="Arial" w:eastAsia="Arial" w:hAnsi="Arial"/>
          <w:sz w:val="16"/>
          <w:szCs w:val="16"/>
          <w:color w:val="auto"/>
        </w:rPr>
        <w:t>With an exceptionally extensive and diverse portfolio, we have the ability to touch all of life’s moments, from birth to end of life, acute conditions to chronic diseases. We see across multiple therapeutic areas to the person at the center of their own unique health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53975</wp:posOffset>
            </wp:positionV>
            <wp:extent cx="6350" cy="723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extLst>
                    </a:blip>
                    <a:srcRect/>
                    <a:stretch>
                      <a:fillRect/>
                    </a:stretch>
                  </pic:blipFill>
                  <pic:spPr bwMode="auto">
                    <a:xfrm>
                      <a:off x="0" y="0"/>
                      <a:ext cx="6350" cy="72390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53975</wp:posOffset>
            </wp:positionV>
            <wp:extent cx="6350" cy="723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extLst>
                    </a:blip>
                    <a:srcRect/>
                    <a:stretch>
                      <a:fillRect/>
                    </a:stretch>
                  </pic:blipFill>
                  <pic:spPr bwMode="auto">
                    <a:xfrm>
                      <a:off x="0" y="0"/>
                      <a:ext cx="6350" cy="723900"/>
                    </a:xfrm>
                    <a:prstGeom prst="rect">
                      <a:avLst/>
                    </a:prstGeom>
                    <a:noFill/>
                  </pic:spPr>
                </pic:pic>
              </a:graphicData>
            </a:graphic>
          </wp:anchor>
        </w:drawing>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00004D"/>
              </w:rPr>
              <w:t>Brands</w:t>
            </w:r>
          </w:p>
        </w:tc>
        <w:tc>
          <w:tcPr>
            <w:tcW w:w="1960" w:type="dxa"/>
            <w:vAlign w:val="bottom"/>
          </w:tcPr>
          <w:p>
            <w:pPr>
              <w:ind w:left="220"/>
              <w:spacing w:after="0"/>
              <w:rPr>
                <w:sz w:val="20"/>
                <w:szCs w:val="20"/>
                <w:color w:val="auto"/>
              </w:rPr>
            </w:pPr>
            <w:r>
              <w:rPr>
                <w:rFonts w:ascii="Arial" w:cs="Arial" w:eastAsia="Arial" w:hAnsi="Arial"/>
                <w:sz w:val="18"/>
                <w:szCs w:val="18"/>
                <w:b w:val="1"/>
                <w:bCs w:val="1"/>
                <w:color w:val="00004D"/>
              </w:rPr>
              <w:t>Generics</w:t>
            </w:r>
          </w:p>
        </w:tc>
        <w:tc>
          <w:tcPr>
            <w:tcW w:w="4600" w:type="dxa"/>
            <w:vAlign w:val="bottom"/>
          </w:tcPr>
          <w:p>
            <w:pPr>
              <w:ind w:left="360"/>
              <w:spacing w:after="0"/>
              <w:rPr>
                <w:sz w:val="20"/>
                <w:szCs w:val="20"/>
                <w:color w:val="auto"/>
              </w:rPr>
            </w:pPr>
            <w:r>
              <w:rPr>
                <w:rFonts w:ascii="Arial" w:cs="Arial" w:eastAsia="Arial" w:hAnsi="Arial"/>
                <w:sz w:val="18"/>
                <w:szCs w:val="18"/>
                <w:b w:val="1"/>
                <w:bCs w:val="1"/>
                <w:color w:val="00004D"/>
              </w:rPr>
              <w:t>Complex Generics</w:t>
            </w:r>
          </w:p>
        </w:tc>
        <w:tc>
          <w:tcPr>
            <w:tcW w:w="0" w:type="dxa"/>
            <w:vAlign w:val="bottom"/>
          </w:tcPr>
          <w:p>
            <w:pPr>
              <w:spacing w:after="0"/>
              <w:rPr>
                <w:sz w:val="1"/>
                <w:szCs w:val="1"/>
                <w:color w:val="auto"/>
              </w:rPr>
            </w:pPr>
          </w:p>
        </w:tc>
      </w:tr>
      <w:tr>
        <w:trPr>
          <w:trHeight w:val="214"/>
        </w:trPr>
        <w:tc>
          <w:tcPr>
            <w:tcW w:w="2120" w:type="dxa"/>
            <w:vAlign w:val="bottom"/>
            <w:gridSpan w:val="2"/>
            <w:vMerge w:val="restart"/>
          </w:tcPr>
          <w:p>
            <w:pPr>
              <w:ind w:left="20"/>
              <w:spacing w:after="0"/>
              <w:rPr>
                <w:sz w:val="20"/>
                <w:szCs w:val="20"/>
                <w:color w:val="auto"/>
              </w:rPr>
            </w:pPr>
            <w:r>
              <w:rPr>
                <w:rFonts w:ascii="Arial" w:cs="Arial" w:eastAsia="Arial" w:hAnsi="Arial"/>
                <w:sz w:val="16"/>
                <w:szCs w:val="16"/>
                <w:color w:val="auto"/>
              </w:rPr>
              <w:t>Portfolio of globally</w:t>
            </w:r>
          </w:p>
        </w:tc>
        <w:tc>
          <w:tcPr>
            <w:tcW w:w="1960" w:type="dxa"/>
            <w:vAlign w:val="bottom"/>
          </w:tcPr>
          <w:p>
            <w:pPr>
              <w:ind w:left="220"/>
              <w:spacing w:after="0"/>
              <w:rPr>
                <w:sz w:val="20"/>
                <w:szCs w:val="20"/>
                <w:color w:val="auto"/>
              </w:rPr>
            </w:pPr>
            <w:r>
              <w:rPr>
                <w:rFonts w:ascii="Arial" w:cs="Arial" w:eastAsia="Arial" w:hAnsi="Arial"/>
                <w:sz w:val="16"/>
                <w:szCs w:val="16"/>
                <w:color w:val="auto"/>
              </w:rPr>
              <w:t>Broad range of</w:t>
            </w:r>
          </w:p>
        </w:tc>
        <w:tc>
          <w:tcPr>
            <w:tcW w:w="4600" w:type="dxa"/>
            <w:vAlign w:val="bottom"/>
          </w:tcPr>
          <w:p>
            <w:pPr>
              <w:ind w:left="360"/>
              <w:spacing w:after="0"/>
              <w:rPr>
                <w:sz w:val="20"/>
                <w:szCs w:val="20"/>
                <w:color w:val="auto"/>
              </w:rPr>
            </w:pPr>
            <w:r>
              <w:rPr>
                <w:rFonts w:ascii="Arial" w:cs="Arial" w:eastAsia="Arial" w:hAnsi="Arial"/>
                <w:sz w:val="16"/>
                <w:szCs w:val="16"/>
                <w:color w:val="auto"/>
              </w:rPr>
              <w:t>A number of complex generics, which are generics</w:t>
            </w:r>
          </w:p>
        </w:tc>
        <w:tc>
          <w:tcPr>
            <w:tcW w:w="0" w:type="dxa"/>
            <w:vAlign w:val="bottom"/>
          </w:tcPr>
          <w:p>
            <w:pPr>
              <w:spacing w:after="0"/>
              <w:rPr>
                <w:sz w:val="1"/>
                <w:szCs w:val="1"/>
                <w:color w:val="auto"/>
              </w:rPr>
            </w:pPr>
          </w:p>
        </w:tc>
      </w:tr>
      <w:tr>
        <w:trPr>
          <w:trHeight w:val="90"/>
        </w:trPr>
        <w:tc>
          <w:tcPr>
            <w:tcW w:w="2120" w:type="dxa"/>
            <w:vAlign w:val="bottom"/>
            <w:gridSpan w:val="2"/>
            <w:vMerge w:val="continue"/>
          </w:tcPr>
          <w:p>
            <w:pPr>
              <w:spacing w:after="0"/>
              <w:rPr>
                <w:sz w:val="7"/>
                <w:szCs w:val="7"/>
                <w:color w:val="auto"/>
              </w:rPr>
            </w:pPr>
          </w:p>
        </w:tc>
        <w:tc>
          <w:tcPr>
            <w:tcW w:w="1960" w:type="dxa"/>
            <w:vAlign w:val="bottom"/>
            <w:vMerge w:val="restart"/>
          </w:tcPr>
          <w:p>
            <w:pPr>
              <w:ind w:left="220"/>
              <w:spacing w:after="0"/>
              <w:rPr>
                <w:sz w:val="20"/>
                <w:szCs w:val="20"/>
                <w:color w:val="auto"/>
              </w:rPr>
            </w:pPr>
            <w:r>
              <w:rPr>
                <w:rFonts w:ascii="Arial" w:cs="Arial" w:eastAsia="Arial" w:hAnsi="Arial"/>
                <w:sz w:val="16"/>
                <w:szCs w:val="16"/>
                <w:color w:val="auto"/>
              </w:rPr>
              <w:t>generic medicines</w:t>
            </w:r>
          </w:p>
        </w:tc>
        <w:tc>
          <w:tcPr>
            <w:tcW w:w="4600" w:type="dxa"/>
            <w:vAlign w:val="bottom"/>
            <w:vMerge w:val="restart"/>
          </w:tcPr>
          <w:p>
            <w:pPr>
              <w:ind w:left="360"/>
              <w:spacing w:after="0"/>
              <w:rPr>
                <w:sz w:val="20"/>
                <w:szCs w:val="20"/>
                <w:color w:val="auto"/>
              </w:rPr>
            </w:pPr>
            <w:r>
              <w:rPr>
                <w:rFonts w:ascii="Arial" w:cs="Arial" w:eastAsia="Arial" w:hAnsi="Arial"/>
                <w:sz w:val="16"/>
                <w:szCs w:val="16"/>
                <w:color w:val="auto"/>
              </w:rPr>
              <w:t>that could have a complex active ingredient, complex</w:t>
            </w:r>
          </w:p>
        </w:tc>
        <w:tc>
          <w:tcPr>
            <w:tcW w:w="0" w:type="dxa"/>
            <w:vAlign w:val="bottom"/>
          </w:tcPr>
          <w:p>
            <w:pPr>
              <w:spacing w:after="0"/>
              <w:rPr>
                <w:sz w:val="1"/>
                <w:szCs w:val="1"/>
                <w:color w:val="auto"/>
              </w:rPr>
            </w:pPr>
          </w:p>
        </w:tc>
      </w:tr>
      <w:tr>
        <w:trPr>
          <w:trHeight w:val="130"/>
        </w:trPr>
        <w:tc>
          <w:tcPr>
            <w:tcW w:w="2120" w:type="dxa"/>
            <w:vAlign w:val="bottom"/>
            <w:gridSpan w:val="2"/>
            <w:vMerge w:val="restart"/>
          </w:tcPr>
          <w:p>
            <w:pPr>
              <w:ind w:left="20"/>
              <w:spacing w:after="0"/>
              <w:rPr>
                <w:sz w:val="20"/>
                <w:szCs w:val="20"/>
                <w:color w:val="auto"/>
              </w:rPr>
            </w:pPr>
            <w:r>
              <w:rPr>
                <w:rFonts w:ascii="Arial" w:cs="Arial" w:eastAsia="Arial" w:hAnsi="Arial"/>
                <w:sz w:val="16"/>
                <w:szCs w:val="16"/>
                <w:color w:val="auto"/>
              </w:rPr>
              <w:t>recognized iconic brands</w:t>
            </w:r>
          </w:p>
        </w:tc>
        <w:tc>
          <w:tcPr>
            <w:tcW w:w="1960" w:type="dxa"/>
            <w:vAlign w:val="bottom"/>
            <w:vMerge w:val="continue"/>
          </w:tcPr>
          <w:p>
            <w:pPr>
              <w:spacing w:after="0"/>
              <w:rPr>
                <w:sz w:val="11"/>
                <w:szCs w:val="11"/>
                <w:color w:val="auto"/>
              </w:rPr>
            </w:pPr>
          </w:p>
        </w:tc>
        <w:tc>
          <w:tcPr>
            <w:tcW w:w="4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20" w:type="dxa"/>
            <w:vAlign w:val="bottom"/>
            <w:gridSpan w:val="2"/>
            <w:vMerge w:val="continue"/>
          </w:tcPr>
          <w:p>
            <w:pPr>
              <w:spacing w:after="0"/>
              <w:rPr>
                <w:sz w:val="7"/>
                <w:szCs w:val="7"/>
                <w:color w:val="auto"/>
              </w:rPr>
            </w:pPr>
          </w:p>
        </w:tc>
        <w:tc>
          <w:tcPr>
            <w:tcW w:w="1960" w:type="dxa"/>
            <w:vAlign w:val="bottom"/>
          </w:tcPr>
          <w:p>
            <w:pPr>
              <w:spacing w:after="0"/>
              <w:rPr>
                <w:sz w:val="7"/>
                <w:szCs w:val="7"/>
                <w:color w:val="auto"/>
              </w:rPr>
            </w:pPr>
          </w:p>
        </w:tc>
        <w:tc>
          <w:tcPr>
            <w:tcW w:w="4600" w:type="dxa"/>
            <w:vAlign w:val="bottom"/>
            <w:vMerge w:val="restart"/>
          </w:tcPr>
          <w:p>
            <w:pPr>
              <w:ind w:left="360"/>
              <w:spacing w:after="0"/>
              <w:rPr>
                <w:sz w:val="20"/>
                <w:szCs w:val="20"/>
                <w:color w:val="auto"/>
              </w:rPr>
            </w:pPr>
            <w:r>
              <w:rPr>
                <w:rFonts w:ascii="Arial" w:cs="Arial" w:eastAsia="Arial" w:hAnsi="Arial"/>
                <w:sz w:val="16"/>
                <w:szCs w:val="16"/>
                <w:color w:val="auto"/>
              </w:rPr>
              <w:t>formulation, complex route of delivery or complex drug</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6"/>
                <w:szCs w:val="16"/>
                <w:color w:val="auto"/>
              </w:rPr>
              <w:t>device combinations</w:t>
            </w:r>
          </w:p>
        </w:tc>
        <w:tc>
          <w:tcPr>
            <w:tcW w:w="0" w:type="dxa"/>
            <w:vAlign w:val="bottom"/>
          </w:tcPr>
          <w:p>
            <w:pPr>
              <w:spacing w:after="0"/>
              <w:rPr>
                <w:sz w:val="1"/>
                <w:szCs w:val="1"/>
                <w:color w:val="auto"/>
              </w:rPr>
            </w:pPr>
          </w:p>
        </w:tc>
      </w:tr>
      <w:tr>
        <w:trPr>
          <w:trHeight w:val="305"/>
        </w:trPr>
        <w:tc>
          <w:tcPr>
            <w:tcW w:w="1300" w:type="dxa"/>
            <w:vAlign w:val="bottom"/>
            <w:tcBorders>
              <w:bottom w:val="single" w:sz="8" w:color="46007B"/>
            </w:tcBorders>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1384300</wp:posOffset>
                </wp:positionH>
                <wp:positionV relativeFrom="paragraph">
                  <wp:posOffset>-236220</wp:posOffset>
                </wp:positionV>
                <wp:extent cx="63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 cy="4763"/>
                        </a:xfrm>
                        <a:prstGeom prst="line">
                          <a:avLst/>
                        </a:prstGeom>
                        <a:solidFill>
                          <a:srgbClr val="FFFFFF"/>
                        </a:solidFill>
                        <a:ln w="25">
                          <a:solidFill>
                            <a:srgbClr val="665E6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pt,-18.5999pt" to="109.5pt,-18.5999pt" o:allowincell="f" strokecolor="#665E60" strokeweight="0.002pt"/>
            </w:pict>
          </mc:Fallback>
        </mc:AlternateContent>
        <mc:AlternateContent>
          <mc:Choice Requires="wps">
            <w:drawing>
              <wp:anchor simplePos="0" relativeHeight="251657728" behindDoc="1" locked="0" layoutInCell="0" allowOverlap="1">
                <wp:simplePos x="0" y="0"/>
                <wp:positionH relativeFrom="column">
                  <wp:posOffset>2673985</wp:posOffset>
                </wp:positionH>
                <wp:positionV relativeFrom="paragraph">
                  <wp:posOffset>-236220</wp:posOffset>
                </wp:positionV>
                <wp:extent cx="635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 cy="4763"/>
                        </a:xfrm>
                        <a:prstGeom prst="line">
                          <a:avLst/>
                        </a:prstGeom>
                        <a:solidFill>
                          <a:srgbClr val="FFFFFF"/>
                        </a:solidFill>
                        <a:ln w="25">
                          <a:solidFill>
                            <a:srgbClr val="665E6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55pt,-18.5999pt" to="211.05pt,-18.5999pt" o:allowincell="f" strokecolor="#665E60" strokeweight="0.002pt"/>
            </w:pict>
          </mc:Fallback>
        </mc:AlternateContent>
      </w:r>
    </w:p>
    <w:p>
      <w:pPr>
        <w:spacing w:after="0" w:line="357" w:lineRule="exact"/>
        <w:rPr>
          <w:sz w:val="20"/>
          <w:szCs w:val="20"/>
          <w:color w:val="auto"/>
        </w:rPr>
      </w:pPr>
    </w:p>
    <w:p>
      <w:pPr>
        <w:ind w:left="80"/>
        <w:spacing w:after="0"/>
        <w:rPr>
          <w:sz w:val="20"/>
          <w:szCs w:val="20"/>
          <w:color w:val="auto"/>
        </w:rPr>
      </w:pPr>
      <w:r>
        <w:rPr>
          <w:rFonts w:ascii="Arial" w:cs="Arial" w:eastAsia="Arial" w:hAnsi="Arial"/>
          <w:sz w:val="38"/>
          <w:szCs w:val="38"/>
          <w:color w:val="00004D"/>
        </w:rPr>
        <w:t>Pipeline</w:t>
      </w:r>
    </w:p>
    <w:p>
      <w:pPr>
        <w:spacing w:after="0" w:line="147" w:lineRule="exact"/>
        <w:rPr>
          <w:sz w:val="20"/>
          <w:szCs w:val="20"/>
          <w:color w:val="auto"/>
        </w:rPr>
      </w:pPr>
    </w:p>
    <w:p>
      <w:pPr>
        <w:ind w:left="80" w:right="260"/>
        <w:spacing w:after="0" w:line="329" w:lineRule="auto"/>
        <w:rPr>
          <w:sz w:val="20"/>
          <w:szCs w:val="20"/>
          <w:color w:val="auto"/>
        </w:rPr>
      </w:pPr>
      <w:r>
        <w:rPr>
          <w:rFonts w:ascii="Arial" w:cs="Arial" w:eastAsia="Arial" w:hAnsi="Arial"/>
          <w:sz w:val="16"/>
          <w:szCs w:val="16"/>
          <w:color w:val="auto"/>
        </w:rPr>
        <w:t>We strive to meet individual needs, whether with a generic medicine, a trusted brand, an improved version of an existing medicine, or a truly novel therapeutic solution. Our pipeline investments leverage our scientific expertise to address some of the world’s most enduring health challenges.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004D"/>
        </w:rPr>
        <w:t>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-86360</wp:posOffset>
            </wp:positionV>
            <wp:extent cx="5628640" cy="6115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extLst>
                    </a:blip>
                    <a:srcRect/>
                    <a:stretch>
                      <a:fillRect/>
                    </a:stretch>
                  </pic:blipFill>
                  <pic:spPr bwMode="auto">
                    <a:xfrm>
                      <a:off x="0" y="0"/>
                      <a:ext cx="5628640" cy="611505"/>
                    </a:xfrm>
                    <a:prstGeom prst="rect">
                      <a:avLst/>
                    </a:prstGeom>
                    <a:noFill/>
                  </pic:spPr>
                </pic:pic>
              </a:graphicData>
            </a:graphic>
          </wp:anchor>
        </w:drawing>
      </w: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1060" w:type="dxa"/>
            <w:vAlign w:val="bottom"/>
          </w:tcPr>
          <w:p>
            <w:pPr>
              <w:jc w:val="center"/>
              <w:ind w:right="400"/>
              <w:spacing w:after="0"/>
              <w:rPr>
                <w:sz w:val="20"/>
                <w:szCs w:val="20"/>
                <w:color w:val="auto"/>
              </w:rPr>
            </w:pPr>
            <w:r>
              <w:rPr>
                <w:rFonts w:ascii="Arial" w:cs="Arial" w:eastAsia="Arial" w:hAnsi="Arial"/>
                <w:sz w:val="12"/>
                <w:szCs w:val="12"/>
                <w:color w:val="auto"/>
              </w:rPr>
              <w:t>Traditional</w:t>
            </w:r>
          </w:p>
        </w:tc>
        <w:tc>
          <w:tcPr>
            <w:tcW w:w="1500" w:type="dxa"/>
            <w:vAlign w:val="bottom"/>
          </w:tcPr>
          <w:p>
            <w:pPr>
              <w:jc w:val="center"/>
              <w:ind w:left="100"/>
              <w:spacing w:after="0"/>
              <w:rPr>
                <w:sz w:val="20"/>
                <w:szCs w:val="20"/>
                <w:color w:val="auto"/>
              </w:rPr>
            </w:pPr>
            <w:r>
              <w:rPr>
                <w:rFonts w:ascii="Arial" w:cs="Arial" w:eastAsia="Arial" w:hAnsi="Arial"/>
                <w:sz w:val="12"/>
                <w:szCs w:val="12"/>
                <w:color w:val="auto"/>
              </w:rPr>
              <w:t>Complex Oral</w:t>
            </w:r>
          </w:p>
        </w:tc>
        <w:tc>
          <w:tcPr>
            <w:tcW w:w="1440" w:type="dxa"/>
            <w:vAlign w:val="bottom"/>
          </w:tcPr>
          <w:p>
            <w:pPr>
              <w:jc w:val="center"/>
              <w:spacing w:after="0"/>
              <w:rPr>
                <w:sz w:val="20"/>
                <w:szCs w:val="20"/>
                <w:color w:val="auto"/>
              </w:rPr>
            </w:pPr>
            <w:r>
              <w:rPr>
                <w:rFonts w:ascii="Arial" w:cs="Arial" w:eastAsia="Arial" w:hAnsi="Arial"/>
                <w:sz w:val="12"/>
                <w:szCs w:val="12"/>
                <w:color w:val="FFFFFF"/>
              </w:rPr>
              <w:t>Topicals and</w:t>
            </w:r>
          </w:p>
        </w:tc>
        <w:tc>
          <w:tcPr>
            <w:tcW w:w="1400" w:type="dxa"/>
            <w:vAlign w:val="bottom"/>
            <w:vMerge w:val="restart"/>
          </w:tcPr>
          <w:p>
            <w:pPr>
              <w:ind w:left="340"/>
              <w:spacing w:after="0"/>
              <w:rPr>
                <w:sz w:val="20"/>
                <w:szCs w:val="20"/>
                <w:color w:val="auto"/>
              </w:rPr>
            </w:pPr>
            <w:r>
              <w:rPr>
                <w:rFonts w:ascii="Arial" w:cs="Arial" w:eastAsia="Arial" w:hAnsi="Arial"/>
                <w:sz w:val="12"/>
                <w:szCs w:val="12"/>
                <w:color w:val="FFFFFF"/>
              </w:rPr>
              <w:t>Respiratory</w:t>
            </w:r>
          </w:p>
        </w:tc>
        <w:tc>
          <w:tcPr>
            <w:tcW w:w="1400" w:type="dxa"/>
            <w:vAlign w:val="bottom"/>
          </w:tcPr>
          <w:p>
            <w:pPr>
              <w:jc w:val="center"/>
              <w:spacing w:after="0"/>
              <w:rPr>
                <w:sz w:val="20"/>
                <w:szCs w:val="20"/>
                <w:color w:val="auto"/>
              </w:rPr>
            </w:pPr>
            <w:r>
              <w:rPr>
                <w:rFonts w:ascii="Arial" w:cs="Arial" w:eastAsia="Arial" w:hAnsi="Arial"/>
                <w:sz w:val="12"/>
                <w:szCs w:val="12"/>
                <w:color w:val="FFFFFF"/>
              </w:rPr>
              <w:t>Complex</w:t>
            </w:r>
          </w:p>
        </w:tc>
        <w:tc>
          <w:tcPr>
            <w:tcW w:w="920" w:type="dxa"/>
            <w:vAlign w:val="bottom"/>
          </w:tcPr>
          <w:p>
            <w:pPr>
              <w:jc w:val="center"/>
              <w:ind w:left="340"/>
              <w:spacing w:after="0"/>
              <w:rPr>
                <w:sz w:val="20"/>
                <w:szCs w:val="20"/>
                <w:color w:val="auto"/>
              </w:rPr>
            </w:pPr>
            <w:r>
              <w:rPr>
                <w:rFonts w:ascii="Arial" w:cs="Arial" w:eastAsia="Arial" w:hAnsi="Arial"/>
                <w:sz w:val="12"/>
                <w:szCs w:val="12"/>
                <w:color w:val="FFFFFF"/>
              </w:rPr>
              <w:t>Novel</w:t>
            </w:r>
          </w:p>
        </w:tc>
        <w:tc>
          <w:tcPr>
            <w:tcW w:w="0" w:type="dxa"/>
            <w:vAlign w:val="bottom"/>
          </w:tcPr>
          <w:p>
            <w:pPr>
              <w:spacing w:after="0"/>
              <w:rPr>
                <w:sz w:val="1"/>
                <w:szCs w:val="1"/>
                <w:color w:val="auto"/>
              </w:rPr>
            </w:pPr>
          </w:p>
        </w:tc>
      </w:tr>
      <w:tr>
        <w:trPr>
          <w:trHeight w:val="91"/>
        </w:trPr>
        <w:tc>
          <w:tcPr>
            <w:tcW w:w="1060" w:type="dxa"/>
            <w:vAlign w:val="bottom"/>
            <w:vMerge w:val="restart"/>
          </w:tcPr>
          <w:p>
            <w:pPr>
              <w:jc w:val="center"/>
              <w:ind w:right="400"/>
              <w:spacing w:after="0"/>
              <w:rPr>
                <w:sz w:val="20"/>
                <w:szCs w:val="20"/>
                <w:color w:val="auto"/>
              </w:rPr>
            </w:pPr>
            <w:r>
              <w:rPr>
                <w:rFonts w:ascii="Arial" w:cs="Arial" w:eastAsia="Arial" w:hAnsi="Arial"/>
                <w:sz w:val="12"/>
                <w:szCs w:val="12"/>
                <w:color w:val="auto"/>
              </w:rPr>
              <w:t>Generics</w:t>
            </w:r>
          </w:p>
        </w:tc>
        <w:tc>
          <w:tcPr>
            <w:tcW w:w="1500" w:type="dxa"/>
            <w:vAlign w:val="bottom"/>
            <w:vMerge w:val="restart"/>
          </w:tcPr>
          <w:p>
            <w:pPr>
              <w:jc w:val="center"/>
              <w:ind w:left="100"/>
              <w:spacing w:after="0"/>
              <w:rPr>
                <w:sz w:val="20"/>
                <w:szCs w:val="20"/>
                <w:color w:val="auto"/>
              </w:rPr>
            </w:pPr>
            <w:r>
              <w:rPr>
                <w:rFonts w:ascii="Arial" w:cs="Arial" w:eastAsia="Arial" w:hAnsi="Arial"/>
                <w:sz w:val="12"/>
                <w:szCs w:val="12"/>
                <w:color w:val="auto"/>
              </w:rPr>
              <w:t>Solids</w:t>
            </w:r>
          </w:p>
        </w:tc>
        <w:tc>
          <w:tcPr>
            <w:tcW w:w="1440" w:type="dxa"/>
            <w:vAlign w:val="bottom"/>
            <w:vMerge w:val="restart"/>
          </w:tcPr>
          <w:p>
            <w:pPr>
              <w:jc w:val="center"/>
              <w:spacing w:after="0"/>
              <w:rPr>
                <w:sz w:val="20"/>
                <w:szCs w:val="20"/>
                <w:color w:val="auto"/>
              </w:rPr>
            </w:pPr>
            <w:r>
              <w:rPr>
                <w:rFonts w:ascii="Arial" w:cs="Arial" w:eastAsia="Arial" w:hAnsi="Arial"/>
                <w:sz w:val="12"/>
                <w:szCs w:val="12"/>
                <w:color w:val="FFFFFF"/>
              </w:rPr>
              <w:t>Transdermals</w:t>
            </w:r>
          </w:p>
        </w:tc>
        <w:tc>
          <w:tcPr>
            <w:tcW w:w="1400" w:type="dxa"/>
            <w:vAlign w:val="bottom"/>
            <w:vMerge w:val="continue"/>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Arial" w:cs="Arial" w:eastAsia="Arial" w:hAnsi="Arial"/>
                <w:sz w:val="12"/>
                <w:szCs w:val="12"/>
                <w:color w:val="FFFFFF"/>
              </w:rPr>
              <w:t>Injectables</w:t>
            </w:r>
          </w:p>
        </w:tc>
        <w:tc>
          <w:tcPr>
            <w:tcW w:w="920" w:type="dxa"/>
            <w:vAlign w:val="bottom"/>
            <w:vMerge w:val="restart"/>
          </w:tcPr>
          <w:p>
            <w:pPr>
              <w:jc w:val="center"/>
              <w:ind w:left="340"/>
              <w:spacing w:after="0"/>
              <w:rPr>
                <w:sz w:val="20"/>
                <w:szCs w:val="20"/>
                <w:color w:val="auto"/>
              </w:rPr>
            </w:pPr>
            <w:r>
              <w:rPr>
                <w:rFonts w:ascii="Arial" w:cs="Arial" w:eastAsia="Arial" w:hAnsi="Arial"/>
                <w:sz w:val="12"/>
                <w:szCs w:val="12"/>
                <w:color w:val="FFFFFF"/>
              </w:rPr>
              <w:t>Products</w:t>
            </w:r>
          </w:p>
        </w:tc>
        <w:tc>
          <w:tcPr>
            <w:tcW w:w="0" w:type="dxa"/>
            <w:vAlign w:val="bottom"/>
          </w:tcPr>
          <w:p>
            <w:pPr>
              <w:spacing w:after="0"/>
              <w:rPr>
                <w:sz w:val="1"/>
                <w:szCs w:val="1"/>
                <w:color w:val="auto"/>
              </w:rPr>
            </w:pPr>
          </w:p>
        </w:tc>
      </w:tr>
      <w:tr>
        <w:trPr>
          <w:trHeight w:val="70"/>
        </w:trPr>
        <w:tc>
          <w:tcPr>
            <w:tcW w:w="10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880" w:h="15480" w:orient="portrait"/>
          <w:cols w:equalWidth="0" w:num="1">
            <w:col w:w="9000"/>
          </w:cols>
          <w:pgMar w:left="1440" w:top="577" w:right="1440" w:bottom="767" w:gutter="0" w:footer="0" w:header="0"/>
          <w:type w:val="continuous"/>
        </w:sectPr>
      </w:pPr>
    </w:p>
    <w:bookmarkStart w:id="6" w:name="page7"/>
    <w:bookmarkEnd w:id="6"/>
    <w:p>
      <w:pPr>
        <w:ind w:left="68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966470</wp:posOffset>
            </wp:positionH>
            <wp:positionV relativeFrom="page">
              <wp:posOffset>246380</wp:posOffset>
            </wp:positionV>
            <wp:extent cx="1214755" cy="320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extLst>
                    </a:blip>
                    <a:srcRect/>
                    <a:stretch>
                      <a:fillRect/>
                    </a:stretch>
                  </pic:blipFill>
                  <pic:spPr bwMode="auto">
                    <a:xfrm>
                      <a:off x="0" y="0"/>
                      <a:ext cx="1214755" cy="320040"/>
                    </a:xfrm>
                    <a:prstGeom prst="rect">
                      <a:avLst/>
                    </a:prstGeom>
                    <a:noFill/>
                  </pic:spPr>
                </pic:pic>
              </a:graphicData>
            </a:graphic>
          </wp:anchor>
        </w:drawing>
        <w:t>2022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161290</wp:posOffset>
                </wp:positionV>
                <wp:extent cx="560641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6415" cy="4763"/>
                        </a:xfrm>
                        <a:prstGeom prst="line">
                          <a:avLst/>
                        </a:prstGeom>
                        <a:solidFill>
                          <a:srgbClr val="FFFFFF"/>
                        </a:solidFill>
                        <a:ln w="12700">
                          <a:solidFill>
                            <a:srgbClr val="46007B"/>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7pt" to="445.5pt,12.7pt" o:allowincell="f" strokecolor="#46007B" strokeweight="1pt"/>
            </w:pict>
          </mc:Fallback>
        </mc:AlternateContent>
        <mc:AlternateContent>
          <mc:Choice Requires="wps">
            <w:drawing>
              <wp:anchor simplePos="0" relativeHeight="251657728" behindDoc="1" locked="0" layoutInCell="0" allowOverlap="1">
                <wp:simplePos x="0" y="0"/>
                <wp:positionH relativeFrom="column">
                  <wp:posOffset>1723390</wp:posOffset>
                </wp:positionH>
                <wp:positionV relativeFrom="paragraph">
                  <wp:posOffset>412115</wp:posOffset>
                </wp:positionV>
                <wp:extent cx="0" cy="70802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80250"/>
                        </a:xfrm>
                        <a:prstGeom prst="line">
                          <a:avLst/>
                        </a:prstGeom>
                        <a:solidFill>
                          <a:srgbClr val="FFFFFF"/>
                        </a:solidFill>
                        <a:ln w="6350">
                          <a:solidFill>
                            <a:srgbClr val="40404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7pt,32.45pt" to="135.7pt,589.95pt" o:allowincell="f" strokecolor="#404040" strokeweight="0.5pt"/>
            </w:pict>
          </mc:Fallback>
        </mc:AlternateContent>
        <mc:AlternateContent>
          <mc:Choice Requires="wps">
            <w:drawing>
              <wp:anchor simplePos="0" relativeHeight="251657728" behindDoc="1" locked="0" layoutInCell="0" allowOverlap="1">
                <wp:simplePos x="0" y="0"/>
                <wp:positionH relativeFrom="column">
                  <wp:posOffset>3592195</wp:posOffset>
                </wp:positionH>
                <wp:positionV relativeFrom="paragraph">
                  <wp:posOffset>412115</wp:posOffset>
                </wp:positionV>
                <wp:extent cx="0" cy="70802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80250"/>
                        </a:xfrm>
                        <a:prstGeom prst="line">
                          <a:avLst/>
                        </a:prstGeom>
                        <a:solidFill>
                          <a:srgbClr val="FFFFFF"/>
                        </a:solidFill>
                        <a:ln w="6350">
                          <a:solidFill>
                            <a:srgbClr val="40404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85pt,32.45pt" to="282.85pt,589.95pt" o:allowincell="f" strokecolor="#404040" strokeweight="0.5pt"/>
            </w:pict>
          </mc:Fallback>
        </mc:AlternateContent>
      </w:r>
    </w:p>
    <w:p>
      <w:pPr>
        <w:sectPr>
          <w:pgSz w:w="11880" w:h="15480" w:orient="portrait"/>
          <w:cols w:equalWidth="0" w:num="1">
            <w:col w:w="9000"/>
          </w:cols>
          <w:pgMar w:left="144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24"/>
          <w:szCs w:val="24"/>
          <w:color w:val="46007B"/>
        </w:rPr>
        <w:t>Board of Directors</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 Don Cornwell</w:t>
      </w:r>
      <w:r>
        <w:rPr>
          <w:rFonts w:ascii="Arial" w:cs="Arial" w:eastAsia="Arial" w:hAnsi="Arial"/>
          <w:sz w:val="10"/>
          <w:szCs w:val="10"/>
          <w:color w:val="auto"/>
        </w:rPr>
        <w:t>*</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Retired Chairman &amp; Chief</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Officer, Granite</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Broadcasting Corporation</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J. Coury</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Chairman</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JoEllen Lyons Dillon</w:t>
      </w:r>
      <w:r>
        <w:rPr>
          <w:rFonts w:ascii="Arial" w:cs="Arial" w:eastAsia="Arial" w:hAnsi="Arial"/>
          <w:sz w:val="10"/>
          <w:szCs w:val="10"/>
          <w:color w:val="auto"/>
        </w:rPr>
        <w:t>*</w:t>
      </w:r>
    </w:p>
    <w:p>
      <w:pPr>
        <w:spacing w:after="0" w:line="4" w:lineRule="exact"/>
        <w:rPr>
          <w:sz w:val="20"/>
          <w:szCs w:val="20"/>
          <w:color w:val="auto"/>
        </w:rPr>
      </w:pPr>
    </w:p>
    <w:p>
      <w:pPr>
        <w:ind w:left="80" w:right="40"/>
        <w:spacing w:after="0" w:line="294" w:lineRule="auto"/>
        <w:rPr>
          <w:sz w:val="20"/>
          <w:szCs w:val="20"/>
          <w:color w:val="auto"/>
        </w:rPr>
      </w:pPr>
      <w:r>
        <w:rPr>
          <w:rFonts w:ascii="Arial" w:cs="Arial" w:eastAsia="Arial" w:hAnsi="Arial"/>
          <w:sz w:val="15"/>
          <w:szCs w:val="15"/>
          <w:i w:val="1"/>
          <w:iCs w:val="1"/>
          <w:color w:val="auto"/>
        </w:rPr>
        <w:t>Retired Executive Vice President, Chief Legal Officer and Corporate Secretary, The ExOne Company</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Elisha W. Finney</w:t>
      </w:r>
      <w:r>
        <w:rPr>
          <w:rFonts w:ascii="Arial" w:cs="Arial" w:eastAsia="Arial" w:hAnsi="Arial"/>
          <w:sz w:val="10"/>
          <w:szCs w:val="10"/>
          <w:color w:val="auto"/>
        </w:rPr>
        <w:t>*</w:t>
      </w:r>
    </w:p>
    <w:p>
      <w:pPr>
        <w:spacing w:after="0" w:line="4" w:lineRule="exact"/>
        <w:rPr>
          <w:sz w:val="20"/>
          <w:szCs w:val="20"/>
          <w:color w:val="auto"/>
        </w:rPr>
      </w:pPr>
    </w:p>
    <w:p>
      <w:pPr>
        <w:ind w:left="80" w:right="180"/>
        <w:spacing w:after="0" w:line="294" w:lineRule="auto"/>
        <w:rPr>
          <w:sz w:val="20"/>
          <w:szCs w:val="20"/>
          <w:color w:val="auto"/>
        </w:rPr>
      </w:pPr>
      <w:r>
        <w:rPr>
          <w:rFonts w:ascii="Arial" w:cs="Arial" w:eastAsia="Arial" w:hAnsi="Arial"/>
          <w:sz w:val="15"/>
          <w:szCs w:val="15"/>
          <w:i w:val="1"/>
          <w:iCs w:val="1"/>
          <w:color w:val="auto"/>
        </w:rPr>
        <w:t>Retired Executive Vice President and Chief Financial Officer, Varian Medical Systems, Inc.</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 Groothuis</w:t>
      </w:r>
      <w:r>
        <w:rPr>
          <w:rFonts w:ascii="Arial" w:cs="Arial" w:eastAsia="Arial" w:hAnsi="Arial"/>
          <w:sz w:val="10"/>
          <w:szCs w:val="10"/>
          <w:color w:val="auto"/>
        </w:rPr>
        <w:t>*</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5"/>
          <w:szCs w:val="15"/>
          <w:i w:val="1"/>
          <w:iCs w:val="1"/>
          <w:color w:val="auto"/>
        </w:rPr>
        <w:t>General Counsel, HAL Investments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Melina Higgins</w:t>
      </w:r>
      <w:r>
        <w:rPr>
          <w:rFonts w:ascii="Arial" w:cs="Arial" w:eastAsia="Arial" w:hAnsi="Arial"/>
          <w:sz w:val="10"/>
          <w:szCs w:val="10"/>
          <w:color w:val="auto"/>
        </w:rPr>
        <w:t>*</w:t>
      </w:r>
    </w:p>
    <w:p>
      <w:pPr>
        <w:spacing w:after="0" w:line="4" w:lineRule="exact"/>
        <w:rPr>
          <w:sz w:val="20"/>
          <w:szCs w:val="20"/>
          <w:color w:val="auto"/>
        </w:rPr>
      </w:pPr>
    </w:p>
    <w:p>
      <w:pPr>
        <w:ind w:left="80" w:right="260"/>
        <w:spacing w:after="0" w:line="322" w:lineRule="auto"/>
        <w:rPr>
          <w:sz w:val="20"/>
          <w:szCs w:val="20"/>
          <w:color w:val="auto"/>
        </w:rPr>
      </w:pPr>
      <w:r>
        <w:rPr>
          <w:rFonts w:ascii="Arial" w:cs="Arial" w:eastAsia="Arial" w:hAnsi="Arial"/>
          <w:sz w:val="15"/>
          <w:szCs w:val="15"/>
          <w:i w:val="1"/>
          <w:iCs w:val="1"/>
          <w:color w:val="auto"/>
        </w:rPr>
        <w:t>Retired Partner and Managing Director, Goldman Sachs</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James M. Kilts</w:t>
      </w:r>
      <w:r>
        <w:rPr>
          <w:rFonts w:ascii="Arial" w:cs="Arial" w:eastAsia="Arial" w:hAnsi="Arial"/>
          <w:sz w:val="10"/>
          <w:szCs w:val="10"/>
          <w:color w:val="auto"/>
        </w:rPr>
        <w:t>*</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Founding Partner,</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Centerview Capital</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Harry A. Korman</w:t>
      </w:r>
      <w:r>
        <w:rPr>
          <w:rFonts w:ascii="Arial" w:cs="Arial" w:eastAsia="Arial" w:hAnsi="Arial"/>
          <w:sz w:val="10"/>
          <w:szCs w:val="10"/>
          <w:color w:val="auto"/>
        </w:rPr>
        <w:t>*</w:t>
      </w:r>
    </w:p>
    <w:p>
      <w:pPr>
        <w:spacing w:after="0" w:line="4" w:lineRule="exact"/>
        <w:rPr>
          <w:sz w:val="20"/>
          <w:szCs w:val="20"/>
          <w:color w:val="auto"/>
        </w:rPr>
      </w:pPr>
    </w:p>
    <w:p>
      <w:pPr>
        <w:ind w:left="80" w:right="740"/>
        <w:spacing w:after="0" w:line="322" w:lineRule="auto"/>
        <w:rPr>
          <w:sz w:val="20"/>
          <w:szCs w:val="20"/>
          <w:color w:val="auto"/>
        </w:rPr>
      </w:pPr>
      <w:r>
        <w:rPr>
          <w:rFonts w:ascii="Arial" w:cs="Arial" w:eastAsia="Arial" w:hAnsi="Arial"/>
          <w:sz w:val="15"/>
          <w:szCs w:val="15"/>
          <w:i w:val="1"/>
          <w:iCs w:val="1"/>
          <w:color w:val="auto"/>
        </w:rPr>
        <w:t>Retired Chief Operating Officer, Mylan Inc.</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Rajiv Malik</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Director and President</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Richard A. Mark, C.P.A.</w:t>
      </w:r>
      <w:r>
        <w:rPr>
          <w:rFonts w:ascii="Arial" w:cs="Arial" w:eastAsia="Arial" w:hAnsi="Arial"/>
          <w:sz w:val="10"/>
          <w:szCs w:val="10"/>
          <w:color w:val="auto"/>
        </w:rPr>
        <w:t>*</w:t>
      </w:r>
    </w:p>
    <w:p>
      <w:pPr>
        <w:spacing w:after="0" w:line="4" w:lineRule="exact"/>
        <w:rPr>
          <w:sz w:val="20"/>
          <w:szCs w:val="20"/>
          <w:color w:val="auto"/>
        </w:rPr>
      </w:pPr>
    </w:p>
    <w:p>
      <w:pPr>
        <w:ind w:left="80" w:right="880"/>
        <w:spacing w:after="0" w:line="322" w:lineRule="auto"/>
        <w:rPr>
          <w:sz w:val="20"/>
          <w:szCs w:val="20"/>
          <w:color w:val="auto"/>
        </w:rPr>
      </w:pPr>
      <w:r>
        <w:rPr>
          <w:rFonts w:ascii="Arial" w:cs="Arial" w:eastAsia="Arial" w:hAnsi="Arial"/>
          <w:sz w:val="15"/>
          <w:szCs w:val="15"/>
          <w:i w:val="1"/>
          <w:iCs w:val="1"/>
          <w:color w:val="auto"/>
        </w:rPr>
        <w:t>Retired Partner, Deloitte &amp; Touche LLP</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Mark W. Parrish</w:t>
      </w:r>
      <w:r>
        <w:rPr>
          <w:rFonts w:ascii="Arial" w:cs="Arial" w:eastAsia="Arial" w:hAnsi="Arial"/>
          <w:sz w:val="10"/>
          <w:szCs w:val="10"/>
          <w:color w:val="auto"/>
        </w:rPr>
        <w:t>*</w:t>
      </w:r>
    </w:p>
    <w:p>
      <w:pPr>
        <w:spacing w:after="0" w:line="4" w:lineRule="exact"/>
        <w:rPr>
          <w:sz w:val="20"/>
          <w:szCs w:val="20"/>
          <w:color w:val="auto"/>
        </w:rPr>
      </w:pPr>
    </w:p>
    <w:p>
      <w:pPr>
        <w:ind w:left="80" w:right="420"/>
        <w:spacing w:after="0" w:line="285" w:lineRule="auto"/>
        <w:rPr>
          <w:sz w:val="20"/>
          <w:szCs w:val="20"/>
          <w:color w:val="auto"/>
        </w:rPr>
      </w:pPr>
      <w:r>
        <w:rPr>
          <w:rFonts w:ascii="Arial" w:cs="Arial" w:eastAsia="Arial" w:hAnsi="Arial"/>
          <w:sz w:val="15"/>
          <w:szCs w:val="15"/>
          <w:i w:val="1"/>
          <w:iCs w:val="1"/>
          <w:color w:val="auto"/>
        </w:rPr>
        <w:t>Lead Independent Director and Vice Chairman, Viatris; Former Executive Chairman, TridentUSA Health Services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Scott A. Smith</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Director and Chief</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Officer</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Pauline van der Meer Mohr</w:t>
      </w:r>
      <w:r>
        <w:rPr>
          <w:rFonts w:ascii="Arial" w:cs="Arial" w:eastAsia="Arial" w:hAnsi="Arial"/>
          <w:sz w:val="10"/>
          <w:szCs w:val="10"/>
          <w:color w:val="auto"/>
        </w:rPr>
        <w:t>*</w:t>
      </w:r>
    </w:p>
    <w:p>
      <w:pPr>
        <w:spacing w:after="0" w:line="4" w:lineRule="exact"/>
        <w:rPr>
          <w:sz w:val="20"/>
          <w:szCs w:val="20"/>
          <w:color w:val="auto"/>
        </w:rPr>
      </w:pPr>
    </w:p>
    <w:p>
      <w:pPr>
        <w:ind w:left="80" w:right="440"/>
        <w:spacing w:after="0" w:line="294" w:lineRule="auto"/>
        <w:rPr>
          <w:sz w:val="20"/>
          <w:szCs w:val="20"/>
          <w:color w:val="auto"/>
        </w:rPr>
      </w:pPr>
      <w:r>
        <w:rPr>
          <w:rFonts w:ascii="Arial" w:cs="Arial" w:eastAsia="Arial" w:hAnsi="Arial"/>
          <w:sz w:val="15"/>
          <w:szCs w:val="15"/>
          <w:i w:val="1"/>
          <w:iCs w:val="1"/>
          <w:color w:val="auto"/>
        </w:rPr>
        <w:t>Former President of the Executive Board at Erasmus University, Rotterdam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46007B"/>
        </w:rPr>
        <w:t>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Chairman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Scott A. Smith</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Rajiv Malik</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Sanjeev Narula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Financial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Paul Campbell</w:t>
      </w:r>
    </w:p>
    <w:p>
      <w:pPr>
        <w:spacing w:after="0" w:line="4" w:lineRule="exact"/>
        <w:rPr>
          <w:sz w:val="20"/>
          <w:szCs w:val="20"/>
          <w:color w:val="auto"/>
        </w:rPr>
      </w:pPr>
    </w:p>
    <w:p>
      <w:pPr>
        <w:ind w:right="480"/>
        <w:spacing w:after="0" w:line="318" w:lineRule="auto"/>
        <w:rPr>
          <w:sz w:val="20"/>
          <w:szCs w:val="20"/>
          <w:color w:val="auto"/>
        </w:rPr>
      </w:pPr>
      <w:r>
        <w:rPr>
          <w:rFonts w:ascii="Arial" w:cs="Arial" w:eastAsia="Arial" w:hAnsi="Arial"/>
          <w:sz w:val="16"/>
          <w:szCs w:val="16"/>
          <w:i w:val="1"/>
          <w:iCs w:val="1"/>
          <w:color w:val="auto"/>
        </w:rPr>
        <w:t>Chief Accounting Officer and Corporate Controller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Brian Roman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General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Andrew Cuneo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Japan, Australia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and New Zealand and Emerging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Anthony Mauro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Developed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Xiangyang (Sean) Ni</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Greater China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46007B"/>
        </w:rPr>
        <w:t>Headquarters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1000 Mylan Boulevard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Canonsburg, PA 15317</w:t>
      </w:r>
    </w:p>
    <w:p>
      <w:pPr>
        <w:spacing w:after="0" w:line="194" w:lineRule="exact"/>
        <w:rPr>
          <w:sz w:val="20"/>
          <w:szCs w:val="20"/>
          <w:color w:val="auto"/>
        </w:rPr>
      </w:pPr>
    </w:p>
    <w:p>
      <w:pPr>
        <w:ind w:right="160"/>
        <w:spacing w:after="0" w:line="285" w:lineRule="auto"/>
        <w:rPr>
          <w:sz w:val="20"/>
          <w:szCs w:val="20"/>
          <w:color w:val="auto"/>
        </w:rPr>
      </w:pPr>
      <w:r>
        <w:rPr>
          <w:rFonts w:ascii="Arial" w:cs="Arial" w:eastAsia="Arial" w:hAnsi="Arial"/>
          <w:sz w:val="20"/>
          <w:szCs w:val="20"/>
          <w:color w:val="46007B"/>
        </w:rPr>
        <w:t>Independent Registered Public Accounting Firm</w:t>
      </w:r>
    </w:p>
    <w:p>
      <w:pPr>
        <w:spacing w:after="0" w:line="46" w:lineRule="exact"/>
        <w:rPr>
          <w:sz w:val="20"/>
          <w:szCs w:val="20"/>
          <w:color w:val="auto"/>
        </w:rPr>
      </w:pPr>
    </w:p>
    <w:p>
      <w:pPr>
        <w:ind w:right="1160"/>
        <w:spacing w:after="0" w:line="303" w:lineRule="auto"/>
        <w:rPr>
          <w:sz w:val="20"/>
          <w:szCs w:val="20"/>
          <w:color w:val="auto"/>
        </w:rPr>
      </w:pPr>
      <w:r>
        <w:rPr>
          <w:rFonts w:ascii="Arial" w:cs="Arial" w:eastAsia="Arial" w:hAnsi="Arial"/>
          <w:sz w:val="16"/>
          <w:szCs w:val="16"/>
          <w:color w:val="auto"/>
        </w:rPr>
        <w:t>Deloitte &amp; Touche LLP One PPG Place Suite 2600 Pittsburgh, PA 15222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46007B"/>
        </w:rPr>
        <w:t>Stock Exchange Listing</w:t>
      </w:r>
    </w:p>
    <w:p>
      <w:pPr>
        <w:spacing w:after="0" w:line="122" w:lineRule="exact"/>
        <w:rPr>
          <w:sz w:val="20"/>
          <w:szCs w:val="20"/>
          <w:color w:val="auto"/>
        </w:rPr>
      </w:pPr>
    </w:p>
    <w:p>
      <w:pPr>
        <w:ind w:right="920"/>
        <w:spacing w:after="0" w:line="320" w:lineRule="auto"/>
        <w:rPr>
          <w:sz w:val="20"/>
          <w:szCs w:val="20"/>
          <w:color w:val="auto"/>
        </w:rPr>
      </w:pPr>
      <w:r>
        <w:rPr>
          <w:rFonts w:ascii="Arial" w:cs="Arial" w:eastAsia="Arial" w:hAnsi="Arial"/>
          <w:sz w:val="16"/>
          <w:szCs w:val="16"/>
          <w:color w:val="auto"/>
        </w:rPr>
        <w:t>Nasdaq Global Select Market Ticker Symbol: VTRS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46007B"/>
        </w:rPr>
        <w:t>Stock Transfer Agent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Equiniti Trust Company, LLC</w:t>
      </w:r>
    </w:p>
    <w:p>
      <w:pPr>
        <w:spacing w:after="0" w:line="55" w:lineRule="exact"/>
        <w:rPr>
          <w:sz w:val="20"/>
          <w:szCs w:val="20"/>
          <w:color w:val="auto"/>
        </w:rPr>
      </w:pPr>
    </w:p>
    <w:p>
      <w:pPr>
        <w:ind w:right="980"/>
        <w:spacing w:after="0" w:line="377" w:lineRule="auto"/>
        <w:rPr>
          <w:sz w:val="20"/>
          <w:szCs w:val="20"/>
          <w:color w:val="auto"/>
        </w:rPr>
      </w:pPr>
      <w:r>
        <w:rPr>
          <w:rFonts w:ascii="Arial" w:cs="Arial" w:eastAsia="Arial" w:hAnsi="Arial"/>
          <w:sz w:val="13"/>
          <w:szCs w:val="13"/>
          <w:i w:val="1"/>
          <w:iCs w:val="1"/>
          <w:color w:val="auto"/>
        </w:rPr>
        <w:t>(formerly American Stock Transfer and Trust Company,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6201 15</w:t>
      </w:r>
      <w:r>
        <w:rPr>
          <w:rFonts w:ascii="Arial" w:cs="Arial" w:eastAsia="Arial" w:hAnsi="Arial"/>
          <w:sz w:val="9"/>
          <w:szCs w:val="9"/>
          <w:color w:val="auto"/>
        </w:rPr>
        <w:t>th</w:t>
      </w:r>
      <w:r>
        <w:rPr>
          <w:rFonts w:ascii="Arial" w:cs="Arial" w:eastAsia="Arial" w:hAnsi="Arial"/>
          <w:sz w:val="16"/>
          <w:szCs w:val="16"/>
          <w:color w:val="auto"/>
        </w:rPr>
        <w:t xml:space="preserve"> Avenue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Brooklyn, NY 11219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Toll Free (US): 877.536.1556</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Outside the US: 718.921.8200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Website: https://equiniti.com/us/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46007B"/>
        </w:rPr>
        <w:t>Viatris Investor Relations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Viatris Inc.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1000 Mylan Boulevard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Canonsburg, PA 15317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Phone: 724.514.1813</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Email: InvestorRelations@viatris.com</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46007B"/>
        </w:rPr>
        <w:t>Contact our Directors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Viatris Inc.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1000 Mylan Boulevard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Canonsburg, PA 15317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CorporateSecretary@viatris.com</w:t>
      </w:r>
    </w:p>
    <w:p>
      <w:pPr>
        <w:spacing w:after="0" w:line="1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You may also contact our directors regarding accounting, internal accounting controls, or auditing matters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AuditCommitteeChair@viatris.com</w:t>
      </w:r>
    </w:p>
    <w:p>
      <w:pPr>
        <w:spacing w:after="0" w:line="1223" w:lineRule="exact"/>
        <w:rPr>
          <w:sz w:val="20"/>
          <w:szCs w:val="20"/>
          <w:color w:val="auto"/>
        </w:rPr>
      </w:pPr>
    </w:p>
    <w:p>
      <w:pPr>
        <w:sectPr>
          <w:pgSz w:w="11880" w:h="15480" w:orient="portrait"/>
          <w:cols w:equalWidth="0" w:num="3">
            <w:col w:w="2480" w:space="500"/>
            <w:col w:w="2260" w:space="680"/>
            <w:col w:w="3080"/>
          </w:cols>
          <w:pgMar w:left="1440" w:top="57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2"/>
          <w:szCs w:val="12"/>
          <w:color w:val="auto"/>
        </w:rPr>
        <w:t>Board of Directors and Executive Officer information as of October 30, 2023</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2"/>
          <w:szCs w:val="12"/>
          <w:color w:val="auto"/>
        </w:rPr>
        <w:t>* Independent Director</w:t>
      </w:r>
    </w:p>
    <w:p>
      <w:pPr>
        <w:sectPr>
          <w:pgSz w:w="11880" w:h="15480" w:orient="portrait"/>
          <w:cols w:equalWidth="0" w:num="1">
            <w:col w:w="9000"/>
          </w:cols>
          <w:pgMar w:left="1440" w:top="577" w:right="1440" w:bottom="0" w:gutter="0" w:footer="0" w:header="0"/>
          <w:type w:val="continuous"/>
        </w:sectPr>
      </w:pPr>
    </w:p>
    <w:bookmarkStart w:id="7" w:name="page8"/>
    <w:bookmarkEnd w:id="7"/>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spacing w:after="0" w:line="1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812800</wp:posOffset>
                </wp:positionV>
                <wp:extent cx="64008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pt" to="549pt,64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860425</wp:posOffset>
                </wp:positionV>
                <wp:extent cx="6400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7.75pt" to="549pt,67.75pt" o:allowincell="f" strokecolor="#000000" strokeweight="0.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jc w:val="center"/>
        <w:spacing w:after="0" w:line="208"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00"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1" w:lineRule="exact"/>
        <w:rPr>
          <w:sz w:val="20"/>
          <w:szCs w:val="20"/>
          <w:color w:val="auto"/>
        </w:rPr>
      </w:pPr>
    </w:p>
    <w:p>
      <w:pPr>
        <w:ind w:left="400" w:right="2380" w:hanging="400"/>
        <w:spacing w:after="0" w:line="214" w:lineRule="auto"/>
        <w:tabs>
          <w:tab w:leader="none" w:pos="4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91" w:lineRule="auto"/>
        <w:rPr>
          <w:sz w:val="20"/>
          <w:szCs w:val="20"/>
          <w:color w:val="auto"/>
        </w:rPr>
      </w:pPr>
      <w:r>
        <w:rPr>
          <w:rFonts w:ascii="Arial" w:cs="Arial" w:eastAsia="Arial" w:hAnsi="Arial"/>
          <w:sz w:val="5"/>
          <w:szCs w:val="5"/>
          <w:color w:val="auto"/>
        </w:rPr>
        <w:t xml:space="preserve">‘  </w:t>
      </w:r>
      <w:r>
        <w:rPr>
          <w:rFonts w:ascii="Times New Roman" w:cs="Times New Roman" w:eastAsia="Times New Roman" w:hAnsi="Times New Roman"/>
          <w:sz w:val="5"/>
          <w:szCs w:val="5"/>
          <w:b w:val="1"/>
          <w:bCs w:val="1"/>
          <w:color w:val="auto"/>
        </w:rPr>
        <w:t>Transition Report pursuant to Section 13 or 15(d) of the Securities Exchange Act of 1934</w:t>
      </w:r>
    </w:p>
    <w:p>
      <w:pPr>
        <w:spacing w:after="0" w:line="168" w:lineRule="exact"/>
        <w:rPr>
          <w:sz w:val="20"/>
          <w:szCs w:val="20"/>
          <w:color w:val="auto"/>
        </w:rPr>
      </w:pPr>
    </w:p>
    <w:p>
      <w:pPr>
        <w:ind w:left="400"/>
        <w:spacing w:after="0"/>
        <w:tabs>
          <w:tab w:leader="none" w:pos="37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jc w:val="center"/>
        <w:spacing w:after="0" w:line="235" w:lineRule="auto"/>
        <w:rPr>
          <w:sz w:val="20"/>
          <w:szCs w:val="20"/>
          <w:color w:val="auto"/>
        </w:rPr>
      </w:pPr>
      <w:r>
        <w:rPr>
          <w:rFonts w:ascii="Times New Roman" w:cs="Times New Roman" w:eastAsia="Times New Roman" w:hAnsi="Times New Roman"/>
          <w:sz w:val="46"/>
          <w:szCs w:val="46"/>
          <w:b w:val="1"/>
          <w:bCs w:val="1"/>
          <w:color w:val="auto"/>
        </w:rPr>
        <w:t>VIATRIS INC.</w:t>
      </w:r>
    </w:p>
    <w:p>
      <w:pPr>
        <w:jc w:val="center"/>
        <w:spacing w:after="0" w:line="190" w:lineRule="auto"/>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880" w:h="15480" w:orient="portrait"/>
          <w:cols w:equalWidth="0" w:num="1">
            <w:col w:w="10080"/>
          </w:cols>
          <w:pgMar w:left="900" w:top="1440" w:right="900" w:bottom="699" w:gutter="0" w:footer="0" w:header="0"/>
        </w:sectPr>
      </w:pPr>
    </w:p>
    <w:p>
      <w:pPr>
        <w:spacing w:after="0" w:line="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1" w:lineRule="exact"/>
        <w:rPr>
          <w:sz w:val="20"/>
          <w:szCs w:val="20"/>
          <w:color w:val="auto"/>
        </w:rPr>
      </w:pPr>
    </w:p>
    <w:p>
      <w:pPr>
        <w:sectPr>
          <w:pgSz w:w="11880" w:h="15480" w:orient="portrait"/>
          <w:cols w:equalWidth="0" w:num="2">
            <w:col w:w="6400" w:space="720"/>
            <w:col w:w="2960"/>
          </w:cols>
          <w:pgMar w:left="900" w:top="1440" w:right="900" w:bottom="699" w:gutter="0" w:footer="0" w:header="0"/>
          <w:type w:val="continuous"/>
        </w:sectPr>
      </w:pPr>
    </w:p>
    <w:p>
      <w:pPr>
        <w:ind w:left="520"/>
        <w:spacing w:after="0" w:line="203" w:lineRule="auto"/>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17" w:lineRule="auto"/>
        <w:rPr>
          <w:sz w:val="20"/>
          <w:szCs w:val="20"/>
          <w:color w:val="auto"/>
        </w:rPr>
      </w:pPr>
      <w:r>
        <w:rPr>
          <w:rFonts w:ascii="Times New Roman" w:cs="Times New Roman" w:eastAsia="Times New Roman" w:hAnsi="Times New Roman"/>
          <w:sz w:val="15"/>
          <w:szCs w:val="15"/>
          <w:i w:val="1"/>
          <w:iCs w:val="1"/>
          <w:color w:val="auto"/>
        </w:rPr>
        <w:t>(I.R.S. Employer Identification No.)</w:t>
      </w:r>
    </w:p>
    <w:p>
      <w:pPr>
        <w:spacing w:after="0" w:line="22" w:lineRule="exact"/>
        <w:rPr>
          <w:sz w:val="20"/>
          <w:szCs w:val="20"/>
          <w:color w:val="auto"/>
        </w:rPr>
      </w:pPr>
    </w:p>
    <w:p>
      <w:pPr>
        <w:sectPr>
          <w:pgSz w:w="11880" w:h="15480" w:orient="portrait"/>
          <w:cols w:equalWidth="0" w:num="2">
            <w:col w:w="5700" w:space="720"/>
            <w:col w:w="3660"/>
          </w:cols>
          <w:pgMar w:left="900" w:top="1440" w:right="900" w:bottom="699"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1000 Mylan Boulevard, Canonsburg, Pennsylvania, 15317</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(724) 514-1800</w:t>
      </w:r>
    </w:p>
    <w:p>
      <w:pPr>
        <w:jc w:val="center"/>
        <w:spacing w:after="0" w:line="231" w:lineRule="auto"/>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880" w:h="15480" w:orient="portrait"/>
          <w:cols w:equalWidth="0" w:num="1">
            <w:col w:w="10080"/>
          </w:cols>
          <w:pgMar w:left="900" w:top="1440" w:right="900" w:bottom="699" w:gutter="0" w:footer="0" w:header="0"/>
          <w:type w:val="continuous"/>
        </w:sectPr>
      </w:pPr>
    </w:p>
    <w:p>
      <w:pPr>
        <w:spacing w:after="0" w:line="3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p>
      <w:pPr>
        <w:jc w:val="center"/>
        <w:spacing w:after="0" w:line="231" w:lineRule="auto"/>
        <w:rPr>
          <w:sz w:val="20"/>
          <w:szCs w:val="20"/>
          <w:color w:val="auto"/>
        </w:rPr>
      </w:pPr>
      <w:r>
        <w:rPr>
          <w:rFonts w:ascii="Times New Roman" w:cs="Times New Roman" w:eastAsia="Times New Roman" w:hAnsi="Times New Roman"/>
          <w:sz w:val="18"/>
          <w:szCs w:val="18"/>
          <w:color w:val="auto"/>
        </w:rPr>
        <w:t>VTRS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100"/>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Stock Market</w:t>
      </w:r>
    </w:p>
    <w:p>
      <w:pPr>
        <w:spacing w:after="0" w:line="61" w:lineRule="exact"/>
        <w:rPr>
          <w:sz w:val="20"/>
          <w:szCs w:val="20"/>
          <w:color w:val="auto"/>
        </w:rPr>
      </w:pPr>
    </w:p>
    <w:p>
      <w:pPr>
        <w:sectPr>
          <w:pgSz w:w="11880" w:h="15480" w:orient="portrait"/>
          <w:cols w:equalWidth="0" w:num="3">
            <w:col w:w="3540" w:space="720"/>
            <w:col w:w="1460" w:space="680"/>
            <w:col w:w="3680"/>
          </w:cols>
          <w:pgMar w:left="900" w:top="1440" w:right="900" w:bottom="699"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12(g) of the Act: None</w:t>
      </w:r>
    </w:p>
    <w:p>
      <w:pPr>
        <w:sectPr>
          <w:pgSz w:w="11880" w:h="15480" w:orient="portrait"/>
          <w:cols w:equalWidth="0" w:num="1">
            <w:col w:w="10080"/>
          </w:cols>
          <w:pgMar w:left="900" w:top="1440" w:right="900" w:bottom="699"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w:t>
      </w:r>
    </w:p>
    <w:p>
      <w:pPr>
        <w:ind w:left="120"/>
        <w:spacing w:after="0" w:line="231" w:lineRule="auto"/>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Í</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check</w:t>
      </w:r>
    </w:p>
    <w:p>
      <w:pPr>
        <w:ind w:left="140"/>
        <w:spacing w:after="0" w:line="231" w:lineRule="auto"/>
        <w:rPr>
          <w:sz w:val="20"/>
          <w:szCs w:val="20"/>
          <w:color w:val="auto"/>
        </w:rPr>
      </w:pPr>
      <w:r>
        <w:rPr>
          <w:rFonts w:ascii="Times New Roman" w:cs="Times New Roman" w:eastAsia="Times New Roman" w:hAnsi="Times New Roman"/>
          <w:sz w:val="18"/>
          <w:szCs w:val="18"/>
          <w:color w:val="auto"/>
        </w:rPr>
        <w:t xml:space="preserve">No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mark</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if</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well-known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seasoned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defined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Rule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w:t>
      </w:r>
    </w:p>
    <w:p>
      <w:pPr>
        <w:spacing w:after="0" w:line="239" w:lineRule="exact"/>
        <w:rPr>
          <w:sz w:val="20"/>
          <w:szCs w:val="20"/>
          <w:color w:val="auto"/>
        </w:rPr>
      </w:pPr>
    </w:p>
    <w:p>
      <w:pPr>
        <w:sectPr>
          <w:pgSz w:w="11880" w:h="15480" w:orient="portrait"/>
          <w:cols w:equalWidth="0" w:num="20">
            <w:col w:w="300" w:space="60"/>
            <w:col w:w="680" w:space="40"/>
            <w:col w:w="720" w:space="140"/>
            <w:col w:w="360" w:space="140"/>
            <w:col w:w="100" w:space="140"/>
            <w:col w:w="220" w:space="120"/>
            <w:col w:w="680" w:space="140"/>
            <w:col w:w="120" w:space="120"/>
            <w:col w:w="80" w:space="140"/>
            <w:col w:w="840" w:space="140"/>
            <w:col w:w="640" w:space="140"/>
            <w:col w:w="460" w:space="140"/>
            <w:col w:w="140" w:space="140"/>
            <w:col w:w="540" w:space="120"/>
            <w:col w:w="140" w:space="140"/>
            <w:col w:w="340" w:space="120"/>
            <w:col w:w="280" w:space="120"/>
            <w:col w:w="160" w:space="120"/>
            <w:col w:w="220" w:space="140"/>
            <w:col w:w="700"/>
          </w:cols>
          <w:pgMar w:left="900" w:top="1440" w:right="900" w:bottom="699" w:gutter="0" w:footer="0" w:header="0"/>
          <w:type w:val="continuous"/>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Indicate</w:t>
      </w:r>
    </w:p>
    <w:p>
      <w:pPr>
        <w:ind w:left="120"/>
        <w:spacing w:after="0" w:line="231" w:lineRule="auto"/>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hanging="159"/>
        <w:spacing w:after="0"/>
        <w:rPr>
          <w:sz w:val="20"/>
          <w:szCs w:val="20"/>
          <w:color w:val="auto"/>
        </w:rPr>
      </w:pPr>
      <w:r>
        <w:rPr>
          <w:rFonts w:ascii="Times New Roman" w:cs="Times New Roman" w:eastAsia="Times New Roman" w:hAnsi="Times New Roman"/>
          <w:sz w:val="18"/>
          <w:szCs w:val="18"/>
          <w:color w:val="auto"/>
        </w:rPr>
        <w:t xml:space="preserve">by check mark if the registrant is not required to file reports pursuant to Section 13 or Section 15(d) of the No </w:t>
      </w:r>
      <w:r>
        <w:rPr>
          <w:rFonts w:ascii="Arial" w:cs="Arial" w:eastAsia="Arial" w:hAnsi="Arial"/>
          <w:sz w:val="18"/>
          <w:szCs w:val="18"/>
          <w:color w:val="auto"/>
        </w:rPr>
        <w:t>Í</w:t>
      </w:r>
    </w:p>
    <w:p>
      <w:pPr>
        <w:spacing w:after="0" w:line="236" w:lineRule="exact"/>
        <w:rPr>
          <w:sz w:val="20"/>
          <w:szCs w:val="20"/>
          <w:color w:val="auto"/>
        </w:rPr>
      </w:pPr>
    </w:p>
    <w:p>
      <w:pPr>
        <w:sectPr>
          <w:pgSz w:w="11880" w:h="15480" w:orient="portrait"/>
          <w:cols w:equalWidth="0" w:num="3">
            <w:col w:w="300" w:space="60"/>
            <w:col w:w="680" w:space="180"/>
            <w:col w:w="8860"/>
          </w:cols>
          <w:pgMar w:left="900" w:top="1440" w:right="900" w:bottom="699" w:gutter="0" w:footer="0" w:header="0"/>
          <w:type w:val="continuous"/>
        </w:sectPr>
      </w:pPr>
    </w:p>
    <w:p>
      <w:pPr>
        <w:jc w:val="both"/>
        <w:ind w:firstLine="360"/>
        <w:spacing w:after="0" w:line="23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32" w:lineRule="auto"/>
        <w:tabs>
          <w:tab w:leader="none" w:pos="5080" w:val="left"/>
          <w:tab w:leader="none" w:pos="5800"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 xml:space="preserve">Yes </w:t>
      </w:r>
      <w:r>
        <w:rPr>
          <w:rFonts w:ascii="Arial" w:cs="Arial" w:eastAsia="Arial" w:hAnsi="Arial"/>
          <w:sz w:val="18"/>
          <w:szCs w:val="18"/>
          <w:color w:val="auto"/>
        </w:rPr>
        <w:t>Í</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w:t>
      </w:r>
    </w:p>
    <w:p>
      <w:pPr>
        <w:spacing w:after="0" w:line="46" w:lineRule="exact"/>
        <w:rPr>
          <w:sz w:val="20"/>
          <w:szCs w:val="20"/>
          <w:color w:val="auto"/>
        </w:rPr>
      </w:pPr>
    </w:p>
    <w:p>
      <w:pPr>
        <w:jc w:val="both"/>
        <w:ind w:firstLine="360"/>
        <w:spacing w:after="0" w:line="23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Í</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48" w:lineRule="exact"/>
        <w:rPr>
          <w:sz w:val="20"/>
          <w:szCs w:val="20"/>
          <w:color w:val="auto"/>
        </w:rPr>
      </w:pPr>
    </w:p>
    <w:p>
      <w:pPr>
        <w:jc w:val="both"/>
        <w:ind w:firstLine="36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jc w:val="right"/>
              <w:ind w:right="2870"/>
              <w:spacing w:after="0"/>
              <w:rPr>
                <w:sz w:val="20"/>
                <w:szCs w:val="20"/>
                <w:color w:val="auto"/>
              </w:rPr>
            </w:pPr>
            <w:r>
              <w:rPr>
                <w:rFonts w:ascii="Arial" w:cs="Arial" w:eastAsia="Arial" w:hAnsi="Arial"/>
                <w:sz w:val="18"/>
                <w:szCs w:val="18"/>
                <w:color w:val="auto"/>
              </w:rPr>
              <w:t>Í</w:t>
            </w:r>
          </w:p>
        </w:tc>
        <w:tc>
          <w:tcPr>
            <w:tcW w:w="49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jc w:val="right"/>
              <w:ind w:right="2870"/>
              <w:spacing w:after="0"/>
              <w:rPr>
                <w:sz w:val="20"/>
                <w:szCs w:val="20"/>
                <w:color w:val="auto"/>
              </w:rPr>
            </w:pPr>
            <w:r>
              <w:rPr>
                <w:rFonts w:ascii="Arial" w:cs="Arial" w:eastAsia="Arial" w:hAnsi="Arial"/>
                <w:sz w:val="18"/>
                <w:szCs w:val="18"/>
                <w:color w:val="auto"/>
              </w:rPr>
              <w:t>‘</w:t>
            </w:r>
          </w:p>
        </w:tc>
        <w:tc>
          <w:tcPr>
            <w:tcW w:w="49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3"/>
        </w:trPr>
        <w:tc>
          <w:tcPr>
            <w:tcW w:w="1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4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w:t>
      </w:r>
    </w:p>
    <w:p>
      <w:pPr>
        <w:spacing w:after="0" w:line="47" w:lineRule="exact"/>
        <w:rPr>
          <w:sz w:val="20"/>
          <w:szCs w:val="20"/>
          <w:color w:val="auto"/>
        </w:rPr>
      </w:pPr>
    </w:p>
    <w:p>
      <w:pPr>
        <w:jc w:val="both"/>
        <w:ind w:firstLine="360"/>
        <w:spacing w:after="0" w:line="23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color w:val="auto"/>
        </w:rPr>
        <w:t>Í</w:t>
      </w:r>
    </w:p>
    <w:p>
      <w:pPr>
        <w:spacing w:after="0" w:line="38" w:lineRule="exact"/>
        <w:rPr>
          <w:sz w:val="20"/>
          <w:szCs w:val="20"/>
          <w:color w:val="auto"/>
        </w:rPr>
      </w:pPr>
    </w:p>
    <w:p>
      <w:pPr>
        <w:ind w:left="360"/>
        <w:spacing w:after="0"/>
        <w:tabs>
          <w:tab w:leader="none" w:pos="764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Arial" w:cs="Arial" w:eastAsia="Arial" w:hAnsi="Arial"/>
          <w:sz w:val="18"/>
          <w:szCs w:val="18"/>
          <w:color w:val="auto"/>
        </w:rPr>
        <w:t>‘</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Í</w:t>
      </w:r>
    </w:p>
    <w:p>
      <w:pPr>
        <w:spacing w:after="0" w:line="46" w:lineRule="exact"/>
        <w:rPr>
          <w:sz w:val="20"/>
          <w:szCs w:val="20"/>
          <w:color w:val="auto"/>
        </w:rPr>
      </w:pPr>
    </w:p>
    <w:p>
      <w:pPr>
        <w:jc w:val="both"/>
        <w:ind w:firstLine="360"/>
        <w:spacing w:after="0" w:line="230"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2022, the last business day of the registrant’s most recently completed second fiscal quarter, was approximately $12,662,127,991.</w:t>
      </w:r>
    </w:p>
    <w:p>
      <w:pPr>
        <w:spacing w:after="0" w:line="47" w:lineRule="exact"/>
        <w:rPr>
          <w:sz w:val="20"/>
          <w:szCs w:val="20"/>
          <w:color w:val="auto"/>
        </w:rPr>
      </w:pPr>
    </w:p>
    <w:p>
      <w:pPr>
        <w:jc w:val="center"/>
        <w:spacing w:after="0" w:line="230" w:lineRule="auto"/>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February 21, 2023 was 1,196,813,959.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ind w:left="3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4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Form 10-K</w:t>
            </w:r>
          </w:p>
        </w:tc>
      </w:tr>
      <w:tr>
        <w:trPr>
          <w:trHeight w:val="200"/>
        </w:trPr>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into Which</w:t>
            </w:r>
          </w:p>
        </w:tc>
      </w:tr>
      <w:tr>
        <w:trPr>
          <w:trHeight w:val="200"/>
        </w:trPr>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Document is</w:t>
            </w:r>
          </w:p>
        </w:tc>
      </w:tr>
      <w:tr>
        <w:trPr>
          <w:trHeight w:val="206"/>
        </w:trPr>
        <w:tc>
          <w:tcPr>
            <w:tcW w:w="3920" w:type="dxa"/>
            <w:vAlign w:val="bottom"/>
          </w:tcPr>
          <w:p>
            <w:pPr>
              <w:spacing w:after="0"/>
              <w:rPr>
                <w:sz w:val="17"/>
                <w:szCs w:val="17"/>
                <w:color w:val="auto"/>
              </w:rPr>
            </w:pPr>
          </w:p>
        </w:tc>
        <w:tc>
          <w:tcPr>
            <w:tcW w:w="472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14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Incorporated</w:t>
            </w:r>
          </w:p>
        </w:tc>
      </w:tr>
      <w:tr>
        <w:trPr>
          <w:trHeight w:val="22"/>
        </w:trPr>
        <w:tc>
          <w:tcPr>
            <w:tcW w:w="3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8"/>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amendment to this Form 10-K will be filed no later than 120 days after the close of registrant’s fiscal year.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72"/>
        </w:trPr>
        <w:tc>
          <w:tcPr>
            <w:tcW w:w="3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60"/>
        </w:trPr>
        <w:tc>
          <w:tcPr>
            <w:tcW w:w="39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880" w:h="15480" w:orient="portrait"/>
          <w:cols w:equalWidth="0" w:num="1">
            <w:col w:w="10080"/>
          </w:cols>
          <w:pgMar w:left="900" w:top="1440" w:right="900" w:bottom="699" w:gutter="0" w:footer="0" w:header="0"/>
          <w:type w:val="continuous"/>
        </w:sectPr>
      </w:pPr>
    </w:p>
    <w:bookmarkStart w:id="9" w:name="page10"/>
    <w:bookmarkEnd w:id="9"/>
    <w:p>
      <w:pPr>
        <w:ind w:left="3920"/>
        <w:spacing w:after="0"/>
        <w:rPr>
          <w:sz w:val="20"/>
          <w:szCs w:val="20"/>
          <w:color w:val="auto"/>
        </w:rPr>
      </w:pPr>
      <w:r>
        <w:rPr>
          <w:rFonts w:ascii="Times New Roman" w:cs="Times New Roman" w:eastAsia="Times New Roman" w:hAnsi="Times New Roman"/>
          <w:sz w:val="20"/>
          <w:szCs w:val="20"/>
          <w:b w:val="1"/>
          <w:bCs w:val="1"/>
          <w:color w:val="auto"/>
        </w:rPr>
        <w:t>VIATRIS INC.</w:t>
      </w:r>
    </w:p>
    <w:p>
      <w:pPr>
        <w:spacing w:after="0" w:line="1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For the Year Ended December 31, 2022</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5582285</wp:posOffset>
                </wp:positionH>
                <wp:positionV relativeFrom="paragraph">
                  <wp:posOffset>22225</wp:posOffset>
                </wp:positionV>
                <wp:extent cx="20891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9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55pt,1.75pt" to="456pt,1.75pt" o:allowincell="f" strokecolor="#000000" strokeweight="1pt"/>
            </w:pict>
          </mc:Fallback>
        </mc:AlternateContent>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0" w:lineRule="exact"/>
        <w:rPr>
          <w:sz w:val="20"/>
          <w:szCs w:val="20"/>
          <w:color w:val="auto"/>
        </w:rPr>
      </w:pPr>
    </w:p>
    <w:p>
      <w:pPr>
        <w:spacing w:after="0"/>
        <w:tabs>
          <w:tab w:leader="none" w:pos="1020" w:val="left"/>
          <w:tab w:leader="none" w:pos="89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w:t>
        <w:tab/>
        <w:t>23</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w:t>
        <w:tab/>
        <w:t>59</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w:t>
        <w:tab/>
        <w:t>59</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w:t>
        <w:tab/>
        <w:t>59</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w:t>
        <w:tab/>
        <w:t>59</w:t>
      </w:r>
    </w:p>
    <w:p>
      <w:pPr>
        <w:spacing w:after="0" w:line="1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w:t>
      </w:r>
    </w:p>
    <w:p>
      <w:pPr>
        <w:spacing w:after="0" w:line="10" w:lineRule="exact"/>
        <w:rPr>
          <w:sz w:val="20"/>
          <w:szCs w:val="20"/>
          <w:color w:val="auto"/>
        </w:rPr>
      </w:pPr>
    </w:p>
    <w:p>
      <w:pPr>
        <w:ind w:left="1040"/>
        <w:spacing w:after="0"/>
        <w:tabs>
          <w:tab w:leader="none" w:pos="8880" w:val="left"/>
        </w:tabs>
        <w:rPr>
          <w:sz w:val="20"/>
          <w:szCs w:val="20"/>
          <w:color w:val="auto"/>
        </w:rPr>
      </w:pPr>
      <w:r>
        <w:rPr>
          <w:rFonts w:ascii="Times New Roman" w:cs="Times New Roman" w:eastAsia="Times New Roman" w:hAnsi="Times New Roman"/>
          <w:sz w:val="20"/>
          <w:szCs w:val="20"/>
          <w:color w:val="auto"/>
        </w:rPr>
        <w:t>of Equity Securities . . . . . . . . . . . . . . . . . . . . . . . . . . . . . . . . . . . . . . . . . . . . . . . . . . . . . . . . . . .</w:t>
        <w:tab/>
        <w:t>60</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w:t>
        <w:tab/>
        <w:t>62</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w:t>
        <w:tab/>
        <w:t>62</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w:t>
        <w:tab/>
        <w:t>88</w:t>
      </w:r>
    </w:p>
    <w:p>
      <w:pPr>
        <w:spacing w:after="0" w:line="10" w:lineRule="exact"/>
        <w:rPr>
          <w:sz w:val="20"/>
          <w:szCs w:val="20"/>
          <w:color w:val="auto"/>
        </w:rPr>
      </w:pPr>
    </w:p>
    <w:p>
      <w:pPr>
        <w:spacing w:after="0"/>
        <w:tabs>
          <w:tab w:leader="none" w:pos="1020" w:val="left"/>
          <w:tab w:leader="none" w:pos="88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w:t>
        <w:tab/>
        <w:t>90</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 . .</w:t>
        <w:tab/>
        <w:t>165</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w:t>
        <w:tab/>
        <w:t>165</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w:t>
        <w:tab/>
        <w:t>165</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w:t>
        <w:tab/>
        <w:t>165</w:t>
      </w:r>
    </w:p>
    <w:p>
      <w:pPr>
        <w:spacing w:after="0" w:line="1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 .</w:t>
        <w:tab/>
        <w:t>166</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w:t>
        <w:tab/>
        <w:t>166</w:t>
      </w:r>
    </w:p>
    <w:p>
      <w:pPr>
        <w:spacing w:after="0" w:line="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spacing w:after="0" w:line="10" w:lineRule="exact"/>
        <w:rPr>
          <w:sz w:val="20"/>
          <w:szCs w:val="20"/>
          <w:color w:val="auto"/>
        </w:rPr>
      </w:pPr>
    </w:p>
    <w:p>
      <w:pPr>
        <w:ind w:left="1040"/>
        <w:spacing w:after="0"/>
        <w:tabs>
          <w:tab w:leader="none" w:pos="878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w:t>
        <w:tab/>
        <w:t>166</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 .</w:t>
        <w:tab/>
        <w:t>166</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 . . . . . . . . .</w:t>
        <w:tab/>
        <w:t>166</w:t>
      </w:r>
    </w:p>
    <w:p>
      <w:pPr>
        <w:spacing w:after="0" w:line="1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0" w:lineRule="exact"/>
        <w:rPr>
          <w:sz w:val="20"/>
          <w:szCs w:val="20"/>
          <w:color w:val="auto"/>
        </w:rPr>
      </w:pPr>
    </w:p>
    <w:p>
      <w:pPr>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15.</w:t>
        <w:tab/>
        <w:t>Exhibits and Consolidated Financial Statement Schedules . . . . . . . . . . . . . . . . . . . . . . . . . . . . .</w:t>
        <w:tab/>
        <w:t>167</w:t>
      </w:r>
    </w:p>
    <w:p>
      <w:pPr>
        <w:spacing w:after="0" w:line="10" w:lineRule="exact"/>
        <w:rPr>
          <w:sz w:val="20"/>
          <w:szCs w:val="20"/>
          <w:color w:val="auto"/>
        </w:rPr>
      </w:pPr>
    </w:p>
    <w:p>
      <w:pPr>
        <w:spacing w:after="0"/>
        <w:tabs>
          <w:tab w:leader="none" w:pos="87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w:t>
        <w:tab/>
        <w:t>176</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120"/>
          </w:cols>
          <w:pgMar w:left="1380" w:top="1312" w:right="1380" w:bottom="654"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Glossary of Defined Terms</w:t>
      </w:r>
    </w:p>
    <w:p>
      <w:pPr>
        <w:spacing w:after="0" w:line="26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Unless the context requires otherwise, references to “Viatris,” “the Company,” “we,” “us” or “our” in this 2022 Form 10-K (defined below) refer to Viatris Inc. and its subsidiaries. We also have used several other terms in this 2022 Form 10-K, most of which are explained or defined below. Some amounts in this Form 10-K may not add due to rounding.</w:t>
      </w:r>
    </w:p>
    <w:p>
      <w:pPr>
        <w:spacing w:after="0" w:line="247"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2003 LTIP  . . . . . . . . . . . . . . . . . . . . . . . . . . . . . . . . . . . .</w:t>
        <w:tab/>
        <w:t>Mylan N.V. Amended and Restated 2003 Long-Term</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Incentive Plan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2020 Incentive Plan . . . . . . . . . . . . . . . . . . . . . . . . . . . . .</w:t>
        <w:tab/>
        <w:t>Viatris Inc. 2020 Stock Incentive Plan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2020 Revolving Facility . . . . . . . . . . . . . . . . . . . . . . . . . .</w:t>
        <w:tab/>
        <w:t>The revolving credit facility available pursuant to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revolving credit agreement, dated as of June 16,</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2020, by and among Viatris, certain lenders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issuing banks from time to time party thereto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Bank of America, N.A., as administrative agent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repaid in full in July 2021</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2021 Revolving Facility . . . . . . . . . . . . . . . . . . . . . . . . . .</w:t>
        <w:tab/>
        <w:t>The $4.0 billion revolving facility dated as of July 1,</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2021, by and among Viatris, certain lenders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issuing banks from time to time party thereto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Bank of America, N.A., as administrative agent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505(b)(2)  . . . . . . . . . . . . . . . . . . . . . . . . . . . . . . . . . . . . .</w:t>
        <w:tab/>
        <w:t>A streamlined NDA process in which the applicant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relies upon one or more investigations conducted by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someone other than the applicant and for which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applicant has not obtained right of reference.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AbbVie . . . . . . . . . . . . . . . . . . . . . . . . . . . . . . . . . . . . . . .</w:t>
      </w:r>
      <w:r>
        <w:rPr>
          <w:sz w:val="20"/>
          <w:szCs w:val="20"/>
          <w:color w:val="auto"/>
        </w:rPr>
        <w:tab/>
      </w:r>
      <w:r>
        <w:rPr>
          <w:rFonts w:ascii="Times New Roman" w:cs="Times New Roman" w:eastAsia="Times New Roman" w:hAnsi="Times New Roman"/>
          <w:sz w:val="19"/>
          <w:szCs w:val="19"/>
          <w:color w:val="auto"/>
        </w:rPr>
        <w:t>AbbVie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ACA . . . . . . . . . . . . . . . . . . . . . . . . . . . . . . . . . . . . . . . . .</w:t>
        <w:tab/>
        <w:t>Patient  Protection  and  Affordable  Care  Act,  as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amended by the Health Care and Education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Reconciliation Act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Adjusted EBITDA . . . . . . . . . . . . . . . . . . . . . . . . . . . . . .</w:t>
        <w:tab/>
        <w:t>Non-GAAP  financial  measure  that  the  Company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believes is appropriate to provide information to</w:t>
      </w:r>
    </w:p>
    <w:p>
      <w:pPr>
        <w:spacing w:after="0" w:line="10" w:lineRule="exact"/>
        <w:rPr>
          <w:sz w:val="20"/>
          <w:szCs w:val="20"/>
          <w:color w:val="auto"/>
        </w:rPr>
      </w:pPr>
    </w:p>
    <w:p>
      <w:pPr>
        <w:ind w:left="4800"/>
        <w:spacing w:after="0"/>
        <w:tabs>
          <w:tab w:leader="none" w:pos="6620" w:val="left"/>
          <w:tab w:leader="none" w:pos="7480" w:val="left"/>
          <w:tab w:leader="none" w:pos="8240" w:val="left"/>
          <w:tab w:leader="none" w:pos="8560" w:val="left"/>
        </w:tabs>
        <w:rPr>
          <w:sz w:val="20"/>
          <w:szCs w:val="20"/>
          <w:color w:val="auto"/>
        </w:rPr>
      </w:pPr>
      <w:r>
        <w:rPr>
          <w:rFonts w:ascii="Times New Roman" w:cs="Times New Roman" w:eastAsia="Times New Roman" w:hAnsi="Times New Roman"/>
          <w:sz w:val="20"/>
          <w:szCs w:val="20"/>
          <w:color w:val="auto"/>
        </w:rPr>
        <w:t>investors—EBITDA</w:t>
        <w:tab/>
        <w:t>(defined</w:t>
        <w:tab/>
        <w:t>below)</w:t>
        <w:tab/>
        <w:t>is</w:t>
      </w:r>
      <w:r>
        <w:rPr>
          <w:sz w:val="20"/>
          <w:szCs w:val="20"/>
          <w:color w:val="auto"/>
        </w:rPr>
        <w:tab/>
      </w:r>
      <w:r>
        <w:rPr>
          <w:rFonts w:ascii="Times New Roman" w:cs="Times New Roman" w:eastAsia="Times New Roman" w:hAnsi="Times New Roman"/>
          <w:sz w:val="19"/>
          <w:szCs w:val="19"/>
          <w:color w:val="auto"/>
        </w:rPr>
        <w:t>further</w:t>
      </w:r>
    </w:p>
    <w:p>
      <w:pPr>
        <w:spacing w:after="0" w:line="10" w:lineRule="exact"/>
        <w:rPr>
          <w:sz w:val="20"/>
          <w:szCs w:val="20"/>
          <w:color w:val="auto"/>
        </w:rPr>
      </w:pPr>
    </w:p>
    <w:p>
      <w:pPr>
        <w:ind w:left="4800"/>
        <w:spacing w:after="0"/>
        <w:tabs>
          <w:tab w:leader="none" w:pos="5620" w:val="left"/>
          <w:tab w:leader="none" w:pos="6020" w:val="left"/>
          <w:tab w:leader="none" w:pos="7120" w:val="left"/>
          <w:tab w:leader="none" w:pos="8400" w:val="left"/>
        </w:tabs>
        <w:rPr>
          <w:sz w:val="20"/>
          <w:szCs w:val="20"/>
          <w:color w:val="auto"/>
        </w:rPr>
      </w:pPr>
      <w:r>
        <w:rPr>
          <w:rFonts w:ascii="Times New Roman" w:cs="Times New Roman" w:eastAsia="Times New Roman" w:hAnsi="Times New Roman"/>
          <w:sz w:val="20"/>
          <w:szCs w:val="20"/>
          <w:color w:val="auto"/>
        </w:rPr>
        <w:t>adjusted</w:t>
        <w:tab/>
        <w:t>for</w:t>
        <w:tab/>
        <w:t>share-based</w:t>
        <w:tab/>
        <w:t>compensation</w:t>
        <w:tab/>
        <w:t>expense,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litigation settlements, and other contingencies, net,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restructuring and other special items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ANDA  . . . . . . . . . . . . . . . . . . . . . . . . . . . . . . . . . . . . . . .</w:t>
        <w:tab/>
        <w:t>Abbreviated New Drug Application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AOCE . . . . . . . . . . . . . . . . . . . . . . . . . . . . . . . . . . . . . . . .</w:t>
        <w:tab/>
        <w:t>Accumulated other comprehensive earnings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API . . . . . . . . . . . . . . . . . . . . . . . . . . . . . . . . . . . . . . . . . .</w:t>
        <w:tab/>
        <w:t>Active pharmaceutical ingredient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ARV . . . . . . . . . . . . . . . . . . . . . . . . . . . . . . . . . . . . . . . . .</w:t>
      </w:r>
      <w:r>
        <w:rPr>
          <w:sz w:val="20"/>
          <w:szCs w:val="20"/>
          <w:color w:val="auto"/>
        </w:rPr>
        <w:tab/>
      </w:r>
      <w:r>
        <w:rPr>
          <w:rFonts w:ascii="Times New Roman" w:cs="Times New Roman" w:eastAsia="Times New Roman" w:hAnsi="Times New Roman"/>
          <w:sz w:val="19"/>
          <w:szCs w:val="19"/>
          <w:color w:val="auto"/>
        </w:rPr>
        <w:t>Antiretroviral medicines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ASC . . . . . . . . . . . . . . . . . . . . . . . . . . . . . . . . . . . . . . . . .</w:t>
      </w:r>
      <w:r>
        <w:rPr>
          <w:sz w:val="20"/>
          <w:szCs w:val="20"/>
          <w:color w:val="auto"/>
        </w:rPr>
        <w:tab/>
      </w:r>
      <w:r>
        <w:rPr>
          <w:rFonts w:ascii="Times New Roman" w:cs="Times New Roman" w:eastAsia="Times New Roman" w:hAnsi="Times New Roman"/>
          <w:sz w:val="19"/>
          <w:szCs w:val="19"/>
          <w:color w:val="auto"/>
        </w:rPr>
        <w:t>Accounting Standards Codification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Aspen . . . . . . . . . . . . . . . . . . . . . . . . . . . . . . . . . . . . . . . .</w:t>
        <w:tab/>
        <w:t>Aspen Global Incorporated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ASU . . . . . . . . . . . . . . . . . . . . . . . . . . . . . . . . . . . . . . . . .</w:t>
      </w:r>
      <w:r>
        <w:rPr>
          <w:sz w:val="20"/>
          <w:szCs w:val="20"/>
          <w:color w:val="auto"/>
        </w:rPr>
        <w:tab/>
      </w:r>
      <w:r>
        <w:rPr>
          <w:rFonts w:ascii="Times New Roman" w:cs="Times New Roman" w:eastAsia="Times New Roman" w:hAnsi="Times New Roman"/>
          <w:sz w:val="19"/>
          <w:szCs w:val="19"/>
          <w:color w:val="auto"/>
        </w:rPr>
        <w:t>Accounting Standards Update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BEAT . . . . . . . . . . . . . . . . . . . . . . . . . . . . . . . . . . . . . . . .</w:t>
      </w:r>
      <w:r>
        <w:rPr>
          <w:sz w:val="20"/>
          <w:szCs w:val="20"/>
          <w:color w:val="auto"/>
        </w:rPr>
        <w:tab/>
      </w:r>
      <w:r>
        <w:rPr>
          <w:rFonts w:ascii="Times New Roman" w:cs="Times New Roman" w:eastAsia="Times New Roman" w:hAnsi="Times New Roman"/>
          <w:sz w:val="19"/>
          <w:szCs w:val="19"/>
          <w:color w:val="auto"/>
        </w:rPr>
        <w:t>Base Erosion Anti-Abuse Tax</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Biocon  . . . . . . . . . . . . . . . . . . . . . . . . . . . . . . . . . . . . . . .</w:t>
      </w:r>
      <w:r>
        <w:rPr>
          <w:sz w:val="20"/>
          <w:szCs w:val="20"/>
          <w:color w:val="auto"/>
        </w:rPr>
        <w:tab/>
      </w:r>
      <w:r>
        <w:rPr>
          <w:rFonts w:ascii="Times New Roman" w:cs="Times New Roman" w:eastAsia="Times New Roman" w:hAnsi="Times New Roman"/>
          <w:sz w:val="19"/>
          <w:szCs w:val="19"/>
          <w:color w:val="auto"/>
        </w:rPr>
        <w:t>Biocon Limited</w:t>
      </w:r>
    </w:p>
    <w:p>
      <w:pPr>
        <w:spacing w:after="0" w:line="10" w:lineRule="exact"/>
        <w:rPr>
          <w:sz w:val="20"/>
          <w:szCs w:val="20"/>
          <w:color w:val="auto"/>
        </w:rPr>
      </w:pPr>
    </w:p>
    <w:p>
      <w:pPr>
        <w:spacing w:after="0"/>
        <w:tabs>
          <w:tab w:leader="none" w:pos="4780" w:val="left"/>
          <w:tab w:leader="none" w:pos="5560" w:val="left"/>
          <w:tab w:leader="none" w:pos="6520" w:val="left"/>
          <w:tab w:leader="none" w:pos="7400" w:val="left"/>
          <w:tab w:leader="none" w:pos="7700" w:val="left"/>
          <w:tab w:leader="none" w:pos="8560" w:val="left"/>
        </w:tabs>
        <w:rPr>
          <w:sz w:val="20"/>
          <w:szCs w:val="20"/>
          <w:color w:val="auto"/>
        </w:rPr>
      </w:pPr>
      <w:r>
        <w:rPr>
          <w:rFonts w:ascii="Times New Roman" w:cs="Times New Roman" w:eastAsia="Times New Roman" w:hAnsi="Times New Roman"/>
          <w:sz w:val="20"/>
          <w:szCs w:val="20"/>
          <w:color w:val="auto"/>
        </w:rPr>
        <w:t>Biocon Biologics . . . . . . . . . . . . . . . . . . . . . . . . . . . . . . .</w:t>
        <w:tab/>
        <w:t>Biocon</w:t>
        <w:tab/>
        <w:t>Biologics</w:t>
        <w:tab/>
        <w:t>Limited,</w:t>
        <w:tab/>
        <w:t>a</w:t>
        <w:tab/>
        <w:t>majority</w:t>
        <w:tab/>
        <w:t>owned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subsidiary of Biocon</w:t>
      </w:r>
    </w:p>
    <w:p>
      <w:pPr>
        <w:spacing w:after="0" w:line="10" w:lineRule="exact"/>
        <w:rPr>
          <w:sz w:val="20"/>
          <w:szCs w:val="20"/>
          <w:color w:val="auto"/>
        </w:rPr>
      </w:pPr>
    </w:p>
    <w:p>
      <w:pPr>
        <w:spacing w:after="0"/>
        <w:tabs>
          <w:tab w:leader="none" w:pos="4780" w:val="left"/>
          <w:tab w:leader="none" w:pos="5300" w:val="left"/>
          <w:tab w:leader="none" w:pos="6400" w:val="left"/>
          <w:tab w:leader="none" w:pos="7260" w:val="left"/>
          <w:tab w:leader="none" w:pos="8020" w:val="left"/>
          <w:tab w:leader="none" w:pos="8520" w:val="left"/>
        </w:tabs>
        <w:rPr>
          <w:sz w:val="20"/>
          <w:szCs w:val="20"/>
          <w:color w:val="auto"/>
        </w:rPr>
      </w:pPr>
      <w:r>
        <w:rPr>
          <w:rFonts w:ascii="Times New Roman" w:cs="Times New Roman" w:eastAsia="Times New Roman" w:hAnsi="Times New Roman"/>
          <w:sz w:val="20"/>
          <w:szCs w:val="20"/>
          <w:color w:val="auto"/>
        </w:rPr>
        <w:t>Biocon Biologics Transaction . . . . . . . . . . . . . . . . . . . . .</w:t>
        <w:tab/>
        <w:t>The</w:t>
        <w:tab/>
        <w:t>transaction</w:t>
        <w:tab/>
        <w:t>between</w:t>
        <w:tab/>
        <w:t>Viatris</w:t>
        <w:tab/>
        <w:t>and</w:t>
        <w:tab/>
        <w:t>Biocon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Biologics pursuant to which Viatris contributed its</w:t>
      </w:r>
    </w:p>
    <w:p>
      <w:pPr>
        <w:spacing w:after="0" w:line="10" w:lineRule="exact"/>
        <w:rPr>
          <w:sz w:val="20"/>
          <w:szCs w:val="20"/>
          <w:color w:val="auto"/>
        </w:rPr>
      </w:pPr>
    </w:p>
    <w:p>
      <w:pPr>
        <w:ind w:left="4800"/>
        <w:spacing w:after="0"/>
        <w:tabs>
          <w:tab w:leader="none" w:pos="5840" w:val="left"/>
          <w:tab w:leader="none" w:pos="6780" w:val="left"/>
          <w:tab w:leader="none" w:pos="7760" w:val="left"/>
          <w:tab w:leader="none" w:pos="8100" w:val="left"/>
          <w:tab w:leader="none" w:pos="8520" w:val="left"/>
        </w:tabs>
        <w:rPr>
          <w:sz w:val="20"/>
          <w:szCs w:val="20"/>
          <w:color w:val="auto"/>
        </w:rPr>
      </w:pPr>
      <w:r>
        <w:rPr>
          <w:rFonts w:ascii="Times New Roman" w:cs="Times New Roman" w:eastAsia="Times New Roman" w:hAnsi="Times New Roman"/>
          <w:sz w:val="20"/>
          <w:szCs w:val="20"/>
          <w:color w:val="auto"/>
        </w:rPr>
        <w:t>biosimilars</w:t>
        <w:tab/>
        <w:t>portfolio,</w:t>
        <w:tab/>
        <w:t>composed</w:t>
        <w:tab/>
        <w:t>of</w:t>
        <w:tab/>
        <w:t>the</w:t>
        <w:tab/>
        <w:t>Biocon</w:t>
      </w:r>
    </w:p>
    <w:p>
      <w:pPr>
        <w:ind w:left="4800"/>
        <w:spacing w:after="0" w:line="211" w:lineRule="auto"/>
        <w:tabs>
          <w:tab w:leader="none" w:pos="6000" w:val="left"/>
          <w:tab w:leader="none" w:pos="6960" w:val="left"/>
          <w:tab w:leader="none" w:pos="8020" w:val="left"/>
          <w:tab w:leader="none" w:pos="8320" w:val="left"/>
        </w:tabs>
        <w:rPr>
          <w:sz w:val="20"/>
          <w:szCs w:val="20"/>
          <w:color w:val="auto"/>
        </w:rPr>
      </w:pPr>
      <w:r>
        <w:rPr>
          <w:rFonts w:ascii="Times New Roman" w:cs="Times New Roman" w:eastAsia="Times New Roman" w:hAnsi="Times New Roman"/>
          <w:sz w:val="20"/>
          <w:szCs w:val="20"/>
          <w:color w:val="auto"/>
        </w:rPr>
        <w:t>collaboration</w:t>
        <w:tab/>
        <w:t>programs,</w:t>
        <w:tab/>
        <w:t>biosimilars</w:t>
        <w:tab/>
        <w:t>to</w:t>
      </w:r>
      <w:r>
        <w:rPr>
          <w:sz w:val="20"/>
          <w:szCs w:val="20"/>
          <w:color w:val="auto"/>
        </w:rPr>
        <w:tab/>
      </w:r>
      <w:r>
        <w:rPr>
          <w:rFonts w:ascii="Times New Roman" w:cs="Times New Roman" w:eastAsia="Times New Roman" w:hAnsi="Times New Roman"/>
          <w:sz w:val="19"/>
          <w:szCs w:val="19"/>
          <w:color w:val="auto"/>
        </w:rPr>
        <w:t>Humira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w:t>
      </w:r>
    </w:p>
    <w:p>
      <w:pPr>
        <w:ind w:left="4800"/>
        <w:spacing w:after="0" w:line="183" w:lineRule="auto"/>
        <w:rPr>
          <w:sz w:val="20"/>
          <w:szCs w:val="20"/>
          <w:color w:val="auto"/>
        </w:rPr>
      </w:pPr>
      <w:r>
        <w:rPr>
          <w:rFonts w:ascii="Times New Roman" w:cs="Times New Roman" w:eastAsia="Times New Roman" w:hAnsi="Times New Roman"/>
          <w:sz w:val="19"/>
          <w:szCs w:val="19"/>
          <w:color w:val="auto"/>
        </w:rPr>
        <w:t>Enbrel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and Eylea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as well as related assets and</w:t>
      </w:r>
    </w:p>
    <w:p>
      <w:pPr>
        <w:ind w:left="4800"/>
        <w:spacing w:after="0" w:line="190" w:lineRule="auto"/>
        <w:rPr>
          <w:sz w:val="20"/>
          <w:szCs w:val="20"/>
          <w:color w:val="auto"/>
        </w:rPr>
      </w:pPr>
      <w:r>
        <w:rPr>
          <w:rFonts w:ascii="Times New Roman" w:cs="Times New Roman" w:eastAsia="Times New Roman" w:hAnsi="Times New Roman"/>
          <w:sz w:val="20"/>
          <w:szCs w:val="20"/>
          <w:color w:val="auto"/>
        </w:rPr>
        <w:t>liabilities to Biocon Biologics</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120"/>
          </w:cols>
          <w:pgMar w:left="1380" w:top="1312" w:right="1380" w:bottom="654" w:gutter="0" w:footer="0" w:header="0"/>
          <w:type w:val="continuous"/>
        </w:sectPr>
      </w:pPr>
    </w:p>
    <w:bookmarkStart w:id="11" w:name="page12"/>
    <w:bookmarkEnd w:id="11"/>
    <w:p>
      <w:pPr>
        <w:spacing w:after="0"/>
        <w:tabs>
          <w:tab w:leader="none" w:pos="4780" w:val="left"/>
          <w:tab w:leader="none" w:pos="5260" w:val="left"/>
          <w:tab w:leader="none" w:pos="6280" w:val="left"/>
          <w:tab w:leader="none" w:pos="7280" w:val="left"/>
          <w:tab w:leader="none" w:pos="8100" w:val="left"/>
          <w:tab w:leader="none" w:pos="8820" w:val="left"/>
        </w:tabs>
        <w:rPr>
          <w:sz w:val="20"/>
          <w:szCs w:val="20"/>
          <w:color w:val="auto"/>
        </w:rPr>
      </w:pPr>
      <w:r>
        <w:rPr>
          <w:rFonts w:ascii="Times New Roman" w:cs="Times New Roman" w:eastAsia="Times New Roman" w:hAnsi="Times New Roman"/>
          <w:sz w:val="20"/>
          <w:szCs w:val="20"/>
          <w:color w:val="auto"/>
        </w:rPr>
        <w:t>Biocon Agreement . . . . . . . . . . . . . . . . . . . . . . . . . . . . . .</w:t>
        <w:tab/>
        <w:t>The</w:t>
        <w:tab/>
        <w:t>transaction</w:t>
        <w:tab/>
        <w:t>agreement</w:t>
        <w:tab/>
        <w:t>between</w:t>
        <w:tab/>
        <w:t>Viatris</w:t>
      </w:r>
      <w:r>
        <w:rPr>
          <w:sz w:val="20"/>
          <w:szCs w:val="20"/>
          <w:color w:val="auto"/>
        </w:rPr>
        <w:tab/>
      </w:r>
      <w:r>
        <w:rPr>
          <w:rFonts w:ascii="Times New Roman" w:cs="Times New Roman" w:eastAsia="Times New Roman" w:hAnsi="Times New Roman"/>
          <w:sz w:val="19"/>
          <w:szCs w:val="19"/>
          <w:color w:val="auto"/>
        </w:rPr>
        <w:t>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Biocon Biologics, dated February 27, 2022, relating</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to the Biocon Biologics Transaction, as amended by</w:t>
      </w:r>
    </w:p>
    <w:p>
      <w:pPr>
        <w:spacing w:after="0" w:line="10" w:lineRule="exact"/>
        <w:rPr>
          <w:sz w:val="20"/>
          <w:szCs w:val="20"/>
          <w:color w:val="auto"/>
        </w:rPr>
      </w:pPr>
    </w:p>
    <w:p>
      <w:pPr>
        <w:ind w:left="4800"/>
        <w:spacing w:after="0"/>
        <w:tabs>
          <w:tab w:leader="none" w:pos="5240" w:val="left"/>
          <w:tab w:leader="none" w:pos="5960" w:val="left"/>
          <w:tab w:leader="none" w:pos="7120" w:val="left"/>
          <w:tab w:leader="none" w:pos="7580" w:val="left"/>
          <w:tab w:leader="none" w:pos="7840" w:val="left"/>
          <w:tab w:leader="none" w:pos="8160" w:val="left"/>
        </w:tabs>
        <w:rPr>
          <w:sz w:val="20"/>
          <w:szCs w:val="20"/>
          <w:color w:val="auto"/>
        </w:rPr>
      </w:pPr>
      <w:r>
        <w:rPr>
          <w:rFonts w:ascii="Times New Roman" w:cs="Times New Roman" w:eastAsia="Times New Roman" w:hAnsi="Times New Roman"/>
          <w:sz w:val="20"/>
          <w:szCs w:val="20"/>
          <w:color w:val="auto"/>
        </w:rPr>
        <w:t>that</w:t>
        <w:tab/>
        <w:t>certain</w:t>
        <w:tab/>
        <w:t>Amendment</w:t>
        <w:tab/>
        <w:t>No.</w:t>
        <w:tab/>
        <w:t>1</w:t>
        <w:tab/>
        <w:t>to</w:t>
      </w:r>
      <w:r>
        <w:rPr>
          <w:sz w:val="20"/>
          <w:szCs w:val="20"/>
          <w:color w:val="auto"/>
        </w:rPr>
        <w:tab/>
      </w:r>
      <w:r>
        <w:rPr>
          <w:rFonts w:ascii="Times New Roman" w:cs="Times New Roman" w:eastAsia="Times New Roman" w:hAnsi="Times New Roman"/>
          <w:sz w:val="19"/>
          <w:szCs w:val="19"/>
          <w:color w:val="auto"/>
        </w:rPr>
        <w:t>Transaction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Agreement, dated November 28, 2022</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Biogen  . . . . . . . . . . . . . . . . . . . . . . . . . . . . . . . . . . . . . . .</w:t>
        <w:tab/>
        <w:t>Biogen MA Inc. and Biogen International GmbH,</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collectively</w:t>
      </w:r>
    </w:p>
    <w:p>
      <w:pPr>
        <w:spacing w:after="0" w:line="10" w:lineRule="exact"/>
        <w:rPr>
          <w:sz w:val="20"/>
          <w:szCs w:val="20"/>
          <w:color w:val="auto"/>
        </w:rPr>
      </w:pPr>
    </w:p>
    <w:p>
      <w:pPr>
        <w:spacing w:after="0"/>
        <w:tabs>
          <w:tab w:leader="none" w:pos="4780" w:val="left"/>
          <w:tab w:leader="none" w:pos="5660" w:val="left"/>
          <w:tab w:leader="none" w:pos="6880" w:val="left"/>
          <w:tab w:leader="none" w:pos="8000" w:val="left"/>
          <w:tab w:leader="none" w:pos="8600" w:val="left"/>
          <w:tab w:leader="none" w:pos="8940" w:val="left"/>
        </w:tabs>
        <w:rPr>
          <w:sz w:val="20"/>
          <w:szCs w:val="20"/>
          <w:color w:val="auto"/>
        </w:rPr>
      </w:pPr>
      <w:r>
        <w:rPr>
          <w:rFonts w:ascii="Times New Roman" w:cs="Times New Roman" w:eastAsia="Times New Roman" w:hAnsi="Times New Roman"/>
          <w:sz w:val="20"/>
          <w:szCs w:val="20"/>
          <w:color w:val="auto"/>
        </w:rPr>
        <w:t>Business Combination Agreement . . . . . . . . . . . . . . . . . .</w:t>
        <w:tab/>
        <w:t>Business</w:t>
        <w:tab/>
        <w:t>Combination</w:t>
        <w:tab/>
        <w:t>Agreement,</w:t>
        <w:tab/>
        <w:t>dated</w:t>
        <w:tab/>
        <w:t>as</w:t>
      </w:r>
      <w:r>
        <w:rPr>
          <w:sz w:val="20"/>
          <w:szCs w:val="20"/>
          <w:color w:val="auto"/>
        </w:rPr>
        <w:tab/>
      </w:r>
      <w:r>
        <w:rPr>
          <w:rFonts w:ascii="Times New Roman" w:cs="Times New Roman" w:eastAsia="Times New Roman" w:hAnsi="Times New Roman"/>
          <w:sz w:val="19"/>
          <w:szCs w:val="19"/>
          <w:color w:val="auto"/>
        </w:rPr>
        <w:t>of</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July 29, 2019, as amended from time to time, among</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Viatris, Mylan, Pfizer and certain of their affiliates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CARES Act . . . . . . . . . . . . . . . . . . . . . . . . . . . . . . . . . . .</w:t>
        <w:tab/>
        <w:t>Coronavirus Aid, Relief, and Economic Security Act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CCPS . . . . . . . . . . . . . . . . . . . . . . . . . . . . . . . . . . . . . . . .</w:t>
        <w:tab/>
        <w:t>Compulsory convertible preferred shares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cGMP . . . . . . . . . . . . . . . . . . . . . . . . . . . . . . . . . . . . . . . .</w:t>
        <w:tab/>
        <w:t>Current Good Manufacturing Practices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clean energy investments . . . . . . . . . . . . . . . . . . . . . . . . .</w:t>
        <w:tab/>
        <w:t>Used to define the three equity method investments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the Company has in limited liability companies that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own refined coal production plants whose activities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qualify for income tax credits under Section 45 of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Code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CMA . . . . . . . . . . . . . . . . . . . . . . . . . . . . . . . . . . . . . . . . .</w:t>
        <w:tab/>
        <w:t>Competition and Markets Authority</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Code . . . . . . . . . . . . . . . . . . . . . . . . . . . . . . . . . . . . . . . . .</w:t>
        <w:tab/>
        <w:t>The U.S. Internal Revenue Code of 1986, as amended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Combination . . . . . . . . . . . . . . . . . . . . . . . . . . . . . . . . . . .</w:t>
        <w:tab/>
        <w:t>Refers to Mylan combining with Pfizer’s Upjohn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Business in a Reverse Morris Trust transaction to</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form Viatris on November 16, 2020</w:t>
      </w:r>
    </w:p>
    <w:p>
      <w:pPr>
        <w:spacing w:after="0" w:line="10" w:lineRule="exact"/>
        <w:rPr>
          <w:sz w:val="20"/>
          <w:szCs w:val="20"/>
          <w:color w:val="auto"/>
        </w:rPr>
      </w:pPr>
    </w:p>
    <w:p>
      <w:pPr>
        <w:spacing w:after="0"/>
        <w:tabs>
          <w:tab w:leader="none" w:pos="4780" w:val="left"/>
          <w:tab w:leader="none" w:pos="5260" w:val="left"/>
          <w:tab w:leader="none" w:pos="5880" w:val="left"/>
          <w:tab w:leader="none" w:pos="6560" w:val="left"/>
          <w:tab w:leader="none" w:pos="7540" w:val="left"/>
          <w:tab w:leader="none" w:pos="8660" w:val="left"/>
        </w:tabs>
        <w:rPr>
          <w:sz w:val="20"/>
          <w:szCs w:val="20"/>
          <w:color w:val="auto"/>
        </w:rPr>
      </w:pPr>
      <w:r>
        <w:rPr>
          <w:rFonts w:ascii="Times New Roman" w:cs="Times New Roman" w:eastAsia="Times New Roman" w:hAnsi="Times New Roman"/>
          <w:sz w:val="20"/>
          <w:szCs w:val="20"/>
          <w:color w:val="auto"/>
        </w:rPr>
        <w:t>Commercial Paper Program . . . . . . . . . . . . . . . . . . . . . . .</w:t>
        <w:tab/>
        <w:t>The</w:t>
        <w:tab/>
        <w:t>$1.65</w:t>
        <w:tab/>
        <w:t>billion</w:t>
        <w:tab/>
        <w:t>unsecured</w:t>
        <w:tab/>
        <w:t>commercial</w:t>
      </w:r>
      <w:r>
        <w:rPr>
          <w:sz w:val="20"/>
          <w:szCs w:val="20"/>
          <w:color w:val="auto"/>
        </w:rPr>
        <w:tab/>
      </w:r>
      <w:r>
        <w:rPr>
          <w:rFonts w:ascii="Times New Roman" w:cs="Times New Roman" w:eastAsia="Times New Roman" w:hAnsi="Times New Roman"/>
          <w:sz w:val="19"/>
          <w:szCs w:val="19"/>
          <w:color w:val="auto"/>
        </w:rPr>
        <w:t>paper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program entered into as of November 16, 2020 by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Viatris, as issuer, Mylan Inc., Utah Acquisition Sub</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Inc. and Mylan II B.V., as guarantors, and certain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dealers from time to time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COPD . . . . . . . . . . . . . . . . . . . . . . . . . . . . . . . . . . . . . . . .</w:t>
        <w:tab/>
        <w:t>Chronic obstructive pulmonary disease</w:t>
      </w:r>
    </w:p>
    <w:p>
      <w:pPr>
        <w:spacing w:after="0" w:line="10" w:lineRule="exact"/>
        <w:rPr>
          <w:sz w:val="20"/>
          <w:szCs w:val="20"/>
          <w:color w:val="auto"/>
        </w:rPr>
      </w:pPr>
    </w:p>
    <w:p>
      <w:pPr>
        <w:spacing w:after="0"/>
        <w:tabs>
          <w:tab w:leader="none" w:pos="4780" w:val="left"/>
          <w:tab w:leader="none" w:pos="5840" w:val="left"/>
          <w:tab w:leader="none" w:pos="6160" w:val="left"/>
          <w:tab w:leader="none" w:pos="7240" w:val="left"/>
          <w:tab w:leader="none" w:pos="8520" w:val="left"/>
          <w:tab w:leader="none" w:pos="8860" w:val="left"/>
        </w:tabs>
        <w:rPr>
          <w:sz w:val="20"/>
          <w:szCs w:val="20"/>
          <w:color w:val="auto"/>
        </w:rPr>
      </w:pPr>
      <w:r>
        <w:rPr>
          <w:rFonts w:ascii="Times New Roman" w:cs="Times New Roman" w:eastAsia="Times New Roman" w:hAnsi="Times New Roman"/>
          <w:sz w:val="20"/>
          <w:szCs w:val="20"/>
          <w:color w:val="auto"/>
        </w:rPr>
        <w:t>COSO . . . . . . . . . . . . . . . . . . . . . . . . . . . . . . . . . . . . . . . .</w:t>
        <w:tab/>
        <w:t>Committee</w:t>
        <w:tab/>
        <w:t>of</w:t>
        <w:tab/>
        <w:t>Sponsoring</w:t>
        <w:tab/>
        <w:t>Organizations</w:t>
        <w:tab/>
        <w:t>of</w:t>
      </w:r>
      <w:r>
        <w:rPr>
          <w:sz w:val="20"/>
          <w:szCs w:val="20"/>
          <w:color w:val="auto"/>
        </w:rPr>
        <w:tab/>
      </w:r>
      <w:r>
        <w:rPr>
          <w:rFonts w:ascii="Times New Roman" w:cs="Times New Roman" w:eastAsia="Times New Roman" w:hAnsi="Times New Roman"/>
          <w:sz w:val="19"/>
          <w:szCs w:val="19"/>
          <w:color w:val="auto"/>
        </w:rPr>
        <w:t>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Treadway Commission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COVID-19 . . . . . . . . . . . . . . . . . . . . . . . . . . . . . . . . . . . .</w:t>
        <w:tab/>
        <w:t>Novel coronavirus disease of 2019</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CP Notes  . . . . . . . . . . . . . . . . . . . . . . . . . . . . . . . . . . . . .</w:t>
        <w:tab/>
        <w:t>Unsecured, short-term commercial paper notes issued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pursuant to the Commercial Paper Program</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DEA . . . . . . . . . . . . . . . . . . . . . . . . . . . . . . . . . . . . . . . . .</w:t>
        <w:tab/>
        <w:t>U.S. Drug Enforcement Agency</w:t>
      </w:r>
    </w:p>
    <w:p>
      <w:pPr>
        <w:spacing w:after="0" w:line="10" w:lineRule="exact"/>
        <w:rPr>
          <w:sz w:val="20"/>
          <w:szCs w:val="20"/>
          <w:color w:val="auto"/>
        </w:rPr>
      </w:pPr>
    </w:p>
    <w:p>
      <w:pPr>
        <w:spacing w:after="0"/>
        <w:tabs>
          <w:tab w:leader="none" w:pos="4780" w:val="left"/>
          <w:tab w:leader="none" w:pos="5620" w:val="left"/>
          <w:tab w:leader="none" w:pos="6520" w:val="left"/>
          <w:tab w:leader="none" w:pos="7420" w:val="left"/>
          <w:tab w:leader="none" w:pos="7940" w:val="left"/>
          <w:tab w:leader="none" w:pos="8840" w:val="left"/>
        </w:tabs>
        <w:rPr>
          <w:sz w:val="20"/>
          <w:szCs w:val="20"/>
          <w:color w:val="auto"/>
        </w:rPr>
      </w:pPr>
      <w:r>
        <w:rPr>
          <w:rFonts w:ascii="Times New Roman" w:cs="Times New Roman" w:eastAsia="Times New Roman" w:hAnsi="Times New Roman"/>
          <w:sz w:val="20"/>
          <w:szCs w:val="20"/>
          <w:color w:val="auto"/>
        </w:rPr>
        <w:t>Developed Markets segment . . . . . . . . . . . . . . . . . . . . . .</w:t>
        <w:tab/>
        <w:t>Viatris’</w:t>
        <w:tab/>
        <w:t>business</w:t>
        <w:tab/>
        <w:t>segment</w:t>
        <w:tab/>
        <w:t>that</w:t>
        <w:tab/>
        <w:t>includes</w:t>
      </w:r>
      <w:r>
        <w:rPr>
          <w:sz w:val="20"/>
          <w:szCs w:val="20"/>
          <w:color w:val="auto"/>
        </w:rPr>
        <w:tab/>
      </w:r>
      <w:r>
        <w:rPr>
          <w:rFonts w:ascii="Times New Roman" w:cs="Times New Roman" w:eastAsia="Times New Roman" w:hAnsi="Times New Roman"/>
          <w:sz w:val="19"/>
          <w:szCs w:val="19"/>
          <w:color w:val="auto"/>
        </w:rPr>
        <w:t>our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operations primarily in the following markets: North</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America and Europe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DGCL . . . . . . . . . . . . . . . . . . . . . . . . . . . . . . . . . . . . . . . .</w:t>
        <w:tab/>
        <w:t>Delaware General Corporation Law</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Distribution  . . . . . . . . . . . . . . . . . . . . . . . . . . . . . . . . . . .</w:t>
        <w:tab/>
        <w:t>Pfizer’s distribution to Pfizer stockholders all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issued and outstanding shares of Upjohn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DOJ  . . . . . . . . . . . . . . . . . . . . . . . . . . . . . . . . . . . . . . . . .</w:t>
      </w:r>
      <w:r>
        <w:rPr>
          <w:sz w:val="20"/>
          <w:szCs w:val="20"/>
          <w:color w:val="auto"/>
        </w:rPr>
        <w:tab/>
      </w:r>
      <w:r>
        <w:rPr>
          <w:rFonts w:ascii="Times New Roman" w:cs="Times New Roman" w:eastAsia="Times New Roman" w:hAnsi="Times New Roman"/>
          <w:sz w:val="19"/>
          <w:szCs w:val="19"/>
          <w:color w:val="auto"/>
        </w:rPr>
        <w:t>U.S. Department of Justice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DRIP . . . . . . . . . . . . . . . . . . . . . . . . . . . . . . . . . . . . . . . . .</w:t>
        <w:tab/>
        <w:t>Dividend Reinvestment and Share Purchase Plan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EBITDA . . . . . . . . . . . . . . . . . . . . . . . . . . . . . . . . . . . . . .</w:t>
        <w:tab/>
        <w:t>Non-GAAP  financial  measure  that  the  Company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believes is appropriate to provide information to</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investors—U.S. GAAP net earnings (loss) adjusted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for net contribution attributable to equity method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investments, income tax provision (benefit), interest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expense and depreciation and amortization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EDPA . . . . . . . . . . . . . . . . . . . . . . . . . . . . . . . . . . . . . . . .</w:t>
        <w:tab/>
        <w:t>U.S.  District  Court  for  the  Eastern  District  of</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Pennsylvania</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EMA . . . . . . . . . . . . . . . . . . . . . . . . . . . . . . . . . . . . . . . . .</w:t>
      </w:r>
      <w:r>
        <w:rPr>
          <w:sz w:val="20"/>
          <w:szCs w:val="20"/>
          <w:color w:val="auto"/>
        </w:rPr>
        <w:tab/>
      </w:r>
      <w:r>
        <w:rPr>
          <w:rFonts w:ascii="Times New Roman" w:cs="Times New Roman" w:eastAsia="Times New Roman" w:hAnsi="Times New Roman"/>
          <w:sz w:val="19"/>
          <w:szCs w:val="19"/>
          <w:color w:val="auto"/>
        </w:rPr>
        <w:t>European Medicines Agency</w:t>
      </w:r>
    </w:p>
    <w:p>
      <w:pPr>
        <w:sectPr>
          <w:pgSz w:w="11880" w:h="15480" w:orient="portrait"/>
          <w:cols w:equalWidth="0" w:num="1">
            <w:col w:w="9120"/>
          </w:cols>
          <w:pgMar w:left="1380" w:top="1312"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20"/>
          </w:cols>
          <w:pgMar w:left="1380" w:top="1312" w:right="1380" w:bottom="654" w:gutter="0" w:footer="0" w:header="0"/>
          <w:type w:val="continuous"/>
        </w:sectPr>
      </w:pPr>
    </w:p>
    <w:bookmarkStart w:id="12" w:name="page13"/>
    <w:bookmarkEnd w:id="12"/>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Emerging Markets segment . . . . . . . . . . . . . . . . . . . . . . .</w:t>
        <w:tab/>
        <w:t>Viatris’ business segment that includes, but is not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limited to, our operations primarily in the following</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markets: Parts of Asia, the Middle East, South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Central America, Africa, and Eastern Europe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EPD Business . . . . . . . . . . . . . . . . . . . . . . . . . . . . . . . . . .</w:t>
        <w:tab/>
        <w:t>Abbott Laboratories’ non-U.S. developed markets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specialty and branded generics business, prior to its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acquisition by Mylan in February 2015</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ERP system  . . . . . . . . . . . . . . . . . . . . . . . . . . . . . . . . . . .</w:t>
      </w:r>
      <w:r>
        <w:rPr>
          <w:sz w:val="20"/>
          <w:szCs w:val="20"/>
          <w:color w:val="auto"/>
        </w:rPr>
        <w:tab/>
      </w:r>
      <w:r>
        <w:rPr>
          <w:rFonts w:ascii="Times New Roman" w:cs="Times New Roman" w:eastAsia="Times New Roman" w:hAnsi="Times New Roman"/>
          <w:sz w:val="19"/>
          <w:szCs w:val="19"/>
          <w:color w:val="auto"/>
        </w:rPr>
        <w:t>Enterprise resource planning system</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EU  . . . . . . . . . . . . . . . . . . . . . . . . . . . . . . . . . . . . . . . . . .</w:t>
        <w:tab/>
        <w:t>European Union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Exchange Act . . . . . . . . . . . . . . . . . . . . . . . . . . . . . . . . . .</w:t>
        <w:tab/>
        <w:t>Securities Exchange Act of 1934, as amended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Famy Life Sciences . . . . . . . . . . . . . . . . . . . . . . . . . . . . .</w:t>
        <w:tab/>
        <w:t>Famy Life Sciences Private Limited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FASB . . . . . . . . . . . . . . . . . . . . . . . . . . . . . . . . . . . . . . . .</w:t>
      </w:r>
      <w:r>
        <w:rPr>
          <w:sz w:val="20"/>
          <w:szCs w:val="20"/>
          <w:color w:val="auto"/>
        </w:rPr>
        <w:tab/>
      </w:r>
      <w:r>
        <w:rPr>
          <w:rFonts w:ascii="Times New Roman" w:cs="Times New Roman" w:eastAsia="Times New Roman" w:hAnsi="Times New Roman"/>
          <w:sz w:val="19"/>
          <w:szCs w:val="19"/>
          <w:color w:val="auto"/>
        </w:rPr>
        <w:t>Financial Accounting Standards Board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FDA . . . . . . . . . . . . . . . . . . . . . . . . . . . . . . . . . . . . . . . . .</w:t>
        <w:tab/>
        <w:t>U.S. Food and Drug Administration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FKB . . . . . . . . . . . . . . . . . . . . . . . . . . . . . . . . . . . . . . . . .</w:t>
        <w:tab/>
        <w:t>Fujifilm Kyowa Kirin Biologics Co. Ltd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Form 10-K . . . . . . . . . . . . . . . . . . . . . . . . . . . . . . . . . . . .</w:t>
        <w:tab/>
        <w:t>This annual report on Form 10-K for the fiscal year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ended December 31, 2022</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FTC  . . . . . . . . . . . . . . . . . . . . . . . . . . . . . . . . . . . . . . . . .</w:t>
      </w:r>
      <w:r>
        <w:rPr>
          <w:sz w:val="20"/>
          <w:szCs w:val="20"/>
          <w:color w:val="auto"/>
        </w:rPr>
        <w:tab/>
      </w:r>
      <w:r>
        <w:rPr>
          <w:rFonts w:ascii="Times New Roman" w:cs="Times New Roman" w:eastAsia="Times New Roman" w:hAnsi="Times New Roman"/>
          <w:sz w:val="19"/>
          <w:szCs w:val="19"/>
          <w:color w:val="auto"/>
        </w:rPr>
        <w:t>U.S. Federal Trade Commission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GDPR . . . . . . . . . . . . . . . . . . . . . . . . . . . . . . . . . . . . . . . .</w:t>
      </w:r>
      <w:r>
        <w:rPr>
          <w:sz w:val="20"/>
          <w:szCs w:val="20"/>
          <w:color w:val="auto"/>
        </w:rPr>
        <w:tab/>
      </w:r>
      <w:r>
        <w:rPr>
          <w:rFonts w:ascii="Times New Roman" w:cs="Times New Roman" w:eastAsia="Times New Roman" w:hAnsi="Times New Roman"/>
          <w:sz w:val="19"/>
          <w:szCs w:val="19"/>
          <w:color w:val="auto"/>
        </w:rPr>
        <w:t>The EU’s General Data Protection Regulation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GILTI . . . . . . . . . . . . . . . . . . . . . . . . . . . . . . . . . . . . . . . .</w:t>
      </w:r>
      <w:r>
        <w:rPr>
          <w:sz w:val="20"/>
          <w:szCs w:val="20"/>
          <w:color w:val="auto"/>
        </w:rPr>
        <w:tab/>
      </w:r>
      <w:r>
        <w:rPr>
          <w:rFonts w:ascii="Times New Roman" w:cs="Times New Roman" w:eastAsia="Times New Roman" w:hAnsi="Times New Roman"/>
          <w:sz w:val="19"/>
          <w:szCs w:val="19"/>
          <w:color w:val="auto"/>
        </w:rPr>
        <w:t>Global intangible low-taxed income</w:t>
      </w:r>
    </w:p>
    <w:p>
      <w:pPr>
        <w:spacing w:after="0" w:line="10" w:lineRule="exact"/>
        <w:rPr>
          <w:sz w:val="20"/>
          <w:szCs w:val="20"/>
          <w:color w:val="auto"/>
        </w:rPr>
      </w:pPr>
    </w:p>
    <w:p>
      <w:pPr>
        <w:spacing w:after="0"/>
        <w:tabs>
          <w:tab w:leader="none" w:pos="4780" w:val="left"/>
          <w:tab w:leader="none" w:pos="5620" w:val="left"/>
          <w:tab w:leader="none" w:pos="6520" w:val="left"/>
          <w:tab w:leader="none" w:pos="7420" w:val="left"/>
          <w:tab w:leader="none" w:pos="7940" w:val="left"/>
          <w:tab w:leader="none" w:pos="8840" w:val="left"/>
        </w:tabs>
        <w:rPr>
          <w:sz w:val="20"/>
          <w:szCs w:val="20"/>
          <w:color w:val="auto"/>
        </w:rPr>
      </w:pPr>
      <w:r>
        <w:rPr>
          <w:rFonts w:ascii="Times New Roman" w:cs="Times New Roman" w:eastAsia="Times New Roman" w:hAnsi="Times New Roman"/>
          <w:sz w:val="20"/>
          <w:szCs w:val="20"/>
          <w:color w:val="auto"/>
        </w:rPr>
        <w:t>Greater China segment . . . . . . . . . . . . . . . . . . . . . . . . . . .</w:t>
        <w:tab/>
        <w:t>Viatris’</w:t>
        <w:tab/>
        <w:t>business</w:t>
        <w:tab/>
        <w:t>segment</w:t>
        <w:tab/>
        <w:t>that</w:t>
        <w:tab/>
        <w:t>includes</w:t>
      </w:r>
      <w:r>
        <w:rPr>
          <w:sz w:val="20"/>
          <w:szCs w:val="20"/>
          <w:color w:val="auto"/>
        </w:rPr>
        <w:tab/>
      </w:r>
      <w:r>
        <w:rPr>
          <w:rFonts w:ascii="Times New Roman" w:cs="Times New Roman" w:eastAsia="Times New Roman" w:hAnsi="Times New Roman"/>
          <w:sz w:val="19"/>
          <w:szCs w:val="19"/>
          <w:color w:val="auto"/>
        </w:rPr>
        <w:t>our</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operations primarily in the following markets: China,</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Taiwan and Hong Kong</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Gx . . . . . . . . . . . . . . . . . . . . . . . . . . . . . . . . . . . . . . . . . . .</w:t>
      </w:r>
      <w:r>
        <w:rPr>
          <w:sz w:val="20"/>
          <w:szCs w:val="20"/>
          <w:color w:val="auto"/>
        </w:rPr>
        <w:tab/>
      </w:r>
      <w:r>
        <w:rPr>
          <w:rFonts w:ascii="Times New Roman" w:cs="Times New Roman" w:eastAsia="Times New Roman" w:hAnsi="Times New Roman"/>
          <w:sz w:val="19"/>
          <w:szCs w:val="19"/>
          <w:color w:val="auto"/>
        </w:rPr>
        <w:t>Generic drugs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Hatch-Waxman Act . . . . . . . . . . . . . . . . . . . . . . . . . . . . .</w:t>
        <w:tab/>
        <w:t>Drug Price Competition and Patent Term Restoration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Act of 1984</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HIPAA . . . . . . . . . . . . . . . . . . . . . . . . . . . . . . . . . . . . . . .</w:t>
        <w:tab/>
        <w:t>Health Insurance Portability and Accountability Act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of 1996 and the Health Information Technology for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Economic and Clinical Health Act</w:t>
      </w:r>
    </w:p>
    <w:p>
      <w:pPr>
        <w:spacing w:after="0" w:line="10" w:lineRule="exact"/>
        <w:rPr>
          <w:sz w:val="20"/>
          <w:szCs w:val="20"/>
          <w:color w:val="auto"/>
        </w:rPr>
      </w:pPr>
    </w:p>
    <w:p>
      <w:pPr>
        <w:spacing w:after="0"/>
        <w:tabs>
          <w:tab w:leader="none" w:pos="4780" w:val="left"/>
          <w:tab w:leader="none" w:pos="5580" w:val="left"/>
          <w:tab w:leader="none" w:pos="7280" w:val="left"/>
          <w:tab w:leader="none" w:pos="7900" w:val="left"/>
          <w:tab w:leader="none" w:pos="8820" w:val="left"/>
        </w:tabs>
        <w:rPr>
          <w:sz w:val="20"/>
          <w:szCs w:val="20"/>
          <w:color w:val="auto"/>
        </w:rPr>
      </w:pPr>
      <w:r>
        <w:rPr>
          <w:rFonts w:ascii="Times New Roman" w:cs="Times New Roman" w:eastAsia="Times New Roman" w:hAnsi="Times New Roman"/>
          <w:sz w:val="20"/>
          <w:szCs w:val="20"/>
          <w:color w:val="auto"/>
        </w:rPr>
        <w:t>HIV/AIDS  . . . . . . . . . . . . . . . . . . . . . . . . . . . . . . . . . . . .</w:t>
        <w:tab/>
        <w:t>Human</w:t>
        <w:tab/>
        <w:t>immunodeficiency</w:t>
        <w:tab/>
        <w:t>virus</w:t>
        <w:tab/>
        <w:t>infection</w:t>
      </w:r>
      <w:r>
        <w:rPr>
          <w:sz w:val="20"/>
          <w:szCs w:val="20"/>
          <w:color w:val="auto"/>
        </w:rPr>
        <w:tab/>
      </w:r>
      <w:r>
        <w:rPr>
          <w:rFonts w:ascii="Times New Roman" w:cs="Times New Roman" w:eastAsia="Times New Roman" w:hAnsi="Times New Roman"/>
          <w:sz w:val="19"/>
          <w:szCs w:val="19"/>
          <w:color w:val="auto"/>
        </w:rPr>
        <w:t>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acquired immune deficiency syndrome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INN . . . . . . . . . . . . . . . . . . . . . . . . . . . . . . . . . . . . . . . . . .</w:t>
      </w:r>
      <w:r>
        <w:rPr>
          <w:sz w:val="20"/>
          <w:szCs w:val="20"/>
          <w:color w:val="auto"/>
        </w:rPr>
        <w:tab/>
      </w:r>
      <w:r>
        <w:rPr>
          <w:rFonts w:ascii="Times New Roman" w:cs="Times New Roman" w:eastAsia="Times New Roman" w:hAnsi="Times New Roman"/>
          <w:sz w:val="19"/>
          <w:szCs w:val="19"/>
          <w:color w:val="auto"/>
        </w:rPr>
        <w:t>International NonProprietary Name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IPR . . . . . . . . . . . . . . . . . . . . . . . . . . . . . . . . . . . . . . . . . .</w:t>
        <w:tab/>
        <w:t>Inter Partes review</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IPR&amp;D . . . . . . . . . . . . . . . . . . . . . . . . . . . . . . . . . . . . . . .</w:t>
        <w:tab/>
        <w:t>In-process research and development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IRS . . . . . . . . . . . . . . . . . . . . . . . . . . . . . . . . . . . . . . . . . .</w:t>
      </w:r>
      <w:r>
        <w:rPr>
          <w:sz w:val="20"/>
          <w:szCs w:val="20"/>
          <w:color w:val="auto"/>
        </w:rPr>
        <w:tab/>
      </w:r>
      <w:r>
        <w:rPr>
          <w:rFonts w:ascii="Times New Roman" w:cs="Times New Roman" w:eastAsia="Times New Roman" w:hAnsi="Times New Roman"/>
          <w:sz w:val="19"/>
          <w:szCs w:val="19"/>
          <w:color w:val="auto"/>
        </w:rPr>
        <w:t>U.S. Internal Revenue Service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IT . . . . . . . . . . . . . . . . . . . . . . . . . . . . . . . . . . . . . . . . . . .</w:t>
        <w:tab/>
        <w:t>Information technology</w:t>
      </w:r>
    </w:p>
    <w:p>
      <w:pPr>
        <w:spacing w:after="0" w:line="10" w:lineRule="exact"/>
        <w:rPr>
          <w:sz w:val="20"/>
          <w:szCs w:val="20"/>
          <w:color w:val="auto"/>
        </w:rPr>
      </w:pPr>
    </w:p>
    <w:p>
      <w:pPr>
        <w:spacing w:after="0"/>
        <w:tabs>
          <w:tab w:leader="none" w:pos="4780" w:val="left"/>
          <w:tab w:leader="none" w:pos="5620" w:val="left"/>
          <w:tab w:leader="none" w:pos="6520" w:val="left"/>
          <w:tab w:leader="none" w:pos="7420" w:val="left"/>
          <w:tab w:leader="none" w:pos="7940" w:val="left"/>
          <w:tab w:leader="none" w:pos="8840" w:val="left"/>
        </w:tabs>
        <w:rPr>
          <w:sz w:val="20"/>
          <w:szCs w:val="20"/>
          <w:color w:val="auto"/>
        </w:rPr>
      </w:pPr>
      <w:r>
        <w:rPr>
          <w:rFonts w:ascii="Times New Roman" w:cs="Times New Roman" w:eastAsia="Times New Roman" w:hAnsi="Times New Roman"/>
          <w:sz w:val="20"/>
          <w:szCs w:val="20"/>
          <w:color w:val="auto"/>
        </w:rPr>
        <w:t>JANZ segment . . . . . . . . . . . . . . . . . . . . . . . . . . . . . . . . .</w:t>
        <w:tab/>
        <w:t>Viatris’</w:t>
        <w:tab/>
        <w:t>business</w:t>
        <w:tab/>
        <w:t>segment</w:t>
        <w:tab/>
        <w:t>that</w:t>
        <w:tab/>
        <w:t>includes</w:t>
      </w:r>
      <w:r>
        <w:rPr>
          <w:sz w:val="20"/>
          <w:szCs w:val="20"/>
          <w:color w:val="auto"/>
        </w:rPr>
        <w:tab/>
      </w:r>
      <w:r>
        <w:rPr>
          <w:rFonts w:ascii="Times New Roman" w:cs="Times New Roman" w:eastAsia="Times New Roman" w:hAnsi="Times New Roman"/>
          <w:sz w:val="19"/>
          <w:szCs w:val="19"/>
          <w:color w:val="auto"/>
        </w:rPr>
        <w:t>our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operations in the following markets: Japan, Australia</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and New Zealand</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LAMA . . . . . . . . . . . . . . . . . . . . . . . . . . . . . . . . . . . . . . .</w:t>
        <w:tab/>
        <w:t>Long-acting muscarinic antagonist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LIBOR . . . . . . . . . . . . . . . . . . . . . . . . . . . . . . . . . . . . . . .</w:t>
      </w:r>
      <w:r>
        <w:rPr>
          <w:sz w:val="20"/>
          <w:szCs w:val="20"/>
          <w:color w:val="auto"/>
        </w:rPr>
        <w:tab/>
      </w:r>
      <w:r>
        <w:rPr>
          <w:rFonts w:ascii="Times New Roman" w:cs="Times New Roman" w:eastAsia="Times New Roman" w:hAnsi="Times New Roman"/>
          <w:sz w:val="19"/>
          <w:szCs w:val="19"/>
          <w:color w:val="auto"/>
        </w:rPr>
        <w:t>London Interbank Offered Rate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Lilly . . . . . . . . . . . . . . . . . . . . . . . . . . . . . . . . . . . . . . . . .</w:t>
        <w:tab/>
        <w:t>Eli Lilly and Company</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LOE . . . . . . . . . . . . . . . . . . . . . . . . . . . . . . . . . . . . . . . . .</w:t>
      </w:r>
      <w:r>
        <w:rPr>
          <w:sz w:val="20"/>
          <w:szCs w:val="20"/>
          <w:color w:val="auto"/>
        </w:rPr>
        <w:tab/>
      </w:r>
      <w:r>
        <w:rPr>
          <w:rFonts w:ascii="Times New Roman" w:cs="Times New Roman" w:eastAsia="Times New Roman" w:hAnsi="Times New Roman"/>
          <w:sz w:val="19"/>
          <w:szCs w:val="19"/>
          <w:color w:val="auto"/>
        </w:rPr>
        <w:t>Loss of exclusivity</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Maximum Leverage Ratio . . . . . . . . . . . . . . . . . . . . . . . .</w:t>
        <w:tab/>
        <w:t>The maximum consolidated leverage ratio financial</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covenant requiring maintenance of a maximum ratio</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of consolidated total indebtedness as of the end of</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any quarter to consolidated EBITDA for the trailing</w:t>
      </w:r>
    </w:p>
    <w:p>
      <w:pPr>
        <w:spacing w:after="0" w:line="10" w:lineRule="exact"/>
        <w:rPr>
          <w:sz w:val="20"/>
          <w:szCs w:val="20"/>
          <w:color w:val="auto"/>
        </w:rPr>
      </w:pPr>
    </w:p>
    <w:p>
      <w:pPr>
        <w:ind w:left="4800"/>
        <w:spacing w:after="0"/>
        <w:tabs>
          <w:tab w:leader="none" w:pos="5280" w:val="left"/>
          <w:tab w:leader="none" w:pos="6100" w:val="left"/>
          <w:tab w:leader="none" w:pos="6420" w:val="left"/>
          <w:tab w:leader="none" w:pos="7200" w:val="left"/>
          <w:tab w:leader="none" w:pos="7520" w:val="left"/>
          <w:tab w:leader="none" w:pos="7940" w:val="left"/>
          <w:tab w:leader="none" w:pos="8640" w:val="left"/>
        </w:tabs>
        <w:rPr>
          <w:sz w:val="20"/>
          <w:szCs w:val="20"/>
          <w:color w:val="auto"/>
        </w:rPr>
      </w:pPr>
      <w:r>
        <w:rPr>
          <w:rFonts w:ascii="Times New Roman" w:cs="Times New Roman" w:eastAsia="Times New Roman" w:hAnsi="Times New Roman"/>
          <w:sz w:val="20"/>
          <w:szCs w:val="20"/>
          <w:color w:val="auto"/>
        </w:rPr>
        <w:t>four</w:t>
        <w:tab/>
        <w:t>quarters</w:t>
        <w:tab/>
        <w:t>as</w:t>
        <w:tab/>
        <w:t>defined</w:t>
        <w:tab/>
        <w:t>in</w:t>
        <w:tab/>
        <w:t>the</w:t>
        <w:tab/>
        <w:t>related</w:t>
        <w:tab/>
        <w:t>credit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agreements from time to time</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MDL . . . . . . . . . . . . . . . . . . . . . . . . . . . . . . . . . . . . . . . . .</w:t>
        <w:tab/>
        <w:t>Multidistrict litigation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Momenta  . . . . . . . . . . . . . . . . . . . . . . . . . . . . . . . . . . . . .</w:t>
        <w:tab/>
        <w:t>Momenta Pharmaceuticals,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MPI . . . . . . . . . . . . . . . . . . . . . . . . . . . . . . . . . . . . . . . . . .</w:t>
        <w:tab/>
        <w:t>Mylan Pharmaceuticals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Mylan . . . . . . . . . . . . . . . . . . . . . . . . . . . . . . . . . . . . . . . .</w:t>
        <w:tab/>
        <w:t>Mylan N.V. and its subsidiaries</w:t>
      </w:r>
    </w:p>
    <w:p>
      <w:pPr>
        <w:sectPr>
          <w:pgSz w:w="11880" w:h="15480" w:orient="portrait"/>
          <w:cols w:equalWidth="0" w:num="1">
            <w:col w:w="9120"/>
          </w:cols>
          <w:pgMar w:left="1380" w:top="1312"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20"/>
          </w:cols>
          <w:pgMar w:left="1380" w:top="1312" w:right="1380" w:bottom="65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Mylan Inc. Euro Notes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Mylan Inc. U.S. Dollar Notes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Mylan Securitization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NASDAQ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NCDs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NCEs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NDA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NHI .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NHS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NOLs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Securitization Facility . . . . . . . . . . . . . . . . . . . . . .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OECD . . . . . . . . . . . . . . . .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OTC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Oyster Point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PBM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Pfizer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PMS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PPACA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Profit Sharing 401(k) Plan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PSUs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PTAB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QCE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R&amp;D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Receivables Facility . . . . .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Upjohn Notes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Respiratory Delivery Platform . . . . . . . . . . . . . . . . . . . . .</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Times New Roman" w:cs="Times New Roman" w:eastAsia="Times New Roman" w:hAnsi="Times New Roman"/>
          <w:sz w:val="20"/>
          <w:szCs w:val="20"/>
          <w:color w:val="auto"/>
        </w:rPr>
        <w:t>The 2.125% Senior Notes due 2025 issued by Mylan Inc., which are fully and unconditionally guaranteed on a senior unsecured basis by Mylan II B.V., Viatris Inc. and Utah Acquisition Sub Inc.</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4.200% Senior Notes due 2023, 3.125% Senior Notes due 2023, 4.550% Senior Notes due 2028, 5.400% Senior Notes due 2043 and 5.200% Senior Notes due 2048 issued by Mylan Inc., which are fully and unconditionally guaranteed on a senior unsecured basis by Mylan II B.V., Viatris Inc. and Utah Acquisition Sub Inc.</w:t>
      </w:r>
    </w:p>
    <w:p>
      <w:pPr>
        <w:spacing w:after="0" w:line="16" w:lineRule="exact"/>
        <w:rPr>
          <w:sz w:val="20"/>
          <w:szCs w:val="20"/>
          <w:color w:val="auto"/>
        </w:rPr>
      </w:pPr>
    </w:p>
    <w:p>
      <w:pPr>
        <w:ind w:right="2000"/>
        <w:spacing w:after="0" w:line="258" w:lineRule="auto"/>
        <w:rPr>
          <w:sz w:val="20"/>
          <w:szCs w:val="20"/>
          <w:color w:val="auto"/>
        </w:rPr>
      </w:pPr>
      <w:r>
        <w:rPr>
          <w:rFonts w:ascii="Times New Roman" w:cs="Times New Roman" w:eastAsia="Times New Roman" w:hAnsi="Times New Roman"/>
          <w:sz w:val="19"/>
          <w:szCs w:val="19"/>
          <w:color w:val="auto"/>
        </w:rPr>
        <w:t>Mylan Securitization LLC The NASDAQ Stock Market noncommunicable diseases New Chemical Entities New drug application</w:t>
      </w:r>
    </w:p>
    <w:p>
      <w:pPr>
        <w:spacing w:after="0" w:line="1" w:lineRule="exact"/>
        <w:rPr>
          <w:sz w:val="20"/>
          <w:szCs w:val="20"/>
          <w:color w:val="auto"/>
        </w:rPr>
      </w:pPr>
    </w:p>
    <w:p>
      <w:pPr>
        <w:ind w:right="1500"/>
        <w:spacing w:after="0" w:line="239" w:lineRule="auto"/>
        <w:rPr>
          <w:sz w:val="20"/>
          <w:szCs w:val="20"/>
          <w:color w:val="auto"/>
        </w:rPr>
      </w:pPr>
      <w:r>
        <w:rPr>
          <w:rFonts w:ascii="Times New Roman" w:cs="Times New Roman" w:eastAsia="Times New Roman" w:hAnsi="Times New Roman"/>
          <w:sz w:val="20"/>
          <w:szCs w:val="20"/>
          <w:color w:val="auto"/>
        </w:rPr>
        <w:t>National Health Insurance of Japan National Health Services Net Operating Losses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note securitization facility entered into in August 2022 for borrowings up to $200 million and expiring in August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Organisation for Economic Co-operation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Development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Over-the-counter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Oyster Point Pharma,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Pharmacy benefit managers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Public Company Accounting Oversight Board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Pfizer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Pharmascience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Patient Protection and Affordable Care Act</w:t>
      </w:r>
    </w:p>
    <w:p>
      <w:pPr>
        <w:spacing w:after="0" w:line="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401(k) retirement plan with a profit sharing component for non-union represented employees Performance awards</w:t>
      </w:r>
    </w:p>
    <w:p>
      <w:pPr>
        <w:spacing w:after="0" w:line="18" w:lineRule="exact"/>
        <w:rPr>
          <w:sz w:val="20"/>
          <w:szCs w:val="20"/>
          <w:color w:val="auto"/>
        </w:rPr>
      </w:pPr>
    </w:p>
    <w:p>
      <w:pPr>
        <w:ind w:right="1460"/>
        <w:spacing w:after="0" w:line="239" w:lineRule="auto"/>
        <w:rPr>
          <w:sz w:val="20"/>
          <w:szCs w:val="20"/>
          <w:color w:val="auto"/>
        </w:rPr>
      </w:pPr>
      <w:r>
        <w:rPr>
          <w:rFonts w:ascii="Times New Roman" w:cs="Times New Roman" w:eastAsia="Times New Roman" w:hAnsi="Times New Roman"/>
          <w:sz w:val="20"/>
          <w:szCs w:val="20"/>
          <w:color w:val="auto"/>
        </w:rPr>
        <w:t>U.S. Patent Trial and Appeal Board Quality consistency evaluation Research and development</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$400 million accounts receivable entered into in August 2020 and expiring in April 2025</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1.125% Senior Notes due 2022, 1.650% Senior Notes due 2025,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p>
      <w:pPr>
        <w:spacing w:after="0" w:line="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Pfizer’s proprietary dry powder inhaler delivery platform</w:t>
      </w:r>
    </w:p>
    <w:p>
      <w:pPr>
        <w:spacing w:after="0" w:line="200" w:lineRule="exact"/>
        <w:rPr>
          <w:sz w:val="20"/>
          <w:szCs w:val="20"/>
          <w:color w:val="auto"/>
        </w:rPr>
      </w:pPr>
    </w:p>
    <w:p>
      <w:pPr>
        <w:sectPr>
          <w:pgSz w:w="11880" w:h="15480" w:orient="portrait"/>
          <w:cols w:equalWidth="0" w:num="2">
            <w:col w:w="4560" w:space="240"/>
            <w:col w:w="4320"/>
          </w:cols>
          <w:pgMar w:left="1380" w:top="1307" w:right="1380" w:bottom="654" w:gutter="0" w:footer="0" w:header="0"/>
        </w:sectPr>
      </w:pP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120"/>
          </w:cols>
          <w:pgMar w:left="1380" w:top="1307" w:right="1380" w:bottom="65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Restoration Plan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Stock Awards .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Revance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RICO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ROU asset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RSUs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Sanofi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SARs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SDA . . . . . . . . . . . . . . . . . . . . . . . . . . . . . . . . . . . . . . . .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SDNY . . . . . . . . . . . . . . . .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Act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U.S. Dollar Notes . . . . . . . . . . . . . . . . . . . . . . . .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Separation . . . . . . . . . . . . . . . . . . . . . . . . . . . . . . . . . . . . .</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Separation and Distribution Agreement . . . . . . . . . . . . .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SG&amp;A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awards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Act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Matters Agreement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Teva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Theravance Biopharma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TSA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U.K.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 . . . . .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GAAP . . . . . . . . . . . . . . . . . . . . . . . . . . . . . . . . . .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Unregistered Upjohn U.S. Dollar Notes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Upjohn . . . . . . . . . . . . . . . . . .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Company’s 401(k) Restoration Plan</w:t>
      </w:r>
    </w:p>
    <w:p>
      <w:pPr>
        <w:spacing w:after="0" w:line="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Company’s nonvested restricted stock and restricted stock unit awards, including PSUs Revance Therapeutics, Inc.</w:t>
      </w:r>
    </w:p>
    <w:p>
      <w:pPr>
        <w:spacing w:after="0" w:line="1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Racketeer Influenced and Corrupt Organizations Act Right-of-use asset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unvested restricted stock unit awards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Sanofi-Aventis U.S.,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Appreciation Rights</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Separation and Distribution Agreement between Viatris and Pfizer, dated as of July 29, 2019, as amended from time to time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U.S. District Court for the Southern District of New York</w:t>
      </w:r>
    </w:p>
    <w:p>
      <w:pPr>
        <w:spacing w:after="0" w:line="16" w:lineRule="exact"/>
        <w:rPr>
          <w:sz w:val="20"/>
          <w:szCs w:val="20"/>
          <w:color w:val="auto"/>
        </w:rPr>
      </w:pPr>
    </w:p>
    <w:p>
      <w:pPr>
        <w:ind w:right="880"/>
        <w:spacing w:after="0" w:line="237" w:lineRule="auto"/>
        <w:rPr>
          <w:sz w:val="20"/>
          <w:szCs w:val="20"/>
          <w:color w:val="auto"/>
        </w:rPr>
      </w:pPr>
      <w:r>
        <w:rPr>
          <w:rFonts w:ascii="Times New Roman" w:cs="Times New Roman" w:eastAsia="Times New Roman" w:hAnsi="Times New Roman"/>
          <w:sz w:val="20"/>
          <w:szCs w:val="20"/>
          <w:color w:val="auto"/>
        </w:rPr>
        <w:t>U.S. Securities and Exchange Commission Securities Act of 1933, as amended</w:t>
      </w:r>
    </w:p>
    <w:p>
      <w:pPr>
        <w:spacing w:after="0" w:line="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Upjohn U.S. Dollar Notes, the Utah U.S. Dollar Notes and the Mylan Inc. U.S. Dollar Notes, collectively</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Pfizer’s transfer to Upjohn of substantially all the assets and liabilities comprising the Upjohn Business Separation and Distribution Agreement between Viatris and Pfizer, dated as of July 29, 2019, as amended from time to time</w:t>
      </w:r>
    </w:p>
    <w:p>
      <w:pPr>
        <w:spacing w:after="0" w:line="16" w:lineRule="exact"/>
        <w:rPr>
          <w:sz w:val="20"/>
          <w:szCs w:val="20"/>
          <w:color w:val="auto"/>
        </w:rPr>
      </w:pPr>
    </w:p>
    <w:p>
      <w:pPr>
        <w:ind w:right="760"/>
        <w:spacing w:after="0" w:line="237" w:lineRule="auto"/>
        <w:rPr>
          <w:sz w:val="20"/>
          <w:szCs w:val="20"/>
          <w:color w:val="auto"/>
        </w:rPr>
      </w:pPr>
      <w:r>
        <w:rPr>
          <w:rFonts w:ascii="Times New Roman" w:cs="Times New Roman" w:eastAsia="Times New Roman" w:hAnsi="Times New Roman"/>
          <w:sz w:val="20"/>
          <w:szCs w:val="20"/>
          <w:color w:val="auto"/>
        </w:rPr>
        <w:t>Selling, general and administrative expenses Stock options and SARs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2017 U.S. Tax Cuts and Jobs Act</w:t>
      </w:r>
    </w:p>
    <w:p>
      <w:pPr>
        <w:spacing w:after="0" w:line="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agreement entered into by Pfizer and Viatris in connection with the Separation and the Distribution that governs the parties’ respective rights, responsibilities and obligations with respect to taxes, including taxes arising in the ordinary course of business and taxes, if any, incurred as a result of any failure of the Distribution or certain related transactions to qualify as tax-free transactions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Teva Pharmaceutical Industries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Theravance Biopharma,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Transition services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Accounting principles generally accepted in the U.S. The 1.125% Senior Notes due 2022, 1.650% Senior Notes due 2025,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p>
      <w:pPr>
        <w:spacing w:after="0" w:line="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Upjohn Inc., a wholly owned subsidiary of Pfizer prior to the Distribution, that combined with Mylan and was renamed Viatris Inc.</w:t>
      </w:r>
    </w:p>
    <w:p>
      <w:pPr>
        <w:spacing w:after="0" w:line="200" w:lineRule="exact"/>
        <w:rPr>
          <w:sz w:val="20"/>
          <w:szCs w:val="20"/>
          <w:color w:val="auto"/>
        </w:rPr>
      </w:pPr>
    </w:p>
    <w:p>
      <w:pPr>
        <w:sectPr>
          <w:pgSz w:w="11880" w:h="15480" w:orient="portrait"/>
          <w:cols w:equalWidth="0" w:num="2">
            <w:col w:w="4560" w:space="240"/>
            <w:col w:w="4320"/>
          </w:cols>
          <w:pgMar w:left="1380" w:top="1307" w:right="1380" w:bottom="654" w:gutter="0" w:footer="0" w:header="0"/>
        </w:sectPr>
      </w:pP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20"/>
          </w:cols>
          <w:pgMar w:left="1380" w:top="1307" w:right="1380" w:bottom="654" w:gutter="0" w:footer="0" w:header="0"/>
          <w:type w:val="continuous"/>
        </w:sectPr>
      </w:pPr>
    </w:p>
    <w:bookmarkStart w:id="15" w:name="page16"/>
    <w:bookmarkEnd w:id="15"/>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Upjohn Business  . . . . . . . . . . . . . . . . . . . . . . . . . . . . . . .</w:t>
        <w:tab/>
        <w:t>Pfizer’s off-patent branded and generic established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medicines  business  that,  in  connection  with  the</w:t>
      </w:r>
    </w:p>
    <w:p>
      <w:pPr>
        <w:spacing w:after="0" w:line="10" w:lineRule="exact"/>
        <w:rPr>
          <w:sz w:val="20"/>
          <w:szCs w:val="20"/>
          <w:color w:val="auto"/>
        </w:rPr>
      </w:pPr>
    </w:p>
    <w:p>
      <w:pPr>
        <w:ind w:left="4800"/>
        <w:spacing w:after="0"/>
        <w:tabs>
          <w:tab w:leader="none" w:pos="6080" w:val="left"/>
          <w:tab w:leader="none" w:pos="6580" w:val="left"/>
          <w:tab w:leader="none" w:pos="7540" w:val="left"/>
          <w:tab w:leader="none" w:pos="8140" w:val="left"/>
          <w:tab w:leader="none" w:pos="8820" w:val="left"/>
        </w:tabs>
        <w:rPr>
          <w:sz w:val="20"/>
          <w:szCs w:val="20"/>
          <w:color w:val="auto"/>
        </w:rPr>
      </w:pPr>
      <w:r>
        <w:rPr>
          <w:rFonts w:ascii="Times New Roman" w:cs="Times New Roman" w:eastAsia="Times New Roman" w:hAnsi="Times New Roman"/>
          <w:sz w:val="20"/>
          <w:szCs w:val="20"/>
          <w:color w:val="auto"/>
        </w:rPr>
        <w:t>Combination,</w:t>
        <w:tab/>
        <w:t>was</w:t>
        <w:tab/>
        <w:t>separated</w:t>
        <w:tab/>
        <w:t>from</w:t>
        <w:tab/>
        <w:t>Pfizer</w:t>
      </w:r>
      <w:r>
        <w:rPr>
          <w:sz w:val="20"/>
          <w:szCs w:val="20"/>
          <w:color w:val="auto"/>
        </w:rPr>
        <w:tab/>
      </w:r>
      <w:r>
        <w:rPr>
          <w:rFonts w:ascii="Times New Roman" w:cs="Times New Roman" w:eastAsia="Times New Roman" w:hAnsi="Times New Roman"/>
          <w:sz w:val="19"/>
          <w:szCs w:val="19"/>
          <w:color w:val="auto"/>
        </w:rPr>
        <w:t>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combined with Mylan to form Viatris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Upjohn Distributor Markets . . . . . . . . . . . . . . . . . . . . . . .</w:t>
        <w:tab/>
        <w:t>Select geographic  markets that were part of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Combination that are smaller in nature and in which</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we  had  no  established  infrastructure  prior  to  or</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following the Combination and that the Company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intends to divest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Upjohn Euro Notes . . . . . . . . . . . . . . . . . . . . . . . . . . . . . .</w:t>
        <w:tab/>
        <w:t>Senior unsecured notes denominated in euros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issued  by  Upjohn  Finance  B.V.  pursuant  to  an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indenture dated June 23, 2020</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Upjohn Senior Notes . . . . . . . . . . . . . . . . . . . . . . . . . . . .</w:t>
        <w:tab/>
        <w:t>The Upjohn U.S. Dollar Notes together with the</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Upjohn Euro Notes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Upjohn U.S. Dollar Notes . . . . . . . . . . . . . . . . . . . . . . . .</w:t>
        <w:tab/>
        <w:t>Senior unsecured notes denominated in U.S. dollars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and originally issued by Upjohn Inc. or Viatris Inc.</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pursuant to an indenture dated June 22, 2020 and</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fully and unconditionally guaranteed by Mylan Inc.,</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Mylan II B.V. and Utah Acquisition Sub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URP . . . . . . . . . . . . . . . . . . . . . . . . . . . . . . . . . . . . . . . . .</w:t>
      </w:r>
      <w:r>
        <w:rPr>
          <w:sz w:val="20"/>
          <w:szCs w:val="20"/>
          <w:color w:val="auto"/>
        </w:rPr>
        <w:tab/>
      </w:r>
      <w:r>
        <w:rPr>
          <w:rFonts w:ascii="Times New Roman" w:cs="Times New Roman" w:eastAsia="Times New Roman" w:hAnsi="Times New Roman"/>
          <w:sz w:val="19"/>
          <w:szCs w:val="19"/>
          <w:color w:val="auto"/>
        </w:rPr>
        <w:t>Universal reimbursement pricing</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USD Term Loan Facility . . . . . . . . . . . . . . . . . . . . . . . . .</w:t>
        <w:tab/>
        <w:t>The $600 million delayed draw term loan credit</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agreement, dated as of June 16, 2020 by and among</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Viatris, Mizuho Bank, Ltd. and MUFG Bank, Ltd., as</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administrative agent, and repaid in full in July 2021</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Utah Acquisition Sub . . . . . . . . . . . . . . . . . . . . . . . . . . . .</w:t>
        <w:tab/>
        <w:t>Utah Acquisition Sub Inc., a Delaware corporation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and an indirect wholly owned subsidiary of Viatris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Utah Euro Notes . . . . . . . . . . . . . . . . . . . . . . . . . . . . . . . .</w:t>
        <w:tab/>
        <w:t>The 2.250% Senior Notes due 2024 and 3.125%</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Senior Notes due 2028 issued by Utah Acquisition</w:t>
      </w:r>
    </w:p>
    <w:p>
      <w:pPr>
        <w:spacing w:after="0" w:line="10" w:lineRule="exact"/>
        <w:rPr>
          <w:sz w:val="20"/>
          <w:szCs w:val="20"/>
          <w:color w:val="auto"/>
        </w:rPr>
      </w:pPr>
    </w:p>
    <w:p>
      <w:pPr>
        <w:ind w:left="4800"/>
        <w:spacing w:after="0"/>
        <w:tabs>
          <w:tab w:leader="none" w:pos="5260" w:val="left"/>
          <w:tab w:leader="none" w:pos="5780" w:val="left"/>
          <w:tab w:leader="none" w:pos="6440" w:val="left"/>
          <w:tab w:leader="none" w:pos="6840" w:val="left"/>
          <w:tab w:leader="none" w:pos="7380" w:val="left"/>
          <w:tab w:leader="none" w:pos="7840" w:val="left"/>
        </w:tabs>
        <w:rPr>
          <w:sz w:val="20"/>
          <w:szCs w:val="20"/>
          <w:color w:val="auto"/>
        </w:rPr>
      </w:pPr>
      <w:r>
        <w:rPr>
          <w:rFonts w:ascii="Times New Roman" w:cs="Times New Roman" w:eastAsia="Times New Roman" w:hAnsi="Times New Roman"/>
          <w:sz w:val="20"/>
          <w:szCs w:val="20"/>
          <w:color w:val="auto"/>
        </w:rPr>
        <w:t>Sub</w:t>
        <w:tab/>
        <w:t>Inc.,</w:t>
        <w:tab/>
        <w:t>which</w:t>
        <w:tab/>
        <w:t>are</w:t>
        <w:tab/>
        <w:t>fully</w:t>
        <w:tab/>
        <w:t>and</w:t>
        <w:tab/>
        <w:t>unconditionally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guaranteed on a senior unsecured basis by Mylan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Inc., Viatris Inc. and Mylan II B.V.</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Utah U.S. Dollar Notes  . . . . . . . . . . . . . . . . . . . . . . . . . .</w:t>
        <w:tab/>
        <w:t>The 3.950% Senior Notes due 2026 and 5.250%</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Senior Notes due 2046 issued by Utah Acquisition</w:t>
      </w:r>
    </w:p>
    <w:p>
      <w:pPr>
        <w:spacing w:after="0" w:line="10" w:lineRule="exact"/>
        <w:rPr>
          <w:sz w:val="20"/>
          <w:szCs w:val="20"/>
          <w:color w:val="auto"/>
        </w:rPr>
      </w:pPr>
    </w:p>
    <w:p>
      <w:pPr>
        <w:ind w:left="4800"/>
        <w:spacing w:after="0"/>
        <w:tabs>
          <w:tab w:leader="none" w:pos="5260" w:val="left"/>
          <w:tab w:leader="none" w:pos="5780" w:val="left"/>
          <w:tab w:leader="none" w:pos="6440" w:val="left"/>
          <w:tab w:leader="none" w:pos="6840" w:val="left"/>
          <w:tab w:leader="none" w:pos="7380" w:val="left"/>
          <w:tab w:leader="none" w:pos="7840" w:val="left"/>
        </w:tabs>
        <w:rPr>
          <w:sz w:val="20"/>
          <w:szCs w:val="20"/>
          <w:color w:val="auto"/>
        </w:rPr>
      </w:pPr>
      <w:r>
        <w:rPr>
          <w:rFonts w:ascii="Times New Roman" w:cs="Times New Roman" w:eastAsia="Times New Roman" w:hAnsi="Times New Roman"/>
          <w:sz w:val="20"/>
          <w:szCs w:val="20"/>
          <w:color w:val="auto"/>
        </w:rPr>
        <w:t>Sub</w:t>
        <w:tab/>
        <w:t>Inc.,</w:t>
        <w:tab/>
        <w:t>which</w:t>
        <w:tab/>
        <w:t>are</w:t>
        <w:tab/>
        <w:t>fully</w:t>
        <w:tab/>
        <w:t>and</w:t>
        <w:tab/>
        <w:t>unconditionally</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guaranteed on a senior unsecured basis by Mylan</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Inc., Viatris Inc. and Mylan II B.V.</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VA . . . . . . . . . . . . . . . . . . . . . . . . . . . . . . . . . . . . . . . . . .</w:t>
        <w:tab/>
        <w:t>Department of Veterans Affairs</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VBP . . . . . . . . . . . . . . . . . . . . . . . . . . . . . . . . . . . . . . . . .</w:t>
      </w:r>
      <w:r>
        <w:rPr>
          <w:sz w:val="20"/>
          <w:szCs w:val="20"/>
          <w:color w:val="auto"/>
        </w:rPr>
        <w:tab/>
      </w:r>
      <w:r>
        <w:rPr>
          <w:rFonts w:ascii="Times New Roman" w:cs="Times New Roman" w:eastAsia="Times New Roman" w:hAnsi="Times New Roman"/>
          <w:sz w:val="19"/>
          <w:szCs w:val="19"/>
          <w:color w:val="auto"/>
        </w:rPr>
        <w:t>Volume-based procurement</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Viatris . . . . . . . . . . . . . . . . . . . . . . . . . . . . . . . . . . . . . . . .</w:t>
        <w:tab/>
        <w:t>Viatris Inc., formerly known as Upjohn Inc. prior to</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the completion of the Combination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Viatris Board . . . . . . . . . . . . . . . . . . . . . . . . . . . . . . . . . .</w:t>
        <w:tab/>
        <w:t>The board of directors of Viatris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Viatris Bylaws . . . . . . . . . . . . . . . . . . . . . . . . . . . . . . . . .</w:t>
        <w:tab/>
        <w:t>The amended and restated bylaws of Viatris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Viatris Charter . . . . . . . . . . . . . . . . . . . . . . . . . . . . . . . . .</w:t>
        <w:tab/>
        <w:t>Amended and restated certificate of incorporation of</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Viatris Inc.</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WHO  . . . . . . . . . . . . . . . . . . . . . . . . . . . . . . . . . . . . . . . .</w:t>
        <w:tab/>
        <w:t>World Health Organization</w:t>
      </w:r>
    </w:p>
    <w:p>
      <w:pPr>
        <w:spacing w:after="0" w:line="10"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0"/>
          <w:szCs w:val="20"/>
          <w:color w:val="auto"/>
        </w:rPr>
        <w:t>YEN Term Loan Facility . . . . . . . . . . . . . . . . . . . . . . . . .</w:t>
        <w:tab/>
        <w:t>The ¥40 billion term loan agreement dated as of</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July 1, 2021, by and among Viatris, MUFG Bank,</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Ltd. and Mizuho Bank, Ltd., as administrative agent</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20"/>
          </w:cols>
          <w:pgMar w:left="1380" w:top="1312" w:right="1380" w:bottom="654"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Viatris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seasoned management team is focused on ensuring that the Company is optimally structured and efficiently resourced to deliver sustainable value to patients, shareholders, customers and other key stakeholders. With a global workforce of approximately 37,000,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On November 16, 2020, Viatris, formerly known as Upjohn, Mylan and Pfizer consummated the combination of Mylan with the Upjohn Business through a Reverse Morris Trust transaction. As a result of the Combination, Viatris held the combined Upjohn Business and Mylan business and Mylan ceased to exist as a separate legal entity after merging with and into Mylan II B.V., an indirect wholly owned subsidiary of Viatris. In accordance with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xml:space="preserve">, Mylan is considered the accounting acquirer of the Upjohn Business and all historical financial information of the Company prior to November 16, 2020 represents Mylan’s historical results and the Company’s thereafter. Refer to Note 4 </w:t>
      </w:r>
      <w:r>
        <w:rPr>
          <w:rFonts w:ascii="Times New Roman" w:cs="Times New Roman" w:eastAsia="Times New Roman" w:hAnsi="Times New Roman"/>
          <w:sz w:val="20"/>
          <w:szCs w:val="20"/>
          <w:i w:val="1"/>
          <w:iCs w:val="1"/>
          <w:color w:val="auto"/>
        </w:rPr>
        <w:t>Acquisitions and Other Transactions</w:t>
      </w:r>
      <w:r>
        <w:rPr>
          <w:rFonts w:ascii="Times New Roman" w:cs="Times New Roman" w:eastAsia="Times New Roman" w:hAnsi="Times New Roman"/>
          <w:sz w:val="20"/>
          <w:szCs w:val="20"/>
          <w:color w:val="auto"/>
        </w:rPr>
        <w:t xml:space="preserve"> included in Part II. Item 8 of this Form 10-K for more information.</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Prior to the separation of the Upjohn Business from the remainder of Pfizer’s businesses, the legacy Upjohn Business historically received support services from Pfizer. In connection with the Separation and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initial transitional periods following the Combination. By the end of 2022, the Company had exited substantially all transition services with Pfizer.</w:t>
      </w:r>
    </w:p>
    <w:p>
      <w:pPr>
        <w:spacing w:after="0" w:line="25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February 2022, the Company announced plans for certain strategic actions, anchored by a significant global reshaping initiative designed to unlock trapped value and provide the financial flexibility required to deliver on its vision. The Company also announced that it had entered into a strategic transaction with Biocon Biologics to create what it expects to be a vertically integrated global biosimilars leader, as well as potential plans to divest other select assets no longer considered core to our future strategy to help reshape the Company.</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February 27, 2022, Viatris entered into a definitive agreement with Biocon Biologics to contribute its biosimilars portfolio to Biocon Biologics. The transaction subsequently closed on November 29, 2022.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w:t>
      </w:r>
    </w:p>
    <w:p>
      <w:pPr>
        <w:sectPr>
          <w:pgSz w:w="11880" w:h="15480" w:orient="portrait"/>
          <w:cols w:equalWidth="0" w:num="1">
            <w:col w:w="9120"/>
          </w:cols>
          <w:pgMar w:left="1380" w:top="1312" w:right="1380" w:bottom="654"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20"/>
          </w:cols>
          <w:pgMar w:left="1380" w:top="1312" w:right="1380" w:bottom="654" w:gutter="0" w:footer="0" w:header="0"/>
          <w:type w:val="continuous"/>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20"/>
          <w:szCs w:val="20"/>
          <w:color w:val="auto"/>
        </w:rPr>
        <w:t>capital target may become payable to Biocon Biologics in connection with certain events in the future, depending on the valuations attributable to such events. Upon closing of the transaction, the Company recognized a gain on sale of approximately $1.75 billion and has not recognized the results of the business in its consolidated financial statements subsequent to November 29, 2022.</w:t>
      </w:r>
    </w:p>
    <w:p>
      <w:pPr>
        <w:spacing w:after="0" w:line="22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22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110" w:lineRule="exact"/>
        <w:rPr>
          <w:sz w:val="20"/>
          <w:szCs w:val="20"/>
          <w:color w:val="auto"/>
        </w:rPr>
      </w:pPr>
    </w:p>
    <w:p>
      <w:pPr>
        <w:ind w:left="800" w:hanging="300"/>
        <w:spacing w:after="0"/>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OTC;</w:t>
      </w:r>
    </w:p>
    <w:p>
      <w:pPr>
        <w:spacing w:after="0" w:line="114"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API (while retaining some selective development API capabilities);</w:t>
      </w:r>
    </w:p>
    <w:p>
      <w:pPr>
        <w:spacing w:after="0" w:line="124" w:lineRule="exact"/>
        <w:rPr>
          <w:rFonts w:ascii="Times New Roman" w:cs="Times New Roman" w:eastAsia="Times New Roman" w:hAnsi="Times New Roman"/>
          <w:sz w:val="20"/>
          <w:szCs w:val="20"/>
          <w:color w:val="auto"/>
        </w:rPr>
      </w:pPr>
    </w:p>
    <w:p>
      <w:pPr>
        <w:jc w:val="both"/>
        <w:ind w:left="800" w:hanging="300"/>
        <w:spacing w:after="0" w:line="208"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Women’s health care, primarily related to our oral and injectable contraceptives. This does not include all of our women’s health care related products; as an example, our Xulane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product in the U.S. is excluded; and</w:t>
      </w:r>
    </w:p>
    <w:p>
      <w:pPr>
        <w:spacing w:after="0" w:line="11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Upjohn Distributor Markets.</w:t>
      </w:r>
    </w:p>
    <w:p>
      <w:pPr>
        <w:spacing w:after="0" w:line="21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During the first quarter of 2023, the Company completed the acquisition of Oyster Point for approximately $425 million in cash, which includes $11 per share paid to Oyster Point stockholders through a tender offer and the repayment of the principal amount of certain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which are expected to be determined by the end of the first quarter of 2023. Oyster Point is a commercial-stage biopharmaceutical company focused on the discovery, development, and commercialization of first-in-class pharmaceutical therapies to treat ophthalmic diseases.</w:t>
      </w:r>
    </w:p>
    <w:p>
      <w:pPr>
        <w:spacing w:after="0" w:line="228" w:lineRule="exact"/>
        <w:rPr>
          <w:sz w:val="20"/>
          <w:szCs w:val="20"/>
          <w:color w:val="auto"/>
        </w:rPr>
      </w:pPr>
    </w:p>
    <w:p>
      <w:pPr>
        <w:jc w:val="both"/>
        <w:ind w:firstLine="400"/>
        <w:spacing w:after="0"/>
        <w:rPr>
          <w:sz w:val="20"/>
          <w:szCs w:val="20"/>
          <w:color w:val="auto"/>
        </w:rPr>
      </w:pPr>
      <w:r>
        <w:rPr>
          <w:rFonts w:ascii="Times New Roman" w:cs="Times New Roman" w:eastAsia="Times New Roman" w:hAnsi="Times New Roman"/>
          <w:sz w:val="20"/>
          <w:szCs w:val="20"/>
          <w:color w:val="auto"/>
        </w:rPr>
        <w:t>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transaction to acquire the remaining equity shares of Famy Life Sciences closed during the first quarter of 2023.</w:t>
      </w:r>
    </w:p>
    <w:p>
      <w:pPr>
        <w:spacing w:after="0" w:line="223" w:lineRule="exact"/>
        <w:rPr>
          <w:sz w:val="20"/>
          <w:szCs w:val="20"/>
          <w:color w:val="auto"/>
        </w:rPr>
      </w:pPr>
    </w:p>
    <w:p>
      <w:pPr>
        <w:jc w:val="both"/>
        <w:ind w:firstLine="400"/>
        <w:spacing w:after="0" w:line="224" w:lineRule="auto"/>
        <w:rPr>
          <w:sz w:val="20"/>
          <w:szCs w:val="20"/>
          <w:color w:val="auto"/>
        </w:rPr>
      </w:pPr>
      <w:r>
        <w:rPr>
          <w:rFonts w:ascii="Times New Roman" w:cs="Times New Roman" w:eastAsia="Times New Roman" w:hAnsi="Times New Roman"/>
          <w:sz w:val="20"/>
          <w:szCs w:val="20"/>
          <w:color w:val="auto"/>
        </w:rPr>
        <w:t>Ophthalmology is one of the key therapeutic areas of focus that the Company announced in February 2022. With the combination of Viatris’ global commercial footprint, R&amp;D and regulatory capabilities and supply chain, along with Oyster Point’s deep knowledge of the ophthalmology space from a clinical, medical, regulatory and commercial perspective—including a commercial asset, Tyrvaya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for the treatment of dry eye disease—and Famy Life Sciences’ Phase III-ready pipeline, the Company believes it has the foundation to create a leading global ophthalmology franchise, accelerating efforts to address the unmet needs of patients with ophthalmic disease and the eye care professionals who treat them. The Eye Care division within the company will be led by former Oyster Point CEO, Jeff Nau Ph.D.</w:t>
      </w:r>
    </w:p>
    <w:p>
      <w:pPr>
        <w:spacing w:after="0" w:line="23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Unless otherwise indicated, industry data included in this Item 1 are sourced from IQVIA Holdings Inc. and are for the twelve months ended November 2022. Viatris product and other company data included in this Item 1 are from internal sources and are as of November 30, 2022.</w:t>
      </w:r>
    </w:p>
    <w:p>
      <w:pPr>
        <w:sectPr>
          <w:pgSz w:w="11880" w:h="15480" w:orient="portrait"/>
          <w:cols w:equalWidth="0" w:num="1">
            <w:col w:w="9120"/>
          </w:cols>
          <w:pgMar w:left="1380" w:top="1322" w:right="1380" w:bottom="65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20"/>
          </w:cols>
          <w:pgMar w:left="1380" w:top="1322" w:right="1380" w:bottom="654"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1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Upjohn was incorporated in Delaware on February 14, 2019 as a wholly-owned subsidiary of Pfizer to operate the Upjohn Business. Effective as of November 16, 2020, Upjohn changed its name to “Viatris Inc.” and became the parent entity of the combined Upjohn Business and Mylan business.</w:t>
      </w:r>
    </w:p>
    <w:p>
      <w:pPr>
        <w:spacing w:after="0" w:line="259" w:lineRule="exact"/>
        <w:rPr>
          <w:sz w:val="20"/>
          <w:szCs w:val="20"/>
          <w:color w:val="auto"/>
        </w:rPr>
      </w:pPr>
    </w:p>
    <w:p>
      <w:pPr>
        <w:jc w:val="both"/>
        <w:ind w:firstLine="400"/>
        <w:spacing w:after="0" w:line="207" w:lineRule="auto"/>
        <w:rPr>
          <w:sz w:val="20"/>
          <w:szCs w:val="20"/>
          <w:color w:val="auto"/>
        </w:rPr>
      </w:pPr>
      <w:r>
        <w:rPr>
          <w:rFonts w:ascii="Times New Roman" w:cs="Times New Roman" w:eastAsia="Times New Roman" w:hAnsi="Times New Roman"/>
          <w:sz w:val="20"/>
          <w:szCs w:val="20"/>
          <w:color w:val="auto"/>
        </w:rPr>
        <w:t>The Upjohn Business was a global, primarily off-patent branded and generic established medicines business, which included 20 primarily off-patent oral solid dose legacy brands, such as Lyrica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Celebrex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and Viagra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Mylan was founded in 1961 as a privately-owned company and grew over time into one of the largest manufacturers of generic drugs in the U.S. Mylan became a publicly traded company in 1973. Mylan’s strategy then led to many acquisitions which have played a significant role in the evolution of the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Since the consummation of the Combination, the Viatris management team has been focused on ensuring that the Company is optimally structured and efficiently resourced to deliver sustainable value to patients, shareholders, customers and other stakeholders.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Model and Operations</w:t>
      </w:r>
    </w:p>
    <w:p>
      <w:pPr>
        <w:spacing w:after="0" w:line="1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At Viatris, we see healthcare not as it is, but as it should be. We act courageously and are uniquely positioned to be a source of stability in a world of evolving healthcare needs. Viatris empowers people worldwide to live healthier at every stage of life. We do so via </w:t>
      </w:r>
      <w:r>
        <w:rPr>
          <w:rFonts w:ascii="Times New Roman" w:cs="Times New Roman" w:eastAsia="Times New Roman" w:hAnsi="Times New Roman"/>
          <w:sz w:val="20"/>
          <w:szCs w:val="20"/>
          <w:b w:val="1"/>
          <w:bCs w:val="1"/>
          <w:color w:val="auto"/>
        </w:rPr>
        <w:t>Access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Leadership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545465" cy="606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extLst>
                    </a:blip>
                    <a:srcRect/>
                    <a:stretch>
                      <a:fillRect/>
                    </a:stretch>
                  </pic:blipFill>
                  <pic:spPr bwMode="auto">
                    <a:xfrm>
                      <a:off x="0" y="0"/>
                      <a:ext cx="545465"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ACCESS</w:t>
      </w:r>
    </w:p>
    <w:p>
      <w:pPr>
        <w:spacing w:after="0" w:line="13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Viatris provides high-quality, trusted medicines, regardless of geography or circumstance.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to improving access to high-quality medicines while working to ensure a reliable supply so patients can get the treatments they need, when and where they need them. Our global portfolio, supported by our science, medical and manufacturing expertise, delivers global iconic and key brands, complex generics, including biosimilars prior to the Biocon Biologics Transaction, generics and OTC products.</w:t>
      </w:r>
    </w:p>
    <w:p>
      <w:pPr>
        <w:spacing w:after="0" w:line="25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see access as fundamental to empowering people worldwide to live healthier at every stage of life—a powerful concept in challenging times.</w:t>
      </w:r>
    </w:p>
    <w:p>
      <w:pPr>
        <w:spacing w:after="0" w:line="26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It begins with our efforts to sustainably deliver high-quality medicines and health solutions at scale to people, regardless of geography or circumstance. As a healthcare company born during a global pandemic, Viatris was formed to bridge the traditional divide between generics and brands, aiming to combine the best of both, to more holistically address healthcare needs globally. With an extensive portfolio of medicines to meet nearly every health need, a one-of-a-kind global supply chain designed to reach more people with health solutions when and where they need them, and the scientific expertise to address some of the world’s most enduring health challenges, access takes on deeper meaning at Viatris.</w:t>
      </w:r>
    </w:p>
    <w:p>
      <w:pPr>
        <w:sectPr>
          <w:pgSz w:w="11880" w:h="15480" w:orient="portrait"/>
          <w:cols w:equalWidth="0" w:num="1">
            <w:col w:w="9120"/>
          </w:cols>
          <w:pgMar w:left="1380" w:top="1312" w:right="1380" w:bottom="654"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20"/>
          </w:cols>
          <w:pgMar w:left="1380" w:top="1312" w:right="1380" w:bottom="654" w:gutter="0" w:footer="0" w:header="0"/>
          <w:type w:val="continuous"/>
        </w:sectPr>
      </w:pPr>
    </w:p>
    <w:bookmarkStart w:id="19" w:name="page20"/>
    <w:bookmarkEnd w:id="19"/>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From our unique vantage point, we touch all of life’s moments, from birth to end of life, acute conditions to chronic diseases. We see across multiple therapeutic areas to the person at the center of their own unique health journey. We are focused on meeting individual needs, whether with a generic medicine, an improved version of an existing medicine, or a truly novel therapeutic solution.</w:t>
      </w:r>
    </w:p>
    <w:p>
      <w:pPr>
        <w:spacing w:after="0" w:line="22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Ultimately, we know we are stronger together. Both as a company and as a global community. Our pursuit of access is relentless. Because health matters everywhere.</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a company, Viatris:</w:t>
      </w:r>
    </w:p>
    <w:p>
      <w:pPr>
        <w:spacing w:after="0" w:line="114" w:lineRule="exact"/>
        <w:rPr>
          <w:sz w:val="20"/>
          <w:szCs w:val="20"/>
          <w:color w:val="auto"/>
        </w:rPr>
      </w:pPr>
    </w:p>
    <w:p>
      <w:pPr>
        <w:jc w:val="both"/>
        <w:ind w:left="800" w:hanging="300"/>
        <w:spacing w:after="0" w:line="250"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Covers a broad range of therapeutic areas</w:t>
      </w:r>
      <w:r>
        <w:rPr>
          <w:rFonts w:ascii="Times New Roman" w:cs="Times New Roman" w:eastAsia="Times New Roman" w:hAnsi="Times New Roman"/>
          <w:sz w:val="20"/>
          <w:szCs w:val="20"/>
          <w:color w:val="auto"/>
        </w:rPr>
        <w:t>. We produce medicines for patients across a broad range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major therapeutic areas. 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While we intend to maintain our broad range of therapeutic areas, we have, as previously announced, identified three core, global therapeutic areas – ophthalmology (as evidenced by the Oyster Point and Famy Life Sciences’ acquisitions), gastrointestinal, and dermatology – that we believe particularly fit our own internal capabilities while leveraging our global platform.</w:t>
      </w:r>
    </w:p>
    <w:p>
      <w:pPr>
        <w:spacing w:after="0" w:line="105" w:lineRule="exact"/>
        <w:rPr>
          <w:rFonts w:ascii="Times New Roman" w:cs="Times New Roman" w:eastAsia="Times New Roman" w:hAnsi="Times New Roman"/>
          <w:sz w:val="20"/>
          <w:szCs w:val="20"/>
          <w:color w:val="auto"/>
        </w:rPr>
      </w:pPr>
    </w:p>
    <w:p>
      <w:pPr>
        <w:jc w:val="both"/>
        <w:ind w:left="800" w:hanging="300"/>
        <w:spacing w:after="0" w:line="250"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Helps ease the burden of noncommunicable diseases. </w:t>
      </w:r>
      <w:r>
        <w:rPr>
          <w:rFonts w:ascii="Times New Roman" w:cs="Times New Roman" w:eastAsia="Times New Roman" w:hAnsi="Times New Roman"/>
          <w:sz w:val="20"/>
          <w:szCs w:val="20"/>
          <w:color w:val="auto"/>
        </w:rPr>
        <w:t>According to the WHO, NCDs, such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ischemic heart disease, stroke, diabetes, certain cancers and chronic obstructive pulmonary disease, are among the leading causes of death globally. NCDs affect people of every age, gender and socioeconomic status in every corner of the world, and pose a heavy burden on individuals, families and communities. To overcome this global public health threat, patients worldwide need a partner they can trust – one that not only believes everyone deserves good health, but also has the portfolio, experience and expertise to make this belief a reality.</w:t>
      </w:r>
    </w:p>
    <w:p>
      <w:pPr>
        <w:spacing w:after="0" w:line="105" w:lineRule="exact"/>
        <w:rPr>
          <w:rFonts w:ascii="Times New Roman" w:cs="Times New Roman" w:eastAsia="Times New Roman" w:hAnsi="Times New Roman"/>
          <w:sz w:val="20"/>
          <w:szCs w:val="20"/>
          <w:color w:val="auto"/>
        </w:rPr>
      </w:pPr>
    </w:p>
    <w:p>
      <w:pPr>
        <w:jc w:val="both"/>
        <w:ind w:left="800" w:hanging="300"/>
        <w:spacing w:after="0" w:line="250"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Helps hearts stay healthier. </w:t>
      </w:r>
      <w:r>
        <w:rPr>
          <w:rFonts w:ascii="Times New Roman" w:cs="Times New Roman" w:eastAsia="Times New Roman" w:hAnsi="Times New Roman"/>
          <w:sz w:val="20"/>
          <w:szCs w:val="20"/>
          <w:color w:val="auto"/>
        </w:rPr>
        <w:t>According to the WHO, coronary heart disease is the number one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death globally. Viatris collaborates with many organizations to help prevent, diagnose, and treat many cardiovascular illnesses. Our deep experience in emerging and developed markets affords a tried-and-true method of achieving high impact across the patient experience, from awareness to adherence. In close collaboration with governments, healthcare providers, technology partners and patients, we at Viatris work to nurture healthcare systems that can adapt and respond to patients’ ever-changing needs. We continue to collaborate with medical associations, patient advocacy groups and academia to develop innovative, integrated solutions and programs to help strengthen both the delivery and quality of healthcare.</w:t>
      </w:r>
    </w:p>
    <w:p>
      <w:pPr>
        <w:spacing w:after="0" w:line="105" w:lineRule="exact"/>
        <w:rPr>
          <w:rFonts w:ascii="Times New Roman" w:cs="Times New Roman" w:eastAsia="Times New Roman" w:hAnsi="Times New Roman"/>
          <w:sz w:val="20"/>
          <w:szCs w:val="20"/>
          <w:color w:val="auto"/>
        </w:rPr>
      </w:pPr>
    </w:p>
    <w:p>
      <w:pPr>
        <w:jc w:val="both"/>
        <w:ind w:left="800" w:hanging="300"/>
        <w:spacing w:after="0" w:line="250"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Fights infectious disease</w:t>
      </w:r>
      <w:r>
        <w:rPr>
          <w:rFonts w:ascii="Times New Roman" w:cs="Times New Roman" w:eastAsia="Times New Roman" w:hAnsi="Times New Roman"/>
          <w:sz w:val="20"/>
          <w:szCs w:val="20"/>
          <w:color w:val="auto"/>
        </w:rPr>
        <w:t>. We are also a global leader in treating infectious diseases such as HIV/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AIDS, hepatitis, and tuberculosis, and offer an extensive portfolio across these disease states. While many important strides have been made to treat these illnesses, there is still more to be done in countries where lack of access to therapeutics, preventative treatment and diagnostics often result in patients not receiving proper care, and those where HIV transmission continues thirty years into the epidemic. From manufacturing a pediatric-friendly antiretroviral used to treat HIV-positive infants to providing HIV self-tests in some low- and middle-income countries, we are innovating to help patients.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 Increasingly Innovative and Differentiated Pipeline</w:t>
      </w:r>
    </w:p>
    <w:p>
      <w:pPr>
        <w:spacing w:after="0" w:line="118" w:lineRule="exact"/>
        <w:rPr>
          <w:sz w:val="20"/>
          <w:szCs w:val="20"/>
          <w:color w:val="auto"/>
        </w:rPr>
      </w:pPr>
    </w:p>
    <w:p>
      <w:pPr>
        <w:jc w:val="both"/>
        <w:ind w:firstLine="400"/>
        <w:spacing w:after="0" w:line="186" w:lineRule="auto"/>
        <w:rPr>
          <w:sz w:val="20"/>
          <w:szCs w:val="20"/>
          <w:color w:val="auto"/>
        </w:rPr>
      </w:pPr>
      <w:r>
        <w:rPr>
          <w:rFonts w:ascii="Times New Roman" w:cs="Times New Roman" w:eastAsia="Times New Roman" w:hAnsi="Times New Roman"/>
          <w:sz w:val="19"/>
          <w:szCs w:val="19"/>
          <w:color w:val="auto"/>
        </w:rPr>
        <w:t>Our confidence in the future delivery of our pipeline is rooted in our strong historic development programs and list of firsts, including the first FDA approvals of the generic version of Allergan’s Restasis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and the generic version of Symbicort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Breyna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In addition, we are working on many other programs, including the potential to be first to market for our generics of Abilify Maintena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Injectafer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Invega Trinza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Ozempic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Sandostin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LAR Depot, Venofer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and Wegovy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We are also working with our partners on novel and complex products such as our BOTOX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(onabotulinumtoxinA) biosimilar and Glatiramer Acetate Depot, a long-acting injection version of the approved glatiramer acetate.</w:t>
      </w:r>
    </w:p>
    <w:p>
      <w:pPr>
        <w:sectPr>
          <w:pgSz w:w="11880" w:h="15480" w:orient="portrait"/>
          <w:cols w:equalWidth="0" w:num="1">
            <w:col w:w="9120"/>
          </w:cols>
          <w:pgMar w:left="1380" w:top="1322" w:right="1380" w:bottom="654"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20"/>
          </w:cols>
          <w:pgMar w:left="1380" w:top="1322" w:right="1380" w:bottom="654" w:gutter="0" w:footer="0" w:header="0"/>
          <w:type w:val="continuous"/>
        </w:sectPr>
      </w:pPr>
    </w:p>
    <w:bookmarkStart w:id="20" w:name="page21"/>
    <w:bookmarkEnd w:id="20"/>
    <w:p>
      <w:pPr>
        <w:jc w:val="both"/>
        <w:ind w:firstLine="400"/>
        <w:spacing w:after="0" w:line="235" w:lineRule="auto"/>
        <w:rPr>
          <w:sz w:val="20"/>
          <w:szCs w:val="20"/>
          <w:color w:val="auto"/>
        </w:rPr>
      </w:pPr>
      <w:r>
        <w:rPr>
          <w:rFonts w:ascii="Times New Roman" w:cs="Times New Roman" w:eastAsia="Times New Roman" w:hAnsi="Times New Roman"/>
          <w:sz w:val="20"/>
          <w:szCs w:val="20"/>
          <w:color w:val="auto"/>
        </w:rPr>
        <w:t>While we will continue to diligently pursue important generics opportunities, we will increasingly focus on limited-competition complex and novel products targeting gaps in care, all with a first-to-market emphasis and serving our mission of patient access. Complex product categories are critical to patient health and are growing at a rapid pace. Our goal is to enhance our proven scientific capabilities and current global platform, including our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to create a durable and higher-margin portfolio of products. And that means further expanding beyond our current scope into more innovative products, including NCEs and global 505(b)(2) products. As previously mentioned, while we intend to maintain our broad range of therapeutic areas, we have identified three core, global therapeutic areas – ophthalmology, gastrointestinal and dermatology – that we believe particularly fit our own internal capabilities while leveraging our global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551815" cy="514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extLst>
                    </a:blip>
                    <a:srcRect/>
                    <a:stretch>
                      <a:fillRect/>
                    </a:stretch>
                  </pic:blipFill>
                  <pic:spPr bwMode="auto">
                    <a:xfrm>
                      <a:off x="0" y="0"/>
                      <a:ext cx="55181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LEADERSHIP</w:t>
      </w:r>
    </w:p>
    <w:p>
      <w:pPr>
        <w:spacing w:after="0" w:line="12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Viatris is advancing sustainable operations and innovative solutions to improve patient health. </w:t>
      </w:r>
      <w:r>
        <w:rPr>
          <w:rFonts w:ascii="Times New Roman" w:cs="Times New Roman" w:eastAsia="Times New Roman" w:hAnsi="Times New Roman"/>
          <w:sz w:val="20"/>
          <w:szCs w:val="20"/>
          <w:color w:val="auto"/>
        </w:rPr>
        <w:t>Viatris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committed to providing steady leadership in a 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spacing w:after="0" w:line="123" w:lineRule="exact"/>
        <w:rPr>
          <w:sz w:val="20"/>
          <w:szCs w:val="20"/>
          <w:color w:val="auto"/>
        </w:rPr>
      </w:pPr>
    </w:p>
    <w:p>
      <w:pPr>
        <w:jc w:val="both"/>
        <w:ind w:left="800" w:hanging="300"/>
        <w:spacing w:after="0" w:line="250"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Powerful global operating platform</w:t>
      </w:r>
      <w:r>
        <w:rPr>
          <w:rFonts w:ascii="Times New Roman" w:cs="Times New Roman" w:eastAsia="Times New Roman" w:hAnsi="Times New Roman"/>
          <w:sz w:val="20"/>
          <w:szCs w:val="20"/>
          <w:color w:val="auto"/>
        </w:rPr>
        <w:t>, which combines what we believe to be best-in-class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and supply chain capabilities. We have designed our global operations and supply chain to be a reliable and flexible partner for access across the world, constantly adapting to an ever-evolving landscape. Viatris operates approximately 40 manufacturing sites worldwide that produce oral solid doses, injectables, complex dosage forms and APIs on five different continents. Together with a global, flexible and diverse supply chain, our platform strives to mitigate risks of disruption and ensure supply reliability. Our efforts to build a responsive global network have helped us maintain a reliable supply of much needed medicines during the COVID-19 pandemic. We are committed to advancing responsible and sustainable operations and work diligently to minimize our environmental footprint across the Viatris network while safeguarding access to medicine. As discussed above, our API business (other than some selective development API capabilities) is one of the assets we intend to divest.</w:t>
      </w:r>
    </w:p>
    <w:p>
      <w:pPr>
        <w:spacing w:after="0" w:line="360" w:lineRule="exact"/>
        <w:rPr>
          <w:rFonts w:ascii="Times New Roman" w:cs="Times New Roman" w:eastAsia="Times New Roman" w:hAnsi="Times New Roman"/>
          <w:sz w:val="20"/>
          <w:szCs w:val="20"/>
          <w:color w:val="auto"/>
        </w:rPr>
      </w:pPr>
    </w:p>
    <w:p>
      <w:pPr>
        <w:jc w:val="both"/>
        <w:ind w:left="800" w:hanging="300"/>
        <w:spacing w:after="0" w:line="249"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Robust global technical resources</w:t>
      </w:r>
      <w:r>
        <w:rPr>
          <w:rFonts w:ascii="Times New Roman" w:cs="Times New Roman" w:eastAsia="Times New Roman" w:hAnsi="Times New Roman"/>
          <w:sz w:val="20"/>
          <w:szCs w:val="20"/>
          <w:color w:val="auto"/>
        </w:rPr>
        <w:t>, including thousands of scientists, regulatory experts and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product safety professionals working around the world on innovative therapies and solutions for patients everywhere.</w:t>
      </w:r>
    </w:p>
    <w:p>
      <w:pPr>
        <w:spacing w:after="0" w:line="120" w:lineRule="exact"/>
        <w:rPr>
          <w:rFonts w:ascii="Times New Roman" w:cs="Times New Roman" w:eastAsia="Times New Roman" w:hAnsi="Times New Roman"/>
          <w:sz w:val="20"/>
          <w:szCs w:val="20"/>
          <w:color w:val="auto"/>
        </w:rPr>
      </w:pPr>
    </w:p>
    <w:p>
      <w:pPr>
        <w:ind w:left="800" w:hanging="300"/>
        <w:spacing w:after="0" w:line="248"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Strong global commercial team</w:t>
      </w:r>
      <w:r>
        <w:rPr>
          <w:rFonts w:ascii="Times New Roman" w:cs="Times New Roman" w:eastAsia="Times New Roman" w:hAnsi="Times New Roman"/>
          <w:sz w:val="20"/>
          <w:szCs w:val="20"/>
          <w:color w:val="auto"/>
        </w:rPr>
        <w:t>, including sales team members and marketing professionals whose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goal is to ensure that products are shipped to customers around the globe.</w:t>
      </w:r>
    </w:p>
    <w:p>
      <w:pPr>
        <w:spacing w:after="0" w:line="120" w:lineRule="exact"/>
        <w:rPr>
          <w:rFonts w:ascii="Times New Roman" w:cs="Times New Roman" w:eastAsia="Times New Roman" w:hAnsi="Times New Roman"/>
          <w:sz w:val="20"/>
          <w:szCs w:val="20"/>
          <w:color w:val="auto"/>
        </w:rPr>
      </w:pPr>
    </w:p>
    <w:p>
      <w:pPr>
        <w:jc w:val="both"/>
        <w:ind w:left="800" w:hanging="300"/>
        <w:spacing w:after="0" w:line="249"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Diverse and differentiated global portfolio </w:t>
      </w:r>
      <w:r>
        <w:rPr>
          <w:rFonts w:ascii="Times New Roman" w:cs="Times New Roman" w:eastAsia="Times New Roman" w:hAnsi="Times New Roman"/>
          <w:sz w:val="20"/>
          <w:szCs w:val="20"/>
          <w:color w:val="auto"/>
        </w:rPr>
        <w:t>includes products in more than 10 major therapeutic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areas, including both infectious diseases and NCDs and medicines that treat the top 10 of the WHO’s leading causes of death globally. We are a leading supplier of medicines to the HIV/AIDS community around the world, with a legacy of providing access to high-quality and affordable ARVs in more than 100 countries.</w:t>
      </w:r>
    </w:p>
    <w:p>
      <w:pPr>
        <w:spacing w:after="0" w:line="248" w:lineRule="exact"/>
        <w:rPr>
          <w:sz w:val="20"/>
          <w:szCs w:val="20"/>
          <w:color w:val="auto"/>
        </w:rPr>
      </w:pPr>
    </w:p>
    <w:p>
      <w:pPr>
        <w:jc w:val="both"/>
        <w:ind w:firstLine="400"/>
        <w:spacing w:after="0" w:line="223" w:lineRule="auto"/>
        <w:rPr>
          <w:sz w:val="20"/>
          <w:szCs w:val="20"/>
          <w:color w:val="auto"/>
        </w:rPr>
      </w:pPr>
      <w:r>
        <w:rPr>
          <w:rFonts w:ascii="Times New Roman" w:cs="Times New Roman" w:eastAsia="Times New Roman" w:hAnsi="Times New Roman"/>
          <w:sz w:val="20"/>
          <w:szCs w:val="20"/>
          <w:color w:val="auto"/>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for companies big and small, Viatris works to improve access and meet evolving healthcare needs around the world.</w:t>
      </w:r>
    </w:p>
    <w:p>
      <w:pPr>
        <w:sectPr>
          <w:pgSz w:w="11880" w:h="15480" w:orient="portrait"/>
          <w:cols w:equalWidth="0" w:num="1">
            <w:col w:w="9120"/>
          </w:cols>
          <w:pgMar w:left="1380" w:top="1322" w:right="1380" w:bottom="654"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20"/>
          </w:cols>
          <w:pgMar w:left="1380" w:top="1322" w:right="1380" w:bottom="654"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876300</wp:posOffset>
            </wp:positionH>
            <wp:positionV relativeFrom="page">
              <wp:posOffset>935355</wp:posOffset>
            </wp:positionV>
            <wp:extent cx="527050" cy="499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705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PARTNERSHIP</w:t>
      </w:r>
    </w:p>
    <w:p>
      <w:pPr>
        <w:spacing w:after="0" w:line="10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Leveraging our collective expertise to connect people to products and services. </w:t>
      </w:r>
      <w:r>
        <w:rPr>
          <w:rFonts w:ascii="Times New Roman" w:cs="Times New Roman" w:eastAsia="Times New Roman" w:hAnsi="Times New Roman"/>
          <w:sz w:val="20"/>
          <w:szCs w:val="20"/>
          <w:color w:val="auto"/>
        </w:rPr>
        <w:t>Partnerships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collaborations are critical, as are policies and strong healthcare systems that allow for healthy competitive environments. We have a strong history of partnering with other pharmaceutical companies, nonprofit organizations, government agencies, policymakers, trade associations and alliances, industry researchers and patient advocacy groups to promote sustainable access to treatment, build more resilient healthcare systems and drive these issues within our industry on global, regional and local levels. We hold leadership roles in several industry associations and actively engage with more than 100 groups worldwide to this end. Many of our collaborations focus on access to medicine; public awareness and disease screening; and healthcare professional education and support.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Global Healthcare Gateway</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20"/>
          <w:szCs w:val="20"/>
          <w:b w:val="1"/>
          <w:bCs w:val="1"/>
          <w:color w:val="auto"/>
        </w:rPr>
        <w:t xml:space="preserve"> Built to Fuel Growth and Partnerships</w:t>
      </w:r>
    </w:p>
    <w:p>
      <w:pPr>
        <w:spacing w:after="0" w:line="11" w:lineRule="exact"/>
        <w:rPr>
          <w:sz w:val="20"/>
          <w:szCs w:val="20"/>
          <w:color w:val="auto"/>
        </w:rPr>
      </w:pPr>
    </w:p>
    <w:p>
      <w:pPr>
        <w:jc w:val="both"/>
        <w:ind w:firstLine="400"/>
        <w:spacing w:after="0" w:line="207" w:lineRule="auto"/>
        <w:rPr>
          <w:sz w:val="20"/>
          <w:szCs w:val="20"/>
          <w:color w:val="auto"/>
        </w:rPr>
      </w:pPr>
      <w:r>
        <w:rPr>
          <w:rFonts w:ascii="Times New Roman" w:cs="Times New Roman" w:eastAsia="Times New Roman" w:hAnsi="Times New Roman"/>
          <w:sz w:val="20"/>
          <w:szCs w:val="20"/>
          <w:color w:val="auto"/>
        </w:rPr>
        <w:t>Our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is open for business. This was evidenced by the fact the Oyster Point and Famy Life Sciences acquisitions were sourced through the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Through our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 a platform that allows partners to access our many established strengths to reach patients they may not have the resources to reach on their own – we connect more people with even more products and services. We are actively engaging with potential partners to help them accelerate possibilities of using their own healthcare assets to reach more patients by leveraging our unique global platform – our R&amp;D, supply chain, manufacturing, regulatory, commercial and legal expertise. With the global platforms and infrastructure supporting our innovative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we are enhancing our capital allocation approach to business development, and our organic and inorganic R&amp;D investments through a focused governance structure to ensure the highest level of strategic decision-making.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Licensing and Other Partner Agreements</w:t>
      </w:r>
    </w:p>
    <w:p>
      <w:pPr>
        <w:spacing w:after="0" w:line="1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periodically enter into commercial licensing and other partner agreements with other pharmaceutical companies for the development, manufacture, marketing and/or sale of pharmaceutical products. Doing so helps us share risks and costs, leverage strengths and scale up commercialization, but usually requires us to also share future profits. The result often is that medicines become available sooner and to a significantly larger group of patients.</w:t>
      </w:r>
    </w:p>
    <w:p>
      <w:pPr>
        <w:spacing w:after="0" w:line="20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Our significant licensing and other partner agreements are primarily focused on the development, manufacturing, supply and commercialization of multiple, high-value generic compounds and respiratory products, among other complex products. Refer to Note 19 </w:t>
      </w:r>
      <w:r>
        <w:rPr>
          <w:rFonts w:ascii="Times New Roman" w:cs="Times New Roman" w:eastAsia="Times New Roman" w:hAnsi="Times New Roman"/>
          <w:sz w:val="20"/>
          <w:szCs w:val="20"/>
          <w:i w:val="1"/>
          <w:iCs w:val="1"/>
          <w:color w:val="auto"/>
        </w:rPr>
        <w:t>Licensing and Other Partner Agreements</w:t>
      </w:r>
      <w:r>
        <w:rPr>
          <w:rFonts w:ascii="Times New Roman" w:cs="Times New Roman" w:eastAsia="Times New Roman" w:hAnsi="Times New Roman"/>
          <w:sz w:val="20"/>
          <w:szCs w:val="20"/>
          <w:color w:val="auto"/>
        </w:rPr>
        <w:t xml:space="preserve"> included in Part II. Item 8 of this Form 10-K for more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1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spacing w:after="0" w:line="20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manufacturing of APIs and finished dosage forms is currently performed by a combination of internal and external manufacturing operations. Internally, many of the products we produce are currently vertically integrated; meaning we manufacture both the APIs and finished dosage forms related to those products.</w:t>
      </w:r>
    </w:p>
    <w:p>
      <w:pPr>
        <w:sectPr>
          <w:pgSz w:w="11880" w:h="15480" w:orient="portrait"/>
          <w:cols w:equalWidth="0" w:num="1">
            <w:col w:w="9120"/>
          </w:cols>
          <w:pgMar w:left="1380" w:top="1440" w:right="1380" w:bottom="65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120"/>
          </w:cols>
          <w:pgMar w:left="1380" w:top="1440" w:right="1380" w:bottom="654" w:gutter="0" w:footer="0" w:header="0"/>
          <w:type w:val="continuous"/>
        </w:sectPr>
      </w:pPr>
    </w:p>
    <w:bookmarkStart w:id="22" w:name="page23"/>
    <w:bookmarkEnd w:id="22"/>
    <w:p>
      <w:pPr>
        <w:jc w:val="both"/>
        <w:spacing w:after="0" w:line="248" w:lineRule="auto"/>
        <w:rPr>
          <w:sz w:val="20"/>
          <w:szCs w:val="20"/>
          <w:color w:val="auto"/>
        </w:rPr>
      </w:pPr>
      <w:r>
        <w:rPr>
          <w:rFonts w:ascii="Times New Roman" w:cs="Times New Roman" w:eastAsia="Times New Roman" w:hAnsi="Times New Roman"/>
          <w:sz w:val="20"/>
          <w:szCs w:val="20"/>
          <w:color w:val="auto"/>
        </w:rPr>
        <w:t>Occasionally, however, resources we need are available from only a single supplier. As a result, we supplement our production footprint through arrangements with other manufacturers. However, as discussed above, our API business is one of the assets we intend to divest as we continue to move up the value chain and focus on more complex and innovative products to build a more durable, higher-margin portfolio. We expect to retain some selective development API capabilities and to continue to have access to adequate API supplies through our arrangements with other manufacturers.</w:t>
      </w:r>
    </w:p>
    <w:p>
      <w:pPr>
        <w:spacing w:after="0" w:line="221"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Company’s significant manufacturing, warehousing and distribution activities are located primarily in the U.S., Puerto Rico, Singapore, India, Australia, China, and certain E.U. countries, including Ireland. In addition, we maintain administrative facilities around the world. While many of these key facilities are owned, Viatris also leases certain facilities from third parties.</w:t>
      </w:r>
    </w:p>
    <w:p>
      <w:pPr>
        <w:spacing w:after="0" w:line="22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believe all our facilities are in good operating condition, the machinery and equipment are well-maintained, the facilities are suitable for their intended purposes and they have capacities adequate for the current operations.</w:t>
      </w:r>
    </w:p>
    <w:p>
      <w:pPr>
        <w:spacing w:after="0" w:line="21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Facilities and records related to our products are subject to periodic inspection by the FDA, the EMA and other regulatory authorities in jurisdictions where our products are marketed. In addition, authorities often conduct pre-approval plant inspections to determine whether our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spacing w:after="0" w:line="223" w:lineRule="exact"/>
        <w:rPr>
          <w:sz w:val="20"/>
          <w:szCs w:val="20"/>
          <w:color w:val="auto"/>
        </w:rPr>
      </w:pPr>
    </w:p>
    <w:p>
      <w:pPr>
        <w:jc w:val="both"/>
        <w:ind w:firstLine="400"/>
        <w:spacing w:after="0"/>
        <w:rPr>
          <w:sz w:val="20"/>
          <w:szCs w:val="20"/>
          <w:color w:val="auto"/>
        </w:rPr>
      </w:pPr>
      <w:r>
        <w:rPr>
          <w:rFonts w:ascii="Times New Roman" w:cs="Times New Roman" w:eastAsia="Times New Roman" w:hAnsi="Times New Roman"/>
          <w:sz w:val="20"/>
          <w:szCs w:val="20"/>
          <w:color w:val="auto"/>
        </w:rPr>
        <w:t>We are committed to advancing sustainable operations and innovative solutions to improve patient health. This means we focus on responsible conduct and have global policies and procedures to support our work. Environmental and human health are interconnected, a relationship underscored by climate change and water stress. We work systematically and diligently to minimize our environmental footprint while seeking to safeguard stable access to medicine. In 2022, we launched Viatris’ initial sustainability goals in the areas of access to medicine and health; diversity, equity &amp; inclusion; and the environment: climate change, water risk assessments and waste management. Our near-term science-based emissions reduction targets for scope 1, 2 and 3 have been validated and approved by the Science Based Target initiative (SBTi). The SBTi classified Viatris’ scope 1 and 2 target ambition and has determined that it is in line with a 1.5°C trajectory, a worldwide goal of limiting global warming. During 2022, we also completed a climate scenario analysis to help us identify and manage risk and opportunities regarding climate impacts. While it is very hard to predict accurately the future costs associated with compliance with environmental laws, this is not expected to require significant capital expenditures and has not had, and is not expected to have, a material adverse effect on our operations or competitive position.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and Marketing</w:t>
      </w:r>
    </w:p>
    <w:p>
      <w:pPr>
        <w:spacing w:after="0" w:line="12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customers include retail and pharmacy establishments, wholesalers and distributors, payers, insurers and governments, and institutions such as hospitals; among others. See “Channel Types” below for more information about our customers.</w:t>
      </w:r>
    </w:p>
    <w:p>
      <w:pPr>
        <w:spacing w:after="0" w:line="22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table below displays the percentage of consolidated net sales to our largest customers during the years ended December 31, 2022,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7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Percentage of Consolidated Net Sales</w:t>
            </w:r>
          </w:p>
        </w:tc>
      </w:tr>
      <w:tr>
        <w:trPr>
          <w:trHeight w:val="26"/>
        </w:trPr>
        <w:tc>
          <w:tcPr>
            <w:tcW w:w="6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4"/>
        </w:trPr>
        <w:tc>
          <w:tcPr>
            <w:tcW w:w="636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6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2"/>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McKesson Corporation . . . . . . . . . . . . . . . . . . . . . . . . . . . . . . . . . . . . . . . . . .</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w:t>
            </w: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AmerisourceBergen Corporation . . . . . . . . . . . . . . . . . . . . . . . . . . . . . . . . . . .</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w:t>
            </w: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Cardinal Health, Inc. . . . . . . . . . . . . . . . . . . . . . . . . . . . . . . . . . . . . . . . . . . . .</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w:t>
            </w:r>
          </w:p>
        </w:tc>
      </w:tr>
    </w:tbl>
    <w:p>
      <w:pPr>
        <w:spacing w:after="0" w:line="200" w:lineRule="exact"/>
        <w:rPr>
          <w:sz w:val="20"/>
          <w:szCs w:val="20"/>
          <w:color w:val="auto"/>
        </w:rPr>
      </w:pPr>
    </w:p>
    <w:p>
      <w:pPr>
        <w:sectPr>
          <w:pgSz w:w="11880" w:h="15480" w:orient="portrait"/>
          <w:cols w:equalWidth="0" w:num="1">
            <w:col w:w="9120"/>
          </w:cols>
          <w:pgMar w:left="1380" w:top="1322" w:right="1380" w:bottom="654"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20"/>
          </w:cols>
          <w:pgMar w:left="1380" w:top="1322" w:right="1380" w:bottom="654" w:gutter="0" w:footer="0" w:header="0"/>
          <w:type w:val="continuous"/>
        </w:sectPr>
      </w:pPr>
    </w:p>
    <w:bookmarkStart w:id="23" w:name="page24"/>
    <w:bookmarkEnd w:id="23"/>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spacing w:after="0" w:line="25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spacing w:after="0" w:line="25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For these and other reasons, the Company’s sales and marketing efforts vary accordingly by product, market and channel type, each of which is described below.</w:t>
      </w:r>
    </w:p>
    <w:p>
      <w:pPr>
        <w:spacing w:after="0" w:line="26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See the </w:t>
      </w:r>
      <w:r>
        <w:rPr>
          <w:rFonts w:ascii="Times New Roman" w:cs="Times New Roman" w:eastAsia="Times New Roman" w:hAnsi="Times New Roman"/>
          <w:sz w:val="20"/>
          <w:szCs w:val="20"/>
          <w:i w:val="1"/>
          <w:iCs w:val="1"/>
          <w:color w:val="auto"/>
        </w:rPr>
        <w:t>Application of Critical Accounting Policies</w:t>
      </w:r>
      <w:r>
        <w:rPr>
          <w:rFonts w:ascii="Times New Roman" w:cs="Times New Roman" w:eastAsia="Times New Roman" w:hAnsi="Times New Roman"/>
          <w:sz w:val="20"/>
          <w:szCs w:val="20"/>
          <w:color w:val="auto"/>
        </w:rPr>
        <w:t xml:space="preserve"> section in Part II. Item 7 of this Form 10-K for more information related to customer arrangements.</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Products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As the Company looks to the future, its goal is to leverage its proven scientific capabilities to create a durable and higher-margin portfolio of products. Viatris intends to continue building the pipeline and focusing on products with greater complexity while also investing in the lifecycle management of certain key products in our current portfolio. The Company also expects to expand further beyond its current scope into more innovative products, including NCEs and global 505(b)(2)s. While Viatris intends to maintain its broad range of therapeutic areas, it has identified three core, global therapeutic areas – ophthalmology, gastrointestinal, dermatology – that it believes particularly fit its internal capabilities while leveraging its global platform. The Company is further enhancing its commercial and scientific capabilities as needed for this future portfolio and intends to increase its R&amp;D investment as well as inorganically grow via business development through its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Viatris currently markets prescription brand drugs, generic drugs, complex generic drugs, and APIs.</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Brand drugs </w:t>
      </w:r>
      <w:r>
        <w:rPr>
          <w:rFonts w:ascii="Times New Roman" w:cs="Times New Roman" w:eastAsia="Times New Roman" w:hAnsi="Times New Roman"/>
          <w:sz w:val="20"/>
          <w:szCs w:val="20"/>
          <w:color w:val="auto"/>
        </w:rPr>
        <w:t>typically are prescription pharmaceuticals that are sufficiently novel as to be protected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patents or other forms of 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w:t>
      </w:r>
    </w:p>
    <w:p>
      <w:pPr>
        <w:sectPr>
          <w:pgSz w:w="11880" w:h="15480" w:orient="portrait"/>
          <w:cols w:equalWidth="0" w:num="1">
            <w:col w:w="9120"/>
          </w:cols>
          <w:pgMar w:left="1380" w:top="1322" w:right="1380" w:bottom="654"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20"/>
          </w:cols>
          <w:pgMar w:left="1380" w:top="1322" w:right="1380" w:bottom="654" w:gutter="0" w:footer="0" w:header="0"/>
          <w:type w:val="continuous"/>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0"/>
          <w:szCs w:val="20"/>
          <w:color w:val="auto"/>
        </w:rPr>
        <w:t>several global 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OTC products, which are sold directly to consumers without a prescription and without reimbursement, are generally sold under a brand name. As discussed above, our OTC business is one of the assets we intend to divest.</w:t>
      </w:r>
    </w:p>
    <w:p>
      <w:pPr>
        <w:spacing w:after="0" w:line="22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Generic drugs </w:t>
      </w:r>
      <w:r>
        <w:rPr>
          <w:rFonts w:ascii="Times New Roman" w:cs="Times New Roman" w:eastAsia="Times New Roman" w:hAnsi="Times New Roman"/>
          <w:sz w:val="20"/>
          <w:szCs w:val="20"/>
          <w:color w:val="auto"/>
        </w:rPr>
        <w:t>are therapeutically equivalent versions of brand drugs. Generics generally become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once the patents and other exclusivities 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medicine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Gx products typically are sold under their INNs. INNs facilitate the identification of pharmaceutical substances or APIs. Each INN is unique and globally recognized. A nonproprietary name also is known as a generic name.</w:t>
      </w:r>
    </w:p>
    <w:p>
      <w:pPr>
        <w:spacing w:after="0" w:line="225" w:lineRule="exact"/>
        <w:rPr>
          <w:sz w:val="20"/>
          <w:szCs w:val="20"/>
          <w:color w:val="auto"/>
        </w:rPr>
      </w:pPr>
    </w:p>
    <w:p>
      <w:pPr>
        <w:jc w:val="both"/>
        <w:ind w:firstLine="400"/>
        <w:spacing w:after="0" w:line="216" w:lineRule="auto"/>
        <w:rPr>
          <w:sz w:val="20"/>
          <w:szCs w:val="20"/>
          <w:color w:val="auto"/>
        </w:rPr>
      </w:pPr>
      <w:r>
        <w:rPr>
          <w:rFonts w:ascii="Times New Roman" w:cs="Times New Roman" w:eastAsia="Times New Roman" w:hAnsi="Times New Roman"/>
          <w:sz w:val="20"/>
          <w:szCs w:val="20"/>
          <w:i w:val="1"/>
          <w:iCs w:val="1"/>
          <w:color w:val="auto"/>
        </w:rPr>
        <w:t xml:space="preserve">Complex generic drugs </w:t>
      </w:r>
      <w:r>
        <w:rPr>
          <w:rFonts w:ascii="Times New Roman" w:cs="Times New Roman" w:eastAsia="Times New Roman" w:hAnsi="Times New Roman"/>
          <w:sz w:val="20"/>
          <w:szCs w:val="20"/>
          <w:color w:val="auto"/>
        </w:rPr>
        <w:t>are generic medicines that could have a complex active ingredient, complex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formulation, complex route of delivery or complex drug device combinations. Viatris offers a number of these important medicines to patients, including our Wixela Inhub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the first generic of ADVAIR DISKUS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and glatiramer acetate injection, a generic version of Copaxone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for example.</w:t>
      </w:r>
    </w:p>
    <w:p>
      <w:pPr>
        <w:spacing w:after="0" w:line="13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While we will continue to diligently pursue important generics opportunities, we will increasingly focus on limited-competition complex and novel products targeting gaps in care, all with a first-to-market emphasis and serving our mission of patient access. We believe complex products categories are critical to patient health and are growing at a rapid pace.</w:t>
      </w:r>
    </w:p>
    <w:p>
      <w:pPr>
        <w:spacing w:after="0" w:line="22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APIs </w:t>
      </w:r>
      <w:r>
        <w:rPr>
          <w:rFonts w:ascii="Times New Roman" w:cs="Times New Roman" w:eastAsia="Times New Roman" w:hAnsi="Times New Roman"/>
          <w:sz w:val="20"/>
          <w:szCs w:val="20"/>
          <w:color w:val="auto"/>
        </w:rPr>
        <w:t>are responsible for the therapeutic effects of medicines. We are one of the world’s largest producers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APIs, providing them to customers in more than 100 countries. We are the leading producer of API used in generic ARVs, which treat HIV/AIDS. We also produce API for products in the following areas: antibacterial; central nervous system agents; antihistamines/antiasthmatics; cardiovascular, antivirals; antidiabetics; antifungals; and proton pump inhibitors. Our APIs are sold through a dedicated sales and marketing team primarily to pharmaceutical companies throughout the world. As discussed above, our API business is one of the assets we intend to divest. We expect to retain some selective development API capabilities and to continue to have access to adequate API supplies through our arrangements with other manufacturers. Viatris invests significant sums in R&amp;D and in manufacturing capacity.</w:t>
      </w:r>
    </w:p>
    <w:p>
      <w:pPr>
        <w:spacing w:after="0" w:line="22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also often incur substantial litigation expense as a result of defending or challenging brand patents or exclusivities, which is described further in Note 20 included in Part II. Item 8 of this Form 10-K.</w:t>
      </w:r>
    </w:p>
    <w:p>
      <w:pPr>
        <w:spacing w:after="0" w:line="3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Market Types</w:t>
      </w:r>
    </w:p>
    <w:p>
      <w:pPr>
        <w:spacing w:after="0" w:line="12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Viatris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the Company may focus on just one type in a particular country.</w:t>
      </w:r>
    </w:p>
    <w:p>
      <w:pPr>
        <w:spacing w:after="0" w:line="22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prescription</w:t>
      </w:r>
      <w:r>
        <w:rPr>
          <w:rFonts w:ascii="Times New Roman" w:cs="Times New Roman" w:eastAsia="Times New Roman" w:hAnsi="Times New Roman"/>
          <w:sz w:val="20"/>
          <w:szCs w:val="20"/>
          <w:color w:val="auto"/>
        </w:rPr>
        <w:t xml:space="preserve"> markets, physicians decide which medicines patients will take. Pharmacies then dispense the products as directed. Drug companies employ sales forces to educate doctors about the clinical benefits of their</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20"/>
          </w:cols>
          <w:pgMar w:left="1380" w:top="1322" w:right="1380" w:bottom="654" w:gutter="0" w:footer="0" w:header="0"/>
          <w:type w:val="continuous"/>
        </w:sectPr>
      </w:pPr>
    </w:p>
    <w:bookmarkStart w:id="25" w:name="page26"/>
    <w:bookmarkEnd w:id="25"/>
    <w:p>
      <w:pPr>
        <w:jc w:val="both"/>
        <w:spacing w:after="0" w:line="245" w:lineRule="auto"/>
        <w:rPr>
          <w:sz w:val="20"/>
          <w:szCs w:val="20"/>
          <w:color w:val="auto"/>
        </w:rPr>
      </w:pPr>
      <w:r>
        <w:rPr>
          <w:rFonts w:ascii="Times New Roman" w:cs="Times New Roman" w:eastAsia="Times New Roman" w:hAnsi="Times New Roman"/>
          <w:sz w:val="20"/>
          <w:szCs w:val="20"/>
          <w:color w:val="auto"/>
        </w:rPr>
        <w:t>products. Representatives call on individual doctors or group practices; the process is known as detailing. Examples of countries served by Viatris that are mainly prescription markets are the U.S. brand business, Japan, China, Turkey, Poland and Mexico.</w:t>
      </w:r>
    </w:p>
    <w:p>
      <w:pPr>
        <w:spacing w:after="0" w:line="23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substitution</w:t>
      </w:r>
      <w:r>
        <w:rPr>
          <w:rFonts w:ascii="Times New Roman" w:cs="Times New Roman" w:eastAsia="Times New Roman" w:hAnsi="Times New Roman"/>
          <w:sz w:val="20"/>
          <w:szCs w:val="20"/>
          <w:color w:val="auto"/>
        </w:rPr>
        <w:t xml:space="preserve"> 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and Australia.</w:t>
      </w:r>
    </w:p>
    <w:p>
      <w:pPr>
        <w:spacing w:after="0" w:line="2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tender</w:t>
      </w:r>
      <w:r>
        <w:rPr>
          <w:rFonts w:ascii="Times New Roman" w:cs="Times New Roman" w:eastAsia="Times New Roman" w:hAnsi="Times New Roman"/>
          <w:sz w:val="20"/>
          <w:szCs w:val="20"/>
          <w:color w:val="auto"/>
        </w:rPr>
        <w:t xml:space="preserve"> 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spacing w:after="0" w:line="23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distribution</w:t>
      </w:r>
      <w:r>
        <w:rPr>
          <w:rFonts w:ascii="Times New Roman" w:cs="Times New Roman" w:eastAsia="Times New Roman" w:hAnsi="Times New Roman"/>
          <w:sz w:val="20"/>
          <w:szCs w:val="20"/>
          <w:color w:val="auto"/>
        </w:rPr>
        <w:t xml:space="preserve"> 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spacing w:after="0" w:line="2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allocation of our sales and marketing resources reflects the characteristics of these different market types.</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 As disclosed previously, the OTC business is no longer considered core to our future strategy, and we plan to divest it.</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Channel Types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Viatris’ products make their way to patients through a variety of intermediaries, or channels.</w:t>
      </w:r>
    </w:p>
    <w:p>
      <w:pPr>
        <w:spacing w:after="0" w:line="23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Pharmaceutical wholesalers/distributors </w:t>
      </w:r>
      <w:r>
        <w:rPr>
          <w:rFonts w:ascii="Times New Roman" w:cs="Times New Roman" w:eastAsia="Times New Roman" w:hAnsi="Times New Roman"/>
          <w:sz w:val="20"/>
          <w:szCs w:val="20"/>
          <w:color w:val="auto"/>
        </w:rPr>
        <w:t>purchase prescription medicines and other medical products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from manufacturers for storage in warehouses and distribution centers. The distributors then fill orders placed by healthcare providers and other authorized buyers.</w:t>
      </w:r>
    </w:p>
    <w:p>
      <w:pPr>
        <w:spacing w:after="0" w:line="23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Pharmaceutical retailers </w:t>
      </w:r>
      <w:r>
        <w:rPr>
          <w:rFonts w:ascii="Times New Roman" w:cs="Times New Roman" w:eastAsia="Times New Roman" w:hAnsi="Times New Roman"/>
          <w:sz w:val="20"/>
          <w:szCs w:val="20"/>
          <w:color w:val="auto"/>
        </w:rPr>
        <w:t>purchase products directly from manufacturers or wholesalers/distributors. They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then sell them to consumers in relatively small quantities for personal use.</w:t>
      </w:r>
    </w:p>
    <w:p>
      <w:pPr>
        <w:spacing w:after="0" w:line="2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Institutional pharmacies </w:t>
      </w:r>
      <w:r>
        <w:rPr>
          <w:rFonts w:ascii="Times New Roman" w:cs="Times New Roman" w:eastAsia="Times New Roman" w:hAnsi="Times New Roman"/>
          <w:sz w:val="20"/>
          <w:szCs w:val="20"/>
          <w:color w:val="auto"/>
        </w:rPr>
        <w:t>address the unique needs of hospitals, nursing homes and other such venues.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Among the services provided are specialized packaging, including for injectables and unit-dose products, for controlled administration.</w:t>
      </w:r>
    </w:p>
    <w:p>
      <w:pPr>
        <w:spacing w:after="0" w:line="23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Mail-order and e-commerce pharmacies </w:t>
      </w:r>
      <w:r>
        <w:rPr>
          <w:rFonts w:ascii="Times New Roman" w:cs="Times New Roman" w:eastAsia="Times New Roman" w:hAnsi="Times New Roman"/>
          <w:sz w:val="20"/>
          <w:szCs w:val="20"/>
          <w:color w:val="auto"/>
        </w:rPr>
        <w:t>receive prescriptions by mail, fax, phone or the internet at a central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location; process them in large, mostly automated centers; and mail the drugs to the consumer.</w:t>
      </w:r>
    </w:p>
    <w:p>
      <w:pPr>
        <w:spacing w:after="0" w:line="24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Specialty pharmacies </w:t>
      </w:r>
      <w:r>
        <w:rPr>
          <w:rFonts w:ascii="Times New Roman" w:cs="Times New Roman" w:eastAsia="Times New Roman" w:hAnsi="Times New Roman"/>
          <w:sz w:val="20"/>
          <w:szCs w:val="20"/>
          <w:color w:val="auto"/>
        </w:rPr>
        <w:t>focus on managing the handling and service requirements associated with high-cost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more-complex drug therapies, such as those used to treat patients with rare or serious diseases.</w:t>
      </w:r>
    </w:p>
    <w:p>
      <w:pPr>
        <w:sectPr>
          <w:pgSz w:w="11880" w:h="15480" w:orient="portrait"/>
          <w:cols w:equalWidth="0" w:num="1">
            <w:col w:w="9120"/>
          </w:cols>
          <w:pgMar w:left="1380" w:top="1322" w:right="1380" w:bottom="654"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20"/>
          </w:cols>
          <w:pgMar w:left="1380" w:top="1322" w:right="1380" w:bottom="654"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2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Developed Markets</w:t>
      </w:r>
    </w:p>
    <w:p>
      <w:pPr>
        <w:spacing w:after="0" w:line="12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Developed Markets segment comprises our operations primarily in North America and Europe. The Company’s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generic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Our leadership position in a number of countries provides us a platform to fulfill the needs of patients, physicians, pharmacies, customers and payors.</w:t>
      </w:r>
    </w:p>
    <w:p>
      <w:pPr>
        <w:spacing w:after="0" w:line="216" w:lineRule="exact"/>
        <w:rPr>
          <w:sz w:val="20"/>
          <w:szCs w:val="20"/>
          <w:color w:val="auto"/>
        </w:rPr>
      </w:pPr>
    </w:p>
    <w:p>
      <w:pPr>
        <w:jc w:val="both"/>
        <w:ind w:firstLine="400"/>
        <w:spacing w:after="0" w:line="195" w:lineRule="auto"/>
        <w:rPr>
          <w:sz w:val="20"/>
          <w:szCs w:val="20"/>
          <w:color w:val="auto"/>
        </w:rPr>
      </w:pPr>
      <w:r>
        <w:rPr>
          <w:rFonts w:ascii="Times New Roman" w:cs="Times New Roman" w:eastAsia="Times New Roman" w:hAnsi="Times New Roman"/>
          <w:sz w:val="20"/>
          <w:szCs w:val="20"/>
          <w:color w:val="auto"/>
        </w:rPr>
        <w:t>Significant products sold by the Developed Markets segment include Lyrica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Creon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Influvac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Wixela Inhub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Fraxiparine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and Yupelri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ind w:firstLine="400"/>
        <w:spacing w:after="0" w:line="194" w:lineRule="auto"/>
        <w:rPr>
          <w:sz w:val="20"/>
          <w:szCs w:val="20"/>
          <w:color w:val="auto"/>
        </w:rPr>
      </w:pPr>
      <w:r>
        <w:rPr>
          <w:rFonts w:ascii="Times New Roman" w:cs="Times New Roman" w:eastAsia="Times New Roman" w:hAnsi="Times New Roman"/>
          <w:sz w:val="20"/>
          <w:szCs w:val="20"/>
          <w:color w:val="auto"/>
        </w:rPr>
        <w:t>New product launches are an important growth driver. Important recent launches include SEMGLEE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cyclosporine ophthalmic emulsion, and lenalidomide in the U.S.</w:t>
      </w:r>
    </w:p>
    <w:p>
      <w:pPr>
        <w:spacing w:after="0" w:line="22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While our U.S. customer base is extensive, it increasingly comprises a small number of very large firms as the pharmaceutical industry has undergone and continues to undergo tremendous change and consolidation. We believe Viatris is well positioned to serve such customers in the Developed Markets due to the scale we have built in terms of R&amp;D, manufacturing, and portfolio breadth.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Greater China</w:t>
      </w:r>
    </w:p>
    <w:p>
      <w:pPr>
        <w:spacing w:after="0" w:line="12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Greater China segment includes our operations in mainland China, Taiwan and Hong Kong. Since the closing of the Combination, the Viatris Greater China portfolio is predominantly branded LOE products.</w:t>
      </w:r>
    </w:p>
    <w:p>
      <w:pPr>
        <w:spacing w:after="0" w:line="22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 xml:space="preserve">In China, the recent healthcare reform measures are aimed at controlling the overall healthcare costs, while providing better and broader care to the population. Healthcare spending is expected to increase in-line with GDP growth. The VBP policy for LOE molecules is now in its fourth year and includes more than 290 molecules. All major Viatris brands are included in the VBP molecule lists. We have re-balanced our business to expand our focus on the retail pharmacy and e-commerce channels while maintaining our presence in the hospital channel. Healthcare consumerism, increased spending power, and demand for premium medical products have generated strong growth in these new channels and partially absorbed the reductions seen in hospital channel due to VBP. Additional pricing and volume pressure for pharmaceutical products sold in the hospital channels is expected to continue during 2023 and could negatively impact our results of operations. For additional information, see “Risk Factors - </w:t>
      </w:r>
      <w:r>
        <w:rPr>
          <w:rFonts w:ascii="Times New Roman" w:cs="Times New Roman" w:eastAsia="Times New Roman" w:hAnsi="Times New Roman"/>
          <w:sz w:val="20"/>
          <w:szCs w:val="20"/>
          <w:i w:val="1"/>
          <w:iCs w:val="1"/>
          <w:color w:val="auto"/>
        </w:rPr>
        <w:t>We have and may continue to experience pressure on the pricing of and reimbursements for certain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 products due to pricing controls, social or government pressure to lower the cost of drugs, and consolidation across the supply chain.</w:t>
      </w:r>
      <w:r>
        <w:rPr>
          <w:rFonts w:ascii="Times New Roman" w:cs="Times New Roman" w:eastAsia="Times New Roman" w:hAnsi="Times New Roman"/>
          <w:sz w:val="20"/>
          <w:szCs w:val="20"/>
          <w:color w:val="auto"/>
        </w:rPr>
        <w:t>”</w:t>
      </w:r>
    </w:p>
    <w:p>
      <w:pPr>
        <w:sectPr>
          <w:pgSz w:w="11880" w:h="15480" w:orient="portrait"/>
          <w:cols w:equalWidth="0" w:num="1">
            <w:col w:w="9120"/>
          </w:cols>
          <w:pgMar w:left="1380" w:top="1312" w:right="1380" w:bottom="654"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20"/>
          </w:cols>
          <w:pgMar w:left="1380" w:top="1312" w:right="1380" w:bottom="654" w:gutter="0" w:footer="0" w:header="0"/>
          <w:type w:val="continuous"/>
        </w:sectPr>
      </w:pPr>
    </w:p>
    <w:bookmarkStart w:id="27" w:name="page28"/>
    <w:bookmarkEnd w:id="27"/>
    <w:p>
      <w:pPr>
        <w:ind w:left="400"/>
        <w:spacing w:after="0"/>
        <w:rPr>
          <w:sz w:val="20"/>
          <w:szCs w:val="20"/>
          <w:color w:val="auto"/>
        </w:rPr>
      </w:pPr>
      <w:r>
        <w:rPr>
          <w:rFonts w:ascii="Times New Roman" w:cs="Times New Roman" w:eastAsia="Times New Roman" w:hAnsi="Times New Roman"/>
          <w:sz w:val="20"/>
          <w:szCs w:val="20"/>
          <w:color w:val="auto"/>
        </w:rPr>
        <w:t>Significant products within the Greater China segment include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Norvasc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and Viagra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JANZ</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JANZ segment consists of our operations in Japan, Australia and New Zealand. In Japan, the NHI regulates the pricing of pharmaceutical products to healthcare providers.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spacing w:after="0" w:line="249" w:lineRule="exact"/>
        <w:rPr>
          <w:sz w:val="20"/>
          <w:szCs w:val="20"/>
          <w:color w:val="auto"/>
        </w:rPr>
      </w:pPr>
    </w:p>
    <w:p>
      <w:pPr>
        <w:jc w:val="both"/>
        <w:ind w:firstLine="400"/>
        <w:spacing w:after="0" w:line="195" w:lineRule="auto"/>
        <w:rPr>
          <w:sz w:val="20"/>
          <w:szCs w:val="20"/>
          <w:color w:val="auto"/>
        </w:rPr>
      </w:pPr>
      <w:r>
        <w:rPr>
          <w:rFonts w:ascii="Times New Roman" w:cs="Times New Roman" w:eastAsia="Times New Roman" w:hAnsi="Times New Roman"/>
          <w:sz w:val="20"/>
          <w:szCs w:val="20"/>
          <w:color w:val="auto"/>
        </w:rPr>
        <w:t>Significant products within the JANZ segment include AMITIZA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Lipacreon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Lyrica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Norvasc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and Effexor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Markets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 There is demand in this segment for better healthcare to serve a growing population and economic expansion. Many countries in this segment are brand-conscious with generic penetration rates lower than developed markets.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Among our products sold in the segment are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Lyrica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Norvasc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Celebrex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and ARVs.</w:t>
      </w:r>
    </w:p>
    <w:p>
      <w:pPr>
        <w:spacing w:after="0" w:line="16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Refer to Note 16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included in Part II. Item 8 of this Form 10-K for more information about our segments.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Regulation by governmental authorities is a significant factor in the R&amp;D, manufacture, marketing, sales and distribution of pharmaceuticals. Our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subject to extensive regulation and controls as well.</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attributes of the products or the manufacturing or quality control procedures used in their production, which may impact the marketing of the products or result in restrictions on their manufacture, sale or use or in their withdrawal from the market.</w:t>
      </w:r>
    </w:p>
    <w:p>
      <w:pPr>
        <w:sectPr>
          <w:pgSz w:w="11880" w:h="15480" w:orient="portrait"/>
          <w:cols w:equalWidth="0" w:num="1">
            <w:col w:w="9120"/>
          </w:cols>
          <w:pgMar w:left="1380" w:top="1294"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20"/>
          </w:cols>
          <w:pgMar w:left="1380" w:top="1294" w:right="1380" w:bottom="654" w:gutter="0" w:footer="0" w:header="0"/>
          <w:type w:val="continuous"/>
        </w:sectPr>
      </w:pPr>
    </w:p>
    <w:bookmarkStart w:id="28" w:name="page29"/>
    <w:bookmarkEnd w:id="28"/>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Any failure or delay by us, our suppliers of manufactured drug product, collaborators or licensees, in obtaining and maintaining regulatory approvals could adversely affect the marketing of our products and our ability to receive product revenue, license revenue or profit-sharing payments.</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Other Regulatory Requirements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Part I. Item 1A. “Risk Factors” of this Form 10-K.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R&amp;D organization, which includes developers and regulatory and clinical experts, work collaboratively across our different R&amp;D centers around the world, which include technology-focused development sites and global R&amp;D centers.</w:t>
      </w:r>
    </w:p>
    <w:p>
      <w:pPr>
        <w:spacing w:after="0" w:line="256"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Our research, development and clinical platform, which includes regulatory activities, seeks to deliver new product opportunities across all of our categories and markets and to evaluate opportunities to expand the scope of our existing product portfolio with a focus on development activities. Our product pipeline includes a variety of dosage forms, including oral solid dosage forms, transdermals, injectables, inhalation, and other delivery systems. While committed to generics and specialty products, over the last several years, a greater portion of our investments has been focused on complex or difficult-to-formulate products, such as biosimilars and modified release injectables, rather than on commodity products, such as conventional oral solid dosage forms. For example, we are working on a number of programs including the potential to be first to market for our generics of Abilify Maintena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Injectafer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Invega Trinza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Ozempic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Sandostin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LAR Depot, Venofer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and Wegovy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We are also working with our partners on novel and/or complex products such as our biosimilar to BOTOX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(onabotulinumtoxinA) and Glatiramer Acetate Depot, a long-acting injection version of the approved glatiramer acetate. As previously mentioned, to facilitate our future growth, we expect to expand our current scope of development into more innovative products, including NCEs and global 505(b)(2) products with a particular focus on three therapeutic areas: ophthalmology, gastrointestinal and dermatology and intend to increase our R&amp;D investment as well as inorganically grow via business development through our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consider the protection of our intellectual property rights to be extremely valuable, and we act to protect them from infringement by third parties.</w:t>
      </w:r>
    </w:p>
    <w:p>
      <w:pPr>
        <w:spacing w:after="0" w:line="26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We have an extensive trademark portfolio totaling more than 35,000 trademarks filed globally and routinely apply to register key brand-name, generic, branded generic, and trade names in numerous countries around the world. Our registered trademarks are renewable indefinitely, and these registrations are properly maintained in accordance with the laws of the countries in which they are registered.</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We also have an extensive patent portfolio and actively file for patent protection in various countries to protect our brand-name, generic, branded generic, and OTC products, including processes for making and using them. We have more than 3,100 patents filed globally. For additional information, see Part I. Item 1A “Risk Factors - </w:t>
      </w:r>
      <w:r>
        <w:rPr>
          <w:rFonts w:ascii="Times New Roman" w:cs="Times New Roman" w:eastAsia="Times New Roman" w:hAnsi="Times New Roman"/>
          <w:sz w:val="20"/>
          <w:szCs w:val="20"/>
          <w:i w:val="1"/>
          <w:iCs w:val="1"/>
          <w:color w:val="auto"/>
        </w:rPr>
        <w:t>We rely on the effectiveness of our patents, confidentiality agreements and other measures to protect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 intellectual property rights</w:t>
      </w:r>
      <w:r>
        <w:rPr>
          <w:rFonts w:ascii="Times New Roman" w:cs="Times New Roman" w:eastAsia="Times New Roman" w:hAnsi="Times New Roman"/>
          <w:sz w:val="20"/>
          <w:szCs w:val="20"/>
          <w:color w:val="auto"/>
        </w:rPr>
        <w:t>” of this Form 10-K.</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Further, we have well-established safeguards in place to protect our proprietary know-how and trade secrets, both of which we consider extremely valuable to our intellectual property portfolio.</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20"/>
          </w:cols>
          <w:pgMar w:left="1380" w:top="1322" w:right="1380" w:bottom="654" w:gutter="0" w:footer="0" w:header="0"/>
          <w:type w:val="continuous"/>
        </w:sectPr>
      </w:pPr>
    </w:p>
    <w:bookmarkStart w:id="29" w:name="page30"/>
    <w:bookmarkEnd w:id="29"/>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look for intellectual property licensing opportunities to or from third parties, related not only to our existing products, but as a means for expanding our product portfolio.</w:t>
      </w:r>
    </w:p>
    <w:p>
      <w:pPr>
        <w:spacing w:after="0" w:line="22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rely on the aforementioned types of intellectual property, as well as our copyrights, trade dress, regulatory exclusivities and contractual protections, to establish a broad scope of intellectual property rights for our product portfolio.</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Our people, our culture</w:t>
      </w:r>
    </w:p>
    <w:p>
      <w:pPr>
        <w:spacing w:after="0" w:line="11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approximately 37,000 diverse colleagues are fueled by a shared passion, purpose, and genuine care for the patients we serve.</w:t>
      </w:r>
    </w:p>
    <w:p>
      <w:pPr>
        <w:spacing w:after="0" w:line="2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To us, that means empowering patients worldwide to live healthier at every stage of life. It also means empowering our colleagues to be the best they can be every day. This is our mindset as we build our performance-driven, highly engaging and inclusive culture: “The Viatris Way”. Since the launch of Viatris in November 2020, the Company believes it has taken great strides to create an employee experience and culture where colleagues are encouraged to reach their full potential. We have had several accomplishments that lay the foundation for the kind of company we want to be, including:</w:t>
      </w:r>
    </w:p>
    <w:p>
      <w:pPr>
        <w:spacing w:after="0" w:line="108" w:lineRule="exact"/>
        <w:rPr>
          <w:sz w:val="20"/>
          <w:szCs w:val="20"/>
          <w:color w:val="auto"/>
        </w:rPr>
      </w:pPr>
    </w:p>
    <w:p>
      <w:pPr>
        <w:jc w:val="both"/>
        <w:ind w:left="800" w:hanging="300"/>
        <w:spacing w:after="0" w:line="206" w:lineRule="auto"/>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recognized on the Forbes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2022 World’s Best Employers list for the second year in a row, inclusion on lists such as Fortune’s Change the World, Newsweek’s America’s Most Responsible Companies, Capital Magazine’s Best Employers in France, a Great Place to Work</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certification in India, HR Asia’s Best Companies to Work for in Asia (Taiwan), and Top Employers Institute’s certification as one of the 101 top employers in China;</w:t>
      </w:r>
    </w:p>
    <w:p>
      <w:pPr>
        <w:spacing w:after="0" w:line="119" w:lineRule="exact"/>
        <w:rPr>
          <w:rFonts w:ascii="Times New Roman" w:cs="Times New Roman" w:eastAsia="Times New Roman" w:hAnsi="Times New Roman"/>
          <w:sz w:val="20"/>
          <w:szCs w:val="20"/>
          <w:color w:val="auto"/>
        </w:rPr>
      </w:pPr>
    </w:p>
    <w:p>
      <w:pPr>
        <w:jc w:val="both"/>
        <w:ind w:left="800" w:hanging="300"/>
        <w:spacing w:after="0" w:line="247" w:lineRule="auto"/>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we conducted our first-ever Viatris Voice Survey with approximately 89% of our employees from around the world sharing their perspectives on: Engagement; Diversity, Equity &amp; Inclusion (“DE&amp;I”); Health &amp; Well-Being; and Transformation &amp; Change. The survey also marked a milestone in our commitment to creating our culture The Viatris Way: one that is performance-driven, highly engaging, and inclusive; and</w:t>
      </w:r>
    </w:p>
    <w:p>
      <w:pPr>
        <w:spacing w:after="0" w:line="115" w:lineRule="exact"/>
        <w:rPr>
          <w:rFonts w:ascii="Times New Roman" w:cs="Times New Roman" w:eastAsia="Times New Roman" w:hAnsi="Times New Roman"/>
          <w:sz w:val="20"/>
          <w:szCs w:val="20"/>
          <w:color w:val="auto"/>
        </w:rPr>
      </w:pPr>
    </w:p>
    <w:p>
      <w:pPr>
        <w:jc w:val="both"/>
        <w:ind w:left="800" w:hanging="300"/>
        <w:spacing w:after="0" w:line="248" w:lineRule="auto"/>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Diverse perspectives drive innovation and our ability to make a difference in the world. We continue to progress on our commitment to DE&amp;I aiming to engage at least 90% of all colleagues globally in DE&amp;I foundational learning in 2023, and by forming our inaugural Employee Resource Groups (“ERGs”). We have four forming ERGs including: EmpoWer advocating for an ecosystem that empowers women to reach their full potential; VIVID supporting LGBTQ+ employees and allies; Black colleagues; and, Caregivers.</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Talent, learning and development</w:t>
      </w:r>
    </w:p>
    <w:p>
      <w:pPr>
        <w:spacing w:after="0" w:line="115" w:lineRule="exact"/>
        <w:rPr>
          <w:sz w:val="20"/>
          <w:szCs w:val="20"/>
          <w:color w:val="auto"/>
        </w:rPr>
      </w:pPr>
    </w:p>
    <w:p>
      <w:pPr>
        <w:jc w:val="both"/>
        <w:ind w:firstLine="400"/>
        <w:spacing w:after="0" w:line="244" w:lineRule="auto"/>
        <w:rPr>
          <w:sz w:val="20"/>
          <w:szCs w:val="20"/>
          <w:color w:val="auto"/>
        </w:rPr>
      </w:pPr>
      <w:r>
        <w:rPr>
          <w:rFonts w:ascii="Times New Roman" w:cs="Times New Roman" w:eastAsia="Times New Roman" w:hAnsi="Times New Roman"/>
          <w:sz w:val="20"/>
          <w:szCs w:val="20"/>
          <w:color w:val="auto"/>
        </w:rPr>
        <w:t xml:space="preserve">Supporting our colleagues in their learning and development can make a difference in the lives of our patients around the world. We provide the tools and resources to help colleagues achieve their performance and development goals. We are committed to continuously anticipating, developing and acquiring new capabilities. We have an extensive learning and development portfolio of resources and programs and we are introducing new focused development programs and resources via our new </w:t>
      </w:r>
      <w:r>
        <w:rPr>
          <w:rFonts w:ascii="Times New Roman" w:cs="Times New Roman" w:eastAsia="Times New Roman" w:hAnsi="Times New Roman"/>
          <w:sz w:val="20"/>
          <w:szCs w:val="20"/>
          <w:i w:val="1"/>
          <w:iCs w:val="1"/>
          <w:color w:val="auto"/>
        </w:rPr>
        <w:t>Viatris Development Principles: Develop, Invest,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Diversify, Innovate, Build and Achieve</w:t>
      </w:r>
      <w:r>
        <w:rPr>
          <w:rFonts w:ascii="Times New Roman" w:cs="Times New Roman" w:eastAsia="Times New Roman" w:hAnsi="Times New Roman"/>
          <w:sz w:val="20"/>
          <w:szCs w:val="20"/>
          <w:color w:val="auto"/>
        </w:rPr>
        <w:t>.</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Diversity, equity and inclusion</w:t>
      </w:r>
    </w:p>
    <w:p>
      <w:pPr>
        <w:spacing w:after="0" w:line="109"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Understanding and embracing what makes individuals unique is essential to Viatris’ mission. The diversity we foster within our teams can be one of our greatest strengths in redefining healthcare not as it is, but as it should be. In 2022, we established initial goals in DE&amp;I in the areas of foundational learning, and increasing diversity in management for women, Black and Hispanic/LatinX employees. We look forward to reporting out on our actions and progress going forward in our annual Sustainability Report.</w:t>
      </w:r>
    </w:p>
    <w:p>
      <w:pPr>
        <w:sectPr>
          <w:pgSz w:w="11880" w:h="15480" w:orient="portrait"/>
          <w:cols w:equalWidth="0" w:num="1">
            <w:col w:w="9120"/>
          </w:cols>
          <w:pgMar w:left="1380" w:top="1322" w:right="1380" w:bottom="654"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20"/>
          </w:cols>
          <w:pgMar w:left="1380" w:top="1322" w:right="1380" w:bottom="654" w:gutter="0" w:footer="0" w:header="0"/>
          <w:type w:val="continuous"/>
        </w:sectPr>
      </w:pPr>
    </w:p>
    <w:bookmarkStart w:id="30" w:name="page31"/>
    <w:bookmarkEnd w:id="30"/>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Viatris strives to create a positive, productive work environment where integrity, dignity and mutual respect for all are valued. We are an equal opportunity employer and discrimination and harassment are strictly prohibited. Together, we are building a highly inclusive organization and our goal is to provide a safe, supportive community where employees feel they belong and can use their unique experiences, perspectives and skills to make a difference in the lives of others. Our ERGs bring colleagues together to listen and learn from each other and raise awareness to change our company and communities for the better, and our Viatris Voice Survey demonstrates positive results in colleague sentiment for engagement and DE&amp;I in addition to other areas of strength.</w:t>
      </w: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Health and Safety</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cultivate a culture of health and safety throughout our global workforce by ensuring that our colleagues and contractors are made aware of issues relevant to their work and providing them with the personal protective equipment and knowledge required to perform their jobs safely. Further, we work to ensure that our systems and processes are designed to identify and reduce health and safety risks or impacts on the communities in which we operate.</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Employee well-being and safety</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Viatris is also committed to providing a safe and healthy workplace for our employees, contractors and visitors. In addressing the COVID-19 pandemic and helping meet urgent global health needs, tens of thousands of dedicated Viatris employees across the world have worked to help ensure a stable supply of much needed treatments.</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Because protecting the health and safety of our workforce remains paramount, we continue to align with government directives and the advice of relevant international, national and local health authorities at every Viatris facility around the world. Many of our colleagues are working in manufacturing facilities, where we have continued to take extra precautions to protect our site personnel and operations. In 2021, we issued principles in support of hybrid-remote work to guide the development of local policies where possible. We offer a wide range of benefits and programs that are locally customized to meet the unique needs of employees, and regularly offer advice and support to our employees including providing resources that support well-being for our colleagues around the world.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Act Reports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w:t>
      </w:r>
    </w:p>
    <w:p>
      <w:pPr>
        <w:spacing w:after="0" w:line="200" w:lineRule="exact"/>
        <w:rPr>
          <w:sz w:val="20"/>
          <w:szCs w:val="20"/>
          <w:color w:val="auto"/>
        </w:rPr>
      </w:pPr>
    </w:p>
    <w:p>
      <w:pPr>
        <w:spacing w:after="0" w:line="29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SEC also maintains a website (www.sec.gov) that contains reports, proxy and information statements, and other information regarding issuers that file electronically with the SEC.</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operate in a complex and rapidly changing environment that involves risks, many of which are beyond our control. Our business, financial condition, results of operations, cash flows, ability to pay dividends, and/or</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20"/>
          </w:cols>
          <w:pgMar w:left="1380" w:top="1322" w:right="1380" w:bottom="654" w:gutter="0" w:footer="0" w:header="0"/>
          <w:type w:val="continuous"/>
        </w:sectPr>
      </w:pPr>
    </w:p>
    <w:bookmarkStart w:id="31" w:name="page32"/>
    <w:bookmarkEnd w:id="31"/>
    <w:p>
      <w:pPr>
        <w:jc w:val="both"/>
        <w:spacing w:after="0" w:line="245" w:lineRule="auto"/>
        <w:rPr>
          <w:sz w:val="20"/>
          <w:szCs w:val="20"/>
          <w:color w:val="auto"/>
        </w:rPr>
      </w:pPr>
      <w:r>
        <w:rPr>
          <w:rFonts w:ascii="Times New Roman" w:cs="Times New Roman" w:eastAsia="Times New Roman" w:hAnsi="Times New Roman"/>
          <w:sz w:val="20"/>
          <w:szCs w:val="20"/>
          <w:color w:val="auto"/>
        </w:rPr>
        <w:t>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w:t>
      </w: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risk factors are organized into five categories: Strategic, Operational, Compliance, Finance and General.</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w:t>
      </w:r>
    </w:p>
    <w:p>
      <w:pPr>
        <w:spacing w:after="0" w:line="14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Below is a summary of some of the more significant risks and uncertainties we face. This summary is not exhaustive and is qualified by reference to the full set of risk factors set forth in Part I, Item 1A.</w:t>
      </w:r>
    </w:p>
    <w:p>
      <w:pPr>
        <w:spacing w:after="0" w:line="137" w:lineRule="exact"/>
        <w:rPr>
          <w:sz w:val="20"/>
          <w:szCs w:val="20"/>
          <w:color w:val="auto"/>
        </w:rPr>
      </w:pPr>
    </w:p>
    <w:p>
      <w:pPr>
        <w:ind w:left="800" w:hanging="300"/>
        <w:spacing w:after="0"/>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Strategic Risks</w:t>
      </w:r>
    </w:p>
    <w:p>
      <w:pPr>
        <w:spacing w:after="0" w:line="145"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intended benefits of, or achieve the intended goals or outlooks with respect to, our strategic initiatives, including divestitures, acquisitions or other potential transactions.</w:t>
      </w:r>
    </w:p>
    <w:p>
      <w:pPr>
        <w:spacing w:after="0" w:line="146"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integration of acquired businesses, as well as our global restructuring program have presented and may in the future present significant challenges.</w:t>
      </w:r>
    </w:p>
    <w:p>
      <w:pPr>
        <w:spacing w:after="0" w:line="146" w:lineRule="exact"/>
        <w:rPr>
          <w:rFonts w:ascii="Times New Roman" w:cs="Times New Roman" w:eastAsia="Times New Roman" w:hAnsi="Times New Roman"/>
          <w:sz w:val="20"/>
          <w:szCs w:val="20"/>
          <w:color w:val="auto"/>
        </w:rPr>
      </w:pPr>
    </w:p>
    <w:p>
      <w:pPr>
        <w:jc w:val="both"/>
        <w:ind w:left="1200" w:hanging="300"/>
        <w:spacing w:after="0" w:line="245"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risks and uncertainties associated with the sale of our biosimilars business, one or more of which could have a material adverse effect on our business, financial condition, results of operations, cash flows, ability to pay dividends or stock price.</w:t>
      </w:r>
    </w:p>
    <w:p>
      <w:pPr>
        <w:spacing w:after="0" w:line="140" w:lineRule="exact"/>
        <w:rPr>
          <w:rFonts w:ascii="Times New Roman" w:cs="Times New Roman" w:eastAsia="Times New Roman" w:hAnsi="Times New Roman"/>
          <w:sz w:val="20"/>
          <w:szCs w:val="20"/>
          <w:color w:val="auto"/>
        </w:rPr>
      </w:pPr>
    </w:p>
    <w:p>
      <w:pPr>
        <w:jc w:val="both"/>
        <w:ind w:left="1200" w:hanging="300"/>
        <w:spacing w:after="0" w:line="245"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140"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significant operations globally, which exposes us to the risks inherent in conducting our business internationally.</w:t>
      </w:r>
    </w:p>
    <w:p>
      <w:pPr>
        <w:spacing w:after="0" w:line="146" w:lineRule="exact"/>
        <w:rPr>
          <w:rFonts w:ascii="Times New Roman" w:cs="Times New Roman" w:eastAsia="Times New Roman" w:hAnsi="Times New Roman"/>
          <w:sz w:val="20"/>
          <w:szCs w:val="20"/>
          <w:color w:val="auto"/>
        </w:rPr>
      </w:pPr>
    </w:p>
    <w:p>
      <w:pPr>
        <w:jc w:val="both"/>
        <w:ind w:left="1200" w:hanging="300"/>
        <w:spacing w:after="0" w:line="245"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to earnings resulting from acquisitions could have a material adverse effect on our business, financial condition, results of operations, cash flows, ability to pay dividends and/or stock price.</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Operational Risks</w:t>
      </w:r>
    </w:p>
    <w:p>
      <w:pPr>
        <w:spacing w:after="0" w:line="145"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and changing economic conditions, including inflation, may adversely affect our industry, business, partners and suppliers.</w:t>
      </w:r>
    </w:p>
    <w:p>
      <w:pPr>
        <w:spacing w:after="0" w:line="146"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pharmaceutical industry is heavily regulated, and we face significant costs and uncertainties associated with our efforts to comply with applicable laws and regulations.</w:t>
      </w:r>
    </w:p>
    <w:p>
      <w:pPr>
        <w:spacing w:after="0" w:line="146" w:lineRule="exact"/>
        <w:rPr>
          <w:rFonts w:ascii="Times New Roman" w:cs="Times New Roman" w:eastAsia="Times New Roman" w:hAnsi="Times New Roman"/>
          <w:sz w:val="20"/>
          <w:szCs w:val="20"/>
          <w:color w:val="auto"/>
        </w:rPr>
      </w:pPr>
    </w:p>
    <w:p>
      <w:pPr>
        <w:jc w:val="both"/>
        <w:ind w:left="1200" w:hanging="300"/>
        <w:spacing w:after="0" w:line="246"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spacing w:after="0" w:line="142"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successfully introduce new products in a timely manner, our future revenue and profitability may be adversely affected.</w:t>
      </w:r>
    </w:p>
    <w:p>
      <w:pPr>
        <w:spacing w:after="0" w:line="146"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expend a significant amount of resources on R&amp;D efforts that may not lead to successful product introductions.</w:t>
      </w:r>
    </w:p>
    <w:p>
      <w:pPr>
        <w:spacing w:after="0" w:line="146"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our products in development receive regulatory approval, such products may not achieve expected levels of market acceptance.</w:t>
      </w:r>
    </w:p>
    <w:p>
      <w:pPr>
        <w:spacing w:after="0" w:line="146" w:lineRule="exact"/>
        <w:rPr>
          <w:rFonts w:ascii="Times New Roman" w:cs="Times New Roman" w:eastAsia="Times New Roman" w:hAnsi="Times New Roman"/>
          <w:sz w:val="20"/>
          <w:szCs w:val="20"/>
          <w:color w:val="auto"/>
        </w:rPr>
      </w:pPr>
    </w:p>
    <w:p>
      <w:pPr>
        <w:jc w:val="both"/>
        <w:ind w:left="1200" w:hanging="300"/>
        <w:spacing w:after="0" w:line="245" w:lineRule="auto"/>
        <w:tabs>
          <w:tab w:leader="none" w:pos="12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ectPr>
          <w:pgSz w:w="11880" w:h="15480" w:orient="portrait"/>
          <w:cols w:equalWidth="0" w:num="1">
            <w:col w:w="9120"/>
          </w:cols>
          <w:pgMar w:left="1380" w:top="1322" w:right="1380" w:bottom="654"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20"/>
          </w:cols>
          <w:pgMar w:left="1380" w:top="1322" w:right="1380" w:bottom="654" w:gutter="0" w:footer="0" w:header="0"/>
          <w:type w:val="continuous"/>
        </w:sectPr>
      </w:pPr>
    </w:p>
    <w:bookmarkStart w:id="32" w:name="page33"/>
    <w:bookmarkEnd w:id="32"/>
    <w:p>
      <w:pPr>
        <w:jc w:val="both"/>
        <w:ind w:left="1200" w:hanging="300"/>
        <w:spacing w:after="0" w:line="245"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limited number of manufacturing facilities and certain third-party suppliers produce a substantial portion of our API and products, some of which require a highly exacting and complex manufacturing process.</w:t>
      </w:r>
    </w:p>
    <w:p>
      <w:pPr>
        <w:spacing w:after="0" w:line="111" w:lineRule="exact"/>
        <w:rPr>
          <w:rFonts w:ascii="Times New Roman" w:cs="Times New Roman" w:eastAsia="Times New Roman" w:hAnsi="Times New Roman"/>
          <w:sz w:val="20"/>
          <w:szCs w:val="20"/>
          <w:color w:val="auto"/>
        </w:rPr>
      </w:pPr>
    </w:p>
    <w:p>
      <w:pPr>
        <w:ind w:left="1200" w:hanging="300"/>
        <w:spacing w:after="0"/>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is highly dependent on our ability to attract, motivate and retain key personnel.</w:t>
      </w:r>
    </w:p>
    <w:p>
      <w:pPr>
        <w:spacing w:after="0" w:line="11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Risks</w:t>
      </w:r>
    </w:p>
    <w:p>
      <w:pPr>
        <w:spacing w:after="0" w:line="126" w:lineRule="exact"/>
        <w:rPr>
          <w:rFonts w:ascii="Times New Roman" w:cs="Times New Roman" w:eastAsia="Times New Roman" w:hAnsi="Times New Roman"/>
          <w:sz w:val="20"/>
          <w:szCs w:val="20"/>
          <w:color w:val="auto"/>
        </w:rPr>
      </w:pPr>
    </w:p>
    <w:p>
      <w:pPr>
        <w:jc w:val="both"/>
        <w:ind w:left="1200" w:hanging="300"/>
        <w:spacing w:after="0" w:line="245"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121" w:lineRule="exact"/>
        <w:rPr>
          <w:rFonts w:ascii="Times New Roman" w:cs="Times New Roman" w:eastAsia="Times New Roman" w:hAnsi="Times New Roman"/>
          <w:sz w:val="20"/>
          <w:szCs w:val="20"/>
          <w:color w:val="auto"/>
        </w:rPr>
      </w:pPr>
    </w:p>
    <w:p>
      <w:pPr>
        <w:jc w:val="both"/>
        <w:ind w:left="1200" w:hanging="300"/>
        <w:spacing w:after="0" w:line="247"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122"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involved in various legal proceedings and certain government inquiries and may experience unfavorable outcomes of such proceedings or inquiries.</w:t>
      </w:r>
    </w:p>
    <w:p>
      <w:pPr>
        <w:spacing w:after="0" w:line="127"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increasingly dependent on IT and our systems and infrastructure face certain risks, including cybersecurity and data leakage risks.</w:t>
      </w:r>
    </w:p>
    <w:p>
      <w:pPr>
        <w:spacing w:after="0" w:line="117"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Finance Risks</w:t>
      </w:r>
    </w:p>
    <w:p>
      <w:pPr>
        <w:spacing w:after="0" w:line="126"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can be no guarantee that we will continue to pay dividends or repurchase shares under our stock buyback program.</w:t>
      </w:r>
    </w:p>
    <w:p>
      <w:pPr>
        <w:spacing w:after="0" w:line="127" w:lineRule="exact"/>
        <w:rPr>
          <w:rFonts w:ascii="Times New Roman" w:cs="Times New Roman" w:eastAsia="Times New Roman" w:hAnsi="Times New Roman"/>
          <w:sz w:val="20"/>
          <w:szCs w:val="20"/>
          <w:color w:val="auto"/>
        </w:rPr>
      </w:pPr>
    </w:p>
    <w:p>
      <w:pPr>
        <w:ind w:left="1200" w:hanging="300"/>
        <w:spacing w:after="0" w:line="239"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maintain competitive financial flexibility and our corporate tax rate which could adversely affect us and our shareholders.</w:t>
      </w:r>
    </w:p>
    <w:p>
      <w:pPr>
        <w:spacing w:after="0" w:line="127" w:lineRule="exact"/>
        <w:rPr>
          <w:rFonts w:ascii="Times New Roman" w:cs="Times New Roman" w:eastAsia="Times New Roman" w:hAnsi="Times New Roman"/>
          <w:sz w:val="20"/>
          <w:szCs w:val="20"/>
          <w:color w:val="auto"/>
        </w:rPr>
      </w:pPr>
    </w:p>
    <w:p>
      <w:pPr>
        <w:jc w:val="both"/>
        <w:ind w:left="1200" w:hanging="300"/>
        <w:spacing w:after="0" w:line="248"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 and changes in exchange rates have impacted and could continue to adversely affect our business, financial condition, results of operations, cash flows, ability to pay dividends and/or stock price. 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120" w:lineRule="exact"/>
        <w:rPr>
          <w:rFonts w:ascii="Times New Roman" w:cs="Times New Roman" w:eastAsia="Times New Roman" w:hAnsi="Times New Roman"/>
          <w:sz w:val="20"/>
          <w:szCs w:val="20"/>
          <w:color w:val="auto"/>
        </w:rPr>
      </w:pPr>
    </w:p>
    <w:p>
      <w:pPr>
        <w:jc w:val="both"/>
        <w:ind w:left="1200" w:hanging="300"/>
        <w:spacing w:after="0" w:line="247" w:lineRule="auto"/>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12" w:lineRule="exact"/>
        <w:rPr>
          <w:rFonts w:ascii="Times New Roman" w:cs="Times New Roman" w:eastAsia="Times New Roman" w:hAnsi="Times New Roman"/>
          <w:sz w:val="20"/>
          <w:szCs w:val="20"/>
          <w:color w:val="auto"/>
        </w:rPr>
      </w:pPr>
    </w:p>
    <w:p>
      <w:pPr>
        <w:ind w:left="1200" w:hanging="300"/>
        <w:spacing w:after="0"/>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Viatris has suffered and in the future could suffer additional losses due to impairment charges.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Risks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intended benefits of, or achieve the intended goals or outlooks with respect to, our strategic initiatives, including divestitures, acquisitions or other potential transactions.</w:t>
      </w:r>
    </w:p>
    <w:p>
      <w:pPr>
        <w:spacing w:after="0" w:line="22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Viatris has announced various strategic initiatives, transactions and business arrangements, including our two-phased strategic vision. In Phase 1 of this strategy, we have been focused on reducing debt, maintaining an investment grade credit rating and returning capital to shareholders. In preparation for the second phase, the Company has completed certain transactions, including the Biocon Biologics Transaction, and has announced plans for certain other strategic actions, such as its intent to divest certain businesses no longer considered to be core to its future strategy, including OTC, women’s health care (primarily related to our oral and injectable contraceptives), API (while retaining some selective API capabilities) and Upjohn Distributor Markets. The</w:t>
      </w:r>
    </w:p>
    <w:p>
      <w:pPr>
        <w:sectPr>
          <w:pgSz w:w="11880" w:h="15480" w:orient="portrait"/>
          <w:cols w:equalWidth="0" w:num="1">
            <w:col w:w="9120"/>
          </w:cols>
          <w:pgMar w:left="1380" w:top="1322" w:right="1380" w:bottom="65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20"/>
          </w:cols>
          <w:pgMar w:left="1380" w:top="1322" w:right="1380" w:bottom="654" w:gutter="0" w:footer="0" w:header="0"/>
          <w:type w:val="continuous"/>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color w:val="auto"/>
        </w:rPr>
        <w:t>Company anticipates a period of renewed growth and leadership in this second phase as it intends to move up the value chain by focusing on more complex and innovative products to build a more durable higher margin portfolio.</w:t>
      </w:r>
    </w:p>
    <w:p>
      <w:pPr>
        <w:spacing w:after="0" w:line="20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Implementing these and other strategic initiatives has included and may in the future include divestitures, acquisitions, asset purchases, partnerships, collaborations, joint ventures, product rationalization and other investments. These transactions and arrangements have been and may in the future be material both from a strategic and financial perspective. These initiatives, whether we are able to complete them or not, have been and may continue to be complex, time-consuming or expensive, may divert managements’ attention, and expose us to operational ineffectiveness. We may miscalculate the risks associated with our strategic initiatives at the time they are made or not have the resources or ability to access all the relevant information to evaluate them properly, including with regard to the potential of R&amp;D pipelines, manufacturing issues, compliance issues, or the outcome of ongoing legal and other proceedings. More complex products are more difficult, costly and time-consuming to develop, receive regulatory approval for and bring to market. There can be no assurance that we will be able to achieve all of our intended goals or outlooks with respect to such strategies within the anticipated timeframes or at all, fully realize the expected benefits of any such transactions or arrangements, or successfully manage base business erosion or grow in future periods.</w:t>
      </w:r>
    </w:p>
    <w:p>
      <w:pPr>
        <w:spacing w:after="0" w:line="21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Divestitures, product rationalizations or asset sales have resulted and could continue to result in asset impairments or decreased revenues and cash flows, or reduce the size or scope of our business, our market share in particular markets or our opportunities and ability to compete with respect to certain markets, therapeutic areas or products. We may not be successful in separating underperforming or non-core assets, which could negatively impact our ongoing operations, future earnings and future goals and outlooks. Certain divestitures also have resulted and may in the future result in continued financial exposure to the divested assets or businesses, such as through guarantees, or other financial arrangements, continued supply and services arrangements, continued provision of corporate functions to the divested business, stranded costs, or potential litigation. In addition, we may not be able to obtain the required regulatory approvals for a planned divestiture, or may be unable to dispose of businesses that we intend to divest on satisfactory or commercially reasonable terms or within our anticipated timeline, in part because of competition from other companies in pursuing similar transactions in the pharmaceutical industry. We may also not be able to realize the anticipated benefits from such transactions, such as realizing the anticipated proceeds, deploying the proceeds to pay down our outstanding indebtedness and/or fund other important initiatives, and maintaining employee morale and retaining key management and other employees to provide the transition services and to operate our retained business.</w:t>
      </w:r>
    </w:p>
    <w:p>
      <w:pPr>
        <w:spacing w:after="0" w:line="213" w:lineRule="exact"/>
        <w:rPr>
          <w:sz w:val="20"/>
          <w:szCs w:val="20"/>
          <w:color w:val="auto"/>
        </w:rPr>
      </w:pPr>
    </w:p>
    <w:p>
      <w:pPr>
        <w:jc w:val="both"/>
        <w:ind w:firstLine="400"/>
        <w:spacing w:after="0" w:line="235" w:lineRule="auto"/>
        <w:rPr>
          <w:sz w:val="20"/>
          <w:szCs w:val="20"/>
          <w:color w:val="auto"/>
        </w:rPr>
      </w:pPr>
      <w:r>
        <w:rPr>
          <w:rFonts w:ascii="Times New Roman" w:cs="Times New Roman" w:eastAsia="Times New Roman" w:hAnsi="Times New Roman"/>
          <w:sz w:val="20"/>
          <w:szCs w:val="20"/>
          <w:color w:val="auto"/>
        </w:rPr>
        <w:t>We have also entered into strategic alliances with partners, including through our Global Healthcare Gateway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to develop, manufacture, market and/or distribute certain products, and/or certain components of our products, in various markets. We have entered into and may in the future enter into agreements with our collaboration partners that provide for certain services, as well as cross manufacturing, development and licensing arrangements. We commit substantial effort, funds and other resources to these various alliances and collaborations. There is a risk that the investments made by us in these alliances and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obligations.</w:t>
      </w:r>
    </w:p>
    <w:p>
      <w:pPr>
        <w:spacing w:after="0" w:line="21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overall execution of our strategic initiatives may result in material unanticipated problems, expenses, liabilities, competitive responses, operational inefficiencies, adverse tax consequences, impairment or restructuring charges, loss of customer relationships, difficulty attracting and retaining qualified employees, and diversion of management’s and/or employee’s attention, among other potential adverse consequences. In addition, we may have to terminate a strategic alliance, agreement or arrangement, or our partners may be unable to fulfill their collaboration.</w:t>
      </w:r>
    </w:p>
    <w:p>
      <w:pPr>
        <w:spacing w:after="0" w:line="20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Any of the risks described above could have a material adverse effect on our reputation, business, financial condition, results of operations, cash flows, ability to pay dividends and/or stock price.</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20"/>
          </w:cols>
          <w:pgMar w:left="1380" w:top="1322" w:right="1380" w:bottom="654" w:gutter="0" w:footer="0" w:header="0"/>
          <w:type w:val="continuous"/>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integration of acquired businesses, as well as our global restructuring program, have presented and may in the future present significant challenges.</w:t>
      </w:r>
    </w:p>
    <w:p>
      <w:pPr>
        <w:spacing w:after="0" w:line="25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combination of two or more independent businesses, including, for example, the Combination and our recent acquisitions of Oyster Point and Famy Life Sciences, is a complex, costly and time-consuming process and there is a significant degree of difficulty inherent in the integration process. These difficulties may include:</w:t>
      </w:r>
    </w:p>
    <w:p>
      <w:pPr>
        <w:spacing w:after="0" w:line="136" w:lineRule="exact"/>
        <w:rPr>
          <w:sz w:val="20"/>
          <w:szCs w:val="20"/>
          <w:color w:val="auto"/>
        </w:rPr>
      </w:pPr>
    </w:p>
    <w:p>
      <w:pPr>
        <w:ind w:left="800" w:hanging="300"/>
        <w:spacing w:after="0" w:line="239" w:lineRule="auto"/>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the ongoing operations of Viatris to integration and restructuring matters;</w:t>
      </w:r>
    </w:p>
    <w:p>
      <w:pPr>
        <w:spacing w:after="0" w:line="13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challenge of integrating the employees and business cultures;</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retaining existing customers and suppliers, or obtaining new customers and suppliers;</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managing a larger and more complex company;</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institutional knowledge;</w:t>
      </w:r>
    </w:p>
    <w:p>
      <w:pPr>
        <w:spacing w:after="0" w:line="140"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challenge and cost of integrating manufacturing, logistics, information technology, communications and other systems;</w:t>
      </w:r>
    </w:p>
    <w:p>
      <w:pPr>
        <w:spacing w:after="0" w:line="13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difficulty retaining key personnel and other employees;</w:t>
      </w:r>
    </w:p>
    <w:p>
      <w:pPr>
        <w:spacing w:after="0" w:line="140"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reducing reliance on transition services, including difficulties in hiring employees or finding suitable replacements, prior to the expiration of any period in which such services are provided; and</w:t>
      </w:r>
    </w:p>
    <w:p>
      <w:pPr>
        <w:spacing w:after="0" w:line="135"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costs associated with transition services, including managing the amount for replacement costs.</w:t>
      </w:r>
    </w:p>
    <w:p>
      <w:pPr>
        <w:spacing w:after="0" w:line="26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has also undertaken a significant global restructuring program in order to achieve specified synergies and ensure the Company is optimally structured and efficiently resourced to deliver sustainable value to patients, shareholders, customers, and other stakeholders. The process of integrating operations and implementing restructuring initiatives could cause an interruption of, or loss of momentum in, the activities of one or more of Viatris’ businesses. These integration and restructuring processes are ongoing and members of Viatris’ senior management are required to devote considerable amounts of time to these processes, which could decrease the time they have to manage and service Viatris’ businesses, and develop new products or strategies. Even if the integration and global restructuring program are successful, we may not achieve anticipated synergies, growth opportunities and other financial and operating benefits within the timeline we anticipate, or at all.</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Any quantification of synergies expected to result from a transaction or restructuring activities is based on significant estimates and assumptions that are subjective in nature and inherently uncertain. Realization of any benefits and synergies from acquired businesses or our global restructuring program could be affected by a number of factors beyond our control, including, without limitation, general economic conditions, increased operating costs, regulatory developments, and the other risks described in these risk factors. In addition, our ability to achieve our synergy targets depends in large part on the successful implementation of the initiatives under our global restructuring program, which may not achieve their intended goals. The amount of synergies actually realized, if any, and the time periods in which any such synergies are realized, could differ materially from our current expectations and estimates. In addition, if key personnel and other employees depart because of issues relating to the uncertainty and difficulty of integration or restructuring activities, Viatris may not realize the anticipated benefits of these activities. If integration activities or our global restructuring program are unsuccessful, if the estimated costs are higher than anticipated, or if we are unable to realize the anticipated synergies and other benefits, there could be a material adverse effect on Viatris’ business, financial condition, results of operations, cash flows, ability to pay dividends and/or stock price.</w:t>
      </w:r>
    </w:p>
    <w:p>
      <w:pPr>
        <w:sectPr>
          <w:pgSz w:w="11880" w:h="15480" w:orient="portrait"/>
          <w:cols w:equalWidth="0" w:num="1">
            <w:col w:w="9120"/>
          </w:cols>
          <w:pgMar w:left="1380" w:top="1316"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120"/>
          </w:cols>
          <w:pgMar w:left="1380" w:top="1316" w:right="1380" w:bottom="654" w:gutter="0" w:footer="0" w:header="0"/>
          <w:type w:val="continuous"/>
        </w:sectPr>
      </w:pPr>
    </w:p>
    <w:bookmarkStart w:id="35" w:name="page36"/>
    <w:bookmarkEnd w:id="35"/>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There are risks and uncertainties associated with the sale of our biosimilars business, one or more of which could have a material adverse effect on our business, financial condition, results of operations, cash flows, ability to pay dividends or stock price.</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connection with the closing of the transaction with Biocon Biologics, we entered into a transition services agreement pursuant to which we will provide services to Biocon Biologics, including commercialization services substantially the same as we historically provided to our biosimilar business. Our obligations under the transition services agreement may result in additional expenses that are borne by us during and after the exit from the transition services agreement, may create stranded costs, or may divert our focus and resources that would otherwise be invested into maintaining or growing our retained business. If Biocon Biologics is not prepared to operate the business independently at the end of the negotiated transition period, we may need to provide transition services for a longer than anticipated period of time, which would increase these risks. Furthermore, a significant portion of the consideration that we received in the Biocon Biologics Transaction is in the form of equity in Biocon Biologics, which is currently a privately held Indian company. Although we have negotiated certain “downside” protection regarding the value of that equity in the Biocon Agreement and related documents, such protection does not guarantee any particular liquidity event or our ability to monetize our equity and, even if we are able to successfully liquidate our equity, the downside protection may be inadequate to guarantee a minimum return that we or investors expect. In addition, we believe the success of the Biocon Biologics business will be highly dependent upon the successful transition of the business to Biocon Biologics, including no major disruption in services provided under the transition services agreement. If this transition is not successful, it would have a significant impact on the value of the equity we will own in Biocon Biologics and could negatively impact our business or financial condition. Because our former biosimilars business was commingled with Viatris’ other businesses, the financial information for the biosimilars business is being carved-out of Viatris’ financial and other systems, and will impact the reporting of our results of operations, financial condition, and cash flows. This process increases the risk of errors in the presentation of our financial results in conformity with U.S. GAAP.</w:t>
      </w:r>
    </w:p>
    <w:p>
      <w:pPr>
        <w:spacing w:after="0" w:line="23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also agreed to indemnify Biocon Biologics and certain of its representatives against certain losses suffered as a result of certain breaches of our representations, warranties, covenants and agreements in the Biocon Agreement and related documents. Any event that results in a right for Biocon Biologics to seek indemnity from us could result in substantial liability to us and could adversely affect our financial position and results of operations.</w:t>
      </w:r>
    </w:p>
    <w:p>
      <w:pPr>
        <w:spacing w:after="0" w:line="21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Any of the risks described above could have a material adverse effect on our business, financial condition, results of operations, cash flows, ability to pay dividends and/or stock price.</w:t>
      </w:r>
    </w:p>
    <w:p>
      <w:pPr>
        <w:spacing w:after="0" w:line="2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operate in a challenging environment, with significant pressures on the pricing of our products and on our ability to obtain and maintain satisfactory rates of reimbursement for our products by governments, insurers and other payors. We face numerous cost-containment measures by governments and other payors, including certain government-imposed industry-wide price reductions, mandatory rebates or pricing, international reference pricing (i.e., the practice of a country linking its regulated medicine prices to those of other countries), VBP, tender systems, shifting of the payment burden to patients through higher co-payments, and requirements for increased transparency on pricing, all of which may have an adverse impact on the pricing of our products. In addition, rising rates of inflation have increase and may continue to increase pressure on governments, insurers and other payors to implement additional cost containment measures.</w:t>
      </w:r>
    </w:p>
    <w:p>
      <w:pPr>
        <w:spacing w:after="0" w:line="2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w:t>
      </w:r>
    </w:p>
    <w:p>
      <w:pPr>
        <w:sectPr>
          <w:pgSz w:w="11880" w:h="15480" w:orient="portrait"/>
          <w:cols w:equalWidth="0" w:num="1">
            <w:col w:w="9120"/>
          </w:cols>
          <w:pgMar w:left="1380" w:top="1316"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20"/>
          </w:cols>
          <w:pgMar w:left="1380" w:top="1316" w:right="1380" w:bottom="654" w:gutter="0" w:footer="0" w:header="0"/>
          <w:type w:val="continuous"/>
        </w:sectPr>
      </w:pPr>
    </w:p>
    <w:bookmarkStart w:id="36" w:name="page37"/>
    <w:bookmarkEnd w:id="36"/>
    <w:p>
      <w:pPr>
        <w:jc w:val="both"/>
        <w:spacing w:after="0" w:line="248" w:lineRule="auto"/>
        <w:rPr>
          <w:sz w:val="20"/>
          <w:szCs w:val="20"/>
          <w:color w:val="auto"/>
        </w:rPr>
      </w:pPr>
      <w:r>
        <w:rPr>
          <w:rFonts w:ascii="Times New Roman" w:cs="Times New Roman" w:eastAsia="Times New Roman" w:hAnsi="Times New Roman"/>
          <w:sz w:val="20"/>
          <w:szCs w:val="20"/>
          <w:color w:val="auto"/>
        </w:rPr>
        <w:t>a preferential reimbursement for a period of time. If our bids do not win, we may not be able to participate in the given market or may lose out on market share. In addition, if customers to whom we supply API do not win their tender bids, the amount of API that we sell to them may be reduced.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or are considering enacting further measures to decrease the costs of providing healthcare, including government mandated price reductions and/or other forms of price controls, including retrospective “clawback” price reductions.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drug).In addition, since 2018, China’s National Healthcare Security Administration, in conjunction with relevant departments, has been promoting a centralized VBP policy for drugs, which has become standard practice and subjects many drugs to a competitive bidding process. Molecules subject to the VBP bidding process have seen significant price cuts, with some bidders reducing the price of their products by as much as 96% as they attempt to secure volumes on the Chinese pharmaceutical market. We expect pricing pressures on our products included in the VBP bidding process to continue to increase as a result of this policy.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payment, price or reimbursement for pharmaceutical products. Further, any payment, price or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and Part B benefits, and/or the way Medicare or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There has also been increasing U.S. federal and state legislative and enforcement interest with respect to drug pricing, as well as from international organizations like the United Nations, WHO and Organization for Economic Cooperation and Development, in addition to intense publicity and scrutiny regarding such matters,</w:t>
      </w:r>
    </w:p>
    <w:p>
      <w:pPr>
        <w:sectPr>
          <w:pgSz w:w="11880" w:h="15480" w:orient="portrait"/>
          <w:cols w:equalWidth="0" w:num="1">
            <w:col w:w="9120"/>
          </w:cols>
          <w:pgMar w:left="1380" w:top="1322"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20"/>
          </w:cols>
          <w:pgMar w:left="1380" w:top="1322" w:right="1380" w:bottom="654" w:gutter="0" w:footer="0" w:header="0"/>
          <w:type w:val="continuous"/>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20"/>
          <w:szCs w:val="20"/>
          <w:color w:val="auto"/>
        </w:rPr>
        <w:t>including publicity and pressure resulting from prices charged by competitors and peer companies for new products as well as price increases by competitors and peer companies on older products that some have deemed excessive.</w:t>
      </w:r>
    </w:p>
    <w:p>
      <w:pPr>
        <w:spacing w:after="0" w:line="26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Some states have also signed into law programs that compel manufacturers to provide certain medicines at free or reduced costs to certain patients, and additional states are exploring such programs. Although we expect to see continued focus in regulating pricing, we cannot predict what, if any, additional legislative or regulatory developments may transpire at the state or country level, or what the ultimate impact may be.</w:t>
      </w:r>
    </w:p>
    <w:p>
      <w:pPr>
        <w:spacing w:after="0" w:line="271"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 the U.S., certain of these pressures are further compounded by increasing consolidation among wholesalers, retailer drug chains, PBMs, private insurers, managed care organizations and other private payors, which can increase their negotiating power. Please also refer to “</w:t>
      </w:r>
      <w:r>
        <w:rPr>
          <w:rFonts w:ascii="Times New Roman" w:cs="Times New Roman" w:eastAsia="Times New Roman" w:hAnsi="Times New Roman"/>
          <w:sz w:val="20"/>
          <w:szCs w:val="20"/>
          <w:i w:val="1"/>
          <w:iCs w:val="1"/>
          <w:color w:val="auto"/>
        </w:rPr>
        <w:t>A significant portion of our revenues is derived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sales to a limited number of customers.”</w:t>
      </w:r>
    </w:p>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and/or stock price.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legislation could have a material adverse effect on our business.</w:t>
      </w:r>
    </w:p>
    <w:p>
      <w:pPr>
        <w:spacing w:after="0" w:line="27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2022, President Biden signed into law the Inflation Reduction Act, which includes numerous Medicare reforms that will affect reimbursement for certain pharmaceuticals covered by Medicare and modify the Part D and Part B program structure, including shifting the liability for certain prescription drug costs shared between Medicare, pharmaceutical manufacturers, and Part D plans. These reforms include government price negotiation for certain high-spend, single-source Medicare drugs, out-of-pocket caps for Medicare beneficiaries using insulin products, and the application of inflation-based rebates for certain Medicare drugs.</w:t>
      </w:r>
    </w:p>
    <w:p>
      <w:pPr>
        <w:spacing w:after="0" w:line="26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unable to predict the future course of federal or state healthcare legislation or reform or the outcome of challenges to such laws or reforms once passed. Significant additional reforms to the U.S. healthcare system, including changes to the ACA, Medicare and Medicaid, or changes to other laws or regulatory frameworks in other markets in which we operate, that reduce our revenues or increase our costs could have a material adverse effect on our business, financial condition, results of operations, cash flows, ability to pay dividends and/or stock price.</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operations globally, which exposes us to the risks inherent in conducting our business internationally.</w:t>
      </w:r>
    </w:p>
    <w:p>
      <w:pPr>
        <w:spacing w:after="0" w:line="26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operations extend to numerous countries globally and therefore are subject to the risks inherent in this geographic scope. These risks include, but are not limited to:</w:t>
      </w:r>
    </w:p>
    <w:p>
      <w:pPr>
        <w:spacing w:after="0" w:line="138" w:lineRule="exact"/>
        <w:rPr>
          <w:sz w:val="20"/>
          <w:szCs w:val="20"/>
          <w:color w:val="auto"/>
        </w:rPr>
      </w:pPr>
    </w:p>
    <w:p>
      <w:pPr>
        <w:ind w:left="800" w:hanging="300"/>
        <w:spacing w:after="0"/>
        <w:tabs>
          <w:tab w:leader="none" w:pos="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impact of the COVID-19 pandemic;</w:t>
      </w:r>
    </w:p>
    <w:p>
      <w:pPr>
        <w:sectPr>
          <w:pgSz w:w="11880" w:h="15480" w:orient="portrait"/>
          <w:cols w:equalWidth="0" w:num="1">
            <w:col w:w="9120"/>
          </w:cols>
          <w:pgMar w:left="1380" w:top="1322" w:right="1380" w:bottom="65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20"/>
          </w:cols>
          <w:pgMar w:left="1380" w:top="1322" w:right="1380" w:bottom="654" w:gutter="0" w:footer="0" w:header="0"/>
          <w:type w:val="continuous"/>
        </w:sectPr>
      </w:pPr>
    </w:p>
    <w:bookmarkStart w:id="38" w:name="page39"/>
    <w:bookmarkEnd w:id="38"/>
    <w:p>
      <w:pPr>
        <w:jc w:val="both"/>
        <w:ind w:left="740" w:hanging="300"/>
        <w:spacing w:after="0" w:line="245"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national and local laws, regulations and customs of countries in which we do business, including, but not limited to, data privacy and protection, environmental and social regulations, import/export and enforcement of intellectual property protections;</w:t>
      </w:r>
    </w:p>
    <w:p>
      <w:pPr>
        <w:spacing w:after="0" w:line="127" w:lineRule="exact"/>
        <w:rPr>
          <w:rFonts w:ascii="Times New Roman" w:cs="Times New Roman" w:eastAsia="Times New Roman" w:hAnsi="Times New Roman"/>
          <w:sz w:val="20"/>
          <w:szCs w:val="20"/>
          <w:color w:val="auto"/>
        </w:rPr>
      </w:pPr>
    </w:p>
    <w:p>
      <w:pPr>
        <w:jc w:val="both"/>
        <w:ind w:left="740" w:hanging="300"/>
        <w:spacing w:after="0" w:line="245"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established legal and regulatory regimes in certain jurisdictions, including China, where the interpretation and enforcement of laws, rules and regulations may involve uncertainties and can be inconsistent;</w:t>
      </w:r>
    </w:p>
    <w:p>
      <w:pPr>
        <w:spacing w:after="0" w:line="117"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litigation, administrative and court proceedings may be protracted, expensive and unpredictable;</w:t>
      </w:r>
    </w:p>
    <w:p>
      <w:pPr>
        <w:spacing w:after="0" w:line="132" w:lineRule="exact"/>
        <w:rPr>
          <w:rFonts w:ascii="Times New Roman" w:cs="Times New Roman" w:eastAsia="Times New Roman" w:hAnsi="Times New Roman"/>
          <w:sz w:val="20"/>
          <w:szCs w:val="20"/>
          <w:color w:val="auto"/>
        </w:rPr>
      </w:pPr>
    </w:p>
    <w:p>
      <w:pPr>
        <w:ind w:left="740" w:hanging="300"/>
        <w:spacing w:after="0" w:line="239"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governments in certain jurisdictions may favor local businesses and make it more difficult for foreign businesses to operate on an equal footing;</w:t>
      </w:r>
    </w:p>
    <w:p>
      <w:pPr>
        <w:spacing w:after="0" w:line="123"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uncertainties related to the enforcement of contracts with certain parties;</w:t>
      </w:r>
    </w:p>
    <w:p>
      <w:pPr>
        <w:spacing w:after="0" w:line="132" w:lineRule="exact"/>
        <w:rPr>
          <w:rFonts w:ascii="Times New Roman" w:cs="Times New Roman" w:eastAsia="Times New Roman" w:hAnsi="Times New Roman"/>
          <w:sz w:val="20"/>
          <w:szCs w:val="20"/>
          <w:color w:val="auto"/>
        </w:rPr>
      </w:pPr>
    </w:p>
    <w:p>
      <w:pPr>
        <w:jc w:val="both"/>
        <w:ind w:left="740" w:hanging="300"/>
        <w:spacing w:after="0" w:line="248"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spacing w:after="0" w:line="361" w:lineRule="exact"/>
        <w:rPr>
          <w:rFonts w:ascii="Times New Roman" w:cs="Times New Roman" w:eastAsia="Times New Roman" w:hAnsi="Times New Roman"/>
          <w:sz w:val="20"/>
          <w:szCs w:val="20"/>
          <w:color w:val="auto"/>
        </w:rPr>
      </w:pPr>
    </w:p>
    <w:p>
      <w:pPr>
        <w:jc w:val="both"/>
        <w:ind w:left="740" w:hanging="300"/>
        <w:spacing w:after="0" w:line="247"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sanctions and our interpretation of those sanctions, trade controls, supply chain and staffing challenges as a result of the ongoing conflict between Russia and Ukraine that have impacted and may continue to impact our ability to market or sell pharmaceuticals in either country or subject us to increased government scrutiny. In addition, a significant escalation or expansion of the conflict’s current scope may have a negative impact on our operations and financial results in future periods;</w:t>
      </w:r>
    </w:p>
    <w:p>
      <w:pPr>
        <w:spacing w:after="0" w:line="128" w:lineRule="exact"/>
        <w:rPr>
          <w:rFonts w:ascii="Times New Roman" w:cs="Times New Roman" w:eastAsia="Times New Roman" w:hAnsi="Times New Roman"/>
          <w:sz w:val="20"/>
          <w:szCs w:val="20"/>
          <w:color w:val="auto"/>
        </w:rPr>
      </w:pPr>
    </w:p>
    <w:p>
      <w:pPr>
        <w:jc w:val="both"/>
        <w:ind w:left="740" w:hanging="300"/>
        <w:spacing w:after="0" w:line="245"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regulations, and practices affecting the pharmaceutical industry and the healthcare system, including but not limited to imports, exports, manufacturing, quality, cost, pricing, reimbursement, approval, inspection, and delivery of healthcare;</w:t>
      </w:r>
    </w:p>
    <w:p>
      <w:pPr>
        <w:spacing w:after="0" w:line="127" w:lineRule="exact"/>
        <w:rPr>
          <w:rFonts w:ascii="Times New Roman" w:cs="Times New Roman" w:eastAsia="Times New Roman" w:hAnsi="Times New Roman"/>
          <w:sz w:val="20"/>
          <w:szCs w:val="20"/>
          <w:color w:val="auto"/>
        </w:rPr>
      </w:pPr>
    </w:p>
    <w:p>
      <w:pPr>
        <w:ind w:left="740" w:hanging="300"/>
        <w:spacing w:after="0" w:line="239"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policies designed to promote foreign investment, including significant tax incentives, liberalized import and export duties, and preferential rules on foreign investment and repatriation;</w:t>
      </w:r>
    </w:p>
    <w:p>
      <w:pPr>
        <w:spacing w:after="0" w:line="133" w:lineRule="exact"/>
        <w:rPr>
          <w:rFonts w:ascii="Times New Roman" w:cs="Times New Roman" w:eastAsia="Times New Roman" w:hAnsi="Times New Roman"/>
          <w:sz w:val="20"/>
          <w:szCs w:val="20"/>
          <w:color w:val="auto"/>
        </w:rPr>
      </w:pPr>
    </w:p>
    <w:p>
      <w:pPr>
        <w:jc w:val="both"/>
        <w:ind w:left="740" w:hanging="300"/>
        <w:spacing w:after="0" w:line="245"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EU and U.S. scrutiny of overseas pharmaceutical manufacturing, including executive orders, agency rule making and policy proposals related to increasing domestic production of pharmaceutical products and API;</w:t>
      </w:r>
    </w:p>
    <w:p>
      <w:pPr>
        <w:spacing w:after="0" w:line="117"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local product preferences and product requirements;</w:t>
      </w:r>
    </w:p>
    <w:p>
      <w:pPr>
        <w:spacing w:after="0" w:line="132" w:lineRule="exact"/>
        <w:rPr>
          <w:rFonts w:ascii="Times New Roman" w:cs="Times New Roman" w:eastAsia="Times New Roman" w:hAnsi="Times New Roman"/>
          <w:sz w:val="20"/>
          <w:szCs w:val="20"/>
          <w:color w:val="auto"/>
        </w:rPr>
      </w:pPr>
    </w:p>
    <w:p>
      <w:pPr>
        <w:jc w:val="both"/>
        <w:ind w:left="740" w:hanging="300"/>
        <w:spacing w:after="0" w:line="246"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spacing w:after="0" w:line="129" w:lineRule="exact"/>
        <w:rPr>
          <w:rFonts w:ascii="Times New Roman" w:cs="Times New Roman" w:eastAsia="Times New Roman" w:hAnsi="Times New Roman"/>
          <w:sz w:val="20"/>
          <w:szCs w:val="20"/>
          <w:color w:val="auto"/>
        </w:rPr>
      </w:pPr>
    </w:p>
    <w:p>
      <w:pPr>
        <w:ind w:left="740" w:hanging="300"/>
        <w:spacing w:after="0" w:line="239"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employment or labor laws, or wage increases in the countries in which we or our partners and suppliers operate;</w:t>
      </w:r>
    </w:p>
    <w:p>
      <w:pPr>
        <w:spacing w:after="0" w:line="133" w:lineRule="exact"/>
        <w:rPr>
          <w:rFonts w:ascii="Times New Roman" w:cs="Times New Roman" w:eastAsia="Times New Roman" w:hAnsi="Times New Roman"/>
          <w:sz w:val="20"/>
          <w:szCs w:val="20"/>
          <w:color w:val="auto"/>
        </w:rPr>
      </w:pPr>
    </w:p>
    <w:p>
      <w:pPr>
        <w:ind w:left="740" w:hanging="300"/>
        <w:spacing w:after="0" w:line="239"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regional and global restrictions on banking and commercial activities in certain markets, especially emerging markets;</w:t>
      </w:r>
    </w:p>
    <w:p>
      <w:pPr>
        <w:spacing w:after="0" w:line="123"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and increased exposure to counterparty risk;</w:t>
      </w:r>
    </w:p>
    <w:p>
      <w:pPr>
        <w:spacing w:after="0" w:line="122"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international financial markets and increased foreign currency risk;</w:t>
      </w:r>
    </w:p>
    <w:p>
      <w:pPr>
        <w:spacing w:after="0" w:line="122" w:lineRule="exact"/>
        <w:rPr>
          <w:rFonts w:ascii="Times New Roman" w:cs="Times New Roman" w:eastAsia="Times New Roman" w:hAnsi="Times New Roman"/>
          <w:sz w:val="20"/>
          <w:szCs w:val="20"/>
          <w:color w:val="auto"/>
        </w:rPr>
      </w:pPr>
    </w:p>
    <w:p>
      <w:pPr>
        <w:ind w:left="740" w:hanging="300"/>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 or hyperinflation in certain markets, including Turkey;</w:t>
      </w:r>
    </w:p>
    <w:p>
      <w:pPr>
        <w:spacing w:after="0" w:line="132" w:lineRule="exact"/>
        <w:rPr>
          <w:rFonts w:ascii="Times New Roman" w:cs="Times New Roman" w:eastAsia="Times New Roman" w:hAnsi="Times New Roman"/>
          <w:sz w:val="20"/>
          <w:szCs w:val="20"/>
          <w:color w:val="auto"/>
        </w:rPr>
      </w:pPr>
    </w:p>
    <w:p>
      <w:pPr>
        <w:jc w:val="both"/>
        <w:ind w:left="740" w:hanging="300"/>
        <w:spacing w:after="0" w:line="246" w:lineRule="auto"/>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resulting from the formal withdrawal of the U.K. from the EU, commonly referred to as Brexit, including those related to additional trade agreements, tariffs and customs regulations and currency fluctuations, which could materially impact the way we conduct our operations in those markets;</w:t>
      </w:r>
    </w:p>
    <w:p>
      <w:pPr>
        <w:sectPr>
          <w:pgSz w:w="11880" w:h="15480" w:orient="portrait"/>
          <w:cols w:equalWidth="0" w:num="1">
            <w:col w:w="9060"/>
          </w:cols>
          <w:pgMar w:left="1440" w:top="1322" w:right="1380" w:bottom="654" w:gutter="0" w:footer="0" w:header="0"/>
        </w:sect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060"/>
          </w:cols>
          <w:pgMar w:left="1440" w:top="1322" w:right="1380" w:bottom="654" w:gutter="0" w:footer="0" w:header="0"/>
          <w:type w:val="continuous"/>
        </w:sectPr>
      </w:pPr>
    </w:p>
    <w:bookmarkStart w:id="39" w:name="page40"/>
    <w:bookmarkEnd w:id="39"/>
    <w:p>
      <w:pPr>
        <w:ind w:left="800" w:hanging="300"/>
        <w:spacing w:after="0"/>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disruptions and increases in energy and transportation costs;</w:t>
      </w:r>
    </w:p>
    <w:p>
      <w:pPr>
        <w:spacing w:after="0" w:line="140"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tariffs on the import or export of our products or API, including on imports from China to the U.S. as a result of the escalation of trade tensions between the countries or otherwise;</w:t>
      </w:r>
    </w:p>
    <w:p>
      <w:pPr>
        <w:spacing w:after="0" w:line="141"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burdens to comply with multiple, changing and potentially conflicting laws, regulations and disclosure requirements, including those relating to environmental, social and governance matters, carbon emissions, health and safety, labor and human rights;</w:t>
      </w:r>
    </w:p>
    <w:p>
      <w:pPr>
        <w:spacing w:after="0" w:line="135"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or man-made disasters, including droughts, floods, earthquakes, hurricanes and the impact of climate change in the countries in which we or our partners and suppliers operate; and</w:t>
      </w:r>
    </w:p>
    <w:p>
      <w:pPr>
        <w:spacing w:after="0" w:line="141" w:lineRule="exact"/>
        <w:rPr>
          <w:rFonts w:ascii="Times New Roman" w:cs="Times New Roman" w:eastAsia="Times New Roman" w:hAnsi="Times New Roman"/>
          <w:sz w:val="20"/>
          <w:szCs w:val="20"/>
          <w:color w:val="auto"/>
        </w:rPr>
      </w:pPr>
    </w:p>
    <w:p>
      <w:pPr>
        <w:jc w:val="both"/>
        <w:ind w:left="800" w:hanging="300"/>
        <w:spacing w:after="0" w:line="248" w:lineRule="auto"/>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disturbances, the outbreak of highly contagious diseases or other health epidemics (such as COVID-19),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spacing w:after="0" w:line="25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occurrence of any one or more of the above risks could have a material adverse effect on our business, financial condition, results of operations, cash flows, ability to pay dividends and/or stock price.</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Charges to earnings resulting from acquisitions could have a material adverse effect on our business, financial condition, results of operations, cash flows, ability to pay dividends and/or stock price</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39" w:lineRule="exact"/>
        <w:rPr>
          <w:sz w:val="20"/>
          <w:szCs w:val="20"/>
          <w:color w:val="auto"/>
        </w:rPr>
      </w:pPr>
    </w:p>
    <w:p>
      <w:pPr>
        <w:ind w:left="800" w:hanging="300"/>
        <w:spacing w:after="0" w:line="239" w:lineRule="auto"/>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incurred to combine the operations of companies we acquire, such as transitional employee expenses and employee retention, redeployment or relocation expenses;</w:t>
      </w:r>
    </w:p>
    <w:p>
      <w:pPr>
        <w:spacing w:after="0" w:line="13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liabilities assumed in purchase accounting;</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goodwill or intangible assets, including acquired IPR&amp;D;</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intangible assets acquired;</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useful lives of intangible assets acquired;</w:t>
      </w:r>
    </w:p>
    <w:p>
      <w:pPr>
        <w:spacing w:after="0" w:line="140" w:lineRule="exact"/>
        <w:rPr>
          <w:rFonts w:ascii="Times New Roman" w:cs="Times New Roman" w:eastAsia="Times New Roman" w:hAnsi="Times New Roman"/>
          <w:sz w:val="20"/>
          <w:szCs w:val="20"/>
          <w:color w:val="auto"/>
        </w:rPr>
      </w:pPr>
    </w:p>
    <w:p>
      <w:pPr>
        <w:jc w:val="both"/>
        <w:ind w:left="800" w:hanging="300"/>
        <w:spacing w:after="0" w:line="247" w:lineRule="auto"/>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sectPr>
          <w:pgSz w:w="11880" w:h="15480" w:orient="portrait"/>
          <w:cols w:equalWidth="0" w:num="1">
            <w:col w:w="9120"/>
          </w:cols>
          <w:pgMar w:left="1380" w:top="1312"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20"/>
          </w:cols>
          <w:pgMar w:left="1380" w:top="1312" w:right="1380" w:bottom="654" w:gutter="0" w:footer="0" w:header="0"/>
          <w:type w:val="continuous"/>
        </w:sectPr>
      </w:pPr>
    </w:p>
    <w:bookmarkStart w:id="40" w:name="page41"/>
    <w:bookmarkEnd w:id="40"/>
    <w:p>
      <w:pPr>
        <w:ind w:left="800" w:hanging="300"/>
        <w:spacing w:after="0" w:line="239" w:lineRule="auto"/>
        <w:tabs>
          <w:tab w:leader="none" w:pos="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restructure our operations and to reduce our cost structure, including cost related to severance payments, plant shutdowns and costs to achieve anticipated synergies; and</w:t>
      </w:r>
    </w:p>
    <w:p>
      <w:pPr>
        <w:spacing w:after="0" w:line="12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to our operating results resulting from expenses incurred to effect the acquisition.</w:t>
      </w:r>
    </w:p>
    <w:p>
      <w:pPr>
        <w:spacing w:after="0" w:line="23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 significant portion of these adjustments could be accounted for as expenses that will decrease our net income and earnings per share for the periods in which those costs are incurred.</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particular, the amount of goodwill and identifiable intangible assets in our consolidated balance sheets is significant as a result of our acquisitions and other transactions, and may increase further following future potential acquisitions, and we may, from time to time, sell assets that we determine are not critical to our strategy or execution, including our OTC, women’s health care and API businesses. These and other future events or decisions may also lead to asset impairments and/or related charges. Certain non-cash impairments may result from a change in our strategic goals, business direction or other factors relating to the overall business environment. Any such charges could cause a material adverse effect on our business, financial condition, results of operations, cash flows, ability to pay dividends and/or stock price.</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illegal distribution and sale by third parties of counterfeit or IP-infringing versions of our products or of diverted or stolen products could have a negative impact on our reputation and our business.</w:t>
      </w:r>
    </w:p>
    <w:p>
      <w:pPr>
        <w:spacing w:after="0" w:line="23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pharmaceutical drug supply is vulnerable to illegal counterfeiting and the presence of counterfeit or IP-infringing products in a growing number of markets, including widespread sales over the internet.</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Third parties may illegally distribute and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spacing w:after="0" w:line="23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spacing w:after="0" w:line="2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and/or stock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vigorous competition that threatens the commercial acceptance and pricing of our products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pharmaceutical industry is highly competitive. We face competition from other pharmaceutical manufacturers globally, some of whom are significantly larger than us and have stronger, more well-established reputations than us. Our competitors may be able to develop products and processes competitive with or superior to our own for many reasons, including but not limited to the possibility that they may have:</w:t>
      </w:r>
    </w:p>
    <w:p>
      <w:pPr>
        <w:spacing w:after="0" w:line="116" w:lineRule="exact"/>
        <w:rPr>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proprietary processes or delivery systems;</w:t>
      </w:r>
    </w:p>
    <w:p>
      <w:pPr>
        <w:spacing w:after="0" w:line="11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or more productive R&amp;D and marketing staff;</w:t>
      </w:r>
    </w:p>
    <w:p>
      <w:pPr>
        <w:spacing w:after="0" w:line="11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or more efficient production capabilities in a particular therapeutic area;</w:t>
      </w:r>
    </w:p>
    <w:p>
      <w:pPr>
        <w:spacing w:after="0" w:line="11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experience in preclinical testing and human clinical trials;</w:t>
      </w:r>
    </w:p>
    <w:p>
      <w:pPr>
        <w:spacing w:after="0" w:line="11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products;</w:t>
      </w:r>
    </w:p>
    <w:p>
      <w:pPr>
        <w:sectPr>
          <w:pgSz w:w="11880" w:h="15480" w:orient="portrait"/>
          <w:cols w:equalWidth="0" w:num="1">
            <w:col w:w="9120"/>
          </w:cols>
          <w:pgMar w:left="1380" w:top="1322" w:right="1380" w:bottom="654"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20"/>
          </w:cols>
          <w:pgMar w:left="1380" w:top="1322" w:right="1380" w:bottom="654" w:gutter="0" w:footer="0" w:header="0"/>
          <w:type w:val="continuous"/>
        </w:sectPr>
      </w:pPr>
    </w:p>
    <w:bookmarkStart w:id="41" w:name="page42"/>
    <w:bookmarkEnd w:id="41"/>
    <w:p>
      <w:pPr>
        <w:ind w:left="800" w:hanging="300"/>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experience in developing new drugs; or</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financial resources.</w:t>
      </w:r>
    </w:p>
    <w:p>
      <w:pPr>
        <w:spacing w:after="0" w:line="26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also face increasing competition from lower-cost generic products and other branded products, including our ARV products. Many of our products are not protected by patent rights or have limited patent life and will soon lose patent protection. Loss of patent protection for a product typically is followed promptly with the launch of generic products. As a result, sales of many of these products may decline or stop growing over time, and may decline faster than has been projected. For example, Perforomist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lost exclusivity and experienced generic competition in June 2021, the compound patent for Celebrex in Japan expired in November 2019 with generics entering the market in June 2020, and Lyrica’s pediatric exclusivity in the United States expired in June 2019 and patent exclusivity expired in Japan in July 2022. In addition, several companies have filed ANDAs seeking regulatory approval in the United States to market a generic version of our Yupelri product prior to the expiration of certain patents. We may not be successful in managing competition from non-branded generics or other alternatives, or in generally managing revenues after loss of exclusivity, and our business may be materially adversely affected.</w:t>
      </w:r>
    </w:p>
    <w:p>
      <w:pPr>
        <w:spacing w:after="0" w:line="26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Generic competitors are also becoming more aggressive in terms of pricing in many of the regions in which Viatris operates. In China, for example, we face strong competition from certain generic manufacturers, which have resulted and may in the future result in price cuts and volume loss on some of Viatris’ branded products. In many emerging markets, we face increased competition and contracting markets for certain of our ARV products, primarily related to competing therapies. We also face competition in the United States,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spacing w:after="0" w:line="25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addition, certain of our products also face potential competition from products that may be developed in the future that could render our products uncompetitive or obsolete. For example, companies may develop medicines that treat the same indications targeted by our products, and these medicines could be more effective than our products or patients and physicians could prefer these medicines over our medicines. The introduction of these new competing products could also have a negative impact on product sales.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Other related factors that could affect our business include:</w:t>
      </w:r>
    </w:p>
    <w:p>
      <w:pPr>
        <w:spacing w:after="0" w:line="140" w:lineRule="exact"/>
        <w:rPr>
          <w:sz w:val="20"/>
          <w:szCs w:val="20"/>
          <w:color w:val="auto"/>
        </w:rPr>
      </w:pPr>
    </w:p>
    <w:p>
      <w:pPr>
        <w:ind w:left="800" w:hanging="300"/>
        <w:spacing w:after="0" w:line="239" w:lineRule="auto"/>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Competitors’ products may be safer, more effective, more effectively marketed or sold, or have lower prices or better performance features than ours;</w:t>
      </w:r>
    </w:p>
    <w:p>
      <w:pPr>
        <w:spacing w:after="0" w:line="141"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PBMs and other pharmaceutical manufacturers may utilize contracting strategies that could decrease utilization of or otherwise negatively impact our products;</w:t>
      </w:r>
    </w:p>
    <w:p>
      <w:pPr>
        <w:spacing w:after="0" w:line="141"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Vertical integration of pharmacies and large purchasing organizations or consolidation among distribution outlets; and</w:t>
      </w:r>
    </w:p>
    <w:p>
      <w:pPr>
        <w:spacing w:after="0" w:line="141" w:lineRule="exact"/>
        <w:rPr>
          <w:rFonts w:ascii="Times New Roman" w:cs="Times New Roman" w:eastAsia="Times New Roman" w:hAnsi="Times New Roman"/>
          <w:sz w:val="20"/>
          <w:szCs w:val="20"/>
          <w:color w:val="auto"/>
        </w:rPr>
      </w:pPr>
    </w:p>
    <w:p>
      <w:pPr>
        <w:jc w:val="both"/>
        <w:ind w:left="800" w:hanging="300"/>
        <w:spacing w:after="0" w:line="246" w:lineRule="auto"/>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sales have suffered and may suffer in the future as a result of changes in consumer demand for our products, including those related to fluctuations in consumer buying patterns tied to seasonality or other factors, willingness of customers to switch among products of different pharmaceutical manufacturers, importation by consumers or the introduction of new products by competitors.</w:t>
      </w:r>
    </w:p>
    <w:p>
      <w:pPr>
        <w:spacing w:after="0" w:line="257"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occurrence of any of the above risks could have an adverse effect on our business, financial condition, results of operations, cash flows, ability to pay dividends and/or stock price.</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20"/>
          </w:cols>
          <w:pgMar w:left="1380" w:top="1312" w:right="1380" w:bottom="654" w:gutter="0" w:footer="0" w:header="0"/>
          <w:type w:val="continuous"/>
        </w:sectPr>
      </w:pPr>
    </w:p>
    <w:bookmarkStart w:id="42" w:name="page43"/>
    <w:bookmarkEnd w:id="42"/>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 relatively small group of products may represent a significant portion of our revenues, net sales, gross profit, or net earnings from time to time.</w:t>
      </w:r>
    </w:p>
    <w:p>
      <w:pPr>
        <w:spacing w:after="0" w:line="22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Sales of a limited number of our products from time to time represent a significant portion of our revenues, net sales, gross profit, and net earnings. For the years ended December 31, 2022 and 2021, Viatris’ top ten products in terms of sales, in the aggregate, represented approximately 33%, respectively, of the Company’s net sales. If the volume or pricing of our largest selling products declines in the future, our business, financial condition, results of operations, cash flows, and/or share price could be materially adversely affected.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Operational Risks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Current and changing economic conditions, including inflation, may adversely affect our industry, business, partners and suppliers.</w:t>
      </w:r>
    </w:p>
    <w:p>
      <w:pPr>
        <w:spacing w:after="0" w:line="22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global economy continues to experience significant volatility, and the economic environment may become less favorable. For example, if the U.S. government defaults on its debt, or the U.S. Treasury takes measures to avoid such a default, or if there is an assumption that such an event may occur, this could have a negative impact on general economic conditions, including the liquidity of and access to the capital markets. A sovereign debt default,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Reduced consumer and customer spending, reduced government or third-party payor coverage or reimbursement, or new government controls, may drive us and our competitors to decrease prices, may reduce the ability of customers to pay, or may result in reduced demand for our products.</w:t>
      </w:r>
    </w:p>
    <w:p>
      <w:pPr>
        <w:spacing w:after="0" w:line="23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accelerating rates of inflation are expected to continue in the near future and have resulted, and may continue to result, in increased costs of labor, raw materials, other supplies and freight and distribution costs, among others. For the pharmaceutical industry and the healthcare systems in the markets in which we participate, regulatory restrictions and the pricing dynamics of our products generally make it difficult to pass on such costs to customers. Inflation has resulted and may continue to result in higher interest rates and increased costs of capital. In particular, during 2022, the global economy has been impacted by high levels of inflation and rising energy costs, which has resulted in significant economic volatility. As a result, central banks have and continue to tighten their monetary policies and increase interest rates. These macroeconomic pressures combined with the volatility in foreign exchange rates, including the strengthening of the U.S. dollar versus the other currencies in which we operate, negatively impacted our results of operations. While inflationary and other macroeconomic pressures may ease, we continue to experience higher costs and we expect that this will likely continue throughout 2023, thereby negatively impacting our results of operations.</w:t>
      </w:r>
    </w:p>
    <w:p>
      <w:pPr>
        <w:spacing w:after="0" w:line="22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occurrence of any of the above risks could have a material adverse effect on our industry, business, financial condition, results of operations, cash flows, ability to pay dividends and/or stock price.</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applicable environmental and occupational health and safety laws and regulations worldwide could adversely impact our business, financial condition, results of operations, cash flows, ability to pay dividends and/or stock price.</w:t>
      </w:r>
    </w:p>
    <w:p>
      <w:pPr>
        <w:spacing w:after="0" w:line="22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are subject globally to various laws and regulations concerning, among other things, the environment, climate change, water, waste, chemicals and employee health and safety. These requirements include regulation</w:t>
      </w:r>
    </w:p>
    <w:p>
      <w:pPr>
        <w:sectPr>
          <w:pgSz w:w="11880" w:h="15480" w:orient="portrait"/>
          <w:cols w:equalWidth="0" w:num="1">
            <w:col w:w="9120"/>
          </w:cols>
          <w:pgMar w:left="1380" w:top="1316"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20"/>
          </w:cols>
          <w:pgMar w:left="1380" w:top="1316" w:right="1380" w:bottom="654" w:gutter="0" w:footer="0" w:header="0"/>
          <w:type w:val="continuous"/>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if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and/or stock price.</w:t>
      </w:r>
    </w:p>
    <w:p>
      <w:pPr>
        <w:spacing w:after="0" w:line="2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pharmaceutical industry is heavily regulated, and we face significant costs and uncertainties associated with our efforts to comply with applicable laws and regulations.</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and regulations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spacing w:after="0" w:line="26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w:t>
      </w:r>
    </w:p>
    <w:p>
      <w:pPr>
        <w:sectPr>
          <w:pgSz w:w="11880" w:h="15480" w:orient="portrait"/>
          <w:cols w:equalWidth="0" w:num="1">
            <w:col w:w="9120"/>
          </w:cols>
          <w:pgMar w:left="1380" w:top="1322" w:right="1380" w:bottom="654"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20"/>
          </w:cols>
          <w:pgMar w:left="1380" w:top="1322" w:right="1380" w:bottom="654" w:gutter="0" w:footer="0" w:header="0"/>
          <w:type w:val="continuous"/>
        </w:sectPr>
      </w:pPr>
    </w:p>
    <w:bookmarkStart w:id="44" w:name="page45"/>
    <w:bookmarkEnd w:id="44"/>
    <w:p>
      <w:pPr>
        <w:jc w:val="both"/>
        <w:spacing w:after="0" w:line="245" w:lineRule="auto"/>
        <w:rPr>
          <w:sz w:val="20"/>
          <w:szCs w:val="20"/>
          <w:color w:val="auto"/>
        </w:rPr>
      </w:pPr>
      <w:r>
        <w:rPr>
          <w:rFonts w:ascii="Times New Roman" w:cs="Times New Roman" w:eastAsia="Times New Roman" w:hAnsi="Times New Roman"/>
          <w:sz w:val="20"/>
          <w:szCs w:val="20"/>
          <w:color w:val="auto"/>
        </w:rPr>
        <w:t>regulations has in the past and may in the future result in increased expenses for us or impose greater administrative burdens on our organization, and failure to meet these requirements could result in fines or other penalties.</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For example, in order to comply with foreign ownership restrictions and meet regulatory licensing, and cybersecurity requirements, we conduct some of our business in China through variable interest entities. Although we believe these structures and activities related to our VIEs comply with existing laws and regulations in China, they involve unique risks and uncertainties, including that China may from time to time consider and implement additional changes in their legislative, regulatory, licensing, or other requirements that could subject us to penalties and impact these structures and activities.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spacing w:after="0" w:line="25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spacing w:after="0" w:line="26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Delay and cost in obtaining FDA or other regulatory approval to manufacture at a different facility also could have a material adverse effect on our business.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from time to time we or our partners receive notices of manufacturing and quality-related observations following inspections by regulatory authorities around the world, as well as official agency correspondence regarding compliance. For example, the FDA issued warning letters relating to valsartan API and nitrosamine impurities to our API manufacturer Mylan Laboratories Limited Unit 8 in 2019. We provided thorough responses to the FDA regarding the issues identified and remediation is ongoing. We and our partners have in the past and may in the future receive similar observations and correspondence. If we are unable to</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20"/>
          </w:cols>
          <w:pgMar w:left="1380" w:top="1322" w:right="1380" w:bottom="654" w:gutter="0" w:footer="0" w:header="0"/>
          <w:type w:val="continuous"/>
        </w:sectPr>
      </w:pPr>
    </w:p>
    <w:bookmarkStart w:id="45" w:name="page46"/>
    <w:bookmarkEnd w:id="45"/>
    <w:p>
      <w:pPr>
        <w:jc w:val="both"/>
        <w:spacing w:after="0" w:line="245" w:lineRule="auto"/>
        <w:rPr>
          <w:sz w:val="20"/>
          <w:szCs w:val="20"/>
          <w:color w:val="auto"/>
        </w:rPr>
      </w:pPr>
      <w:r>
        <w:rPr>
          <w:rFonts w:ascii="Times New Roman" w:cs="Times New Roman" w:eastAsia="Times New Roman" w:hAnsi="Times New Roman"/>
          <w:sz w:val="20"/>
          <w:szCs w:val="20"/>
          <w:color w:val="auto"/>
        </w:rPr>
        <w:t>resolve these observations and address regulatory concerns in a timely fashion, our business, financial condition, results of operations, cash flows, ability to pay dividends and/or stock price could be materially adversely affected.</w:t>
      </w:r>
    </w:p>
    <w:p>
      <w:pPr>
        <w:spacing w:after="0" w:line="2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w:t>
      </w:r>
    </w:p>
    <w:p>
      <w:pPr>
        <w:spacing w:after="0" w:line="21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occurrence of any of the above risks could have a material adverse effect on our business, financial condition, results of operations, cash flows, ability to pay dividends and/or stock price.</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competitors, both branded and generic, often pursue strategies that could prevent or delay generic alternatives to branded products. These strategies include, but are not limited to:</w:t>
      </w:r>
    </w:p>
    <w:p>
      <w:pPr>
        <w:spacing w:after="0" w:line="120" w:lineRule="exact"/>
        <w:rPr>
          <w:sz w:val="20"/>
          <w:szCs w:val="20"/>
          <w:color w:val="auto"/>
        </w:rPr>
      </w:pPr>
    </w:p>
    <w:p>
      <w:pPr>
        <w:jc w:val="both"/>
        <w:ind w:left="800" w:hanging="300"/>
        <w:spacing w:after="0" w:line="245"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agreements whereby other generic companies will begin to market an authorized generic, which is the approved brand-name drug without the brand-name on its label, at the same time or after generic competition initially enters the market;</w:t>
      </w:r>
    </w:p>
    <w:p>
      <w:pPr>
        <w:spacing w:after="0" w:line="113"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their own authorized generic product prior to or at the same time or after generic competition initially enters the market;</w:t>
      </w:r>
    </w:p>
    <w:p>
      <w:pPr>
        <w:spacing w:after="0" w:line="10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 branded product at a discount equivalent to generic pricing;</w:t>
      </w:r>
    </w:p>
    <w:p>
      <w:pPr>
        <w:spacing w:after="0" w:line="118"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frivolous petitions with the FDA or other regulatory bodies seeking to prevent or delay approvals, including timing the frivolous filings so as to thwart generic competition by causing delays of our product approvals;</w:t>
      </w:r>
    </w:p>
    <w:p>
      <w:pPr>
        <w:spacing w:after="0" w:line="113"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contracting strategies among pharmaceutical manufacturers and PBMs that could decrease generic or biosimilar utilization and negatively impact our product launches;</w:t>
      </w:r>
    </w:p>
    <w:p>
      <w:pPr>
        <w:spacing w:after="0" w:line="119"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to establish regulatory and legal obstacles that would make it more difficult to demonstrate bioequivalence or to meet other requirements for approval, and/or to prevent regulatory agency review of applications;</w:t>
      </w:r>
    </w:p>
    <w:p>
      <w:pPr>
        <w:spacing w:after="0" w:line="113"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initiating legislative or other efforts to limit the substitution of generic versions of brand pharmaceuticals;</w:t>
      </w:r>
    </w:p>
    <w:p>
      <w:pPr>
        <w:spacing w:after="0" w:line="119"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suits for patent infringement and other claims that may delay or prevent regulatory approval, manufacture, and/or sale of generic products;</w:t>
      </w:r>
    </w:p>
    <w:p>
      <w:pPr>
        <w:spacing w:after="0" w:line="119"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introducing “next-generation” products prior to the expiration of market exclusivity for the reference product, which often materially reduces the demand for the generic or the reference product for which we seek regulatory approval;</w:t>
      </w:r>
    </w:p>
    <w:p>
      <w:pPr>
        <w:sectPr>
          <w:pgSz w:w="11880" w:h="15480" w:orient="portrait"/>
          <w:cols w:equalWidth="0" w:num="1">
            <w:col w:w="9120"/>
          </w:cols>
          <w:pgMar w:left="1380" w:top="1322" w:right="1380" w:bottom="65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20"/>
          </w:cols>
          <w:pgMar w:left="1380" w:top="1322" w:right="1380" w:bottom="654" w:gutter="0" w:footer="0" w:header="0"/>
          <w:type w:val="continuous"/>
        </w:sectPr>
      </w:pPr>
    </w:p>
    <w:bookmarkStart w:id="46" w:name="page47"/>
    <w:bookmarkEnd w:id="46"/>
    <w:p>
      <w:pPr>
        <w:jc w:val="both"/>
        <w:ind w:left="800" w:hanging="300"/>
        <w:spacing w:after="0" w:line="245" w:lineRule="auto"/>
        <w:tabs>
          <w:tab w:leader="none" w:pos="8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persuading regulatory bodies to withdraw the approval of brand-name drugs for which the patents are about to expire and converting the market to another product of the brand company on which longer patent protection exists;</w:t>
      </w:r>
    </w:p>
    <w:p>
      <w:pPr>
        <w:spacing w:after="0" w:line="117"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extensions of market exclusivity by conducting clinical trials of brand drugs in pediatric populations or by other methods; and</w:t>
      </w:r>
    </w:p>
    <w:p>
      <w:pPr>
        <w:spacing w:after="0" w:line="113"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to obtain new patents on drugs for which patent protection is about to expire.</w:t>
      </w:r>
    </w:p>
    <w:p>
      <w:pPr>
        <w:spacing w:after="0" w:line="22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w:t>
      </w:r>
    </w:p>
    <w:p>
      <w:pPr>
        <w:spacing w:after="0" w:line="2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and/or stock price.</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introduce new products in a timely manner, our future revenue and profitability may be adversely affected.</w:t>
      </w:r>
    </w:p>
    <w:p>
      <w:pPr>
        <w:spacing w:after="0" w:line="2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Viatris focuses more on complex products, the development and commercialization process requires substantial time, effort and financial resources. We, or a partner, may not be successful in developing or commercializing such products on a timely basis, or at all, and such products may be less likely or take longer to receive regulatory approval, which could adversely affect our business, financial condition, results of operations, cash flows, ability to pay dividends and/ or stock price.</w:t>
      </w:r>
    </w:p>
    <w:p>
      <w:pPr>
        <w:spacing w:after="0" w:line="200" w:lineRule="exact"/>
        <w:rPr>
          <w:sz w:val="20"/>
          <w:szCs w:val="20"/>
          <w:color w:val="auto"/>
        </w:rPr>
      </w:pP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(including as a result of the COVID-19 pandemic), or other factors beyond our control. Any delay in regulatory approval could impact the commercial or financial success of a product.</w:t>
      </w:r>
    </w:p>
    <w:p>
      <w:pPr>
        <w:spacing w:after="0" w:line="22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20"/>
          </w:cols>
          <w:pgMar w:left="1380" w:top="1322" w:right="1380" w:bottom="654" w:gutter="0" w:footer="0" w:header="0"/>
          <w:type w:val="continuous"/>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2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spacing w:after="0" w:line="26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the EU and other countries and regions, there is no exclusivity period for the first generic product. The European Commission or national regulatory agencies may grant marketing authorizations to any number of generics.</w:t>
      </w:r>
    </w:p>
    <w:p>
      <w:pPr>
        <w:spacing w:after="0" w:line="25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If we are unable to navigate our products through the approval process in a timely manner, there could be an adverse effect on our product introduction plans, business, financial condition, results of operations, cash flows, ability to pay dividends and/or stock price.</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expend a significant amount of resources on R&amp;D efforts that may not lead to successful product introductions.</w:t>
      </w:r>
    </w:p>
    <w:p>
      <w:pPr>
        <w:spacing w:after="0" w:line="25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Much of our development effort is focused on technically difficult-to-formulate products and/or products that require advanced manufacturing technology. We conduct R&amp;D primarily to enable us to gain approval for, manufacture, and market pharmaceuticals in accordance with applicable laws and regulations. We also partner with third parties to develop products. Typically, expenses related to the development of innovative or complex</w:t>
      </w:r>
    </w:p>
    <w:p>
      <w:pPr>
        <w:sectPr>
          <w:pgSz w:w="11880" w:h="15480" w:orient="portrait"/>
          <w:cols w:equalWidth="0" w:num="1">
            <w:col w:w="9120"/>
          </w:cols>
          <w:pgMar w:left="1380" w:top="1322" w:right="1380" w:bottom="65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120"/>
          </w:cols>
          <w:pgMar w:left="1380" w:top="1322" w:right="1380" w:bottom="654" w:gutter="0" w:footer="0" w:header="0"/>
          <w:type w:val="continuous"/>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compounds and the filing of marketing authorization applications for innovative and complex compounds (such as NDAs in the U.S.) are significantly greater than those expenses associated with the development of and filing of marketing authorization applications for most generic products (such as ANDAs in the U.S. and abridged applications in Europe). As we continue to move up the value chain and develop new and/or more complex products, our related expenses will likely increase. Because of the inherent risk associated with R&amp;D efforts in our industry, including the high cost and uncertainty of conducting clinical trials (where required) particularly with respect to new and/or complex drugs, our, or a partner’s, R&amp;D and IPR&amp;D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spacing w:after="0" w:line="21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spacing w:after="0" w:line="21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1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ability to pay dividends and/or stock price.</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Public health outbreaks, epidemics and pandemics, including the COVID-19 pandemic, have had and could continue to have a material adverse effect on our business, including our workforce, suppliers, vendors, business partners, distribution channels, customers and patients. Both the outbreak, and continued spread of COVID-19 and actions to slow its spread have created and continue to create significant uncertainty, economic volatility and disruption, supply chain disruption, and increased unemployment, which have impacted and may continue to impact our business operations and workforce. In addition, recovery from the pandemic may not proceed as anticipated, and may have unpredictable impacts on demand for our products, our workforce and our business operations. All of these factors could have a material adverse impact on our workforce, business operations, financial condition, results of operations, cash flows and/or stock price and may impact our ability to pay dividends.</w:t>
      </w:r>
    </w:p>
    <w:p>
      <w:pPr>
        <w:spacing w:after="0" w:line="2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COVID-19 and related responsive measures have also made, and may continue to make, it difficult for us, our partners or suppliers to source and manufacture products in, and to export our products from, certain affected areas. If there is an increase in reported illnesses or quarantining at any of our or our partners’ facilities, including critical manufacturing sites, it is possible that such facilities may need to close for an extended period of time. In addition, we have faced, and may continue to face, delays or difficulty sourcing certain products or</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120"/>
          </w:cols>
          <w:pgMar w:left="1380" w:top="1322" w:right="1380" w:bottom="654" w:gutter="0" w:footer="0" w:header="0"/>
          <w:type w:val="continuous"/>
        </w:sectPr>
      </w:pPr>
    </w:p>
    <w:bookmarkStart w:id="49" w:name="page50"/>
    <w:bookmarkEnd w:id="49"/>
    <w:p>
      <w:pPr>
        <w:jc w:val="both"/>
        <w:spacing w:after="0" w:line="248" w:lineRule="auto"/>
        <w:rPr>
          <w:sz w:val="20"/>
          <w:szCs w:val="20"/>
          <w:color w:val="auto"/>
        </w:rPr>
      </w:pPr>
      <w:r>
        <w:rPr>
          <w:rFonts w:ascii="Times New Roman" w:cs="Times New Roman" w:eastAsia="Times New Roman" w:hAnsi="Times New Roman"/>
          <w:sz w:val="20"/>
          <w:szCs w:val="20"/>
          <w:color w:val="auto"/>
        </w:rPr>
        <w:t>raw materials, including APIs. Even if we are able to find alternate sources for such products or raw materials, they may cost more. In addition, we have experienced and may continue to experience increased shipping and freight costs, as well as delays in shipping. These factors have materially adversely affected and could continue to materially adversely affect our ability to produce, ship, and supply products, which could negatively impact our customer relationships, business, financial condition, results of operations, cash flows, ability to pay dividends and/or stock price, or result in negative publicity and reputational harm.</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Health regulatory agencies globally have in the past, with respect to the COVID-19 pandemic, and may in the future also experience disruptions in their operations and greater regulatory uncertainty as a result of public health outbreaks. The FDA and comparable foreign regulatory agencies have experienced and may in the future experience slower response times or reduced resources and, as a result, review of regulatory submissions, inspections, approval of new products and other timelines important to our business may be materially impacted, which could delay our new product launches and have a material adverse effect on our business. In addition, as a result of changes in the provision of healthcare, we have experienced, and could continue to experience, unpredictable fluctuations in demand for certain of our products.</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continuing impact of the COVID-19 pandemic could lead to our customers or suppliers having liquidity problems that could negatively impact our ability to collect cash on our receivables and/or negatively impact our ability to get inventory and materials. If there are further disruptions or turmoil in the financial markets or customer or supplier liquidity issues, or if rating agencies lower our credit ratings, it could adversely affect our ability to access the debt markets, our cost of funds, and other terms for new debt, which could negatively impact our results of operations and financial position.</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extent to which the COVID-19 pandemic or other public health outbreaks will continue to impact us depends on numerous evolving factors and future developments that we are not currently able to predict and may also exacerbate other risks discussed in these risk factors, any of which could have a material adverse effect on us, our business, financial condition, results of operations, cash flows, ability to pay dividends and/or stock price.</w:t>
      </w:r>
    </w:p>
    <w:p>
      <w:pPr>
        <w:spacing w:after="0" w:line="2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Even if our products in development receive regulatory approval, such products may not achieve expected levels of market acceptance</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Even if we are able to obtain regulatory approvals for our new products, the success of those products is dependent upon market acceptance. Levels of market acceptance for our products could be impacted by several factors, including but not limited to:</w:t>
      </w:r>
    </w:p>
    <w:p>
      <w:pPr>
        <w:spacing w:after="0" w:line="136" w:lineRule="exact"/>
        <w:rPr>
          <w:sz w:val="20"/>
          <w:szCs w:val="20"/>
          <w:color w:val="auto"/>
        </w:rPr>
      </w:pPr>
    </w:p>
    <w:p>
      <w:pPr>
        <w:ind w:left="800" w:hanging="300"/>
        <w:spacing w:after="0" w:line="239" w:lineRule="auto"/>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perceived advantages, and relative safety and efficacy of alternative products from our competitors;</w:t>
      </w:r>
    </w:p>
    <w:p>
      <w:pPr>
        <w:spacing w:after="0" w:line="13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the approved labeling supports promotional initiatives for commercial success;</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of our products relative to those of our competitors;</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our market entry;</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marketing, sales, and distribution strategy and operations; and</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competitor actions, including legal actions.</w:t>
      </w: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and/or stock price.</w:t>
      </w:r>
    </w:p>
    <w:p>
      <w:pPr>
        <w:sectPr>
          <w:pgSz w:w="11880" w:h="15480" w:orient="portrait"/>
          <w:cols w:equalWidth="0" w:num="1">
            <w:col w:w="9120"/>
          </w:cols>
          <w:pgMar w:left="1380" w:top="1322"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120"/>
          </w:cols>
          <w:pgMar w:left="1380" w:top="1322" w:right="1380" w:bottom="654" w:gutter="0" w:footer="0" w:header="0"/>
          <w:type w:val="continuous"/>
        </w:sectPr>
      </w:pPr>
    </w:p>
    <w:bookmarkStart w:id="50" w:name="page51"/>
    <w:bookmarkEnd w:id="50"/>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Market perceptions of us are very important to our business, especially market perceptions of our company, products, brands and the safety and quality of our products and brands. Viatris believes that maintaining and enhancing certain of its brands is important and often provides certain competitive advantages.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w:t>
      </w:r>
    </w:p>
    <w:p>
      <w:pPr>
        <w:spacing w:after="0" w:line="25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sales and marketing efforts are anchored by promoting its products to physicians, pharmacists, eye care professionals,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or other similar limitations, may result in less successful sales and marketing activities.</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and/or stock price.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significant portion of our revenues is derived from sales to a limited number of customers.</w:t>
      </w: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 significant portion of our revenues is derived from sales to a limited number of customers. For the years ended December 31, 2022 and 2021, Viatris’ top three customers in terms of net sales, in the aggregate, represented approximately 26% and 23%, respectively, of the Company’s consolidated total net sales.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and/or stock price could be materially adversely affected.</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a significant amount of our sales are to a relatively small number of drug wholesalers and retail drug chains. These customers represent an essential part of the distribution chain of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retail and wholesale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and/or stock price.</w:t>
      </w:r>
    </w:p>
    <w:p>
      <w:pPr>
        <w:sectPr>
          <w:pgSz w:w="11880" w:h="15480" w:orient="portrait"/>
          <w:cols w:equalWidth="0" w:num="1">
            <w:col w:w="9120"/>
          </w:cols>
          <w:pgMar w:left="1380" w:top="1316"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120"/>
          </w:cols>
          <w:pgMar w:left="1380" w:top="1316" w:right="1380" w:bottom="654" w:gutter="0" w:footer="0" w:header="0"/>
          <w:type w:val="continuous"/>
        </w:sectPr>
      </w:pPr>
    </w:p>
    <w:bookmarkStart w:id="51" w:name="page52"/>
    <w:bookmarkEnd w:id="51"/>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number of manufacturing facilities and certain third-party suppliers produce a substantial portion of our API and products, some of which require a highly exacting and complex manufacturing process.</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 substantial portion of our capacity, as well as our current production, is attributable to a limited number of manufacturing facilities and certain third-party suppliers. A significant disruption at any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ability to pay dividends and/or stock price. The adverse effects of any of these events could be exacerbated as a result of our previously announced global restructuring program, which includes the closing, downsizing or divesting of a number of facilities globally. If we or our third-party suppliers’ face significant manufacturing issues, this could lead to shutdowns, delays or product shortages, or to our being entirely unable to supply certain products to customers for an extended period of time. In addition, our facilities may be required to close for periods of time, be required to staff at reduced capacity, or suffer other manufacturing delays as the result of an outbreak of disease, epidemic or pandemic, such as the COVID-19 pandemic, in or near any of our facilities. Such shortages, delays or shutdowns have led and could continue to lead to significant losses of sales revenue, third-party litigation, or negative publicity. See also “</w:t>
      </w:r>
      <w:r>
        <w:rPr>
          <w:rFonts w:ascii="Times New Roman" w:cs="Times New Roman" w:eastAsia="Times New Roman" w:hAnsi="Times New Roman"/>
          <w:sz w:val="20"/>
          <w:szCs w:val="20"/>
          <w:i w:val="1"/>
          <w:iCs w:val="1"/>
          <w:color w:val="auto"/>
        </w:rPr>
        <w:t>The pharmaceutical industry is heavily regulated, and we face significant costs and uncertainties associated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with our efforts to comply with applicable laws and regulations.”</w:t>
      </w:r>
    </w:p>
    <w:p>
      <w:pPr>
        <w:spacing w:after="0" w:line="26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and rates of inflation.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We have announced our intention to divest our API business during 2023, which may make us more vulnerable to API supply shortages and price volatility. In addition, quality deficiencies in the products which we or our suppliers provide, or at our or their manufacturing facilities, have in the past and could in the future adversely impact our manufacturing and supply capabilities, cause supply interruptions, or lead to voluntary market withdrawals or product recalls. For example,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and/ or stock price.</w:t>
      </w:r>
    </w:p>
    <w:p>
      <w:pPr>
        <w:spacing w:after="0" w:line="26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ectPr>
          <w:pgSz w:w="11880" w:h="15480" w:orient="portrait"/>
          <w:cols w:equalWidth="0" w:num="1">
            <w:col w:w="9120"/>
          </w:cols>
          <w:pgMar w:left="1380" w:top="1316" w:right="1380" w:bottom="65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120"/>
          </w:cols>
          <w:pgMar w:left="1380" w:top="1316" w:right="1380" w:bottom="654" w:gutter="0" w:footer="0" w:header="0"/>
          <w:type w:val="continuous"/>
        </w:sectPr>
      </w:pPr>
    </w:p>
    <w:bookmarkStart w:id="52" w:name="page53"/>
    <w:bookmarkEnd w:id="52"/>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If we or one of our suppliers experience any of the problems described above, such problems could have a material adverse effect on our reputation, business, financial condition, results of operations, cash flows, ability to pay dividends and/or stock price.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success is highly dependent on our ability to attract, motivate and retain key personnel.</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and inclusive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our strategic initiatives, acquisitions, integration activities or restructuring program. As a result, we may lose key personnel or may be unable to attract, retain and motivate qualified individuals, or the associated costs may increase. If we fail to attract, develop, incentivize and retain key scientific, technical, commercial, regulatory, information security/privacy, or management personnel, this could lead to loss of customers, business disruption, and a decline in revenues, adversely affect the progress of pipeline products, or otherwise adversely affect our operations. Additionally, while we work to ensure that we have effective plans in place for management succession throughout the organization,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or non-competition provisions, it may have a material adverse impact on our business, financial condition, results of operations, cash flows, ability to pay dividends and/or stock price.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Risks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or subject us to costly and time consuming government oversight. We operate in jurisdictions that have experienced corruption, bribery, pay-offs and other similar practices from time-to-time and, in certain circumstances, such practices may be local custom. We have implemented and trained relevant employees and third 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and/or stock price.</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120"/>
          </w:cols>
          <w:pgMar w:left="1380" w:top="1322" w:right="1380" w:bottom="654" w:gutter="0" w:footer="0" w:header="0"/>
          <w:type w:val="continuous"/>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need to cease manufacturing and other activities, including but not limited to selling in that jurisdiction. We may also need to pay damages, surrender or withdraw the product, or destroy existing stock in that jurisdiction.</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There also may be situations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An adverse decision in a case such as this, or a judicial order preventing us or our suppliers and partners from manufacturing, marketing, selling, and/or other activities necessary to the manufacture and distribution of our products, could result in substantial penalties, and/ or have a material adverse effect on our business, financial condition, results of operations, cash flows, ability to pay dividends and/or stock price.</w:t>
      </w:r>
    </w:p>
    <w:p>
      <w:pPr>
        <w:spacing w:after="0" w:line="2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rely on the effectiveness of our patents, trademarks, confidentiality agreements and other measures to protect our intellectual property rights.</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ability to commercialize any branded product successfully will largely depend upon our or any partner’s or supplier’s ability to obtain, maintain and enforce patents and trademarks of sufficient scope to lawfully prevent third parties from developing and/or marketing infringing products. In the absence of adequate intellectual property protections or other barriers to entry,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spacing w:after="0" w:line="200" w:lineRule="exact"/>
        <w:rPr>
          <w:sz w:val="20"/>
          <w:szCs w:val="20"/>
          <w:color w:val="auto"/>
        </w:rPr>
      </w:pPr>
    </w:p>
    <w:p>
      <w:pPr>
        <w:spacing w:after="0" w:line="29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may submit patent filings covering the API, formulation, methods of making, and/or methods of using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w:t>
      </w:r>
    </w:p>
    <w:p>
      <w:pPr>
        <w:sectPr>
          <w:pgSz w:w="11880" w:h="15480" w:orient="portrait"/>
          <w:cols w:equalWidth="0" w:num="1">
            <w:col w:w="9120"/>
          </w:cols>
          <w:pgMar w:left="1380" w:top="1316" w:right="1380" w:bottom="654"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120"/>
          </w:cols>
          <w:pgMar w:left="1380" w:top="1316" w:right="1380" w:bottom="654" w:gutter="0" w:footer="0" w:header="0"/>
          <w:type w:val="continuous"/>
        </w:sectPr>
      </w:pPr>
    </w:p>
    <w:bookmarkStart w:id="54" w:name="page55"/>
    <w:bookmarkEnd w:id="54"/>
    <w:p>
      <w:pPr>
        <w:jc w:val="both"/>
        <w:spacing w:after="0" w:line="239" w:lineRule="auto"/>
        <w:rPr>
          <w:sz w:val="20"/>
          <w:szCs w:val="20"/>
          <w:color w:val="auto"/>
        </w:rPr>
      </w:pPr>
      <w:r>
        <w:rPr>
          <w:rFonts w:ascii="Times New Roman" w:cs="Times New Roman" w:eastAsia="Times New Roman" w:hAnsi="Times New Roman"/>
          <w:sz w:val="20"/>
          <w:szCs w:val="20"/>
          <w:color w:val="auto"/>
        </w:rPr>
        <w:t>proceedings, or other challenges to our patents or patent applications. Although many of our products do not have patent protection, we continue to take steps to defend our patents for certain of our products.</w:t>
      </w:r>
    </w:p>
    <w:p>
      <w:pPr>
        <w:spacing w:after="0" w:line="26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ability to pay dividends and/or stock price.</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also rely on trade secrets, unpatented proprietary know-how,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and/or stock price.</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reporting and payment obligations related to our participation in U.S. federal healthcare programs, including Medicare, Medicaid and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w:t>
      </w:r>
    </w:p>
    <w:p>
      <w:pPr>
        <w:sectPr>
          <w:pgSz w:w="11880" w:h="15480" w:orient="portrait"/>
          <w:cols w:equalWidth="0" w:num="1">
            <w:col w:w="9120"/>
          </w:cols>
          <w:pgMar w:left="1380" w:top="1322" w:right="1380" w:bottom="654"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120"/>
          </w:cols>
          <w:pgMar w:left="1380" w:top="1322" w:right="1380" w:bottom="654" w:gutter="0" w:footer="0" w:header="0"/>
          <w:type w:val="continuous"/>
        </w:sectPr>
      </w:pPr>
    </w:p>
    <w:bookmarkStart w:id="55" w:name="page56"/>
    <w:bookmarkEnd w:id="55"/>
    <w:p>
      <w:pPr>
        <w:jc w:val="both"/>
        <w:spacing w:after="0" w:line="247" w:lineRule="auto"/>
        <w:rPr>
          <w:sz w:val="20"/>
          <w:szCs w:val="20"/>
          <w:color w:val="auto"/>
        </w:rPr>
      </w:pPr>
      <w:r>
        <w:rPr>
          <w:rFonts w:ascii="Times New Roman" w:cs="Times New Roman" w:eastAsia="Times New Roman" w:hAnsi="Times New Roman"/>
          <w:sz w:val="20"/>
          <w:szCs w:val="20"/>
          <w:color w:val="auto"/>
        </w:rPr>
        <w:t>which may have implications for amounts previously estimated or paid. There can be no assurance that our submissions will not be found by Centers for Medicare &amp; Medicaid Services or the VA to be incomplete or incorrect. Any failure to comply with the above laws and regulations, and any such penalties or sanctions could have a material adverse effect on our business, financial condition, results of operations, cash flows, ability to pay dividends and/or stock price.</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are involved in various legal proceedings and certain government inquiries and may experience unfavorable outcomes of such proceedings or inquiries.</w:t>
      </w:r>
    </w:p>
    <w:p>
      <w:pPr>
        <w:spacing w:after="0" w:line="21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and claims involving Medicare, Medicaid and/or VA reimbursements, or laws relating to sales, marketing, and pricing practices. These proceedings may involve claims for, or the possibility of, fines and penalties involving substantial amounts of money or other relief, including but not limited to civil or criminal fines and penalties and exclusion from participation in various government healthcare-related programs.</w:t>
      </w:r>
    </w:p>
    <w:p>
      <w:pPr>
        <w:spacing w:after="0" w:line="21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is subject to investigations and extensive regulation by government agencies in the United States, China and other developed markets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so-called “pay for delay” patent settlements, large verdicts, settlements or government fines are possible, especially in the U.S. and EU. Additionally, some state legislatures have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spacing w:after="0" w:line="2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 If Pfizer were to dispute its retention of these matters, or if there is an adverse outcome in the matters that Pfizer has agreed to retain, this could have an adverse impact on Viatris. 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and/or stock price.</w:t>
      </w:r>
    </w:p>
    <w:p>
      <w:pPr>
        <w:spacing w:after="0" w:line="2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Emerging developments in the U.S. legal landscape relative to the liability of pharmaceutical manufacturers for certain product liabilities claims could increase our exposure to litigation costs and damages, including in connection with third party defense and indemnification demands. Moreover,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and/or stock price.</w:t>
      </w:r>
    </w:p>
    <w:p>
      <w:pPr>
        <w:spacing w:after="0" w:line="21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120"/>
          </w:cols>
          <w:pgMar w:left="1380" w:top="1322" w:right="1380" w:bottom="654" w:gutter="0" w:footer="0" w:header="0"/>
          <w:type w:val="continuous"/>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20"/>
          <w:szCs w:val="20"/>
          <w:color w:val="auto"/>
        </w:rPr>
        <w:t>full benefits of such indemnification, or that we will not experience an adverse result in a matter that is not indemnified, which could have a material adverse effect on our business, financial condition, results of operations, cash flows, ability to pay dividends and/or stock price.</w:t>
      </w:r>
    </w:p>
    <w:p>
      <w:pPr>
        <w:spacing w:after="0" w:line="20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Refer to Note 20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included in Part II, Item 8 in this Form 10-K for further discussion of certain proceedings and litigation matters.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IT and our systems and infrastructure face certain risks, including cybersecurity and data leakage risks.</w:t>
      </w:r>
    </w:p>
    <w:p>
      <w:pPr>
        <w:spacing w:after="0" w:line="20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Significant disruptions to our IT systems or breaches of information security could adversely affect our business. We are increasingly dependent on sophisticated IT systems and infrastructure to operate our business. The number of new vulnerabilities identified to these systems combined with the increased number of systems that reach end of life each year creates an opportunity for successful malicious attacks. Such attacks are increasingly sophisticated and are made by groups and individuals with a wide range of motives and expertise, including state and quasi-state actors, criminal groups, “hackers” and others. Evolving work conditions, including work from home protocols, may be less secure and have introduced operational risk, including increased cybersecurity risk. For example, groups and individuals have sought to exploit remote working environments to initiate hacking, phishing, and social engineering attempts and malware attacks.</w:t>
      </w:r>
    </w:p>
    <w:p>
      <w:pPr>
        <w:spacing w:after="0" w:line="20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and our suppliers, partners, customers and vendors have in the past and will likely continue to experience attacks on and compromises of our systems. Although we do not believe such incidents have had a significant impact on us to date, there is no guarantee that a future incident will be detected and remediated in a timely manner, or that it would not have a material adverse impact on our business, reputation, financial conditions, cash flows or results of operations. Any security breach or other disruption to our or our vendors’ IT infrastructure could also interfere with or disrupt our business operations, including our manufacturing, distribution, R&amp;D, sales and/or marketing activities. While we continue to invest in the monitoring, protection and resilience of our data security systems, there can be no assurances that our efforts will detect, prevent, or fully recover systems or data from all breakdowns, service interruptions, attacks and/or breaches.</w:t>
      </w:r>
    </w:p>
    <w:p>
      <w:pPr>
        <w:spacing w:after="0" w:line="20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outsource significant elements of our operations to third parties and provide IT and security services to some partners under transition services agreements. Some of these third parties are outside the U.S., including significant elements of our IT infrastructure, and as a result we are managing many independent vendor relationships with third parties who may or could have access to our confidential information. The overall increase in supply chain attacks on companies generally, and our interdependency on third party suppliers increases the potential for supply disruptions and service IT outages. In addition to our reliance upon third parties to provide IT and information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and costly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sectPr>
          <w:pgSz w:w="11880" w:h="15480" w:orient="portrait"/>
          <w:cols w:equalWidth="0" w:num="1">
            <w:col w:w="9120"/>
          </w:cols>
          <w:pgMar w:left="1380" w:top="1322" w:right="1380" w:bottom="654"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120"/>
          </w:cols>
          <w:pgMar w:left="1380" w:top="1322" w:right="1380" w:bottom="654" w:gutter="0" w:footer="0" w:header="0"/>
          <w:type w:val="continuous"/>
        </w:sectPr>
      </w:pPr>
    </w:p>
    <w:bookmarkStart w:id="57" w:name="page58"/>
    <w:bookmarkEnd w:id="57"/>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 breach of our or our vendors’ security measures or the accidental loss, inadvertent disclosure, unapproved dissemination, misappropriation or misuse of trade secrets, proprietary information, or other confidential information, whether as a result of theft, hacking, fraud, trickery, phishing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and/or stock price.</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Insurance may be insufficient or may not cover the financial, legal, business or reputational losses that may result from a breakdown, breach, cyber-attack or other compromise of or interruption to our IT systems or confidential and other sensitive information. We also cannot ensure that any limitation of liability or indemnity provisions in our contracts, including with vendors and service providers, for a security lapse or breach or other security incident would be enforceable or adequate or would otherwise protect us from any liabilities or damages with respect to any particular claim.</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spacing w:after="0" w:line="25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the U.S., federal laws include HIPAA, which governs the use, disclosure, and security of protected health information by HIPAA covered entities and business associates. Several U.S. states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Outside of the U.S., the EU’s and U.K.’s GDPR and local implementing regulations impose significant compliance obligations on our organization. The GDPR contains data protection requirements in the EU and U.K. and imposes a framework of obligations and restrictions governing the collection, processing, and the transmission of personal information to jurisdictions outside of the EU and U.K. The GDPR affords individuals with a series of privacy rights related to the collection, processing, and transmission of their personal information. The GDPR imposes significant compliance obligations, including required processes and policies governing our collection, transmission, processing and use of individuals personal information.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spacing w:after="0" w:line="25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Other countries in which we operate have, or are developing, laws and regulations governing the collection, use, securing and transmission of personal information as well that may affect our business or require us to adapt</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120"/>
          </w:cols>
          <w:pgMar w:left="1380" w:top="1322" w:right="1380" w:bottom="654" w:gutter="0" w:footer="0" w:header="0"/>
          <w:type w:val="continuous"/>
        </w:sectPr>
      </w:pPr>
    </w:p>
    <w:bookmarkStart w:id="58" w:name="page59"/>
    <w:bookmarkEnd w:id="58"/>
    <w:p>
      <w:pPr>
        <w:jc w:val="both"/>
        <w:spacing w:after="0" w:line="239" w:lineRule="auto"/>
        <w:rPr>
          <w:sz w:val="20"/>
          <w:szCs w:val="20"/>
          <w:color w:val="auto"/>
        </w:rPr>
      </w:pPr>
      <w:r>
        <w:rPr>
          <w:rFonts w:ascii="Times New Roman" w:cs="Times New Roman" w:eastAsia="Times New Roman" w:hAnsi="Times New Roman"/>
          <w:sz w:val="20"/>
          <w:szCs w:val="20"/>
          <w:color w:val="auto"/>
        </w:rPr>
        <w:t>our technologies or practices. If we, or the third-party vendors on which we rely, fail to comply with applicable laws and regulations we could be subject to fines, penalties or sanctions, including criminal penalties.</w:t>
      </w:r>
    </w:p>
    <w:p>
      <w:pPr>
        <w:spacing w:after="0" w:line="2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and/or stock price.</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Increasing scrutiny and evolving expectations from customers, regulators, governments, investors, lenders, employees, and other stakeholders with respect to our environmental, social and governance practices may impose additional costs on us or expose us to new or additional risks.</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Companies are facing increasing expectations and scrutiny from customers, regulators, governments, investors, lenders, employees and other stakeholders related to their environmental, social and governance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New government regulations could also result in new or more stringent forms of environmental, social and governance oversight, including increased greenhouse gas limitations, and the expansion of mandatory and voluntary reporting, diligence, and disclosure regarding environmental, social and governance matters. Failure to adapt to or comply with government regulations, regulatory requirements or investor or stakeholder expectations and standards could negatively impact our reputation, ability to do business with certain partners, access to investors and capital, and our stock price, and could lead to novel forms of litigation, including shareholder litigation and governmental investigations or enforcement actions related to environmental, social and governance matters.</w:t>
      </w:r>
    </w:p>
    <w:p>
      <w:pPr>
        <w:spacing w:after="0" w:line="21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 or cost prohibitive for us to comply with given the inherent complexity of our external supply chain and the global scope of our operations. In certain circumstances, in order to meet the requirements or standards of our customers, we may be obligated to implement additional processes, modify our sourcing practices or make other operational choices which may require additional investments of time and resources, increase our costs or result in inefficiencies. Alternatively, we may be ineligible to participate in bids or tenders in certain markets, which may result in lost sales and revenues or decrease patient access to medicine.</w:t>
      </w:r>
    </w:p>
    <w:p>
      <w:pPr>
        <w:spacing w:after="0" w:line="21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2022, we launched Viatris’ initial sustainability goals in the areas of access; diversity, equity &amp; inclusion; and the environment: climate change, water and waste. Achievement of these goals depends on our development and execution of various operational strategies relating to each discrete target. The development and execution of these strategies and achievements of our targets, including our near-term science based emissions reductions targets for scope 1, 2 and 3, are subject to risk and uncertainties, many of which are outside of our control. There are no assurances that we will be able to successfully develop or execute our environmental, social and governance strategies and achieve our environmental, social and governance targets.</w:t>
      </w:r>
    </w:p>
    <w:p>
      <w:pPr>
        <w:spacing w:after="0" w:line="21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employees relations, access to investors and capital, financial condition, results of operations, cash flows, ability to pay dividends and/or stock price.</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120"/>
          </w:cols>
          <w:pgMar w:left="1380" w:top="1322" w:right="1380" w:bottom="654"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operations are subject to risks related to climate change.</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our ability to operate in certain areas, as well as the infrastructure and facilities of hospitals, medical care facilities and other customers. Our programs to plan for and mitigate risk and build resilience to the impacts of climate change may not be successful, and the cost of implementing such programs may be significant.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carbon pricing, taxes on emissions, fuel and energy, or to mitigate the impacts of climate change may become more prevalent, which could increase our operating costs and the costs charged by suppliers. These events could have a material adverse effect on the way we operate our business, including the resiliency of our supply chain, our financial condition, results of operations, cash flows, ability to pay dividends and/or stock price.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Finance Risks</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There can be no guarantee that we will continue to pay dividends or repurchase shares under our stock buyback program.</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Although Viatris currently intends to continue to pay quarterly dividends to its stockholders,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although the Board of Directors has authorized a stock buyback program of up to $1 billion, which the Company began executing on in 2023, there is no guarantee with respect to the timing or amount of any future share repurchases, or that we will repurchase the full amount authorized under our current stock buyback program. Other factors, including changes in tax or securities laws, such as the U.S. Inflation Reduction Act of 2022 which imposes a corporate excise tax of 1% on net stock repurchases beginning in 2023, could also impact our stock repurchases. A stock buyback program could affect our stock price and increase volatility, and any announcement of a pause in, or termination of, a stock buyback program may result in a decrease in our stock price. Payment of a cash dividend or stock repurchases will reduce the amount of cash available to the Company for other activities, including repayment of debt, investment in the business or other capital expenditures. If we are unable to, or choose not to, pay a quarterly dividend or repurchase shares under our stock buyback program, this may have a negative impact on the perception of the Company as an investment opportunity by shareholders or investment analysts, which may in turn negatively impact our stock price.</w:t>
      </w:r>
    </w:p>
    <w:p>
      <w:pPr>
        <w:spacing w:after="0" w:line="2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the intercompany terms of cross border arrangements that we have among our subsidiaries are determined to be inappropriate or ineffective, our tax liability may increase.</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w:t>
      </w:r>
    </w:p>
    <w:p>
      <w:pPr>
        <w:sectPr>
          <w:pgSz w:w="11880" w:h="15480" w:orient="portrait"/>
          <w:cols w:equalWidth="0" w:num="1">
            <w:col w:w="9120"/>
          </w:cols>
          <w:pgMar w:left="1380" w:top="1312" w:right="1380" w:bottom="65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120"/>
          </w:cols>
          <w:pgMar w:left="1380" w:top="1312" w:right="1380" w:bottom="654" w:gutter="0" w:footer="0" w:header="0"/>
          <w:type w:val="continuous"/>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20"/>
          <w:szCs w:val="20"/>
          <w:color w:val="auto"/>
        </w:rPr>
        <w:t>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and/or stock price.</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competitive financial flexibility and our corporate tax rate which could adversely affect us and our shareholders.</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intercompany transactions, and divestitures.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For example, in 2022 the U.S. Inflation Reduction Act was signed into law which, among other things, provides for a corporate alternative minimum tax of 15% beginning in 2023 on adjusted financial statement income and an excise tax of 1% on corporate stock repurchases. Moreover, the rate of tax we pay in other jurisdictions may increase significantly should those jurisdictions follow through on statements that they will adopt the OECD Pillar Two Global Anti-Base Erosion rules. We are continuing to evaluate the impact of these laws, and other proposed changes in corporate tax laws, which may significantly increase our global tax liabilities. In addition, the tax laws of other jurisdictions could change in the future, and such changes could cause a material change in our effective tax rate.</w:t>
      </w:r>
    </w:p>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Any of the factors discussed above could materially increase our overall effective income tax rate, income tax expense and cash taxes paid and could have a material adverse effect on our business, financial condition, results of operations, cash flows, ability to pay dividends and/or stock price.</w:t>
      </w:r>
    </w:p>
    <w:p>
      <w:pPr>
        <w:spacing w:after="0" w:line="2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We are currently subject to tax audits, investigations and litigations in several jurisdictions, and may be subject to other audits, investigations or litigations in the future. The final determination of any tax audits or related litigation could be materially different from our income tax provisions and accruals.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income tax expense and cash taxes paid, which could have a material adverse effect on our business, financial condition, results of operations, cash flows, ability to pay dividends and/or stock price.</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Viatris may be subject to significant U.S. tax liabilities or be obligated to indemnify Pfizer for any such tax liability imposed on Pfizer in connection with the Combination.</w:t>
      </w:r>
    </w:p>
    <w:p>
      <w:pPr>
        <w:spacing w:after="0" w:line="25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 connection with the Combination, Pfizer received a private letter ruling and opinion of counsel, each to the effect that, for U.S. federal income tax purposes, the Distribution, together with certain related transactions, would qualify as a tax-free “reorganization” and the Distribution would qualify as a tax-free distribution. If the Distribution were determined not to have qualified for tax-free treatment, Pfizer would generally be subject to tax</w:t>
      </w:r>
    </w:p>
    <w:p>
      <w:pPr>
        <w:sectPr>
          <w:pgSz w:w="11880" w:h="15480" w:orient="portrait"/>
          <w:cols w:equalWidth="0" w:num="1">
            <w:col w:w="9120"/>
          </w:cols>
          <w:pgMar w:left="1380" w:top="1322" w:right="1380" w:bottom="65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120"/>
          </w:cols>
          <w:pgMar w:left="1380" w:top="1322" w:right="1380" w:bottom="654" w:gutter="0" w:footer="0" w:header="0"/>
          <w:type w:val="continuous"/>
        </w:sectPr>
      </w:pPr>
    </w:p>
    <w:bookmarkStart w:id="61" w:name="page62"/>
    <w:bookmarkEnd w:id="61"/>
    <w:p>
      <w:pPr>
        <w:jc w:val="both"/>
        <w:spacing w:after="0" w:line="247" w:lineRule="auto"/>
        <w:rPr>
          <w:sz w:val="20"/>
          <w:szCs w:val="20"/>
          <w:color w:val="auto"/>
        </w:rPr>
      </w:pPr>
      <w:r>
        <w:rPr>
          <w:rFonts w:ascii="Times New Roman" w:cs="Times New Roman" w:eastAsia="Times New Roman" w:hAnsi="Times New Roman"/>
          <w:sz w:val="20"/>
          <w:szCs w:val="20"/>
          <w:color w:val="auto"/>
        </w:rPr>
        <w:t>as if it sold the Viatris common stock in a transaction taxable to Pfizer, which could result in a material tax liability that, under certain circumstances, Viatris may be required to indemnify Pfizer against pursuant to the Tax Matters Agreement.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w:t>
      </w:r>
    </w:p>
    <w:p>
      <w:pPr>
        <w:spacing w:after="0" w:line="2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Currency fluctuations and changes in exchange rates have impacted and could continue to adversely affect our business, financial condition, results of operations, cash flows, ability to pay dividends and/or stock price.</w:t>
      </w:r>
    </w:p>
    <w:p>
      <w:pPr>
        <w:spacing w:after="0" w:line="28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British Pound Sterling, South African Rand and Brazilian Real. Our financial condition, results of operations and cash flows, have in the past been and may in the future be adversely affected by certain movements in currency exchange rates. Defaults or restructurings in other countries could have a similar adverse impact on our financial condition, results of operations and cash flows.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w:t>
      </w:r>
    </w:p>
    <w:p>
      <w:pPr>
        <w:spacing w:after="0" w:line="29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our foreign subsidiaries or businesses located in or conducted within a country imposing restrictions or controls. For example, in China the conversion of currency in the “capital account” (e.g., capital items such as direct investments or loans) requires the approval of, or registration or filing with, relevant governmental authorities in China, which could materially and adversely affect the ability of our Chinese operating subsidiaries and affiliated companies to obtain foreign currencies through equity or debt financing or for capital expenditures, therefore impeding our overall business operations in China. While we currently have no need, and do not intend, to repatriate or convert cash held in countries that have significant restrictions or controls in place, should we need to do so to fund our operations, we may be unable to repatriate or convert such cash, or be unable to do so without incurring substantial costs.</w:t>
      </w:r>
    </w:p>
    <w:p>
      <w:pPr>
        <w:spacing w:after="0" w:line="29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occurrence of any of the above risks could cause a material adverse effect on our business, financial condition, results of operations, cash flows, ability to pay dividends and/or stock price.</w:t>
      </w:r>
    </w:p>
    <w:p>
      <w:pPr>
        <w:spacing w:after="0" w:line="2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level of indebtedness could have important consequences, including but not limited to:</w:t>
      </w:r>
    </w:p>
    <w:p>
      <w:pPr>
        <w:spacing w:after="0" w:line="147" w:lineRule="exact"/>
        <w:rPr>
          <w:sz w:val="20"/>
          <w:szCs w:val="20"/>
          <w:color w:val="auto"/>
        </w:rPr>
      </w:pPr>
    </w:p>
    <w:p>
      <w:pPr>
        <w:ind w:left="800" w:hanging="300"/>
        <w:spacing w:after="0"/>
        <w:tabs>
          <w:tab w:leader="none" w:pos="8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general adverse economic and industry conditions;</w:t>
      </w:r>
    </w:p>
    <w:p>
      <w:pPr>
        <w:spacing w:after="0" w:line="157" w:lineRule="exact"/>
        <w:rPr>
          <w:rFonts w:ascii="Times New Roman" w:cs="Times New Roman" w:eastAsia="Times New Roman" w:hAnsi="Times New Roman"/>
          <w:sz w:val="20"/>
          <w:szCs w:val="20"/>
          <w:color w:val="auto"/>
        </w:rPr>
      </w:pPr>
    </w:p>
    <w:p>
      <w:pPr>
        <w:jc w:val="both"/>
        <w:ind w:left="800" w:hanging="300"/>
        <w:spacing w:after="0" w:line="246" w:lineRule="auto"/>
        <w:tabs>
          <w:tab w:leader="none" w:pos="8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us to dedicate a substantial portion of our cash flow from operations to make debt service payments, or repay debt as it matures, thereby reducing the availability of cash flow to fund working capital, capital expenditures, acquisitions and investments, dividend payments and other general corporate purposes;</w:t>
      </w:r>
    </w:p>
    <w:p>
      <w:pPr>
        <w:sectPr>
          <w:pgSz w:w="11880" w:h="15480" w:orient="portrait"/>
          <w:cols w:equalWidth="0" w:num="1">
            <w:col w:w="9120"/>
          </w:cols>
          <w:pgMar w:left="1380" w:top="1322" w:right="1380" w:bottom="654"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120"/>
          </w:cols>
          <w:pgMar w:left="1380" w:top="1322" w:right="1380" w:bottom="654" w:gutter="0" w:footer="0" w:header="0"/>
          <w:type w:val="continuous"/>
        </w:sectPr>
      </w:pPr>
    </w:p>
    <w:bookmarkStart w:id="62" w:name="page63"/>
    <w:bookmarkEnd w:id="62"/>
    <w:p>
      <w:pPr>
        <w:ind w:left="800" w:hanging="300"/>
        <w:spacing w:after="0" w:line="239" w:lineRule="auto"/>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in planning for, or reacting to, challenges and opportunities, and changes in our businesses and the markets in which we operate;</w:t>
      </w:r>
    </w:p>
    <w:p>
      <w:pPr>
        <w:spacing w:after="0" w:line="126"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 to fund our working capital, capital expenditures, acquisitions and debt service requirements and other financing needs;</w:t>
      </w:r>
    </w:p>
    <w:p>
      <w:pPr>
        <w:spacing w:after="0" w:line="126"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increases in interest rates in general related to any of our indebtedness that bears interest at floating rates or when refinancing maturing debt at higher rates;</w:t>
      </w:r>
    </w:p>
    <w:p>
      <w:pPr>
        <w:spacing w:after="0" w:line="126"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exposure to currency fluctuations, since a significant portion of our indebtedness is denominated in currencies other than the U.S. dollar, such as our Euro and Japanese yen denominated debt; and</w:t>
      </w:r>
    </w:p>
    <w:p>
      <w:pPr>
        <w:spacing w:after="0" w:line="11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us at a competitive disadvantage to our competitors that have less debt.</w:t>
      </w:r>
    </w:p>
    <w:p>
      <w:pPr>
        <w:spacing w:after="0" w:line="23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ability to service our indebtedness will depend on our future operating performance and financial results, which will be subject, in part, to factors beyond our control, including interest rates, general economic, financial and business conditions and the impacts of the COVID-19 pandemic.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spacing w:after="0" w:line="22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Although Viatris expects to maintain an investment grade credit rating, a downgrade in the credit rating of Viatris or any indebtedness of Viatris or its subsidiaries could increase the cost of further borrowings or refinancings of such indebtedness, limit access to sources of financing in the future or lead to other adverse consequences.</w:t>
      </w:r>
    </w:p>
    <w:p>
      <w:pPr>
        <w:spacing w:after="0" w:line="22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and/or stock price.</w:t>
      </w:r>
    </w:p>
    <w:p>
      <w:pPr>
        <w:spacing w:after="0" w:line="2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and/or stock price.</w:t>
      </w:r>
    </w:p>
    <w:p>
      <w:pPr>
        <w:spacing w:after="0" w:line="2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22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consolidated and condensed consolidated financial statements included in the periodic reports we file with the SEC are prepared in accordance with U.S. GAAP. The preparation of financial statements in accordance</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120"/>
          </w:cols>
          <w:pgMar w:left="1380" w:top="1322" w:right="1380" w:bottom="654" w:gutter="0" w:footer="0" w:header="0"/>
          <w:type w:val="continuous"/>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20"/>
          <w:szCs w:val="20"/>
          <w:color w:val="auto"/>
        </w:rPr>
        <w:t>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and/or stock price.</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must maintain adequate internal controls and be able to provide an assertion as to the effectiveness of such controls on an annual basis.</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In 2022, we completed the transition of certain support services from Pfizer, as well as certain subsidiaries, to a new ERP system. While we believe that this new system and the related changes to internal controls will ultimately strengthen our internal control over financial reporting, there are inherent risks in implementing any new ERP system.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and/or stock price.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Viatris has suffered and in the future could suffer additional losses due to impairment charges.</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has significant amounts of goodwill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“Goodwill and Other Intangible Assets.”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with finite lives for impairment whenever events or changes in circumstances indicate the carrying amount of an asset may not be recoverable. This assessment of the recoverability of intangible assets could result in an impairment and a non-cash charge could be required. In addition, we have announced plans to market for sale certain businesses and assets that we no longer consider to be core to our future business strategy. We have incurred and may in the future incur significant impairment charges or losses related to the sale of those businesses or assets. For instance, in 2022 we recorded approximately $370 million of charges related to the Upjohn Distributor Markets classified as held for sale. Such impairments or losses have in the past and could in the future materially affect Viatris’ reported net earnings, business, financial condition, results of operations, cash flows, ability to pay dividends and/or stock price.</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120"/>
          </w:cols>
          <w:pgMar w:left="1380" w:top="1322" w:right="1380" w:bottom="654" w:gutter="0" w:footer="0" w:header="0"/>
          <w:type w:val="continuous"/>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Viatris may be adversely affected by disruptions in the credit markets, including disruptions that reduce customers’ access to credit and increase the costs to customers of obtaining credit.</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Further, Viatris had approximately $305 million of floating rate debt as of December 31, 2022. A one percentage point increase in the average interest rate of this debt would increase the combined interest expense by approximately $3.1 million per year. Accordingly, a spike in interest rates could adversely affect our results of operations and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Viatris has certain material obligations relating to defined benefit pension and termination benefit programs.</w:t>
      </w: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Viatris has certain material pension and post-employment benefit obligations associated with acquired businesses in both the U.S. and foreign countries. Our obligations under these plans are significant and future funding obligations are subject to increased interest rates on asset and liability calculations. Each of these liabilities and the related future payment obligations could restrict cash available for Viatris’ operations, capital expenditures, acquisitions, dividend payments and other requirements, and may materially affect Viatris’ financial condition and liquidity.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Risks</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has been and may continue to be volatile, and the value of your investment could materially decline.</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Investors who hold shares of Viatris common stock may not be able to sell their shares at or above the price at which they acquired them. The price of Viatris’ common stock has in the past and may continue to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Viatris) and may be instituted against us in the future. Such litigation may result in substantial costs and diversion of management’s attention and resources, which could have a material adverse effect on our business, financial condition, results of operations, cash flows, ability to pay dividends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expansion of social media platforms presents new risks and challenges.</w:t>
      </w:r>
    </w:p>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w:t>
      </w:r>
    </w:p>
    <w:p>
      <w:pPr>
        <w:sectPr>
          <w:pgSz w:w="11880" w:h="15480" w:orient="portrait"/>
          <w:cols w:equalWidth="0" w:num="1">
            <w:col w:w="9120"/>
          </w:cols>
          <w:pgMar w:left="1380" w:top="1316"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120"/>
          </w:cols>
          <w:pgMar w:left="1380" w:top="1316" w:right="1380" w:bottom="654" w:gutter="0" w:footer="0" w:header="0"/>
          <w:type w:val="continuous"/>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20"/>
          <w:szCs w:val="20"/>
          <w:color w:val="auto"/>
        </w:rPr>
        <w:t>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stock price.</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Provisions in the Viatris Charter and Viatris Bylaws and of applicable law may prevent or delay an acquisition of Viatris, which could decrease the trading price of Viatris common stock.</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the division of the Viatris Board into three classes of directors until the 2023 annual meeting of Viatris stockholders, which could have the effect of making the replacement of incumbent directors more time-consuming and difficult, rules regarding how stockholders may present proposals or nominate directors for election at stockholder meetings and the right of the Viatris Board to issue preferred stock without stockholder approval. Delaware law also imposes some restrictions on mergers and other business combinations between Viatris and any holder of 15% or more of Viatris’ outstanding common stock.</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and/or stock price.</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Viatris Charter designates the Court of Chancery of the State of Delaware, or, if such court lacks subject matter jurisdiction, another state court of the State of Delaware (or, if no state court located within the State of Delaware has jurisdiction, the federal district court for the District of Delaware), as the sole and exclusive forum for certain types of actions and proceedings that may be initiated by Viatris’ stockholders, which could discourage lawsuits against Viatris and its directors and officers.</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w:t>
      </w:r>
    </w:p>
    <w:p>
      <w:pPr>
        <w:sectPr>
          <w:pgSz w:w="11880" w:h="15480" w:orient="portrait"/>
          <w:cols w:equalWidth="0" w:num="1">
            <w:col w:w="9120"/>
          </w:cols>
          <w:pgMar w:left="1380" w:top="1322" w:right="1380" w:bottom="65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120"/>
          </w:cols>
          <w:pgMar w:left="1380" w:top="1322" w:right="1380" w:bottom="654" w:gutter="0" w:footer="0" w:header="0"/>
          <w:type w:val="continuous"/>
        </w:sectPr>
      </w:pPr>
    </w:p>
    <w:bookmarkStart w:id="66" w:name="page67"/>
    <w:bookmarkEnd w:id="66"/>
    <w:p>
      <w:pPr>
        <w:jc w:val="both"/>
        <w:spacing w:after="0" w:line="245" w:lineRule="auto"/>
        <w:rPr>
          <w:sz w:val="20"/>
          <w:szCs w:val="20"/>
          <w:color w:val="auto"/>
        </w:rPr>
      </w:pPr>
      <w:r>
        <w:rPr>
          <w:rFonts w:ascii="Times New Roman" w:cs="Times New Roman" w:eastAsia="Times New Roman" w:hAnsi="Times New Roman"/>
          <w:sz w:val="20"/>
          <w:szCs w:val="20"/>
          <w:color w:val="auto"/>
        </w:rPr>
        <w:t>any of its directors, officers or other employees governed by the internal affairs doctrine or any action or proceeding as to which the DGCL (as it may be amended from time to time) confers jurisdiction on the Court of Chancery of the State of Delaware.</w:t>
      </w:r>
    </w:p>
    <w:p>
      <w:pPr>
        <w:spacing w:after="0" w:line="2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To the fullest extent permitted by law, this exclusive forum provision will apply to state and federal law claims, including claims under the federal securities laws, including the Securities Act and the Exchange Act. However, Viatris stockholders will not be deemed to have waived Viatris’ compliance with the federal securities laws and the rules 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Viatris Charter to be inapplicable or unenforceable.</w:t>
      </w:r>
    </w:p>
    <w:p>
      <w:pPr>
        <w:spacing w:after="0" w:line="2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This exclusive forum provision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this exclusive forum provision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and/or stock price.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spacing w:after="0" w:line="23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recent years, shareholder actions, government regulations and disclosure requirements, and other market dynamics, involving corporate governance, environmental and social matters, human capital, strategic direction and operations have become increasingly prevalent. Shareholder challenges or more extensive government regulation or intervention in these areas, may create a significant distraction or burden for our management and employees,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3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information regarding properties, refer to Item 1 “Business” in Part I of this Form 10-K.</w:t>
      </w:r>
    </w:p>
    <w:p>
      <w:pPr>
        <w:spacing w:after="0" w:line="3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For information regarding legal proceedings, refer to Note 20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included in Item 8 in Part II of this 10-K.</w:t>
      </w:r>
    </w:p>
    <w:p>
      <w:pPr>
        <w:spacing w:after="0" w:line="3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20"/>
          </w:cols>
          <w:pgMar w:left="1380" w:top="1322" w:right="1380" w:bottom="654"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120"/>
          </w:cols>
          <w:pgMar w:left="1380" w:top="1322" w:right="1380" w:bottom="654"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2" w:lineRule="exact"/>
        <w:rPr>
          <w:sz w:val="20"/>
          <w:szCs w:val="20"/>
          <w:color w:val="auto"/>
        </w:rPr>
      </w:pPr>
    </w:p>
    <w:p>
      <w:pPr>
        <w:ind w:left="900" w:right="60" w:hanging="899"/>
        <w:spacing w:after="0" w:line="248" w:lineRule="auto"/>
        <w:tabs>
          <w:tab w:leader="none" w:pos="88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common stock is traded on the NASDAQ Stock Market under the symbol “VTRS”.</w:t>
      </w:r>
    </w:p>
    <w:p>
      <w:pPr>
        <w:spacing w:after="0" w:line="26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As of February 21, 2023, there were approximately 108,736 holders of record of shares of Viatris common stock.</w:t>
      </w:r>
    </w:p>
    <w:p>
      <w:pPr>
        <w:spacing w:after="0" w:line="26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paid quarterly dividends of $0.12 per share on the Company’s issued and outstanding common stock on March 16, 2022, June 16, 2022, September 16, 2022 and December 16, 2022. On February 24, 2023, the Company’s Board of Directors declared a quarterly cash dividend of $0.12 per share on the Company’s issued and outstanding common stock, which will be payable on March 17, 2023 to shareholders of record as of the close of business on March 9,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paid quarterly cash dividends of $0.11 per share on the Company’s issued and outstanding common stock on June 16, 2021, September 16, 2021 and December 16, 2021. The Company did not pay any dividends in 2020.</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120"/>
          </w:cols>
          <w:pgMar w:left="1380" w:top="1312" w:right="1380" w:bottom="654"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2022.</w:t>
      </w: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COMPARISON OF 26 MONTH CUMULATIVE TOTAL RETURN*</w:t>
      </w:r>
    </w:p>
    <w:p>
      <w:pPr>
        <w:jc w:val="center"/>
        <w:ind w:right="-259"/>
        <w:spacing w:after="0"/>
        <w:rPr>
          <w:sz w:val="20"/>
          <w:szCs w:val="20"/>
          <w:color w:val="auto"/>
        </w:rPr>
      </w:pPr>
      <w:r>
        <w:rPr>
          <w:rFonts w:ascii="Times New Roman" w:cs="Times New Roman" w:eastAsia="Times New Roman" w:hAnsi="Times New Roman"/>
          <w:sz w:val="20"/>
          <w:szCs w:val="20"/>
          <w:color w:val="auto"/>
        </w:rPr>
        <w:t>Among Viatris Inc., the S&amp;P 500 Index</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and the Dow Jones US Pharmaceuticals Index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w w:val="93"/>
              </w:rPr>
              <w:t>$180</w:t>
            </w:r>
          </w:p>
        </w:tc>
        <w:tc>
          <w:tcPr>
            <w:tcW w:w="25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w w:val="93"/>
              </w:rPr>
              <w:t>$160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w w:val="93"/>
              </w:rPr>
              <w:t>$140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w w:val="93"/>
              </w:rPr>
              <w:t>$120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w w:val="93"/>
              </w:rPr>
              <w:t>$100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rPr>
              <w:t>$80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rPr>
              <w:t>$60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rPr>
              <w:t>$40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rPr>
              <w:t>$20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8"/>
        </w:trPr>
        <w:tc>
          <w:tcPr>
            <w:tcW w:w="1760" w:type="dxa"/>
            <w:vAlign w:val="bottom"/>
          </w:tcPr>
          <w:p>
            <w:pPr>
              <w:jc w:val="right"/>
              <w:ind w:right="1358"/>
              <w:spacing w:after="0"/>
              <w:rPr>
                <w:sz w:val="20"/>
                <w:szCs w:val="20"/>
                <w:color w:val="auto"/>
              </w:rPr>
            </w:pPr>
            <w:r>
              <w:rPr>
                <w:rFonts w:ascii="Times New Roman" w:cs="Times New Roman" w:eastAsia="Times New Roman" w:hAnsi="Times New Roman"/>
                <w:sz w:val="16"/>
                <w:szCs w:val="16"/>
                <w:color w:val="auto"/>
              </w:rPr>
              <w:t>$0</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4"/>
        </w:trPr>
        <w:tc>
          <w:tcPr>
            <w:tcW w:w="176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11/16/20</w:t>
            </w:r>
          </w:p>
        </w:tc>
        <w:tc>
          <w:tcPr>
            <w:tcW w:w="2560" w:type="dxa"/>
            <w:vAlign w:val="bottom"/>
          </w:tcPr>
          <w:p>
            <w:pPr>
              <w:jc w:val="right"/>
              <w:ind w:right="918"/>
              <w:spacing w:after="0"/>
              <w:rPr>
                <w:sz w:val="20"/>
                <w:szCs w:val="20"/>
                <w:color w:val="auto"/>
              </w:rPr>
            </w:pPr>
            <w:r>
              <w:rPr>
                <w:rFonts w:ascii="Times New Roman" w:cs="Times New Roman" w:eastAsia="Times New Roman" w:hAnsi="Times New Roman"/>
                <w:sz w:val="16"/>
                <w:szCs w:val="16"/>
                <w:color w:val="auto"/>
              </w:rPr>
              <w:t>12/31/20</w:t>
            </w:r>
          </w:p>
        </w:tc>
        <w:tc>
          <w:tcPr>
            <w:tcW w:w="2560" w:type="dxa"/>
            <w:vAlign w:val="bottom"/>
          </w:tcPr>
          <w:p>
            <w:pPr>
              <w:jc w:val="right"/>
              <w:ind w:right="918"/>
              <w:spacing w:after="0"/>
              <w:rPr>
                <w:sz w:val="20"/>
                <w:szCs w:val="20"/>
                <w:color w:val="auto"/>
              </w:rPr>
            </w:pPr>
            <w:r>
              <w:rPr>
                <w:rFonts w:ascii="Times New Roman" w:cs="Times New Roman" w:eastAsia="Times New Roman" w:hAnsi="Times New Roman"/>
                <w:sz w:val="16"/>
                <w:szCs w:val="16"/>
                <w:color w:val="auto"/>
              </w:rPr>
              <w:t>12/31/21</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-2646680</wp:posOffset>
            </wp:positionV>
            <wp:extent cx="4981575" cy="2458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extLst>
                    </a:blip>
                    <a:srcRect/>
                    <a:stretch>
                      <a:fillRect/>
                    </a:stretch>
                  </pic:blipFill>
                  <pic:spPr bwMode="auto">
                    <a:xfrm>
                      <a:off x="0" y="0"/>
                      <a:ext cx="4981575" cy="2458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spacing w:after="0"/>
        <w:tabs>
          <w:tab w:leader="none" w:pos="3720" w:val="left"/>
          <w:tab w:leader="none" w:pos="5960" w:val="left"/>
        </w:tabs>
        <w:rPr>
          <w:sz w:val="20"/>
          <w:szCs w:val="20"/>
          <w:color w:val="auto"/>
        </w:rPr>
      </w:pPr>
      <w:r>
        <w:rPr>
          <w:rFonts w:ascii="Times New Roman" w:cs="Times New Roman" w:eastAsia="Times New Roman" w:hAnsi="Times New Roman"/>
          <w:sz w:val="18"/>
          <w:szCs w:val="18"/>
          <w:color w:val="auto"/>
        </w:rPr>
        <w:t>Viatris Inc.</w:t>
      </w:r>
      <w:r>
        <w:rPr>
          <w:sz w:val="20"/>
          <w:szCs w:val="20"/>
          <w:color w:val="auto"/>
        </w:rPr>
        <w:tab/>
      </w:r>
      <w:r>
        <w:rPr>
          <w:rFonts w:ascii="Times New Roman" w:cs="Times New Roman" w:eastAsia="Times New Roman" w:hAnsi="Times New Roman"/>
          <w:sz w:val="18"/>
          <w:szCs w:val="18"/>
          <w:color w:val="auto"/>
        </w:rPr>
        <w:t>S&amp;P 500</w:t>
      </w:r>
      <w:r>
        <w:rPr>
          <w:sz w:val="20"/>
          <w:szCs w:val="20"/>
          <w:color w:val="auto"/>
        </w:rPr>
        <w:tab/>
      </w:r>
      <w:r>
        <w:rPr>
          <w:rFonts w:ascii="Times New Roman" w:cs="Times New Roman" w:eastAsia="Times New Roman" w:hAnsi="Times New Roman"/>
          <w:sz w:val="18"/>
          <w:szCs w:val="18"/>
          <w:color w:val="auto"/>
        </w:rPr>
        <w:t>Dow Jones US Pharmaceuticals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450215</wp:posOffset>
                </wp:positionH>
                <wp:positionV relativeFrom="paragraph">
                  <wp:posOffset>-59055</wp:posOffset>
                </wp:positionV>
                <wp:extent cx="2921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5pt,-4.6499pt" to="58.45pt,-4.6499pt" o:allowincell="f" strokecolor="#000000" strokeweight="2pt"/>
            </w:pict>
          </mc:Fallback>
        </mc:AlternateContent>
        <mc:AlternateContent>
          <mc:Choice Requires="wps">
            <w:drawing>
              <wp:anchor simplePos="0" relativeHeight="251657728" behindDoc="1" locked="0" layoutInCell="0" allowOverlap="1">
                <wp:simplePos x="0" y="0"/>
                <wp:positionH relativeFrom="column">
                  <wp:posOffset>2014855</wp:posOffset>
                </wp:positionH>
                <wp:positionV relativeFrom="paragraph">
                  <wp:posOffset>-59055</wp:posOffset>
                </wp:positionV>
                <wp:extent cx="2921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25400">
                          <a:solidFill>
                            <a:srgbClr val="666666"/>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65pt,-4.6499pt" to="181.65pt,-4.6499pt" o:allowincell="f" strokecolor="#666666" strokeweight="2pt"/>
            </w:pict>
          </mc:Fallback>
        </mc:AlternateContent>
        <mc:AlternateContent>
          <mc:Choice Requires="wps">
            <w:drawing>
              <wp:anchor simplePos="0" relativeHeight="251657728" behindDoc="1" locked="0" layoutInCell="0" allowOverlap="1">
                <wp:simplePos x="0" y="0"/>
                <wp:positionH relativeFrom="column">
                  <wp:posOffset>3451225</wp:posOffset>
                </wp:positionH>
                <wp:positionV relativeFrom="paragraph">
                  <wp:posOffset>-59055</wp:posOffset>
                </wp:positionV>
                <wp:extent cx="2921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25400">
                          <a:solidFill>
                            <a:srgbClr val="B3B3B3"/>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75pt,-4.6499pt" to="294.75pt,-4.6499pt" o:allowincell="f" strokecolor="#B3B3B3" strokeweight="2pt"/>
            </w:pict>
          </mc:Fallback>
        </mc:AlternateContent>
      </w:r>
    </w:p>
    <w:p>
      <w:pPr>
        <w:spacing w:after="0" w:line="284" w:lineRule="exact"/>
        <w:rPr>
          <w:sz w:val="20"/>
          <w:szCs w:val="20"/>
          <w:color w:val="auto"/>
        </w:rPr>
      </w:pPr>
    </w:p>
    <w:p>
      <w:pPr>
        <w:ind w:left="800" w:hanging="400"/>
        <w:spacing w:after="0" w:line="208" w:lineRule="auto"/>
        <w:tabs>
          <w:tab w:leader="none" w:pos="800"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$100 invested on November 16, 2020 in stock or October 31, 2020 in index, including reinvestment of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November 16,</w:t>
            </w:r>
          </w:p>
        </w:tc>
        <w:tc>
          <w:tcPr>
            <w:tcW w:w="20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2"/>
        </w:trPr>
        <w:tc>
          <w:tcPr>
            <w:tcW w:w="478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1140" w:type="dxa"/>
            <w:vAlign w:val="bottom"/>
            <w:gridSpan w:val="2"/>
          </w:tcPr>
          <w:p>
            <w:pPr>
              <w:jc w:val="center"/>
              <w:ind w:left="85"/>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11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1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4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Viatris Inc. . . . . . . . . . . . . . . . . . . . . . . . . . . . . . . . . . . . .</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w w:val="98"/>
              </w:rPr>
              <w:t>118.20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87.32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74.84</w:t>
            </w:r>
          </w:p>
        </w:tc>
      </w:tr>
      <w:tr>
        <w:trPr>
          <w:trHeight w:val="24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S&amp;P 500 . . . . . . . . . . . . . . . . . . . . . . . . . . . . . . . . . . . . . .</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w w:val="98"/>
              </w:rPr>
              <w:t>115.21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148.28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121.43</w:t>
            </w:r>
          </w:p>
        </w:tc>
      </w:tr>
      <w:tr>
        <w:trPr>
          <w:trHeight w:val="24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Dow Jones U.S. Pharmaceuticals . . . . . . . . . . . . . . . . . . .</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w w:val="98"/>
              </w:rPr>
              <w:t>113.12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141.38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152.44</w:t>
            </w: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120"/>
          </w:cols>
          <w:pgMar w:left="1380" w:top="1312" w:right="1380" w:bottom="654" w:gutter="0" w:footer="0" w:header="0"/>
          <w:type w:val="continuous"/>
        </w:sectPr>
      </w:pPr>
    </w:p>
    <w:bookmarkStart w:id="69" w:name="page70"/>
    <w:bookmarkEnd w:id="69"/>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3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w:t>
      </w:r>
    </w:p>
    <w:p>
      <w:pPr>
        <w:spacing w:after="0" w:line="21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This discussion and analysis should be read in conjunction with the consolidated financial statements and the related notes to consolidated financial statements included in Part II, Item 8 in this Form 10-K, and our other SEC filings and public disclosures.</w:t>
      </w:r>
    </w:p>
    <w:p>
      <w:pPr>
        <w:spacing w:after="0" w:line="21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23" w:lineRule="exact"/>
        <w:rPr>
          <w:sz w:val="20"/>
          <w:szCs w:val="20"/>
          <w:color w:val="auto"/>
        </w:rPr>
      </w:pPr>
    </w:p>
    <w:p>
      <w:pPr>
        <w:ind w:left="800" w:hanging="300"/>
        <w:spacing w:after="0" w:line="23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the Company may be unable to realize the intended benefits of, or achieve the intended goals or outlooks with respect to, its strategic initiatives;</w:t>
      </w:r>
    </w:p>
    <w:p>
      <w:pPr>
        <w:spacing w:after="0" w:line="122"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the Company may be unable to achieve expected benefits, synergies and operating efficiencies in connection with acquisitions, divestitures, or its global restructuring program, within the expected timeframe or at all;</w:t>
      </w:r>
    </w:p>
    <w:p>
      <w:pPr>
        <w:spacing w:after="0" w:line="10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or other losses related to the divestiture or sale of businesses or assets;</w:t>
      </w:r>
    </w:p>
    <w:p>
      <w:pPr>
        <w:spacing w:after="0" w:line="121"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failure to achieve expected or targeted future financial and operating performance and results;</w:t>
      </w:r>
    </w:p>
    <w:p>
      <w:pPr>
        <w:spacing w:after="0" w:line="122"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public health outbreaks, epidemics and pandemics, including the ongoing challenges and uncertainties posed by the COVID-19 pandemic;</w:t>
      </w:r>
    </w:p>
    <w:p>
      <w:pPr>
        <w:spacing w:after="0" w:line="112"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and decisions of healthcare and pharmaceutical regulators;</w:t>
      </w:r>
    </w:p>
    <w:p>
      <w:pPr>
        <w:spacing w:after="0" w:line="121"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relevant laws and regulations, including but not limited to changes in tax, healthcare and pharmaceutical laws and regulations globally (including the impact of recent and potential tax reform in the U.S.);</w:t>
      </w:r>
    </w:p>
    <w:p>
      <w:pPr>
        <w:spacing w:after="0" w:line="10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attract and retain key personnel;</w:t>
      </w:r>
    </w:p>
    <w:p>
      <w:pPr>
        <w:spacing w:after="0" w:line="11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liquidity, capital resources and ability to obtain financing;</w:t>
      </w:r>
    </w:p>
    <w:p>
      <w:pPr>
        <w:spacing w:after="0" w:line="121"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regulatory, legal or other impediments to the Company’s ability to bring new products to market, including but not limited to “at-risk launches”;</w:t>
      </w:r>
    </w:p>
    <w:p>
      <w:pPr>
        <w:spacing w:after="0" w:line="122"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of clinical trials and the Company’s or its partners’ ability to execute on new product opportunities and develop, manufacture and commercialize products;</w:t>
      </w:r>
    </w:p>
    <w:p>
      <w:pPr>
        <w:sectPr>
          <w:pgSz w:w="11880" w:h="15480" w:orient="portrait"/>
          <w:cols w:equalWidth="0" w:num="1">
            <w:col w:w="9120"/>
          </w:cols>
          <w:pgMar w:left="1380" w:top="1312" w:right="1380" w:bottom="654"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120"/>
          </w:cols>
          <w:pgMar w:left="1380" w:top="1312" w:right="1380" w:bottom="654" w:gutter="0" w:footer="0" w:header="0"/>
          <w:type w:val="continuous"/>
        </w:sectPr>
      </w:pPr>
    </w:p>
    <w:bookmarkStart w:id="70" w:name="page71"/>
    <w:bookmarkEnd w:id="70"/>
    <w:p>
      <w:pPr>
        <w:jc w:val="both"/>
        <w:ind w:left="800" w:hanging="300"/>
        <w:spacing w:after="0" w:line="245"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140"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timing and outcome of any ongoing legal proceedings, including government inquiries or investigations, and the impact of any such proceedings on the Company;</w:t>
      </w:r>
    </w:p>
    <w:p>
      <w:pPr>
        <w:spacing w:after="0" w:line="146"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breach of data security or data privacy or disruptions to our information technology systems;</w:t>
      </w:r>
    </w:p>
    <w:p>
      <w:pPr>
        <w:spacing w:after="0" w:line="13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having significant operations globally;</w:t>
      </w:r>
    </w:p>
    <w:p>
      <w:pPr>
        <w:spacing w:after="0" w:line="13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protect intellectual property and preserve intellectual property rights;</w:t>
      </w:r>
    </w:p>
    <w:p>
      <w:pPr>
        <w:spacing w:after="0" w:line="13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third-party relationships;</w:t>
      </w:r>
    </w:p>
    <w:p>
      <w:pPr>
        <w:spacing w:after="0" w:line="145"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spacing w:after="0" w:line="140"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impacts of competition, including decreases in sales or revenues as a result of the loss of market exclusivity for certain products;</w:t>
      </w:r>
    </w:p>
    <w:p>
      <w:pPr>
        <w:spacing w:after="0" w:line="13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economic and financial conditions of the Company or its partners;</w:t>
      </w:r>
    </w:p>
    <w:p>
      <w:pPr>
        <w:spacing w:after="0" w:line="13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regarding future demand, pricing and reimbursement for the Company’s products;</w:t>
      </w:r>
    </w:p>
    <w:p>
      <w:pPr>
        <w:spacing w:after="0" w:line="145"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and matters beyond the control of management, including but not limited to general political and economic conditions, inflation rates and global exchange rates; and</w:t>
      </w:r>
    </w:p>
    <w:p>
      <w:pPr>
        <w:spacing w:after="0" w:line="146"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6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4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Mylan is considered the accounting acquirer of the Upjohn Business and all historical financial information of the Company prior to November 16, 2020 represents Mylan’s historical results and the Company’s thereafter.</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ectPr>
          <w:pgSz w:w="11880" w:h="15480" w:orient="portrait"/>
          <w:cols w:equalWidth="0" w:num="1">
            <w:col w:w="9120"/>
          </w:cols>
          <w:pgMar w:left="1380" w:top="1322" w:right="1380" w:bottom="65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120"/>
          </w:cols>
          <w:pgMar w:left="1380" w:top="1322" w:right="1380" w:bottom="654" w:gutter="0" w:footer="0" w:header="0"/>
          <w:type w:val="continuous"/>
        </w:sectPr>
      </w:pPr>
    </w:p>
    <w:bookmarkStart w:id="71" w:name="page72"/>
    <w:bookmarkEnd w:id="71"/>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seasoned management team is focused on ensuring that the Company is optimally structured and efficiently resourced to deliver sustainable value to patients, shareholders, customers and other key stakeholders. With a global workforce of approximately 37,000,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25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Certain Market and Industry Factors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25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25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25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w:t>
      </w:r>
    </w:p>
    <w:p>
      <w:pPr>
        <w:sectPr>
          <w:pgSz w:w="11880" w:h="15480" w:orient="portrait"/>
          <w:cols w:equalWidth="0" w:num="1">
            <w:col w:w="9120"/>
          </w:cols>
          <w:pgMar w:left="1380" w:top="1322" w:right="1380" w:bottom="65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120"/>
          </w:cols>
          <w:pgMar w:left="1380" w:top="1322" w:right="1380" w:bottom="654" w:gutter="0" w:footer="0" w:header="0"/>
          <w:type w:val="continuous"/>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20"/>
          <w:szCs w:val="20"/>
          <w:color w:val="auto"/>
        </w:rPr>
        <w:t>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Recent Developments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Ophthalmology Acquisitions</w:t>
      </w:r>
    </w:p>
    <w:p>
      <w:pPr>
        <w:spacing w:after="0" w:line="13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During the first quarter of 2023, the Company completed the acquisition of Oyster Point for approximately $425 million in cash, which includes $11 per share paid to Oyster Point stockholders through a tender offer and the repayment of the principal amount of certain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which are expected to be determined by the end of the first quarter of 2023. Oyster Point is a commercial-stage biopharmaceutical company focused on the discovery, development, and commercialization of first-in-class pharmaceutical therapies to treat ophthalmic diseases.</w:t>
      </w:r>
    </w:p>
    <w:p>
      <w:pPr>
        <w:spacing w:after="0" w:line="2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transaction to acquire the remaining equity shares of Famy Life Sciences closed during the first quarter of 2023.</w:t>
      </w:r>
    </w:p>
    <w:p>
      <w:pPr>
        <w:spacing w:after="0" w:line="24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The accounting impact of the Oyster Point and Famy Life Sciences acquisitions and the results of the operations for Oyster Point and Famy Life Sciences will be included in our consolidated financial statements beginning in the first quarter of 2023. Refer to Note 4 </w:t>
      </w:r>
      <w:r>
        <w:rPr>
          <w:rFonts w:ascii="Times New Roman" w:cs="Times New Roman" w:eastAsia="Times New Roman" w:hAnsi="Times New Roman"/>
          <w:sz w:val="20"/>
          <w:szCs w:val="20"/>
          <w:i w:val="1"/>
          <w:iCs w:val="1"/>
          <w:color w:val="auto"/>
        </w:rPr>
        <w:t>Acquisitions and Other Transactions</w:t>
      </w:r>
      <w:r>
        <w:rPr>
          <w:rFonts w:ascii="Times New Roman" w:cs="Times New Roman" w:eastAsia="Times New Roman" w:hAnsi="Times New Roman"/>
          <w:sz w:val="20"/>
          <w:szCs w:val="20"/>
          <w:color w:val="auto"/>
        </w:rPr>
        <w:t xml:space="preserve"> included in Part II. Item 8 of this Form 10-K for more information.</w:t>
      </w: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Share Repurchase Program</w:t>
      </w:r>
    </w:p>
    <w:p>
      <w:pPr>
        <w:spacing w:after="0" w:line="13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2022, the Company did not repurchase any shares of common stock under the share repurchase program. In January and February 2023, the Company repurchased approximately 21.2 million shares of common stock at a cost of approximately $250 million. The share repurchase program does not obligate the Company to acquire any particular amount of common stock.</w:t>
      </w:r>
    </w:p>
    <w:p>
      <w:pPr>
        <w:spacing w:after="0" w:line="3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International Operations</w:t>
      </w:r>
    </w:p>
    <w:p>
      <w:pPr>
        <w:spacing w:after="0" w:line="13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ongoing conflict between Russia and Ukraine did not have a material impact on our business as the combined total revenues for both countries were approximately 1% of consolidated total revenues during the years ended December 31, 2022 and 2021.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w:t>
      </w:r>
    </w:p>
    <w:p>
      <w:pPr>
        <w:sectPr>
          <w:pgSz w:w="11880" w:h="15480" w:orient="portrait"/>
          <w:cols w:equalWidth="0" w:num="1">
            <w:col w:w="9120"/>
          </w:cols>
          <w:pgMar w:left="1380" w:top="1322" w:right="1380" w:bottom="65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120"/>
          </w:cols>
          <w:pgMar w:left="1380" w:top="1322" w:right="1380" w:bottom="654" w:gutter="0" w:footer="0" w:header="0"/>
          <w:type w:val="continuous"/>
        </w:sectPr>
      </w:pPr>
    </w:p>
    <w:bookmarkStart w:id="73" w:name="page74"/>
    <w:bookmarkEnd w:id="73"/>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expansion of the conflict’s current scope may have a negative impact on our operations and financial results in future periods. For a further discussion of the risks we encounter in our business, including the risks of conducting our business internationally, please refer to </w:t>
      </w:r>
      <w:r>
        <w:rPr>
          <w:rFonts w:ascii="Times New Roman" w:cs="Times New Roman" w:eastAsia="Times New Roman" w:hAnsi="Times New Roman"/>
          <w:sz w:val="20"/>
          <w:szCs w:val="20"/>
          <w:i w:val="1"/>
          <w:iCs w:val="1"/>
          <w:color w:val="auto"/>
        </w:rPr>
        <w:t>Risk Factors in</w:t>
      </w:r>
      <w:r>
        <w:rPr>
          <w:rFonts w:ascii="Times New Roman" w:cs="Times New Roman" w:eastAsia="Times New Roman" w:hAnsi="Times New Roman"/>
          <w:sz w:val="20"/>
          <w:szCs w:val="20"/>
          <w:color w:val="auto"/>
        </w:rPr>
        <w:t xml:space="preserve"> Part I, Item 1A of this Form 10-K.</w:t>
      </w:r>
    </w:p>
    <w:p>
      <w:pPr>
        <w:spacing w:after="0" w:line="25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ASC 830, Foreign Currency Matters (“ASC 830”), a highly inflationary economy is one that has cumulative inflation of approximately 100% or more over a three-year period.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year ended December 31, 2022. The impacted net sales for the year ended December 31, 2022 and total assets at December 31, 2022 represented less than 1% of our consolidated net sales and total assets, respectively.</w:t>
      </w: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Biocon Biologics Transaction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February 27, 2022, Viatris entered into a definitive agreement with Biocon Biologics to contribute its biosimilars portfolio to Biocon Biologics. The transaction subsequently closed on November 29, 2022, creating what Viatris expects to be a unique fully vertically integrated global biosimilars leader.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Upon closing of the transaction, the Company recognized a gain on sale of approximately $1.75 billion and has not recognized the results of the business in its consolidated financial statements subsequent to November 29, 2022.</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2020 Restructuring Program</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120"/>
          </w:cols>
          <w:pgMar w:left="1380" w:top="1322" w:right="1380" w:bottom="654" w:gutter="0" w:footer="0" w:header="0"/>
          <w:type w:val="continuous"/>
        </w:sectPr>
      </w:pPr>
    </w:p>
    <w:bookmarkStart w:id="74" w:name="page75"/>
    <w:bookmarkEnd w:id="74"/>
    <w:p>
      <w:pPr>
        <w:ind w:left="400"/>
        <w:spacing w:after="0"/>
        <w:rPr>
          <w:sz w:val="20"/>
          <w:szCs w:val="20"/>
          <w:color w:val="auto"/>
        </w:rPr>
      </w:pPr>
      <w:r>
        <w:rPr>
          <w:rFonts w:ascii="Times New Roman" w:cs="Times New Roman" w:eastAsia="Times New Roman" w:hAnsi="Times New Roman"/>
          <w:sz w:val="20"/>
          <w:szCs w:val="20"/>
          <w:i w:val="1"/>
          <w:iCs w:val="1"/>
          <w:color w:val="auto"/>
        </w:rPr>
        <w:t>Impact of the Coronavirus Pandemic</w:t>
      </w:r>
    </w:p>
    <w:p>
      <w:pPr>
        <w:spacing w:after="0" w:line="116"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 In addressing the COVID-19 pandemic and helping meet urgent global health needs, tens of thousands of dedicated Viatris employees across the world have worked to help ensure a stable supply of much needed treatments.</w:t>
      </w:r>
    </w:p>
    <w:p>
      <w:pPr>
        <w:spacing w:after="0" w:line="208"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Because protecting the health and safety of our workforce remains paramount, we continue to align with government directives and the advice of relevant international, national and local health authorities at every Viatris facility around the world. As a result, some of our customer facing field personnel continue on a remote engagement model to ensure continued support for healthcare professionals, patient care and access to needed products and we have continued to take extra precautions at our manufacturing facilities to protect our site personnel and operations. All of our manufacturing facilities, and those of our key global partners, are currently operational and, at this time, we are not experiencing any significant disruptions.</w:t>
      </w:r>
    </w:p>
    <w:p>
      <w:pPr>
        <w:spacing w:after="0" w:line="208"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The global spread of COVID-19 has created and continues to create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financial condition and results of operations in future periods. Due to the Company’s ability to generate significant cash flows from operations, combined with our access to borrowing facilities and capital markets, we believe that we currently have, and will maintain, the ability to meet foreseeable liquidity needs.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Summary</w:t>
      </w:r>
    </w:p>
    <w:p>
      <w:pPr>
        <w:spacing w:after="0" w:line="116"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The table below is a summary of the Company’s financial results for the year ended December 31, 2022 compared to the prior year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 share amounts)</w:t>
            </w:r>
          </w:p>
        </w:tc>
        <w:tc>
          <w:tcPr>
            <w:tcW w:w="10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26"/>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16,262.7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17,886.3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(1,623.6)</w:t>
            </w: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5,575.5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921.5</w:t>
            </w:r>
          </w:p>
        </w:tc>
        <w:tc>
          <w:tcPr>
            <w:tcW w:w="60" w:type="dxa"/>
            <w:vAlign w:val="bottom"/>
          </w:tcPr>
          <w:p>
            <w:pPr>
              <w:spacing w:after="0"/>
              <w:rPr>
                <w:sz w:val="20"/>
                <w:szCs w:val="20"/>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Earnings (loss) from operations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1,648.9</w:t>
            </w:r>
          </w:p>
        </w:tc>
        <w:tc>
          <w:tcPr>
            <w:tcW w:w="60" w:type="dxa"/>
            <w:vAlign w:val="bottom"/>
          </w:tcPr>
          <w:p>
            <w:pPr>
              <w:spacing w:after="0"/>
              <w:rPr>
                <w:sz w:val="20"/>
                <w:szCs w:val="20"/>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Net earnings (loss)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(1,269.1)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3,347.7</w:t>
            </w:r>
          </w:p>
        </w:tc>
        <w:tc>
          <w:tcPr>
            <w:tcW w:w="60" w:type="dxa"/>
            <w:vAlign w:val="bottom"/>
          </w:tcPr>
          <w:p>
            <w:pPr>
              <w:spacing w:after="0"/>
              <w:rPr>
                <w:sz w:val="20"/>
                <w:szCs w:val="20"/>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(loss) per share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0"/>
                <w:szCs w:val="20"/>
                <w:color w:val="auto"/>
              </w:rPr>
            </w:pPr>
          </w:p>
        </w:tc>
      </w:tr>
    </w:tbl>
    <w:p>
      <w:pPr>
        <w:spacing w:after="0" w:line="212" w:lineRule="exact"/>
        <w:rPr>
          <w:sz w:val="20"/>
          <w:szCs w:val="20"/>
          <w:color w:val="auto"/>
        </w:rPr>
      </w:pPr>
    </w:p>
    <w:p>
      <w:pPr>
        <w:jc w:val="both"/>
        <w:ind w:right="60" w:firstLine="400"/>
        <w:spacing w:after="0" w:line="249" w:lineRule="auto"/>
        <w:rPr>
          <w:sz w:val="20"/>
          <w:szCs w:val="20"/>
          <w:color w:val="auto"/>
        </w:rPr>
      </w:pPr>
      <w:r>
        <w:rPr>
          <w:rFonts w:ascii="Times New Roman" w:cs="Times New Roman" w:eastAsia="Times New Roman" w:hAnsi="Times New Roman"/>
          <w:sz w:val="20"/>
          <w:szCs w:val="20"/>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205" w:lineRule="exact"/>
        <w:rPr>
          <w:sz w:val="20"/>
          <w:szCs w:val="20"/>
          <w:color w:val="auto"/>
        </w:rPr>
      </w:pPr>
    </w:p>
    <w:p>
      <w:pPr>
        <w:jc w:val="both"/>
        <w:ind w:right="60" w:firstLine="400"/>
        <w:spacing w:after="0" w:line="246" w:lineRule="auto"/>
        <w:rPr>
          <w:sz w:val="20"/>
          <w:szCs w:val="20"/>
          <w:color w:val="auto"/>
        </w:rPr>
      </w:pPr>
      <w:r>
        <w:rPr>
          <w:rFonts w:ascii="Times New Roman" w:cs="Times New Roman" w:eastAsia="Times New Roman" w:hAnsi="Times New Roman"/>
          <w:sz w:val="20"/>
          <w:szCs w:val="20"/>
          <w:color w:val="auto"/>
        </w:rPr>
        <w:t xml:space="preserve">More information about non-GAAP measures used by the Company as part of this discussion, including adjusted cost of sales, adjusted gross margins, adjusted net earnings, and adjusted EBITDA (all of which are defined below) are discussed further in this Part II. Item 7 under </w:t>
      </w:r>
      <w:r>
        <w:rPr>
          <w:rFonts w:ascii="Times New Roman" w:cs="Times New Roman" w:eastAsia="Times New Roman" w:hAnsi="Times New Roman"/>
          <w:sz w:val="20"/>
          <w:szCs w:val="20"/>
          <w:i w:val="1"/>
          <w:iCs w:val="1"/>
          <w:color w:val="auto"/>
        </w:rPr>
        <w:t>Results of Operations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Results of Operations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Use of Non-GAAP Financial Measures</w:t>
      </w:r>
      <w:r>
        <w:rPr>
          <w:rFonts w:ascii="Times New Roman" w:cs="Times New Roman" w:eastAsia="Times New Roman" w:hAnsi="Times New Roman"/>
          <w:sz w:val="20"/>
          <w:szCs w:val="20"/>
          <w:color w:val="auto"/>
        </w:rPr>
        <w:t>.</w:t>
      </w:r>
    </w:p>
    <w:p>
      <w:pPr>
        <w:sectPr>
          <w:pgSz w:w="11880" w:h="15480" w:orient="portrait"/>
          <w:cols w:equalWidth="0" w:num="1">
            <w:col w:w="9180"/>
          </w:cols>
          <w:pgMar w:left="1380" w:top="1312" w:right="1320" w:bottom="654" w:gutter="0" w:footer="0" w:header="0"/>
        </w:sect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180"/>
          </w:cols>
          <w:pgMar w:left="1380" w:top="1312" w:right="1320" w:bottom="654"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Compared to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40" w:type="dxa"/>
            <w:vAlign w:val="bottom"/>
            <w:gridSpan w:val="7"/>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2"/>
        </w:trPr>
        <w:tc>
          <w:tcPr>
            <w:tcW w:w="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tcPr>
          <w:p>
            <w:pPr>
              <w:jc w:val="center"/>
              <w:ind w:left="103"/>
              <w:spacing w:after="0" w:line="17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9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03"/>
              <w:spacing w:after="0" w:line="160"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2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160"/>
        </w:trPr>
        <w:tc>
          <w:tcPr>
            <w:tcW w:w="9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3"/>
                <w:szCs w:val="13"/>
                <w:color w:val="auto"/>
              </w:rPr>
            </w:pPr>
          </w:p>
        </w:tc>
        <w:tc>
          <w:tcPr>
            <w:tcW w:w="7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r>
      <w:tr>
        <w:trPr>
          <w:trHeight w:val="208"/>
        </w:trPr>
        <w:tc>
          <w:tcPr>
            <w:tcW w:w="3600" w:type="dxa"/>
            <w:vAlign w:val="bottom"/>
            <w:gridSpan w:val="2"/>
          </w:tcPr>
          <w:p>
            <w:pPr>
              <w:jc w:val="right"/>
              <w:ind w:right="204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 except %s)</w:t>
            </w:r>
          </w:p>
        </w:tc>
        <w:tc>
          <w:tcPr>
            <w:tcW w:w="100" w:type="dxa"/>
            <w:vAlign w:val="bottom"/>
          </w:tcPr>
          <w:p>
            <w:pPr>
              <w:spacing w:after="0"/>
              <w:rPr>
                <w:sz w:val="18"/>
                <w:szCs w:val="18"/>
                <w:color w:val="auto"/>
              </w:rPr>
            </w:pPr>
          </w:p>
        </w:tc>
        <w:tc>
          <w:tcPr>
            <w:tcW w:w="700" w:type="dxa"/>
            <w:vAlign w:val="bottom"/>
          </w:tcPr>
          <w:p>
            <w:pPr>
              <w:jc w:val="right"/>
              <w:ind w:right="14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7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b w:val="1"/>
                <w:bCs w:val="1"/>
                <w:color w:val="auto"/>
                <w:w w:val="96"/>
              </w:rPr>
              <w:t xml:space="preserve">Impact </w:t>
            </w:r>
            <w:r>
              <w:rPr>
                <w:rFonts w:ascii="Times New Roman" w:cs="Times New Roman" w:eastAsia="Times New Roman" w:hAnsi="Times New Roman"/>
                <w:sz w:val="20"/>
                <w:szCs w:val="20"/>
                <w:b w:val="1"/>
                <w:bCs w:val="1"/>
                <w:color w:val="auto"/>
                <w:w w:val="96"/>
                <w:vertAlign w:val="superscript"/>
              </w:rPr>
              <w:t>(1)</w:t>
            </w:r>
          </w:p>
        </w:tc>
        <w:tc>
          <w:tcPr>
            <w:tcW w:w="200" w:type="dxa"/>
            <w:vAlign w:val="bottom"/>
          </w:tcPr>
          <w:p>
            <w:pPr>
              <w:spacing w:after="0"/>
              <w:rPr>
                <w:sz w:val="18"/>
                <w:szCs w:val="18"/>
                <w:color w:val="auto"/>
              </w:rPr>
            </w:pPr>
          </w:p>
        </w:tc>
        <w:tc>
          <w:tcPr>
            <w:tcW w:w="8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880" w:type="dxa"/>
            <w:vAlign w:val="bottom"/>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5"/>
              </w:rPr>
              <w:t xml:space="preserve">% Change </w:t>
            </w:r>
            <w:r>
              <w:rPr>
                <w:rFonts w:ascii="Times New Roman" w:cs="Times New Roman" w:eastAsia="Times New Roman" w:hAnsi="Times New Roman"/>
                <w:sz w:val="20"/>
                <w:szCs w:val="20"/>
                <w:b w:val="1"/>
                <w:bCs w:val="1"/>
                <w:color w:val="auto"/>
                <w:w w:val="95"/>
                <w:vertAlign w:val="superscript"/>
              </w:rPr>
              <w:t>(2)</w:t>
            </w:r>
          </w:p>
        </w:tc>
      </w:tr>
      <w:tr>
        <w:trPr>
          <w:trHeight w:val="282"/>
        </w:trPr>
        <w:tc>
          <w:tcPr>
            <w:tcW w:w="3600" w:type="dxa"/>
            <w:vAlign w:val="bottom"/>
            <w:gridSpan w:val="2"/>
          </w:tcPr>
          <w:p>
            <w:pPr>
              <w:jc w:val="right"/>
              <w:ind w:right="2680"/>
              <w:spacing w:after="0"/>
              <w:rPr>
                <w:sz w:val="20"/>
                <w:szCs w:val="20"/>
                <w:color w:val="auto"/>
              </w:rPr>
            </w:pPr>
            <w:r>
              <w:rPr>
                <w:rFonts w:ascii="Times New Roman" w:cs="Times New Roman" w:eastAsia="Times New Roman" w:hAnsi="Times New Roman"/>
                <w:sz w:val="20"/>
                <w:szCs w:val="20"/>
                <w:color w:val="auto"/>
              </w:rPr>
              <w:t>Net sales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40"/>
        </w:trPr>
        <w:tc>
          <w:tcPr>
            <w:tcW w:w="3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Developed Markets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$10,435.5</w:t>
            </w:r>
          </w:p>
        </w:tc>
        <w:tc>
          <w:tcPr>
            <w:tcW w:w="200" w:type="dxa"/>
            <w:vAlign w:val="bottom"/>
          </w:tcPr>
          <w:p>
            <w:pPr>
              <w:spacing w:after="0"/>
              <w:rPr>
                <w:sz w:val="20"/>
                <w:szCs w:val="20"/>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Greater China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2,212.8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2,275.1</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3%</w:t>
            </w: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JANZ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2,027.4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1,863.2</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(8)%</w:t>
            </w:r>
          </w:p>
        </w:tc>
      </w:tr>
      <w:tr>
        <w:trPr>
          <w:trHeight w:val="240"/>
        </w:trPr>
        <w:tc>
          <w:tcPr>
            <w:tcW w:w="3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Emerging Markets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3,144.7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2,880.2</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(8)%</w:t>
            </w:r>
          </w:p>
        </w:tc>
      </w:tr>
      <w:tr>
        <w:trPr>
          <w:trHeight w:val="28"/>
        </w:trPr>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gridSpan w:val="2"/>
          </w:tcPr>
          <w:p>
            <w:pPr>
              <w:spacing w:after="0"/>
              <w:rPr>
                <w:sz w:val="2"/>
                <w:szCs w:val="2"/>
                <w:color w:val="auto"/>
              </w:rPr>
            </w:pPr>
          </w:p>
        </w:tc>
      </w:tr>
      <w:tr>
        <w:trPr>
          <w:trHeight w:val="272"/>
        </w:trPr>
        <w:tc>
          <w:tcPr>
            <w:tcW w:w="3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net sales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16,218.1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17,813.6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1,235.9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17,454.0</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(2)%</w:t>
            </w:r>
          </w:p>
        </w:tc>
      </w:tr>
      <w:tr>
        <w:trPr>
          <w:trHeight w:val="268"/>
        </w:trPr>
        <w:tc>
          <w:tcPr>
            <w:tcW w:w="3600" w:type="dxa"/>
            <w:vAlign w:val="bottom"/>
            <w:gridSpan w:val="2"/>
          </w:tcPr>
          <w:p>
            <w:pPr>
              <w:jc w:val="right"/>
              <w:ind w:right="200"/>
              <w:spacing w:after="0" w:line="268" w:lineRule="exact"/>
              <w:rPr>
                <w:sz w:val="20"/>
                <w:szCs w:val="20"/>
                <w:color w:val="auto"/>
              </w:rPr>
            </w:pPr>
            <w:r>
              <w:rPr>
                <w:rFonts w:ascii="Times New Roman" w:cs="Times New Roman" w:eastAsia="Times New Roman" w:hAnsi="Times New Roman"/>
                <w:sz w:val="20"/>
                <w:szCs w:val="20"/>
                <w:color w:val="auto"/>
              </w:rPr>
              <w:t xml:space="preserve">Other revenues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w:t>
            </w: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00" w:type="dxa"/>
            <w:vAlign w:val="bottom"/>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0" w:type="dxa"/>
            <w:vAlign w:val="bottom"/>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(35)%</w:t>
            </w:r>
          </w:p>
        </w:tc>
      </w:tr>
      <w:tr>
        <w:trPr>
          <w:trHeight w:val="300"/>
        </w:trPr>
        <w:tc>
          <w:tcPr>
            <w:tcW w:w="3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 xml:space="preserve">Consolidated total revenues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0"/>
                <w:szCs w:val="20"/>
                <w:color w:val="auto"/>
              </w:rPr>
              <w:t xml:space="preserve">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16,262.7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$17,886.3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1,238.8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$17,501.5</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rPr>
              <w:t>(2)%</w:t>
            </w:r>
          </w:p>
        </w:tc>
      </w:tr>
      <w:tr>
        <w:trPr>
          <w:trHeight w:val="20"/>
        </w:trPr>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ind w:left="400" w:hanging="400"/>
        <w:spacing w:after="0" w:line="226" w:lineRule="auto"/>
        <w:tabs>
          <w:tab w:leader="none" w:pos="40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Currency impact is shown as unfavorable (favorable).</w:t>
      </w:r>
    </w:p>
    <w:p>
      <w:pPr>
        <w:spacing w:after="0" w:line="142" w:lineRule="exact"/>
        <w:rPr>
          <w:rFonts w:ascii="Times New Roman" w:cs="Times New Roman" w:eastAsia="Times New Roman" w:hAnsi="Times New Roman"/>
          <w:sz w:val="26"/>
          <w:szCs w:val="26"/>
          <w:color w:val="auto"/>
          <w:vertAlign w:val="superscript"/>
        </w:rPr>
      </w:pPr>
    </w:p>
    <w:p>
      <w:pPr>
        <w:jc w:val="both"/>
        <w:ind w:left="400" w:hanging="400"/>
        <w:spacing w:after="0" w:line="221" w:lineRule="auto"/>
        <w:tabs>
          <w:tab w:leader="none" w:pos="40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143" w:lineRule="exact"/>
        <w:rPr>
          <w:rFonts w:ascii="Times New Roman" w:cs="Times New Roman" w:eastAsia="Times New Roman" w:hAnsi="Times New Roman"/>
          <w:sz w:val="26"/>
          <w:szCs w:val="26"/>
          <w:color w:val="auto"/>
          <w:vertAlign w:val="superscript"/>
        </w:rPr>
      </w:pPr>
    </w:p>
    <w:p>
      <w:pPr>
        <w:ind w:left="400" w:hanging="400"/>
        <w:spacing w:after="0" w:line="208" w:lineRule="auto"/>
        <w:tabs>
          <w:tab w:leader="none" w:pos="40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2022, other revenues in Developed Markets, JANZ, and Emerging Markets were approximately $21.8 million, $1.4 million, and $21.4 million, respectively.</w:t>
      </w:r>
    </w:p>
    <w:p>
      <w:pPr>
        <w:spacing w:after="0" w:line="64" w:lineRule="exact"/>
        <w:rPr>
          <w:rFonts w:ascii="Times New Roman" w:cs="Times New Roman" w:eastAsia="Times New Roman" w:hAnsi="Times New Roman"/>
          <w:sz w:val="26"/>
          <w:szCs w:val="26"/>
          <w:color w:val="auto"/>
          <w:vertAlign w:val="superscript"/>
        </w:rPr>
      </w:pPr>
    </w:p>
    <w:p>
      <w:pPr>
        <w:ind w:left="400" w:hanging="400"/>
        <w:spacing w:after="0"/>
        <w:tabs>
          <w:tab w:leader="none" w:pos="40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exclude intersegment revenue which eliminates on a consolidated basis.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Revenues</w:t>
      </w:r>
    </w:p>
    <w:p>
      <w:pPr>
        <w:spacing w:after="0" w:line="14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2022, the Company reported total revenues of $16.26 billion, compared to $17.89 billion for the comparable prior year period, representing a decrease of $1.62 billion, or 9%. Total revenues include both net sales and other revenues from third parties. Net sales for the year ended December 31, 2022 were $16.22 billion, compared to $17.81 billion for the comparable prior year period, representing a decrease of $1.60 billion, or 9%. Other revenues for the year ended December 31, 2022 were $44.6 million, compared to $72.7 million for the comparable prior year period, a decrease of $28.1 million.</w:t>
      </w:r>
    </w:p>
    <w:p>
      <w:pPr>
        <w:spacing w:after="0" w:line="2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decrease in net sales was primarily driven by the unfavorable impact of foreign currency translation of approximately $1.24 billion, or 7%, primarily reflecting changes in the U.S. Dollar as compared to the currencies of subsidiaries in countries within the EU, Japan and India. On a constant currency basis, the decrease in net sales was approximately $359.6 million, or 2% for the year ended December 31, 2022 compared to the prior year period. This decrease was partially due to approximately $63.5 million related to the year over year impact of the sale of the biosimilars business on November 29, 2022. The decrease was also due to competition on certain key U.S. products representing a decline of approximately $188 million, and approximately $591 million as a result of other base business erosion. The decrease in net sales from existing products was partially offset by approximately $483.1 million of new product sales, primarily in the U.S. New product sales include new products launched in 2022 and the carryover impact of new products, including business development, launched within the last twelve months.</w:t>
      </w:r>
    </w:p>
    <w:p>
      <w:pPr>
        <w:spacing w:after="0" w:line="26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33% for the years ended December 31, 2022 and 2021.</w:t>
      </w:r>
    </w:p>
    <w:p>
      <w:pPr>
        <w:sectPr>
          <w:pgSz w:w="11880" w:h="15480" w:orient="portrait"/>
          <w:cols w:equalWidth="0" w:num="1">
            <w:col w:w="9120"/>
          </w:cols>
          <w:pgMar w:left="1380" w:top="1312" w:right="1380" w:bottom="65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120"/>
          </w:cols>
          <w:pgMar w:left="1380" w:top="1312" w:right="1380" w:bottom="654" w:gutter="0" w:footer="0" w:header="0"/>
          <w:type w:val="continuous"/>
        </w:sectPr>
      </w:pPr>
    </w:p>
    <w:bookmarkStart w:id="76" w:name="page77"/>
    <w:bookmarkEnd w:id="76"/>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Net sales are derived from our four reporting segments: Developed Markets, Greater China, JANZ and Emerging Markets.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Developed Markets Segment</w:t>
      </w:r>
    </w:p>
    <w:p>
      <w:pPr>
        <w:spacing w:after="0" w:line="140" w:lineRule="exact"/>
        <w:rPr>
          <w:sz w:val="20"/>
          <w:szCs w:val="20"/>
          <w:color w:val="auto"/>
        </w:rPr>
      </w:pPr>
    </w:p>
    <w:p>
      <w:pPr>
        <w:jc w:val="both"/>
        <w:ind w:firstLine="400"/>
        <w:spacing w:after="0" w:line="224" w:lineRule="auto"/>
        <w:rPr>
          <w:sz w:val="20"/>
          <w:szCs w:val="20"/>
          <w:color w:val="auto"/>
        </w:rPr>
      </w:pPr>
      <w:r>
        <w:rPr>
          <w:rFonts w:ascii="Times New Roman" w:cs="Times New Roman" w:eastAsia="Times New Roman" w:hAnsi="Times New Roman"/>
          <w:sz w:val="20"/>
          <w:szCs w:val="20"/>
          <w:color w:val="auto"/>
        </w:rPr>
        <w:t>Net sales from Developed Markets decreased by $659.8 million or 6% during the year ended December 31, 2022 when compared to the prior year. This decrease was primarily the result of unfavorable impact of foreign currency translation of approximately $666.6 million, or 6%. Constant currency net sales increased by approximately $6.8 million, or less than 1%, when compared to the prior year. Net sales within North America totaled approximately $4.34 billion and net sales within Europe totaled approximately $5.43 billion. The increase in constant currency net sales was driven by new product sales, including lenalidomide, unbranded insulin glargine and Semglee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and cyclosporine ophthalmic emulsion in the U.S., and higher volumes of existing products in Europe. This increase was partially offset by the year over year impact of the sale of the biosimilars business, and lower net sales of existing products in the U.S., including Miacalcin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Wixela Inhub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and Perforomist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as a result of lower pricing and, to a lesser extent, volumes due to additional competition.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Greater China Segment</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Net sales from Greater China decreased by $11.6 million, or less than 1%, for the year ended December 31, 2022 when compared to the prior year. This decrease was primarily the result of the unfavorable impact of foreign currency translation of approximately $73.8 million, or 3%. Constant currency net sales increased by approximately $62.2 million, or 3%, when compared to the prior year, driven primarily by increased volumes of existing products.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JANZ Segment</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Net sales from JANZ decreased by $395.0 million or 19% for the year ended December 31, 2022 when compared to the prior year. This decrease was primarily the result of the unfavorable impact of foreign currency translation of approximately $230.8 million, or 11%. Constant currency net sales decreased by approximately $164.2 million, or 8%, when compared to the prior year. The decrease was primarily due to lower net sales of existing products mainly driven by lower pricing in Japan as a result of government price reductions and additional competition, and lower volumes of existing products in Australia. These decreases were partially offset by higher volumes of existing products in Japan, including for Celebrex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Emerging Markets Segment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Net sales from Emerging Markets decreased by $529.1 million or 17% for the year ended December 31, 2022 when compared to the prior year. This decrease was partially driven by the unfavorable impact of foreign currency translation of approximately $264.7 million, or 8%. Constant currency net sales decreased by approximately $264.4 million, or 8%, when compared to the prior year. This decrease was primarily driven by lower volumes of COVID-19 related products in India, primarily remdesivir and ambisome, and lower sales of ARV products as a result of competitive market conditions. These decreases were partially offset by higher volumes in certain markets in Asia.</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 and Gross Profit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Cost of sales decreased from $12.31 billion for the year ended December 31, 2021 to $9.77 billion for the year ended December 31, 2022. Cost of sales was primarily impacted by purchase accounting related amortization of the step-up in the fair value of acquired inventory of $1.19 billion in the prior year period, lower restructuring costs in the current year related to the 2020 restructuring program versus the prior year period, and lower costs associated with other special items, which are described further in the section titled </w:t>
      </w:r>
      <w:r>
        <w:rPr>
          <w:rFonts w:ascii="Times New Roman" w:cs="Times New Roman" w:eastAsia="Times New Roman" w:hAnsi="Times New Roman"/>
          <w:sz w:val="20"/>
          <w:szCs w:val="20"/>
          <w:i w:val="1"/>
          <w:iCs w:val="1"/>
          <w:color w:val="auto"/>
        </w:rPr>
        <w:t>Use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w:t>
      </w:r>
    </w:p>
    <w:p>
      <w:pPr>
        <w:sectPr>
          <w:pgSz w:w="11880" w:h="15480" w:orient="portrait"/>
          <w:cols w:equalWidth="0" w:num="1">
            <w:col w:w="9120"/>
          </w:cols>
          <w:pgMar w:left="1380" w:top="1322" w:right="1380" w:bottom="65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120"/>
          </w:cols>
          <w:pgMar w:left="1380" w:top="1322" w:right="1380" w:bottom="654" w:gutter="0" w:footer="0" w:header="0"/>
          <w:type w:val="continuous"/>
        </w:sectPr>
      </w:pPr>
    </w:p>
    <w:bookmarkStart w:id="77" w:name="page78"/>
    <w:bookmarkEnd w:id="77"/>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Gross profit for the year ended December 31, 2022 was $6.50 billion and gross margins were 40%. For the year ended December 31, 2021, gross profit was $5.58 billion and gross margins were 31%. This change is primarily related to the decrease in cost of sales. Adjusted gross margins were approximately 59% for the year ended December 31, 2022, essentially flat when compared to the year ended December 31, 2021.</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 reconciliation between cost of sales, as reported under U.S. GAAP, and adjusted cost of sales and adjusted gross margin for the year ended December 31, 2022 compared to the year ended December 31,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4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%s)</w:t>
            </w:r>
          </w:p>
        </w:tc>
        <w:tc>
          <w:tcPr>
            <w:tcW w:w="9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U.S. GAAP cost of sales</w:t>
            </w: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08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$ 9,765.7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7"/>
              </w:rPr>
              <w:t>12,310.8</w:t>
            </w:r>
          </w:p>
        </w:tc>
        <w:tc>
          <w:tcPr>
            <w:tcW w:w="0" w:type="dxa"/>
            <w:vAlign w:val="bottom"/>
          </w:tcPr>
          <w:p>
            <w:pPr>
              <w:spacing w:after="0"/>
              <w:rPr>
                <w:sz w:val="1"/>
                <w:szCs w:val="1"/>
                <w:color w:val="auto"/>
              </w:rPr>
            </w:pPr>
          </w:p>
        </w:tc>
      </w:tr>
      <w:tr>
        <w:trPr>
          <w:trHeight w:val="24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Deduct:</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Purchase accounting amortization and other related items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(4,039.7)</w:t>
            </w:r>
          </w:p>
        </w:tc>
        <w:tc>
          <w:tcPr>
            <w:tcW w:w="0" w:type="dxa"/>
            <w:vAlign w:val="bottom"/>
          </w:tcPr>
          <w:p>
            <w:pPr>
              <w:spacing w:after="0"/>
              <w:rPr>
                <w:sz w:val="1"/>
                <w:szCs w:val="1"/>
                <w:color w:val="auto"/>
              </w:rPr>
            </w:pPr>
          </w:p>
        </w:tc>
      </w:tr>
      <w:tr>
        <w:trPr>
          <w:trHeight w:val="24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Acquisition and divestiture related costs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4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Restructuring and related costs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w:t>
            </w:r>
          </w:p>
        </w:tc>
        <w:tc>
          <w:tcPr>
            <w:tcW w:w="0" w:type="dxa"/>
            <w:vAlign w:val="bottom"/>
          </w:tcPr>
          <w:p>
            <w:pPr>
              <w:spacing w:after="0"/>
              <w:rPr>
                <w:sz w:val="1"/>
                <w:szCs w:val="1"/>
                <w:color w:val="auto"/>
              </w:rPr>
            </w:pPr>
          </w:p>
        </w:tc>
      </w:tr>
      <w:tr>
        <w:trPr>
          <w:trHeight w:val="24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Share-based compensation expense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Other special items . . . . . . .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(333.0)</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Adjusted cost of sales . . . . . . . . . . . . . . . . . . . . . . . . . . . . . . . . . . . . . . . . . . . . . . . . . . .</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$ 6,681.0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7,387.2</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 xml:space="preserve">Adjusted gross profit </w:t>
            </w:r>
            <w:r>
              <w:rPr>
                <w:rFonts w:ascii="Times New Roman" w:cs="Times New Roman" w:eastAsia="Times New Roman" w:hAnsi="Times New Roman"/>
                <w:sz w:val="26"/>
                <w:szCs w:val="26"/>
                <w:color w:val="auto"/>
                <w:w w:val="99"/>
                <w:vertAlign w:val="superscript"/>
              </w:rPr>
              <w:t>(a)</w:t>
            </w:r>
            <w:r>
              <w:rPr>
                <w:rFonts w:ascii="Times New Roman" w:cs="Times New Roman" w:eastAsia="Times New Roman" w:hAnsi="Times New Roman"/>
                <w:sz w:val="20"/>
                <w:szCs w:val="20"/>
                <w:color w:val="auto"/>
                <w:w w:val="99"/>
              </w:rPr>
              <w:t xml:space="preserve">  . . . . . . . . . . . . . . . . . . . . . . . . . . . . . . . . . . . . . . . . . . . . . . . . .</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$ 9,581.7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7"/>
              </w:rPr>
              <w:t>10,499.1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 xml:space="preserve">Adjusted gross margin </w:t>
            </w:r>
            <w:r>
              <w:rPr>
                <w:rFonts w:ascii="Times New Roman" w:cs="Times New Roman" w:eastAsia="Times New Roman" w:hAnsi="Times New Roman"/>
                <w:sz w:val="26"/>
                <w:szCs w:val="26"/>
                <w:color w:val="auto"/>
                <w:w w:val="99"/>
                <w:vertAlign w:val="superscript"/>
              </w:rPr>
              <w:t>(a)</w:t>
            </w:r>
            <w:r>
              <w:rPr>
                <w:rFonts w:ascii="Times New Roman" w:cs="Times New Roman" w:eastAsia="Times New Roman" w:hAnsi="Times New Roman"/>
                <w:sz w:val="20"/>
                <w:szCs w:val="20"/>
                <w:color w:val="auto"/>
                <w:w w:val="99"/>
              </w:rPr>
              <w:t xml:space="preserve">  . . . . . . . . . . . . . . . . . . . . .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400"/>
        <w:spacing w:after="0" w:line="208" w:lineRule="auto"/>
        <w:tabs>
          <w:tab w:leader="none" w:pos="400"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Adjusted gross profit is calculated as total revenues less adjusted cost of sales. Adjusted gross margin is calculated as adjusted gross profit divided by total revenues.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&amp; Development Expense</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R&amp;D expense for the year ended December 31, 2022 was $662.2 million, compared to $681.0 million for the prior year, a decrease of $18.8 million. This decrease was primarily due to the impact of synergies. Certain reclassifications were made to conform the prior period consolidated financial statements to the current period presentation. Upfront and milestone-related charges in connection with collaboration and licensing arrangements previously presented in R&amp;D expense are now presented in Acquired IPR&amp;D.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Acquired IPR&amp;D</w:t>
      </w:r>
    </w:p>
    <w:p>
      <w:pPr>
        <w:spacing w:after="0" w:line="14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Acquired IPR&amp;D expense for the year ended December 31, 2022 was $36.4 million, compared to $70.1 million for the prior year, a decrease of $33.7 million. The decrease was primarily due to an upfront licensing payment in the prior year of $40.0 million for the development of an ophthalmic product. This was partially offset by an upfront licensing payment of $20.0 million to Calliditas Therapeutics AB related to Nefecon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recorded during the current year.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 Expense</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SG&amp;A expense for the year ended December 31, 2022 was $4.18 billion, compared to $4.53 billion for the prior year, a decrease of $350.1 million. The decrease was primarily due to lower restructuring costs of approximately $322.8 million related to the 2020 restructuring program and the impact of synergies. Partially offsetting these decreases were higher integration costs as a result of transitioning certain support services from Pfizer, costs incurred in conjunction with the Biocon Biologics Transaction, and a goodwill impairment charge of $117.0 million related to the potential divestiture of the Upjohn Distributor Markets.</w:t>
      </w:r>
    </w:p>
    <w:p>
      <w:pPr>
        <w:sectPr>
          <w:pgSz w:w="11880" w:h="15480" w:orient="portrait"/>
          <w:cols w:equalWidth="0" w:num="1">
            <w:col w:w="9120"/>
          </w:cols>
          <w:pgMar w:left="1380" w:top="1322" w:right="1380" w:bottom="65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120"/>
          </w:cols>
          <w:pgMar w:left="1380" w:top="1322" w:right="1380" w:bottom="654"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i w:val="1"/>
          <w:iCs w:val="1"/>
          <w:color w:val="auto"/>
        </w:rPr>
        <w:t>Litigation Settlements and Other Contingencies, Net</w:t>
      </w:r>
    </w:p>
    <w:p>
      <w:pPr>
        <w:spacing w:after="0" w:line="15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includes the (gains) losses recognized in litigation settlements and other contingencies, net during the years ended December 31, 2022 and 2021,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6"/>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6"/>
                <w:szCs w:val="16"/>
                <w:color w:val="auto"/>
              </w:rPr>
            </w:pPr>
          </w:p>
        </w:tc>
        <w:tc>
          <w:tcPr>
            <w:tcW w:w="56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Contingent consideration adjustment (primarily related to Respiratory Delivery</w:t>
            </w: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Platform) . . . . . . . . . . . . . . . . . . . . . . . . . . . . . . . . . . . . . . . . . . . . . . . . . . . . . . . . . . . . . .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w w:val="97"/>
              </w:rPr>
              <w:t>11.1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50.3</w:t>
            </w: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Litigation settlements, net . . . . . . . . . . . . . . . . . . . . . . . . . . . . . . . . . . . . . . . . . . . . . . . . . .</w:t>
            </w:r>
          </w:p>
        </w:tc>
        <w:tc>
          <w:tcPr>
            <w:tcW w:w="240" w:type="dxa"/>
            <w:vAlign w:val="bottom"/>
          </w:tcPr>
          <w:p>
            <w:pPr>
              <w:spacing w:after="0"/>
              <w:rPr>
                <w:sz w:val="20"/>
                <w:szCs w:val="20"/>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w w:val="93"/>
              </w:rPr>
              <w:t>278.9</w:t>
            </w:r>
          </w:p>
        </w:tc>
        <w:tc>
          <w:tcPr>
            <w:tcW w:w="0" w:type="dxa"/>
            <w:vAlign w:val="bottom"/>
          </w:tcPr>
          <w:p>
            <w:pPr>
              <w:spacing w:after="0"/>
              <w:rPr>
                <w:sz w:val="1"/>
                <w:szCs w:val="1"/>
                <w:color w:val="auto"/>
              </w:rPr>
            </w:pPr>
          </w:p>
        </w:tc>
      </w:tr>
      <w:tr>
        <w:trPr>
          <w:trHeight w:val="28"/>
        </w:trPr>
        <w:tc>
          <w:tcPr>
            <w:tcW w:w="7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Total litigation settlements and other contingencies, net  </w:t>
            </w:r>
            <w:r>
              <w:rPr>
                <w:rFonts w:ascii="Times New Roman" w:cs="Times New Roman" w:eastAsia="Times New Roman" w:hAnsi="Times New Roman"/>
                <w:sz w:val="20"/>
                <w:szCs w:val="20"/>
                <w:color w:val="auto"/>
              </w:rPr>
              <w:t>. . . . . . . . . . . . . . . . . . .</w:t>
            </w: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320" w:type="dxa"/>
            <w:vAlign w:val="bottom"/>
            <w:vMerge w:val="continue"/>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w w:val="93"/>
              </w:rPr>
              <w:t>329.2</w:t>
            </w:r>
          </w:p>
        </w:tc>
        <w:tc>
          <w:tcPr>
            <w:tcW w:w="0" w:type="dxa"/>
            <w:vAlign w:val="bottom"/>
          </w:tcPr>
          <w:p>
            <w:pPr>
              <w:spacing w:after="0"/>
              <w:rPr>
                <w:sz w:val="1"/>
                <w:szCs w:val="1"/>
                <w:color w:val="auto"/>
              </w:rPr>
            </w:pPr>
          </w:p>
        </w:tc>
      </w:tr>
      <w:tr>
        <w:trPr>
          <w:trHeight w:val="28"/>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Litigation settlements in 2021 included a $264.0 million charge for the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related settlement.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Interest expense for the year ended December 31, 2022 totaled $592.4 million, compared to $636.2 million for the year ended December 31, 2021, a decrease of $43.8 million. The decrease is primarily due to the impact of debt repayments.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Other (income) expense, net includes gains and losses from divestitures, equity affiliates, foreign exchange, expense (income) related to post-employment benefit plans, TSA income, and interest and dividend income. Other income, net for the year ended December 31, 2022 totaled $1.79 billion, compared to $5.8 million for the year ended December 31, 2021. The increase was primarily driven by the gain from the Biocon Biologics Transaction of $1.75 billion and income of $17.7 million related to reimbursement for transition services provided to Biocon Biologics subsequent to the closing of the Biocon Biologics Transaction. The costs related to the transition services are included in SG&amp;A and R&amp;D. In addition, the prior year was negatively impacted by losses of $61.9 million from the Company’s clean energy investments, which did not recur in 2022 as all of the clean energy investments wound down operations at the end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Provision</w:t>
      </w:r>
    </w:p>
    <w:p>
      <w:pPr>
        <w:spacing w:after="0" w:line="1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2022, the Company recognized an income tax provision of $734.6 million, compared to an income tax provision of $604.7 million for the prior year, a change in the provision of $129.9 million. The income tax provision for the year ended December 31, 2022 was negatively impacted by the gain from the Biocon Biologics Transaction. The income tax provision for the year ended December 31,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Also impacting the income tax provision for both periods was the changing mix of income earned in jurisdictions with differing tax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2021 Compared to 2020</w:t>
      </w:r>
    </w:p>
    <w:p>
      <w:pPr>
        <w:spacing w:after="0" w:line="15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Discussions of 2020 items and year-to-year comparisons between 2021 and 2020 are not included in this Form 10-K, and can be found in “Management’s Discussion and Analysis of Financial Condition and Results of Operations” in Part II, Item 7 of the Company’s Annual Report on Form 10-K for the year ended December 31, 2021.</w:t>
      </w:r>
    </w:p>
    <w:p>
      <w:pPr>
        <w:sectPr>
          <w:pgSz w:w="11880" w:h="15480" w:orient="portrait"/>
          <w:cols w:equalWidth="0" w:num="1">
            <w:col w:w="9120"/>
          </w:cols>
          <w:pgMar w:left="1380" w:top="1312" w:right="1380" w:bottom="654"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120"/>
          </w:cols>
          <w:pgMar w:left="1380" w:top="1312" w:right="1380" w:bottom="654"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4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26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Cost of Sales and Adjusted Gross Margin</w:t>
      </w:r>
    </w:p>
    <w:p>
      <w:pPr>
        <w:spacing w:after="0" w:line="14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Net Earnings</w:t>
      </w:r>
    </w:p>
    <w:p>
      <w:pPr>
        <w:spacing w:after="0" w:line="14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EBITDA and Adjusted EBITDA</w:t>
      </w:r>
    </w:p>
    <w:p>
      <w:pPr>
        <w:spacing w:after="0" w:line="14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w:t>
      </w:r>
    </w:p>
    <w:p>
      <w:pPr>
        <w:sectPr>
          <w:pgSz w:w="11880" w:h="15480" w:orient="portrait"/>
          <w:cols w:equalWidth="0" w:num="1">
            <w:col w:w="9120"/>
          </w:cols>
          <w:pgMar w:left="1380" w:top="131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120"/>
          </w:cols>
          <w:pgMar w:left="1380" w:top="1312" w:right="1380" w:bottom="654" w:gutter="0" w:footer="0" w:header="0"/>
          <w:type w:val="continuous"/>
        </w:sectPr>
      </w:pPr>
    </w:p>
    <w:bookmarkStart w:id="80" w:name="page81"/>
    <w:bookmarkEnd w:id="80"/>
    <w:p>
      <w:pPr>
        <w:jc w:val="both"/>
        <w:spacing w:after="0" w:line="247" w:lineRule="auto"/>
        <w:rPr>
          <w:sz w:val="20"/>
          <w:szCs w:val="20"/>
          <w:color w:val="auto"/>
        </w:rPr>
      </w:pPr>
      <w:r>
        <w:rPr>
          <w:rFonts w:ascii="Times New Roman" w:cs="Times New Roman" w:eastAsia="Times New Roman" w:hAnsi="Times New Roman"/>
          <w:sz w:val="20"/>
          <w:szCs w:val="20"/>
          <w:color w:val="auto"/>
        </w:rPr>
        <w:t>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spacing w:after="0" w:line="20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significant items excluded from adjusted cost of sales, adjusted net earnings, and adjusted EBITDA include: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Accounting Amortization and Other Related Items</w:t>
      </w:r>
    </w:p>
    <w:p>
      <w:pPr>
        <w:spacing w:after="0" w:line="11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and impairments of goodwill. For the acquisition of businesses accounted for under the provisions of </w:t>
      </w:r>
      <w:r>
        <w:rPr>
          <w:rFonts w:ascii="Times New Roman" w:cs="Times New Roman" w:eastAsia="Times New Roman" w:hAnsi="Times New Roman"/>
          <w:sz w:val="20"/>
          <w:szCs w:val="20"/>
          <w:i w:val="1"/>
          <w:iCs w:val="1"/>
          <w:color w:val="auto"/>
        </w:rPr>
        <w:t>ASC 805,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Combinations</w:t>
      </w:r>
      <w:r>
        <w:rPr>
          <w:rFonts w:ascii="Times New Roman" w:cs="Times New Roman" w:eastAsia="Times New Roman" w:hAnsi="Times New Roman"/>
          <w:sz w:val="20"/>
          <w:szCs w:val="20"/>
          <w:color w:val="auto"/>
        </w:rPr>
        <w:t>, these purchase accounting impacts are excluded regardless of the financing method used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acquisitions, including the use of cash, long-term debt, the issuance of common stock, contingent consideration or any combination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Upfront and Milestone-Related R&amp;D Expenses</w:t>
      </w:r>
    </w:p>
    <w:p>
      <w:pPr>
        <w:spacing w:after="0" w:line="11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Beginning in 2022, upfront and milestone-related R&amp;D expenses related to collaboration and licensing arrangements made prior to regulatory approval of a development product are no longer excluded from adjusted net earnings and adjusted EBITDA. For purposes of comparability, the prior years’ non-GAAP financial measures have been updated to reflect this change. For the years ended December 31, 2021 and 2020, this resulted in a decrease in adjusted EBITDA of $70.1 million and $42.5 million, respectively, and a decrease in adjusted net earnings of $57.8 million and $34.6 million,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Adjustments, Including Contingent Consideration</w:t>
      </w:r>
    </w:p>
    <w:p>
      <w:pPr>
        <w:spacing w:after="0" w:line="1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impact of changes to the fair value of assets and liabilities, including contingent and deferred consideration,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1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Acquisition and Divestiture Related, and Other Special Items</w:t>
      </w:r>
    </w:p>
    <w:p>
      <w:pPr>
        <w:spacing w:after="0" w:line="11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109" w:lineRule="exact"/>
        <w:rPr>
          <w:sz w:val="20"/>
          <w:szCs w:val="20"/>
          <w:color w:val="auto"/>
        </w:rPr>
      </w:pPr>
    </w:p>
    <w:p>
      <w:pPr>
        <w:jc w:val="both"/>
        <w:ind w:left="800" w:hanging="300"/>
        <w:spacing w:after="0" w:line="246" w:lineRule="auto"/>
        <w:tabs>
          <w:tab w:leader="none" w:pos="8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ectPr>
          <w:pgSz w:w="11880" w:h="15480" w:orient="portrait"/>
          <w:cols w:equalWidth="0" w:num="1">
            <w:col w:w="9120"/>
          </w:cols>
          <w:pgMar w:left="1380" w:top="1322" w:right="1380" w:bottom="654"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120"/>
          </w:cols>
          <w:pgMar w:left="1380" w:top="1322" w:right="1380" w:bottom="654" w:gutter="0" w:footer="0" w:header="0"/>
          <w:type w:val="continuous"/>
        </w:sectPr>
      </w:pPr>
    </w:p>
    <w:bookmarkStart w:id="81" w:name="page82"/>
    <w:bookmarkEnd w:id="81"/>
    <w:p>
      <w:pPr>
        <w:jc w:val="both"/>
        <w:ind w:left="800" w:hanging="300"/>
        <w:spacing w:after="0" w:line="248"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acquisition and divestitures related remediation and integration and planning costs, as well as other costs associated with acquisitions and divestitures such as advisory and legal fees, certain financing related costs, certain reimbursements related to the Company’s obligation to reimburse Pfizer for certain financing and transaction related costs under the BCA and SDA, certain other TSA related set-up and exit costs, and other business transformation and/or optimization initiatives, which are not part of a formal restructuring program, including employee separation and post-employment costs;</w:t>
      </w:r>
    </w:p>
    <w:p>
      <w:pPr>
        <w:spacing w:after="0" w:line="134"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pre-tax loss of the Company’s clean energy investments, whose activities qualify for income tax credits under the Code; only included in adjusted net earnings is the net tax effect of the entity’s activities;</w:t>
      </w:r>
    </w:p>
    <w:p>
      <w:pPr>
        <w:spacing w:after="0" w:line="135" w:lineRule="exact"/>
        <w:rPr>
          <w:rFonts w:ascii="Times New Roman" w:cs="Times New Roman" w:eastAsia="Times New Roman" w:hAnsi="Times New Roman"/>
          <w:sz w:val="20"/>
          <w:szCs w:val="20"/>
          <w:color w:val="auto"/>
        </w:rPr>
      </w:pPr>
    </w:p>
    <w:p>
      <w:pPr>
        <w:jc w:val="both"/>
        <w:ind w:left="800" w:hanging="300"/>
        <w:spacing w:after="0" w:line="246"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137"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costs to further develop and optimize our global enterprise resource planning systems, operations and supply chain;</w:t>
      </w:r>
    </w:p>
    <w:p>
      <w:pPr>
        <w:spacing w:after="0" w:line="131"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or losses from divestitures, including impairments of held of sale assets; and</w:t>
      </w:r>
    </w:p>
    <w:p>
      <w:pPr>
        <w:spacing w:after="0" w:line="140" w:lineRule="exact"/>
        <w:rPr>
          <w:rFonts w:ascii="Times New Roman" w:cs="Times New Roman" w:eastAsia="Times New Roman" w:hAnsi="Times New Roman"/>
          <w:sz w:val="20"/>
          <w:szCs w:val="20"/>
          <w:color w:val="auto"/>
        </w:rPr>
      </w:pPr>
    </w:p>
    <w:p>
      <w:pPr>
        <w:jc w:val="both"/>
        <w:ind w:left="800" w:hanging="300"/>
        <w:spacing w:after="0" w:line="246"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related to uncertain tax positions and certain impacts related to the Combination are excluded from adjusted cost of sales and adjusted net earnings. In addition, tax adjustments to adjusted earnings are recorded to present items on an after-tax basis consistent with the presentation of adjusted net earnings.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Settlements, Net</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Charges and gains related to legal matters, such as those discussed in Note 20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included in Part II. Item 8 of this Form 10-K are generally excluded from adjusted net earnings and adjusted EBITDA. Normal, ongoing defense costs of the Company made in the normal course of our business are not excluded.</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120"/>
          </w:cols>
          <w:pgMar w:left="1380" w:top="1322" w:right="1380" w:bottom="654"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U.S. GAAP Net Earnings (Loss) to Adjusted Net Earnings</w:t>
      </w:r>
    </w:p>
    <w:p>
      <w:pPr>
        <w:spacing w:after="0" w:line="104"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A reconciliation between net earnings (loss) as reported under U.S. GAAP, and adjusted net earnings for the periods shown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60" w:type="dxa"/>
            <w:vAlign w:val="bottom"/>
          </w:tcPr>
          <w:p>
            <w:pPr>
              <w:spacing w:after="0"/>
              <w:rPr>
                <w:sz w:val="16"/>
                <w:szCs w:val="16"/>
                <w:color w:val="auto"/>
              </w:rPr>
            </w:pPr>
          </w:p>
        </w:tc>
        <w:tc>
          <w:tcPr>
            <w:tcW w:w="7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GAAP net earnings (loss)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(1,269.1)</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 accounting related amortization (primarily included in cost of</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602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sales) </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 . . . . . . . . . . . . . . . . . . . . .</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1,933.6</w:t>
            </w:r>
          </w:p>
        </w:tc>
        <w:tc>
          <w:tcPr>
            <w:tcW w:w="60" w:type="dxa"/>
            <w:vAlign w:val="bottom"/>
          </w:tcPr>
          <w:p>
            <w:pPr>
              <w:spacing w:after="0"/>
              <w:rPr>
                <w:sz w:val="22"/>
                <w:szCs w:val="22"/>
                <w:color w:val="auto"/>
              </w:rPr>
            </w:pPr>
          </w:p>
        </w:tc>
      </w:tr>
      <w:tr>
        <w:trPr>
          <w:trHeight w:val="240"/>
        </w:trPr>
        <w:tc>
          <w:tcPr>
            <w:tcW w:w="6020" w:type="dxa"/>
            <w:vAlign w:val="bottom"/>
            <w:gridSpan w:val="2"/>
          </w:tcPr>
          <w:p>
            <w:pPr>
              <w:spacing w:after="0" w:line="240" w:lineRule="exact"/>
              <w:rPr>
                <w:sz w:val="20"/>
                <w:szCs w:val="20"/>
                <w:color w:val="auto"/>
              </w:rPr>
            </w:pPr>
            <w:r>
              <w:rPr>
                <w:rFonts w:ascii="Times New Roman" w:cs="Times New Roman" w:eastAsia="Times New Roman" w:hAnsi="Times New Roman"/>
                <w:sz w:val="20"/>
                <w:szCs w:val="20"/>
                <w:color w:val="auto"/>
              </w:rPr>
              <w:t xml:space="preserve">Impairment of goodwill related to assets held for sale </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w:t>
            </w:r>
          </w:p>
        </w:tc>
        <w:tc>
          <w:tcPr>
            <w:tcW w:w="160" w:type="dxa"/>
            <w:vAlign w:val="bottom"/>
          </w:tcPr>
          <w:p>
            <w:pPr>
              <w:spacing w:after="0"/>
              <w:rPr>
                <w:sz w:val="20"/>
                <w:szCs w:val="20"/>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60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Litigation settlements and other contingencies, net . . . . . . . . . . . . . . . . .</w:t>
            </w:r>
          </w:p>
        </w:tc>
        <w:tc>
          <w:tcPr>
            <w:tcW w:w="16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329.2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107.8</w:t>
            </w:r>
          </w:p>
        </w:tc>
        <w:tc>
          <w:tcPr>
            <w:tcW w:w="60" w:type="dxa"/>
            <w:vAlign w:val="bottom"/>
          </w:tcPr>
          <w:p>
            <w:pPr>
              <w:spacing w:after="0"/>
              <w:rPr>
                <w:sz w:val="19"/>
                <w:szCs w:val="19"/>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 (primarily amortization of premiums and discounts on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 term debt)  . . . . . . . . . . . . . . . . . . . . . . . . . . . . . . . . . . . . . . . . . . . . .</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(48.7)</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(53.8)</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0"/>
                <w:szCs w:val="20"/>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energy investments pre-tax loss . . . . . . . . . . . . . . . . . . . . . . . . . . .</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60" w:type="dxa"/>
            <w:vAlign w:val="bottom"/>
          </w:tcPr>
          <w:p>
            <w:pPr>
              <w:spacing w:after="0"/>
              <w:rPr>
                <w:sz w:val="20"/>
                <w:szCs w:val="20"/>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 and divestiture related costs (primarily included in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602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SG&amp;A) </w:t>
            </w:r>
            <w:r>
              <w:rPr>
                <w:rFonts w:ascii="Times New Roman" w:cs="Times New Roman" w:eastAsia="Times New Roman" w:hAnsi="Times New Roman"/>
                <w:sz w:val="26"/>
                <w:szCs w:val="26"/>
                <w:color w:val="auto"/>
                <w:vertAlign w:val="superscript"/>
              </w:rPr>
              <w:t>(b)</w:t>
            </w:r>
            <w:r>
              <w:rPr>
                <w:rFonts w:ascii="Times New Roman" w:cs="Times New Roman" w:eastAsia="Times New Roman" w:hAnsi="Times New Roman"/>
                <w:sz w:val="20"/>
                <w:szCs w:val="20"/>
                <w:color w:val="auto"/>
              </w:rPr>
              <w:t xml:space="preserve">  . . . . . . . . . . . . . . . . . . . . . . . . . . . . . . . . . . . . . . . . . . . . . . . . .</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613.6</w:t>
            </w:r>
          </w:p>
        </w:tc>
        <w:tc>
          <w:tcPr>
            <w:tcW w:w="60" w:type="dxa"/>
            <w:vAlign w:val="bottom"/>
          </w:tcPr>
          <w:p>
            <w:pPr>
              <w:spacing w:after="0"/>
              <w:rPr>
                <w:sz w:val="22"/>
                <w:szCs w:val="22"/>
                <w:color w:val="auto"/>
              </w:rPr>
            </w:pPr>
          </w:p>
        </w:tc>
      </w:tr>
      <w:tr>
        <w:trPr>
          <w:trHeight w:val="220"/>
        </w:trPr>
        <w:tc>
          <w:tcPr>
            <w:tcW w:w="60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Biocon Biologics gain on divestiture (included in other (income)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expense, net) . . . . . . . . . . . . . . . . . . . . . . . . . . . . . . . . . . . . . . . . . . . . . . .</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(1,754.1)</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02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Restructuring related costs </w:t>
            </w:r>
            <w:r>
              <w:rPr>
                <w:rFonts w:ascii="Times New Roman" w:cs="Times New Roman" w:eastAsia="Times New Roman" w:hAnsi="Times New Roman"/>
                <w:sz w:val="26"/>
                <w:szCs w:val="26"/>
                <w:color w:val="auto"/>
                <w:vertAlign w:val="superscript"/>
              </w:rPr>
              <w:t>(c)</w:t>
            </w:r>
            <w:r>
              <w:rPr>
                <w:rFonts w:ascii="Times New Roman" w:cs="Times New Roman" w:eastAsia="Times New Roman" w:hAnsi="Times New Roman"/>
                <w:sz w:val="20"/>
                <w:szCs w:val="20"/>
                <w:color w:val="auto"/>
              </w:rPr>
              <w:t xml:space="preserve">  . . . . . . . . . . . . . . . . . . . . . . . . . . . . . . . . . .</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w:t>
            </w:r>
          </w:p>
        </w:tc>
        <w:tc>
          <w:tcPr>
            <w:tcW w:w="60" w:type="dxa"/>
            <w:vAlign w:val="bottom"/>
          </w:tcPr>
          <w:p>
            <w:pPr>
              <w:spacing w:after="0"/>
              <w:rPr>
                <w:sz w:val="22"/>
                <w:szCs w:val="22"/>
                <w:color w:val="auto"/>
              </w:rPr>
            </w:pPr>
          </w:p>
        </w:tc>
      </w:tr>
      <w:tr>
        <w:trPr>
          <w:trHeight w:val="220"/>
        </w:trPr>
        <w:tc>
          <w:tcPr>
            <w:tcW w:w="60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Share-based compensation expense  . . . . . . . . . . . . . . . . . . . . . . . . . . . . .</w:t>
            </w:r>
          </w:p>
        </w:tc>
        <w:tc>
          <w:tcPr>
            <w:tcW w:w="16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79.2</w:t>
            </w:r>
          </w:p>
        </w:tc>
        <w:tc>
          <w:tcPr>
            <w:tcW w:w="60" w:type="dxa"/>
            <w:vAlign w:val="bottom"/>
          </w:tcPr>
          <w:p>
            <w:pPr>
              <w:spacing w:after="0"/>
              <w:rPr>
                <w:sz w:val="19"/>
                <w:szCs w:val="19"/>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special items included in: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6020" w:type="dxa"/>
            <w:vAlign w:val="bottom"/>
            <w:gridSpan w:val="2"/>
          </w:tcPr>
          <w:p>
            <w:pPr>
              <w:ind w:left="200"/>
              <w:spacing w:after="0" w:line="260" w:lineRule="exact"/>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26"/>
                <w:szCs w:val="26"/>
                <w:color w:val="auto"/>
                <w:vertAlign w:val="superscript"/>
              </w:rPr>
              <w:t>(d)</w:t>
            </w:r>
            <w:r>
              <w:rPr>
                <w:rFonts w:ascii="Times New Roman" w:cs="Times New Roman" w:eastAsia="Times New Roman" w:hAnsi="Times New Roman"/>
                <w:sz w:val="20"/>
                <w:szCs w:val="20"/>
                <w:color w:val="auto"/>
              </w:rPr>
              <w:t xml:space="preserve">  . . . . . . . . . . . . . . . . . . . . . . . . . . . . . . . . . . . . . . . . . . .</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438.1</w:t>
            </w:r>
          </w:p>
        </w:tc>
        <w:tc>
          <w:tcPr>
            <w:tcW w:w="60" w:type="dxa"/>
            <w:vAlign w:val="bottom"/>
          </w:tcPr>
          <w:p>
            <w:pPr>
              <w:spacing w:after="0"/>
              <w:rPr>
                <w:sz w:val="22"/>
                <w:szCs w:val="22"/>
                <w:color w:val="auto"/>
              </w:rPr>
            </w:pPr>
          </w:p>
        </w:tc>
      </w:tr>
      <w:tr>
        <w:trPr>
          <w:trHeight w:val="240"/>
        </w:trPr>
        <w:tc>
          <w:tcPr>
            <w:tcW w:w="6020" w:type="dxa"/>
            <w:vAlign w:val="bottom"/>
            <w:gridSpan w:val="2"/>
          </w:tcPr>
          <w:p>
            <w:pPr>
              <w:ind w:left="200"/>
              <w:spacing w:after="0" w:line="240" w:lineRule="exact"/>
              <w:rPr>
                <w:sz w:val="20"/>
                <w:szCs w:val="20"/>
                <w:color w:val="auto"/>
              </w:rPr>
            </w:pPr>
            <w:r>
              <w:rPr>
                <w:rFonts w:ascii="Times New Roman" w:cs="Times New Roman" w:eastAsia="Times New Roman" w:hAnsi="Times New Roman"/>
                <w:sz w:val="20"/>
                <w:szCs w:val="20"/>
                <w:color w:val="auto"/>
              </w:rPr>
              <w:t xml:space="preserve">Research and development expense </w:t>
            </w:r>
            <w:r>
              <w:rPr>
                <w:rFonts w:ascii="Times New Roman" w:cs="Times New Roman" w:eastAsia="Times New Roman" w:hAnsi="Times New Roman"/>
                <w:sz w:val="26"/>
                <w:szCs w:val="26"/>
                <w:color w:val="auto"/>
                <w:vertAlign w:val="superscript"/>
              </w:rPr>
              <w:t>(e)</w:t>
            </w:r>
            <w:r>
              <w:rPr>
                <w:rFonts w:ascii="Times New Roman" w:cs="Times New Roman" w:eastAsia="Times New Roman" w:hAnsi="Times New Roman"/>
                <w:sz w:val="20"/>
                <w:szCs w:val="20"/>
                <w:color w:val="auto"/>
              </w:rPr>
              <w:t xml:space="preserve">  . . . . . . . . . . . . . . . . . . . . . . . . .</w:t>
            </w:r>
          </w:p>
        </w:tc>
        <w:tc>
          <w:tcPr>
            <w:tcW w:w="160" w:type="dxa"/>
            <w:vAlign w:val="bottom"/>
          </w:tcPr>
          <w:p>
            <w:pPr>
              <w:spacing w:after="0"/>
              <w:rPr>
                <w:sz w:val="20"/>
                <w:szCs w:val="20"/>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0"/>
                <w:szCs w:val="20"/>
                <w:color w:val="auto"/>
              </w:rPr>
            </w:pPr>
          </w:p>
        </w:tc>
      </w:tr>
      <w:tr>
        <w:trPr>
          <w:trHeight w:val="240"/>
        </w:trPr>
        <w:tc>
          <w:tcPr>
            <w:tcW w:w="6020" w:type="dxa"/>
            <w:vAlign w:val="bottom"/>
            <w:gridSpan w:val="2"/>
          </w:tcPr>
          <w:p>
            <w:pPr>
              <w:ind w:left="200"/>
              <w:spacing w:after="0" w:line="240" w:lineRule="exact"/>
              <w:rPr>
                <w:sz w:val="20"/>
                <w:szCs w:val="20"/>
                <w:color w:val="auto"/>
              </w:rPr>
            </w:pPr>
            <w:r>
              <w:rPr>
                <w:rFonts w:ascii="Times New Roman" w:cs="Times New Roman" w:eastAsia="Times New Roman" w:hAnsi="Times New Roman"/>
                <w:sz w:val="20"/>
                <w:szCs w:val="20"/>
                <w:color w:val="auto"/>
              </w:rPr>
              <w:t xml:space="preserve">Selling, general and administrative expense </w:t>
            </w:r>
            <w:r>
              <w:rPr>
                <w:rFonts w:ascii="Times New Roman" w:cs="Times New Roman" w:eastAsia="Times New Roman" w:hAnsi="Times New Roman"/>
                <w:sz w:val="26"/>
                <w:szCs w:val="26"/>
                <w:color w:val="auto"/>
                <w:vertAlign w:val="superscript"/>
              </w:rPr>
              <w:t>(f)</w:t>
            </w:r>
            <w:r>
              <w:rPr>
                <w:rFonts w:ascii="Times New Roman" w:cs="Times New Roman" w:eastAsia="Times New Roman" w:hAnsi="Times New Roman"/>
                <w:sz w:val="20"/>
                <w:szCs w:val="20"/>
                <w:color w:val="auto"/>
              </w:rPr>
              <w:t xml:space="preserve">  . . . . . . . . . . . . . . . . . . .</w:t>
            </w:r>
          </w:p>
        </w:tc>
        <w:tc>
          <w:tcPr>
            <w:tcW w:w="160" w:type="dxa"/>
            <w:vAlign w:val="bottom"/>
          </w:tcPr>
          <w:p>
            <w:pPr>
              <w:spacing w:after="0"/>
              <w:rPr>
                <w:sz w:val="20"/>
                <w:szCs w:val="20"/>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49.5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0"/>
                <w:szCs w:val="20"/>
                <w:color w:val="auto"/>
              </w:rPr>
            </w:pPr>
          </w:p>
        </w:tc>
      </w:tr>
      <w:tr>
        <w:trPr>
          <w:trHeight w:val="220"/>
        </w:trPr>
        <w:tc>
          <w:tcPr>
            <w:tcW w:w="602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Other (income) expense, net . . . . . . . . . . . . . . . . . . . . . . . . . . . . . . . . .</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(3.8)</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(8.0)</w:t>
            </w:r>
          </w:p>
        </w:tc>
        <w:tc>
          <w:tcPr>
            <w:tcW w:w="260" w:type="dxa"/>
            <w:vAlign w:val="bottom"/>
          </w:tcPr>
          <w:p>
            <w:pPr>
              <w:spacing w:after="0"/>
              <w:rPr>
                <w:sz w:val="19"/>
                <w:szCs w:val="19"/>
                <w:color w:val="auto"/>
              </w:rPr>
            </w:pPr>
          </w:p>
        </w:tc>
        <w:tc>
          <w:tcPr>
            <w:tcW w:w="7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(16.8)</w:t>
            </w:r>
          </w:p>
        </w:tc>
      </w:tr>
      <w:tr>
        <w:trPr>
          <w:trHeight w:val="268"/>
        </w:trPr>
        <w:tc>
          <w:tcPr>
            <w:tcW w:w="6020" w:type="dxa"/>
            <w:vAlign w:val="bottom"/>
            <w:gridSpan w:val="2"/>
          </w:tcPr>
          <w:p>
            <w:pPr>
              <w:spacing w:after="0" w:line="268" w:lineRule="exact"/>
              <w:rPr>
                <w:sz w:val="20"/>
                <w:szCs w:val="20"/>
                <w:color w:val="auto"/>
              </w:rPr>
            </w:pPr>
            <w:r>
              <w:rPr>
                <w:rFonts w:ascii="Times New Roman" w:cs="Times New Roman" w:eastAsia="Times New Roman" w:hAnsi="Times New Roman"/>
                <w:sz w:val="20"/>
                <w:szCs w:val="20"/>
                <w:color w:val="auto"/>
              </w:rPr>
              <w:t xml:space="preserve">Tax effect of the above items and other income tax related items </w:t>
            </w:r>
            <w:r>
              <w:rPr>
                <w:rFonts w:ascii="Times New Roman" w:cs="Times New Roman" w:eastAsia="Times New Roman" w:hAnsi="Times New Roman"/>
                <w:sz w:val="26"/>
                <w:szCs w:val="26"/>
                <w:color w:val="auto"/>
                <w:vertAlign w:val="superscript"/>
              </w:rPr>
              <w:t>(g)</w:t>
            </w:r>
            <w:r>
              <w:rPr>
                <w:rFonts w:ascii="Times New Roman" w:cs="Times New Roman" w:eastAsia="Times New Roman" w:hAnsi="Times New Roman"/>
                <w:sz w:val="20"/>
                <w:szCs w:val="20"/>
                <w:color w:val="auto"/>
              </w:rPr>
              <w:t xml:space="preserve">  . . . .</w:t>
            </w:r>
          </w:p>
        </w:tc>
        <w:tc>
          <w:tcPr>
            <w:tcW w:w="16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(41.7)</w:t>
            </w:r>
          </w:p>
        </w:tc>
        <w:tc>
          <w:tcPr>
            <w:tcW w:w="16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(330.7)</w:t>
            </w:r>
          </w:p>
        </w:tc>
        <w:tc>
          <w:tcPr>
            <w:tcW w:w="2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(581.8)</w:t>
            </w:r>
          </w:p>
        </w:tc>
      </w:tr>
      <w:tr>
        <w:trPr>
          <w:trHeight w:val="272"/>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Adjusted net earnings . . . . . . . . . . . . . . . . . . . . . . . . . . . . . . . . . . . . . . .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4,077.1</w:t>
            </w:r>
          </w:p>
        </w:tc>
        <w:tc>
          <w:tcPr>
            <w:tcW w:w="2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4,410.0</w:t>
            </w:r>
          </w:p>
        </w:tc>
        <w:tc>
          <w:tcPr>
            <w:tcW w:w="200" w:type="dxa"/>
            <w:vAlign w:val="bottom"/>
          </w:tcPr>
          <w:p>
            <w:pPr>
              <w:spacing w:after="0"/>
              <w:rPr>
                <w:sz w:val="23"/>
                <w:szCs w:val="23"/>
                <w:color w:val="auto"/>
              </w:rPr>
            </w:pPr>
          </w:p>
        </w:tc>
        <w:tc>
          <w:tcPr>
            <w:tcW w:w="2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2,337.2</w:t>
            </w:r>
          </w:p>
        </w:tc>
        <w:tc>
          <w:tcPr>
            <w:tcW w:w="60" w:type="dxa"/>
            <w:vAlign w:val="bottom"/>
          </w:tcPr>
          <w:p>
            <w:pPr>
              <w:spacing w:after="0"/>
              <w:rPr>
                <w:sz w:val="23"/>
                <w:szCs w:val="23"/>
                <w:color w:val="auto"/>
              </w:rPr>
            </w:pPr>
          </w:p>
        </w:tc>
      </w:tr>
      <w:tr>
        <w:trPr>
          <w:trHeight w:val="28"/>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items for the year ended December 31, 2022 include the following:</w:t>
      </w:r>
    </w:p>
    <w:p>
      <w:pPr>
        <w:spacing w:after="0" w:line="104" w:lineRule="exact"/>
        <w:rPr>
          <w:sz w:val="20"/>
          <w:szCs w:val="20"/>
          <w:color w:val="auto"/>
        </w:rPr>
      </w:pPr>
    </w:p>
    <w:p>
      <w:pPr>
        <w:jc w:val="both"/>
        <w:ind w:left="400" w:right="60" w:hanging="400"/>
        <w:spacing w:after="0" w:line="221"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2022, charges include an intangible asset charge of approximately $172.9 million to write down the disposal group to fair value, less cost to sell, and a related goodwill impairment charge of $117.0 million for the potential divestiture of the Upjohn Distributor Markets.</w:t>
      </w:r>
    </w:p>
    <w:p>
      <w:pPr>
        <w:spacing w:after="0" w:line="105" w:lineRule="exact"/>
        <w:rPr>
          <w:rFonts w:ascii="Times New Roman" w:cs="Times New Roman" w:eastAsia="Times New Roman" w:hAnsi="Times New Roman"/>
          <w:sz w:val="26"/>
          <w:szCs w:val="26"/>
          <w:color w:val="auto"/>
          <w:vertAlign w:val="superscript"/>
        </w:rPr>
      </w:pPr>
    </w:p>
    <w:p>
      <w:pPr>
        <w:ind w:left="400" w:right="60" w:hanging="400"/>
        <w:spacing w:after="0" w:line="208"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Acquisition and divestiture related costs consist primarily of transaction costs including legal and consulting fees and integration activities.</w:t>
      </w:r>
    </w:p>
    <w:p>
      <w:pPr>
        <w:spacing w:after="0" w:line="105" w:lineRule="exact"/>
        <w:rPr>
          <w:rFonts w:ascii="Times New Roman" w:cs="Times New Roman" w:eastAsia="Times New Roman" w:hAnsi="Times New Roman"/>
          <w:sz w:val="26"/>
          <w:szCs w:val="26"/>
          <w:color w:val="auto"/>
          <w:vertAlign w:val="superscript"/>
        </w:rPr>
      </w:pPr>
    </w:p>
    <w:p>
      <w:pPr>
        <w:jc w:val="both"/>
        <w:ind w:left="400" w:right="60" w:hanging="400"/>
        <w:spacing w:after="0" w:line="221"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the year ended December 31, 2022, charges include approximately $56.8 million in cost of sales, approximately $1.4 million in R&amp;D, and approximately $28.7 million in SG&amp;A. Refer to Note 18 </w:t>
      </w:r>
      <w:r>
        <w:rPr>
          <w:rFonts w:ascii="Times New Roman" w:cs="Times New Roman" w:eastAsia="Times New Roman" w:hAnsi="Times New Roman"/>
          <w:sz w:val="20"/>
          <w:szCs w:val="20"/>
          <w:i w:val="1"/>
          <w:iCs w:val="1"/>
          <w:color w:val="auto"/>
        </w:rPr>
        <w:t xml:space="preserve">Restructuring </w:t>
      </w:r>
      <w:r>
        <w:rPr>
          <w:rFonts w:ascii="Times New Roman" w:cs="Times New Roman" w:eastAsia="Times New Roman" w:hAnsi="Times New Roman"/>
          <w:sz w:val="20"/>
          <w:szCs w:val="20"/>
          <w:color w:val="auto"/>
        </w:rPr>
        <w:t>included in Part II. Item 8 of this Form 10-K for additional information.</w:t>
      </w:r>
    </w:p>
    <w:p>
      <w:pPr>
        <w:spacing w:after="0" w:line="105" w:lineRule="exact"/>
        <w:rPr>
          <w:rFonts w:ascii="Times New Roman" w:cs="Times New Roman" w:eastAsia="Times New Roman" w:hAnsi="Times New Roman"/>
          <w:sz w:val="26"/>
          <w:szCs w:val="26"/>
          <w:color w:val="auto"/>
          <w:vertAlign w:val="superscript"/>
        </w:rPr>
      </w:pPr>
    </w:p>
    <w:p>
      <w:pPr>
        <w:jc w:val="both"/>
        <w:ind w:left="400" w:right="60" w:hanging="400"/>
        <w:spacing w:after="0" w:line="221"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2022, charges include incremental manufacturing variances at plants in the 2020 restructuring program of approximately $118.4 million and inventory reserves related to the potential divestiture of the Upjohn Distributor Markets of approximately $44.8 million.</w:t>
      </w:r>
    </w:p>
    <w:p>
      <w:pPr>
        <w:spacing w:after="0" w:line="105" w:lineRule="exact"/>
        <w:rPr>
          <w:rFonts w:ascii="Times New Roman" w:cs="Times New Roman" w:eastAsia="Times New Roman" w:hAnsi="Times New Roman"/>
          <w:sz w:val="26"/>
          <w:szCs w:val="26"/>
          <w:color w:val="auto"/>
          <w:vertAlign w:val="superscript"/>
        </w:rPr>
      </w:pPr>
    </w:p>
    <w:p>
      <w:pPr>
        <w:jc w:val="both"/>
        <w:ind w:left="400" w:right="60" w:hanging="400"/>
        <w:spacing w:after="0" w:line="235"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Beginning in 2022, upfront and milestone-related R&amp;D expenses related to collaboration and licensing arrangements made prior to regulatory approval of a development product are no longer excluded from adjusted net earnings and adjusted EBITDA. For purposes of comparability, the prior years’ non-GAAP financial measures have been updated to reflect this change. For the years ended December 31, 2021 and 2020, this resulted in a decrease in adjusted EBITDA of $70.1 million and $42.5 million, respectively, and a decrease in adjusted net earnings of $57.8 million and $34.6 million, respectively.</w:t>
      </w:r>
    </w:p>
    <w:p>
      <w:pPr>
        <w:spacing w:after="0" w:line="105" w:lineRule="exact"/>
        <w:rPr>
          <w:rFonts w:ascii="Times New Roman" w:cs="Times New Roman" w:eastAsia="Times New Roman" w:hAnsi="Times New Roman"/>
          <w:sz w:val="26"/>
          <w:szCs w:val="26"/>
          <w:color w:val="auto"/>
          <w:vertAlign w:val="superscript"/>
        </w:rPr>
      </w:pPr>
    </w:p>
    <w:p>
      <w:pPr>
        <w:ind w:left="400" w:right="60" w:hanging="400"/>
        <w:spacing w:after="0" w:line="208" w:lineRule="auto"/>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2022, charges include costs of $39.5 million related to the potential divestiture of the Upjohn Distributor Markets.</w:t>
      </w:r>
    </w:p>
    <w:p>
      <w:pPr>
        <w:spacing w:after="0" w:line="26" w:lineRule="exact"/>
        <w:rPr>
          <w:rFonts w:ascii="Times New Roman" w:cs="Times New Roman" w:eastAsia="Times New Roman" w:hAnsi="Times New Roman"/>
          <w:sz w:val="26"/>
          <w:szCs w:val="26"/>
          <w:color w:val="auto"/>
          <w:vertAlign w:val="superscript"/>
        </w:rPr>
      </w:pPr>
    </w:p>
    <w:p>
      <w:pPr>
        <w:ind w:left="400" w:hanging="400"/>
        <w:spacing w:after="0"/>
        <w:tabs>
          <w:tab w:leader="none" w:pos="40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Adjusted for changes for uncertain tax positions and for certain impacts of the Combination.</w:t>
      </w:r>
    </w:p>
    <w:p>
      <w:pPr>
        <w:sectPr>
          <w:pgSz w:w="11880" w:h="15480" w:orient="portrait"/>
          <w:cols w:equalWidth="0" w:num="1">
            <w:col w:w="9180"/>
          </w:cols>
          <w:pgMar w:left="1380" w:top="1312" w:right="1320" w:bottom="654" w:gutter="0" w:footer="0" w:header="0"/>
        </w:sectPr>
      </w:pP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180"/>
          </w:cols>
          <w:pgMar w:left="1380" w:top="1312" w:right="1320" w:bottom="654"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U.S. GAAP Net Earnings (Loss) to EBITDA and Adjusted EBITDA</w:t>
      </w:r>
    </w:p>
    <w:p>
      <w:pPr>
        <w:spacing w:after="0" w:line="118"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Below is a reconciliation of U.S. GAAP net earnings (loss) to EBITDA and adjusted EBITDA for the year ended December 31, 2022 compared to the prior year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60" w:type="dxa"/>
            <w:vAlign w:val="bottom"/>
          </w:tcPr>
          <w:p>
            <w:pPr>
              <w:spacing w:after="0"/>
              <w:rPr>
                <w:sz w:val="16"/>
                <w:szCs w:val="16"/>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U.S. GAAP net earnings (loss)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(1,269.1)</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 / (deduct) adjustments: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Net contribution attributable to equity method investments . . . . . . . . .</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60" w:type="dxa"/>
            <w:vAlign w:val="bottom"/>
          </w:tcPr>
          <w:p>
            <w:pPr>
              <w:spacing w:after="0"/>
              <w:rPr>
                <w:sz w:val="20"/>
                <w:szCs w:val="20"/>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Income tax provision (benefit) . . . . . . . . . . . . . . . . . . . . . . . . . . . . . .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(51.3)</w:t>
            </w:r>
          </w:p>
        </w:tc>
      </w:tr>
      <w:tr>
        <w:trPr>
          <w:trHeight w:val="260"/>
        </w:trPr>
        <w:tc>
          <w:tcPr>
            <w:tcW w:w="6020" w:type="dxa"/>
            <w:vAlign w:val="bottom"/>
            <w:gridSpan w:val="2"/>
          </w:tcPr>
          <w:p>
            <w:pPr>
              <w:jc w:val="right"/>
              <w:ind w:right="200"/>
              <w:spacing w:after="0" w:line="260" w:lineRule="exact"/>
              <w:rPr>
                <w:sz w:val="20"/>
                <w:szCs w:val="20"/>
                <w:color w:val="auto"/>
              </w:rPr>
            </w:pPr>
            <w:r>
              <w:rPr>
                <w:rFonts w:ascii="Times New Roman" w:cs="Times New Roman" w:eastAsia="Times New Roman" w:hAnsi="Times New Roman"/>
                <w:sz w:val="20"/>
                <w:szCs w:val="20"/>
                <w:color w:val="auto"/>
              </w:rPr>
              <w:t xml:space="preserve">Interest expense </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 . . . . . . . . . . .</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497.8</w:t>
            </w:r>
          </w:p>
        </w:tc>
        <w:tc>
          <w:tcPr>
            <w:tcW w:w="60" w:type="dxa"/>
            <w:vAlign w:val="bottom"/>
          </w:tcPr>
          <w:p>
            <w:pPr>
              <w:spacing w:after="0"/>
              <w:rPr>
                <w:sz w:val="22"/>
                <w:szCs w:val="22"/>
                <w:color w:val="auto"/>
              </w:rPr>
            </w:pPr>
          </w:p>
        </w:tc>
      </w:tr>
      <w:tr>
        <w:trPr>
          <w:trHeight w:val="248"/>
        </w:trPr>
        <w:tc>
          <w:tcPr>
            <w:tcW w:w="602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0"/>
                <w:szCs w:val="20"/>
                <w:color w:val="auto"/>
              </w:rPr>
              <w:t xml:space="preserve">Depreciation and amortization </w:t>
            </w:r>
            <w:r>
              <w:rPr>
                <w:rFonts w:ascii="Times New Roman" w:cs="Times New Roman" w:eastAsia="Times New Roman" w:hAnsi="Times New Roman"/>
                <w:sz w:val="26"/>
                <w:szCs w:val="26"/>
                <w:color w:val="auto"/>
                <w:vertAlign w:val="superscript"/>
              </w:rPr>
              <w:t>(b)</w:t>
            </w:r>
            <w:r>
              <w:rPr>
                <w:rFonts w:ascii="Times New Roman" w:cs="Times New Roman" w:eastAsia="Times New Roman" w:hAnsi="Times New Roman"/>
                <w:sz w:val="20"/>
                <w:szCs w:val="20"/>
                <w:color w:val="auto"/>
              </w:rPr>
              <w:t xml:space="preserve">  . . . . . . . . . . . . . . . . . . . . . . . . . . . . .</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3,027.6</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4,506.5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2,216.1</w:t>
            </w:r>
          </w:p>
        </w:tc>
        <w:tc>
          <w:tcPr>
            <w:tcW w:w="60" w:type="dxa"/>
            <w:vAlign w:val="bottom"/>
          </w:tcPr>
          <w:p>
            <w:pPr>
              <w:spacing w:after="0"/>
              <w:rPr>
                <w:sz w:val="21"/>
                <w:szCs w:val="21"/>
                <w:color w:val="auto"/>
              </w:rPr>
            </w:pPr>
          </w:p>
        </w:tc>
      </w:tr>
      <w:tr>
        <w:trPr>
          <w:trHeight w:val="272"/>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EBITDA  . . . . .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6,433.2</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4,540.2</w:t>
            </w:r>
          </w:p>
        </w:tc>
        <w:tc>
          <w:tcPr>
            <w:tcW w:w="20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2,041.1</w:t>
            </w:r>
          </w:p>
        </w:tc>
        <w:tc>
          <w:tcPr>
            <w:tcW w:w="60" w:type="dxa"/>
            <w:vAlign w:val="bottom"/>
          </w:tcPr>
          <w:p>
            <w:pPr>
              <w:spacing w:after="0"/>
              <w:rPr>
                <w:sz w:val="23"/>
                <w:szCs w:val="23"/>
                <w:color w:val="auto"/>
              </w:rPr>
            </w:pPr>
          </w:p>
        </w:tc>
      </w:tr>
      <w:tr>
        <w:trPr>
          <w:trHeight w:val="240"/>
        </w:trPr>
        <w:tc>
          <w:tcPr>
            <w:tcW w:w="6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Add / (deduct) adjustments: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Share-based compensation expense  . . . . . . . . . . . . . . . . . . . . . . . . . .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60" w:type="dxa"/>
            <w:vAlign w:val="bottom"/>
          </w:tcPr>
          <w:p>
            <w:pPr>
              <w:spacing w:after="0"/>
              <w:rPr>
                <w:sz w:val="20"/>
                <w:szCs w:val="20"/>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Litigation settlements and other contingencies, net . . . . . . . . . . . . . .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w:t>
            </w:r>
          </w:p>
        </w:tc>
        <w:tc>
          <w:tcPr>
            <w:tcW w:w="60" w:type="dxa"/>
            <w:vAlign w:val="bottom"/>
          </w:tcPr>
          <w:p>
            <w:pPr>
              <w:spacing w:after="0"/>
              <w:rPr>
                <w:sz w:val="20"/>
                <w:szCs w:val="20"/>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Biocon Biologics gain on divestiture  . . . . . . . . . . . . . . . . . . . . . . . . . .</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(1,754.1)</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Impairment of goodwill related to assets held for sale . . . . . . . . . . . .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Restructuring, acquisition and divestiture related and other special</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8"/>
        </w:trPr>
        <w:tc>
          <w:tcPr>
            <w:tcW w:w="6020" w:type="dxa"/>
            <w:vAlign w:val="bottom"/>
            <w:gridSpan w:val="2"/>
          </w:tcPr>
          <w:p>
            <w:pPr>
              <w:jc w:val="right"/>
              <w:ind w:right="200"/>
              <w:spacing w:after="0" w:line="268" w:lineRule="exact"/>
              <w:rPr>
                <w:sz w:val="20"/>
                <w:szCs w:val="20"/>
                <w:color w:val="auto"/>
              </w:rPr>
            </w:pPr>
            <w:r>
              <w:rPr>
                <w:rFonts w:ascii="Times New Roman" w:cs="Times New Roman" w:eastAsia="Times New Roman" w:hAnsi="Times New Roman"/>
                <w:sz w:val="20"/>
                <w:szCs w:val="20"/>
                <w:color w:val="auto"/>
              </w:rPr>
              <w:t xml:space="preserve">items </w:t>
            </w:r>
            <w:r>
              <w:rPr>
                <w:rFonts w:ascii="Times New Roman" w:cs="Times New Roman" w:eastAsia="Times New Roman" w:hAnsi="Times New Roman"/>
                <w:sz w:val="26"/>
                <w:szCs w:val="26"/>
                <w:color w:val="auto"/>
                <w:vertAlign w:val="superscript"/>
              </w:rPr>
              <w:t>(c)</w:t>
            </w:r>
            <w:r>
              <w:rPr>
                <w:rFonts w:ascii="Times New Roman" w:cs="Times New Roman" w:eastAsia="Times New Roman" w:hAnsi="Times New Roman"/>
                <w:sz w:val="20"/>
                <w:szCs w:val="20"/>
                <w:color w:val="auto"/>
              </w:rPr>
              <w:t xml:space="preserve">  . . . . . . . . . . . . . . . . . . . . . . . . . . . . . . . . . . . . . . . . . . . . . . .</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859.9</w:t>
            </w:r>
          </w:p>
        </w:tc>
        <w:tc>
          <w:tcPr>
            <w:tcW w:w="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1,383.5</w:t>
            </w:r>
          </w:p>
        </w:tc>
        <w:tc>
          <w:tcPr>
            <w:tcW w:w="60" w:type="dxa"/>
            <w:vAlign w:val="bottom"/>
          </w:tcPr>
          <w:p>
            <w:pPr>
              <w:spacing w:after="0"/>
              <w:rPr>
                <w:sz w:val="23"/>
                <w:szCs w:val="23"/>
                <w:color w:val="auto"/>
              </w:rPr>
            </w:pPr>
          </w:p>
        </w:tc>
      </w:tr>
      <w:tr>
        <w:trPr>
          <w:trHeight w:val="272"/>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Adjusted EBITDA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5,776.8</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6,356.0</w:t>
            </w:r>
          </w:p>
        </w:tc>
        <w:tc>
          <w:tcPr>
            <w:tcW w:w="20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3,611.6</w:t>
            </w:r>
          </w:p>
        </w:tc>
        <w:tc>
          <w:tcPr>
            <w:tcW w:w="60" w:type="dxa"/>
            <w:vAlign w:val="bottom"/>
          </w:tcPr>
          <w:p>
            <w:pPr>
              <w:spacing w:after="0"/>
              <w:rPr>
                <w:sz w:val="23"/>
                <w:szCs w:val="23"/>
                <w:color w:val="auto"/>
              </w:rPr>
            </w:pPr>
          </w:p>
        </w:tc>
      </w:tr>
      <w:tr>
        <w:trPr>
          <w:trHeight w:val="28"/>
        </w:trPr>
        <w:tc>
          <w:tcPr>
            <w:tcW w:w="9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ind w:left="400" w:hanging="400"/>
        <w:spacing w:after="0" w:line="226" w:lineRule="auto"/>
        <w:tabs>
          <w:tab w:leader="none" w:pos="40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amortization of premiums and discounts on long-term debt.</w:t>
      </w:r>
    </w:p>
    <w:p>
      <w:pPr>
        <w:spacing w:after="0" w:line="72" w:lineRule="exact"/>
        <w:rPr>
          <w:rFonts w:ascii="Times New Roman" w:cs="Times New Roman" w:eastAsia="Times New Roman" w:hAnsi="Times New Roman"/>
          <w:sz w:val="26"/>
          <w:szCs w:val="26"/>
          <w:color w:val="auto"/>
          <w:vertAlign w:val="superscript"/>
        </w:rPr>
      </w:pPr>
    </w:p>
    <w:p>
      <w:pPr>
        <w:ind w:left="400" w:hanging="400"/>
        <w:spacing w:after="0" w:line="213" w:lineRule="auto"/>
        <w:tabs>
          <w:tab w:leader="none" w:pos="40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purchase accounting related amortization.</w:t>
      </w:r>
    </w:p>
    <w:p>
      <w:pPr>
        <w:spacing w:after="0" w:line="118" w:lineRule="exact"/>
        <w:rPr>
          <w:rFonts w:ascii="Times New Roman" w:cs="Times New Roman" w:eastAsia="Times New Roman" w:hAnsi="Times New Roman"/>
          <w:sz w:val="26"/>
          <w:szCs w:val="26"/>
          <w:color w:val="auto"/>
          <w:vertAlign w:val="superscript"/>
        </w:rPr>
      </w:pPr>
    </w:p>
    <w:p>
      <w:pPr>
        <w:ind w:left="400" w:right="60" w:hanging="400"/>
        <w:spacing w:after="0" w:line="208" w:lineRule="auto"/>
        <w:tabs>
          <w:tab w:leader="none" w:pos="40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See items detailed and updates to the non-GAAP financial measures in the Reconciliation of U.S. GAAP Net Earnings (Loss) to Adjusted Net Earnings.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8"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Our primary source of liquidity is net cash provided by operating activities, which was $2.95 billion for the year ended December 31, 2022.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Net cash provided by operating activities decreased by $64.3 million to $2.95 billion for the year ended December 31, 2022, as compared to net cash provided by operating activities of $3.02 billion for the year ended December 31, 2021.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13" w:lineRule="exact"/>
        <w:rPr>
          <w:sz w:val="20"/>
          <w:szCs w:val="20"/>
          <w:color w:val="auto"/>
        </w:rPr>
      </w:pPr>
    </w:p>
    <w:p>
      <w:pPr>
        <w:jc w:val="both"/>
        <w:ind w:right="60" w:firstLine="400"/>
        <w:spacing w:after="0" w:line="246" w:lineRule="auto"/>
        <w:rPr>
          <w:sz w:val="20"/>
          <w:szCs w:val="20"/>
          <w:color w:val="auto"/>
        </w:rPr>
      </w:pPr>
      <w:r>
        <w:rPr>
          <w:rFonts w:ascii="Times New Roman" w:cs="Times New Roman" w:eastAsia="Times New Roman" w:hAnsi="Times New Roman"/>
          <w:sz w:val="20"/>
          <w:szCs w:val="20"/>
          <w:color w:val="auto"/>
        </w:rPr>
        <w:t>The decrease in net cash provided by operating activities was principally due to the timing of cash payments and collections, including payments for litigation matters, and due to deal-related expenses, primarily taxes and transaction costs, associated with the Biocon Biologics Transaction. These increases were partially offset by lower payments for restructuring activities and other special items, and the impact of synergies.</w:t>
      </w:r>
    </w:p>
    <w:p>
      <w:pPr>
        <w:sectPr>
          <w:pgSz w:w="11880" w:h="15480" w:orient="portrait"/>
          <w:cols w:equalWidth="0" w:num="1">
            <w:col w:w="9180"/>
          </w:cols>
          <w:pgMar w:left="1380" w:top="1312" w:right="1320" w:bottom="654" w:gutter="0" w:footer="0" w:header="0"/>
        </w:sect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180"/>
          </w:cols>
          <w:pgMar w:left="1380" w:top="1312" w:right="1320" w:bottom="654"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Net cash from investing activities was $1.52 billion for the year ended December 31, 2022, as compared to net cash used in investing activities of $117.8 million for the year ended December 31, 2021, an increase of $1.64 billion.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2022, significant items in investing activities included the following:</w:t>
      </w:r>
    </w:p>
    <w:p>
      <w:pPr>
        <w:spacing w:after="0" w:line="115" w:lineRule="exact"/>
        <w:rPr>
          <w:sz w:val="20"/>
          <w:szCs w:val="20"/>
          <w:color w:val="auto"/>
        </w:rPr>
      </w:pPr>
    </w:p>
    <w:p>
      <w:pPr>
        <w:ind w:left="800" w:hanging="300"/>
        <w:spacing w:after="0"/>
        <w:tabs>
          <w:tab w:leader="none" w:pos="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the sale of assets of $1.95 billion related to the Biocon Biologics Transaction; and</w:t>
      </w:r>
    </w:p>
    <w:p>
      <w:pPr>
        <w:spacing w:after="0" w:line="125"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primarily for equipment and facilities, totaling approximately $406.0 million. While there can be no assurance that current expectations will be realized, capital expenditures for the 2023 calendar year are expected to be approximately $400 million to $500 million.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2021, significant items in investing activities included the following:</w:t>
      </w:r>
    </w:p>
    <w:p>
      <w:pPr>
        <w:spacing w:after="0" w:line="125" w:lineRule="exact"/>
        <w:rPr>
          <w:sz w:val="20"/>
          <w:szCs w:val="20"/>
          <w:color w:val="auto"/>
        </w:rPr>
      </w:pPr>
    </w:p>
    <w:p>
      <w:pPr>
        <w:ind w:left="800" w:hanging="300"/>
        <w:spacing w:after="0" w:line="239" w:lineRule="auto"/>
        <w:tabs>
          <w:tab w:leader="none" w:pos="8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received from acquisitions, net totaling approximately $277.0 million related to additional target cash balances received from Pfizer subsequent to the closing of the Combination;</w:t>
      </w:r>
    </w:p>
    <w:p>
      <w:pPr>
        <w:spacing w:after="0" w:line="126"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the sale of assets of $96.7 million, primarily related to a group of OTC products in the U.S.; and</w:t>
      </w:r>
    </w:p>
    <w:p>
      <w:pPr>
        <w:spacing w:after="0" w:line="11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primarily for equipment and facilities, totaling approximately $457.2 million.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2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Net cash used in financing activities was $3.88 billion for the year ended December 31, 2022, as compared to net cash used in financing activities of $3.01 billion for the year ended December 31, 2021, an increase of $865.9 million.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2022, significant items in financing activities included the following:</w:t>
      </w:r>
    </w:p>
    <w:p>
      <w:pPr>
        <w:spacing w:after="0" w:line="125" w:lineRule="exact"/>
        <w:rPr>
          <w:sz w:val="20"/>
          <w:szCs w:val="20"/>
          <w:color w:val="auto"/>
        </w:rPr>
      </w:pPr>
    </w:p>
    <w:p>
      <w:pPr>
        <w:ind w:left="800" w:hanging="300"/>
        <w:spacing w:after="0" w:line="239" w:lineRule="auto"/>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repayments of Senior Notes at maturity of approximately $1.79 billion, consisting of the 0.816% Euro Senior Notes and the 1.125% Senior Notes;</w:t>
      </w:r>
    </w:p>
    <w:p>
      <w:pPr>
        <w:spacing w:after="0" w:line="11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borrowings and repayments under the 2021 Revolving Facility of $1.88 billion;</w:t>
      </w:r>
    </w:p>
    <w:p>
      <w:pPr>
        <w:spacing w:after="0" w:line="11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repayments of short-term borrowings of $1.49 billion;</w:t>
      </w:r>
    </w:p>
    <w:p>
      <w:pPr>
        <w:spacing w:after="0" w:line="11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dividends paid of $581.6 million; and</w:t>
      </w:r>
    </w:p>
    <w:p>
      <w:pPr>
        <w:spacing w:after="0" w:line="11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of $19.3 million related to cash collected on behalf of Biocon Biologics.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2021, significant items in financing activities included the following:</w:t>
      </w:r>
    </w:p>
    <w:p>
      <w:pPr>
        <w:spacing w:after="0" w:line="125" w:lineRule="exact"/>
        <w:rPr>
          <w:sz w:val="20"/>
          <w:szCs w:val="20"/>
          <w:color w:val="auto"/>
        </w:rPr>
      </w:pPr>
    </w:p>
    <w:p>
      <w:pPr>
        <w:jc w:val="both"/>
        <w:ind w:left="800" w:hanging="300"/>
        <w:spacing w:after="0" w:line="246" w:lineRule="auto"/>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payments of approximately $4.20 billion, consisting of the redemption of $2.25 billion of the 3.150% Senior Notes due 2021, repayment of $1.35 billion of borrowings under the 2020 Revolving Facility and the 2021 Revolving Facility, and repayment of $600.0 million of the USD Term Loan;</w:t>
      </w:r>
    </w:p>
    <w:p>
      <w:pPr>
        <w:spacing w:after="0" w:line="122"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borrowings of $1.71 billion, consisting of borrowings of $1.35 billion under the 2020 Revolving Facility and the 2021 Revolving Facility, and borrowings of $360.0 million under the YEN Term Loan;</w:t>
      </w:r>
    </w:p>
    <w:p>
      <w:pPr>
        <w:spacing w:after="0" w:line="11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short-term borrowings of $392.1 million;</w:t>
      </w:r>
    </w:p>
    <w:p>
      <w:pPr>
        <w:spacing w:after="0" w:line="125"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non-contingent payments for product rights totaling approximately $456.0 million primarily related to the acquisition of Aspen’s thrombosis product portfolio in Europe; and</w:t>
      </w:r>
    </w:p>
    <w:p>
      <w:pPr>
        <w:spacing w:after="0" w:line="116"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dividends paid of $399.0 million.</w:t>
      </w:r>
    </w:p>
    <w:p>
      <w:pPr>
        <w:sectPr>
          <w:pgSz w:w="11880" w:h="15480" w:orient="portrait"/>
          <w:cols w:equalWidth="0" w:num="1">
            <w:col w:w="9120"/>
          </w:cols>
          <w:pgMar w:left="1380" w:top="1312" w:right="1380" w:bottom="65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120"/>
          </w:cols>
          <w:pgMar w:left="1380" w:top="1312" w:right="1380" w:bottom="654" w:gutter="0" w:footer="0" w:header="0"/>
          <w:type w:val="continuous"/>
        </w:sectPr>
      </w:pPr>
    </w:p>
    <w:bookmarkStart w:id="85" w:name="page86"/>
    <w:bookmarkEnd w:id="85"/>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Refer to the consolidated statements of cash flows in Part II. Item 8 of this Form 10-K for additional details on other significant sources and uses of cash during the years ended December 31, 2022 and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Resources</w:t>
      </w:r>
    </w:p>
    <w:p>
      <w:pPr>
        <w:spacing w:after="0" w:line="11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cash and cash equivalents totaled $1.26 billion at December 31, 2022, and the majority of these funds are held by our non-U.S. subsidiaries. In early 2023, approximately $700 million of cash was used to finance the acquisitions of Oyster Point and Famy Life Sciences. The Company anticipates having sufficient liquidity, including existing borrowing capacity under the 2021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20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July 2021, Viatris entered into (i) the YEN Term Loan Facility and (ii) the 2021 Revolving Facility with various syndicates of banks. The YEN Term Loan Facility and the 2021 Revolving Facility will mature in July 2026.</w:t>
      </w:r>
    </w:p>
    <w:p>
      <w:pPr>
        <w:spacing w:after="0" w:line="20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has access to $4.0 billion under the 2021 Revolving Facility. Up to $1.65 billion of the 2021 Revolving Facility may be used to support borrowings under our Commercial Paper Program. As of December 31, 2022, the Company did not have any borrowings outstanding under the Commercial Paper Program and the 2021 Revolving Facility.</w:t>
      </w:r>
    </w:p>
    <w:p>
      <w:pPr>
        <w:spacing w:after="0" w:line="20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addition, MPI, a wholly owned subsidiary of the Company, has access to $400 million under the Receivables Facility, which expires in April 2025. As of December 31, 2022, the Company did not have any borrowings outstanding under the Receivables Facility.</w:t>
      </w:r>
    </w:p>
    <w:p>
      <w:pPr>
        <w:spacing w:after="0" w:line="20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August 2020, the Company entered into the Note Securitization Facility for borrowings up to $200 million, which was amended to extend the term to August 2023. As of December 31, 2022, the Company did not have any borrowings outstanding under the Note Securitization Facility.</w:t>
      </w:r>
    </w:p>
    <w:p>
      <w:pPr>
        <w:spacing w:after="0" w:line="20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w:t>
      </w:r>
    </w:p>
    <w:p>
      <w:pPr>
        <w:spacing w:after="0" w:line="19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$34.7 million and $29.6 million of accounts receivable as of December 31, 2022 and 2021 under these factoring arrangements, respectively.</w:t>
      </w:r>
    </w:p>
    <w:p>
      <w:pPr>
        <w:spacing w:after="0" w:line="20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ectPr>
          <w:pgSz w:w="11880" w:h="15480" w:orient="portrait"/>
          <w:cols w:equalWidth="0" w:num="1">
            <w:col w:w="9120"/>
          </w:cols>
          <w:pgMar w:left="1380" w:top="1322" w:right="1380" w:bottom="65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120"/>
          </w:cols>
          <w:pgMar w:left="1380" w:top="1322" w:right="1380" w:bottom="654" w:gutter="0" w:footer="0" w:header="0"/>
          <w:type w:val="continuous"/>
        </w:sectPr>
      </w:pPr>
    </w:p>
    <w:bookmarkStart w:id="86" w:name="page87"/>
    <w:bookmarkEnd w:id="86"/>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126" w:lineRule="exact"/>
        <w:rPr>
          <w:sz w:val="20"/>
          <w:szCs w:val="20"/>
          <w:color w:val="auto"/>
        </w:rPr>
      </w:pPr>
    </w:p>
    <w:p>
      <w:pPr>
        <w:ind w:left="800" w:hanging="300"/>
        <w:spacing w:after="0"/>
        <w:tabs>
          <w:tab w:leader="none" w:pos="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OTC;</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API (while retaining some selective development API capabilities);</w:t>
      </w:r>
    </w:p>
    <w:p>
      <w:pPr>
        <w:spacing w:after="0" w:line="140"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Women’s health care, primarily related to our oral and injectable contraceptives. This does not include all of our women’s health care related products; as an example, our Xulane® product in the U.S. is excluded; and</w:t>
      </w:r>
    </w:p>
    <w:p>
      <w:pPr>
        <w:spacing w:after="0" w:line="12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Upjohn Distributor Markets.</w:t>
      </w:r>
    </w:p>
    <w:p>
      <w:pPr>
        <w:spacing w:after="0" w:line="26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For information regarding our dividends paid and declared and share repurchase program, refer to Note 2 </w:t>
      </w:r>
      <w:r>
        <w:rPr>
          <w:rFonts w:ascii="Times New Roman" w:cs="Times New Roman" w:eastAsia="Times New Roman" w:hAnsi="Times New Roman"/>
          <w:sz w:val="20"/>
          <w:szCs w:val="20"/>
          <w:i w:val="1"/>
          <w:iCs w:val="1"/>
          <w:color w:val="auto"/>
        </w:rPr>
        <w:t xml:space="preserve">Summary of Significant Accounting Policies </w:t>
      </w:r>
      <w:r>
        <w:rPr>
          <w:rFonts w:ascii="Times New Roman" w:cs="Times New Roman" w:eastAsia="Times New Roman" w:hAnsi="Times New Roman"/>
          <w:sz w:val="20"/>
          <w:szCs w:val="20"/>
          <w:color w:val="auto"/>
        </w:rPr>
        <w:t>in Part II. Item 8 of this Form 10-K.</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Debt Maturity</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For information regarding our debt agreements and mandatory minimum repayments remaining on the outstanding notional amount of long-term debt at December 31, 2022, refer to Note 11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in Part II. Item 8 of this Form 10-K.</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YEN Term Loan Facility and the 2021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4.25 to 1.00 for each quarter ending after June 30, 2021 through and including June 30, 2022, 4.0 to 1.00 for each quarter ending after June 30, 2022 through and including December 31, 2022 and 3.75 to 1.00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25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is in compliance with its covenants at December 31, 2022 and expects to remain in compliance for the next twelve months.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Guarantor Financial Information</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Viatris Inc. is the issuer of the outstanding Registered Upjohn Notes, which are fully and unconditionally guaranteed on a senior unsecured basis by Mylan Inc., Mylan II B.V. and Utah Acquisition Sub Inc.</w:t>
      </w:r>
    </w:p>
    <w:p>
      <w:pPr>
        <w:spacing w:after="0" w:line="26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Following the Combination, Utah Acquisition Sub Inc. is the issuer of the Utah U.S. Dollar Notes, which are fully and unconditionally guaranteed on a senior unsecured basis by Mylan Inc., Viatris Inc. and Mylan II B.V.</w:t>
      </w:r>
    </w:p>
    <w:p>
      <w:pPr>
        <w:spacing w:after="0" w:line="200" w:lineRule="exact"/>
        <w:rPr>
          <w:sz w:val="20"/>
          <w:szCs w:val="20"/>
          <w:color w:val="auto"/>
        </w:rPr>
      </w:pPr>
    </w:p>
    <w:p>
      <w:pPr>
        <w:spacing w:after="0" w:line="28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Mylan Inc. is the issuer of the Mylan Inc. U.S. Dollar Notes, which are fully and unconditionally guaranteed on a senior unsecured basis by Mylan II B.V., Viatris Inc. and Utah Acquisition Sub Inc.</w:t>
      </w:r>
    </w:p>
    <w:p>
      <w:pPr>
        <w:spacing w:after="0" w:line="26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w:t>
      </w:r>
    </w:p>
    <w:p>
      <w:pPr>
        <w:sectPr>
          <w:pgSz w:w="11880" w:h="15480" w:orient="portrait"/>
          <w:cols w:equalWidth="0" w:num="1">
            <w:col w:w="9120"/>
          </w:cols>
          <w:pgMar w:left="1380" w:top="1322"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120"/>
          </w:cols>
          <w:pgMar w:left="1380" w:top="1322" w:right="1380" w:bottom="654" w:gutter="0" w:footer="0" w:header="0"/>
          <w:type w:val="continuous"/>
        </w:sectPr>
      </w:pPr>
    </w:p>
    <w:bookmarkStart w:id="87" w:name="page88"/>
    <w:bookmarkEnd w:id="87"/>
    <w:p>
      <w:pPr>
        <w:jc w:val="both"/>
        <w:spacing w:after="0" w:line="247" w:lineRule="auto"/>
        <w:rPr>
          <w:sz w:val="20"/>
          <w:szCs w:val="20"/>
          <w:color w:val="auto"/>
        </w:rPr>
      </w:pPr>
      <w:r>
        <w:rPr>
          <w:rFonts w:ascii="Times New Roman" w:cs="Times New Roman" w:eastAsia="Times New Roman" w:hAnsi="Times New Roman"/>
          <w:sz w:val="20"/>
          <w:szCs w:val="20"/>
          <w:color w:val="auto"/>
        </w:rPr>
        <w:t>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outstanding Registered Upjohn Notes, (a) upon the applicable guarantor no longer being an issuer or guarantor in respect of (i) Mylan Notes (as defined in the indenture governing the outstanding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outstanding Registered Upjohn Notes.</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5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following table presents unaudited summarized financial information of Viatris Inc., Mylan Inc., Utah Acquisition Sub Inc., and Mylan II B.V. on a combined basis as of and for the year ended December 31, 2022 and 2021. All intercompany balances have been eliminated in consolidation. This unaudited combined summarized financial information is presented utilizing the equity method of accounting.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Combined Summarized Balance Sheet</w:t>
            </w: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88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Information of Viatris Inc., Mylan Inc.,</w:t>
            </w: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88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Utah Acquisition Sub Inc. and Mylan II</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47"/>
              <w:spacing w:after="0" w:line="182" w:lineRule="exact"/>
              <w:rPr>
                <w:sz w:val="20"/>
                <w:szCs w:val="20"/>
                <w:color w:val="auto"/>
              </w:rPr>
            </w:pPr>
            <w:r>
              <w:rPr>
                <w:rFonts w:ascii="Times New Roman" w:cs="Times New Roman" w:eastAsia="Times New Roman" w:hAnsi="Times New Roman"/>
                <w:sz w:val="16"/>
                <w:szCs w:val="16"/>
                <w:b w:val="1"/>
                <w:bCs w:val="1"/>
                <w:color w:val="auto"/>
                <w:w w:val="99"/>
              </w:rPr>
              <w:t>B.V.</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6"/>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w:t>
            </w: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996.3</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 . . . . . . . . . . . . .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61,972.6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60,298.0</w:t>
            </w:r>
          </w:p>
        </w:tc>
        <w:tc>
          <w:tcPr>
            <w:tcW w:w="0" w:type="dxa"/>
            <w:vAlign w:val="bottom"/>
          </w:tcPr>
          <w:p>
            <w:pPr>
              <w:spacing w:after="0"/>
              <w:rPr>
                <w:sz w:val="1"/>
                <w:szCs w:val="1"/>
                <w:color w:val="auto"/>
              </w:rPr>
            </w:pPr>
          </w:p>
        </w:tc>
      </w:tr>
      <w:tr>
        <w:trPr>
          <w:trHeight w:val="360"/>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 . . . . . . . . . . . . . . . . . . . . . . . . . . . . . . . . . . . . . . . . . . . . .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26,631.5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23,619.9</w:t>
            </w: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 . . . . . . . . . . . . . . . . . . . . . . . . . . . . . . . . . . . . . . .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15,265.2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22" w:right="1380" w:bottom="654"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120"/>
          </w:cols>
          <w:pgMar w:left="1380" w:top="1322" w:right="1380" w:bottom="654" w:gutter="0" w:footer="0" w:header="0"/>
          <w:type w:val="continuous"/>
        </w:sectPr>
      </w:pPr>
    </w:p>
    <w:bookmarkStart w:id="88" w:name="page89"/>
    <w:bookmarkEnd w:id="88"/>
    <w:p>
      <w:pPr>
        <w:jc w:val="center"/>
        <w:ind w:left="6240"/>
        <w:spacing w:after="0"/>
        <w:rPr>
          <w:sz w:val="20"/>
          <w:szCs w:val="20"/>
          <w:color w:val="auto"/>
        </w:rPr>
      </w:pPr>
      <w:r>
        <w:rPr>
          <w:rFonts w:ascii="Times New Roman" w:cs="Times New Roman" w:eastAsia="Times New Roman" w:hAnsi="Times New Roman"/>
          <w:sz w:val="16"/>
          <w:szCs w:val="16"/>
          <w:b w:val="1"/>
          <w:bCs w:val="1"/>
          <w:color w:val="auto"/>
        </w:rPr>
        <w:t>Combined Summarized Income Statement</w:t>
      </w:r>
    </w:p>
    <w:p>
      <w:pPr>
        <w:jc w:val="center"/>
        <w:ind w:left="6240"/>
        <w:spacing w:after="0" w:line="208" w:lineRule="auto"/>
        <w:rPr>
          <w:sz w:val="20"/>
          <w:szCs w:val="20"/>
          <w:color w:val="auto"/>
        </w:rPr>
      </w:pPr>
      <w:r>
        <w:rPr>
          <w:rFonts w:ascii="Times New Roman" w:cs="Times New Roman" w:eastAsia="Times New Roman" w:hAnsi="Times New Roman"/>
          <w:sz w:val="16"/>
          <w:szCs w:val="16"/>
          <w:b w:val="1"/>
          <w:bCs w:val="1"/>
          <w:color w:val="auto"/>
        </w:rPr>
        <w:t>Information of Viatris Inc., Mylan Inc.,</w:t>
      </w:r>
    </w:p>
    <w:p>
      <w:pPr>
        <w:jc w:val="center"/>
        <w:ind w:left="6240"/>
        <w:spacing w:after="0" w:line="209" w:lineRule="auto"/>
        <w:rPr>
          <w:sz w:val="20"/>
          <w:szCs w:val="20"/>
          <w:color w:val="auto"/>
        </w:rPr>
      </w:pPr>
      <w:r>
        <w:rPr>
          <w:rFonts w:ascii="Times New Roman" w:cs="Times New Roman" w:eastAsia="Times New Roman" w:hAnsi="Times New Roman"/>
          <w:sz w:val="16"/>
          <w:szCs w:val="16"/>
          <w:b w:val="1"/>
          <w:bCs w:val="1"/>
          <w:color w:val="auto"/>
        </w:rPr>
        <w:t>Utah Acquisition Sub Inc. and Mylan II</w:t>
      </w:r>
    </w:p>
    <w:p>
      <w:pPr>
        <w:jc w:val="center"/>
        <w:ind w:left="6240"/>
        <w:spacing w:after="0" w:line="209" w:lineRule="auto"/>
        <w:rPr>
          <w:sz w:val="20"/>
          <w:szCs w:val="20"/>
          <w:color w:val="auto"/>
        </w:rPr>
      </w:pPr>
      <w:r>
        <w:rPr>
          <w:rFonts w:ascii="Times New Roman" w:cs="Times New Roman" w:eastAsia="Times New Roman" w:hAnsi="Times New Roman"/>
          <w:sz w:val="16"/>
          <w:szCs w:val="16"/>
          <w:b w:val="1"/>
          <w:bCs w:val="1"/>
          <w:color w:val="auto"/>
        </w:rPr>
        <w:t>B.V.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3959860</wp:posOffset>
                </wp:positionH>
                <wp:positionV relativeFrom="paragraph">
                  <wp:posOffset>26035</wp:posOffset>
                </wp:positionV>
                <wp:extent cx="18313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13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8pt,2.05pt" to="456pt,2.05pt" o:allowincell="f" strokecolor="#000000" strokeweight="0.5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2"/>
        </w:trPr>
        <w:tc>
          <w:tcPr>
            <w:tcW w:w="62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5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3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6"/>
        </w:trPr>
        <w:tc>
          <w:tcPr>
            <w:tcW w:w="6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72"/>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Revenues . . . . . . . . . . . . . . . . . . . . . . .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w:t>
            </w: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Loss (earnings) from operations . . . . . . . . . . . . . . . . . . . . . . . . . . . . . . . . . .</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(1,132.4)</w:t>
            </w: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(1,023.9)</w:t>
            </w: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Net earnings (loss) . . . . . . . . . . . . . . . . . . . . . . . . . . . . . . . . . . . . . . . . . . . .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(1,269.1)</w:t>
            </w: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128" w:lineRule="exact"/>
        <w:rPr>
          <w:sz w:val="20"/>
          <w:szCs w:val="20"/>
          <w:color w:val="auto"/>
        </w:rPr>
      </w:pPr>
    </w:p>
    <w:p>
      <w:pPr>
        <w:jc w:val="both"/>
        <w:ind w:right="40" w:firstLine="400"/>
        <w:spacing w:after="0" w:line="247" w:lineRule="auto"/>
        <w:rPr>
          <w:sz w:val="20"/>
          <w:szCs w:val="20"/>
          <w:color w:val="auto"/>
        </w:rPr>
      </w:pPr>
      <w:r>
        <w:rPr>
          <w:rFonts w:ascii="Times New Roman" w:cs="Times New Roman" w:eastAsia="Times New Roman" w:hAnsi="Times New Roman"/>
          <w:sz w:val="20"/>
          <w:szCs w:val="20"/>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$203 million accrued for legal contingencies at December 31, 2022.</w:t>
      </w:r>
    </w:p>
    <w:p>
      <w:pPr>
        <w:spacing w:after="0" w:line="234" w:lineRule="exact"/>
        <w:rPr>
          <w:sz w:val="20"/>
          <w:szCs w:val="20"/>
          <w:color w:val="auto"/>
        </w:rPr>
      </w:pPr>
    </w:p>
    <w:p>
      <w:pPr>
        <w:jc w:val="both"/>
        <w:ind w:right="40" w:firstLine="400"/>
        <w:spacing w:after="0" w:line="248" w:lineRule="auto"/>
        <w:rPr>
          <w:sz w:val="20"/>
          <w:szCs w:val="20"/>
          <w:color w:val="auto"/>
        </w:rPr>
      </w:pPr>
      <w:r>
        <w:rPr>
          <w:rFonts w:ascii="Times New Roman" w:cs="Times New Roman" w:eastAsia="Times New Roman" w:hAnsi="Times New Roman"/>
          <w:sz w:val="20"/>
          <w:szCs w:val="20"/>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231" w:lineRule="exact"/>
        <w:rPr>
          <w:sz w:val="20"/>
          <w:szCs w:val="20"/>
          <w:color w:val="auto"/>
        </w:rPr>
      </w:pPr>
    </w:p>
    <w:p>
      <w:pPr>
        <w:jc w:val="both"/>
        <w:ind w:right="40" w:firstLine="400"/>
        <w:spacing w:after="0" w:line="249" w:lineRule="auto"/>
        <w:rPr>
          <w:sz w:val="20"/>
          <w:szCs w:val="20"/>
          <w:color w:val="auto"/>
        </w:rPr>
      </w:pPr>
      <w:r>
        <w:rPr>
          <w:rFonts w:ascii="Times New Roman" w:cs="Times New Roman" w:eastAsia="Times New Roman" w:hAnsi="Times New Roman"/>
          <w:sz w:val="20"/>
          <w:szCs w:val="20"/>
          <w:color w:val="auto"/>
        </w:rPr>
        <w:t>In conjunction with the Combination, Viatris entered into a TSA with Pfizer pursuant to which each party provides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years ended December 31, 2022 and 2021, the Company incurred $54.5 million and $30.4 million, respectively, related to this provision of the TSA, and approximately $138.0 million during the period beginning on the closing date of the Combination and ended December 31, 2022. We expect to incur future costs related to the completion of the services. As of December 31, 2022, the Company has exited substantially all transition services with Pfizer.</w:t>
      </w:r>
    </w:p>
    <w:p>
      <w:pPr>
        <w:spacing w:after="0" w:line="231" w:lineRule="exact"/>
        <w:rPr>
          <w:sz w:val="20"/>
          <w:szCs w:val="20"/>
          <w:color w:val="auto"/>
        </w:rPr>
      </w:pPr>
    </w:p>
    <w:p>
      <w:pPr>
        <w:jc w:val="both"/>
        <w:ind w:right="40" w:firstLine="400"/>
        <w:spacing w:after="0" w:line="246" w:lineRule="auto"/>
        <w:rPr>
          <w:sz w:val="20"/>
          <w:szCs w:val="20"/>
          <w:color w:val="auto"/>
        </w:rPr>
      </w:pPr>
      <w:r>
        <w:rPr>
          <w:rFonts w:ascii="Times New Roman" w:cs="Times New Roman" w:eastAsia="Times New Roman" w:hAnsi="Times New Roman"/>
          <w:sz w:val="20"/>
          <w:szCs w:val="20"/>
          <w:color w:val="auto"/>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w:t>
      </w:r>
    </w:p>
    <w:p>
      <w:pPr>
        <w:spacing w:after="0" w:line="234" w:lineRule="exact"/>
        <w:rPr>
          <w:sz w:val="20"/>
          <w:szCs w:val="20"/>
          <w:color w:val="auto"/>
        </w:rPr>
      </w:pPr>
    </w:p>
    <w:p>
      <w:pPr>
        <w:jc w:val="both"/>
        <w:ind w:right="40" w:firstLine="400"/>
        <w:spacing w:after="0" w:line="247" w:lineRule="auto"/>
        <w:rPr>
          <w:sz w:val="20"/>
          <w:szCs w:val="20"/>
          <w:color w:val="auto"/>
        </w:rPr>
      </w:pPr>
      <w:r>
        <w:rPr>
          <w:rFonts w:ascii="Times New Roman" w:cs="Times New Roman" w:eastAsia="Times New Roman" w:hAnsi="Times New Roman"/>
          <w:sz w:val="20"/>
          <w:szCs w:val="20"/>
          <w:color w:val="auto"/>
        </w:rPr>
        <w:t>At December 31, 2022,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2, 4, 7, 11, 13, 15, and 17 in Part II. Item 8 of this Form 10-K. We anticipate our cash requirements related to ordinary course purchases of goods and services will be consistent with our past levels.</w:t>
      </w:r>
    </w:p>
    <w:p>
      <w:pPr>
        <w:spacing w:after="0" w:line="234" w:lineRule="exact"/>
        <w:rPr>
          <w:sz w:val="20"/>
          <w:szCs w:val="20"/>
          <w:color w:val="auto"/>
        </w:rPr>
      </w:pPr>
    </w:p>
    <w:p>
      <w:pPr>
        <w:jc w:val="both"/>
        <w:ind w:right="40" w:firstLine="400"/>
        <w:spacing w:after="0" w:line="248" w:lineRule="auto"/>
        <w:rPr>
          <w:sz w:val="20"/>
          <w:szCs w:val="20"/>
          <w:color w:val="auto"/>
        </w:rPr>
      </w:pPr>
      <w:r>
        <w:rPr>
          <w:rFonts w:ascii="Times New Roman" w:cs="Times New Roman" w:eastAsia="Times New Roman" w:hAnsi="Times New Roman"/>
          <w:sz w:val="20"/>
          <w:szCs w:val="20"/>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ectPr>
          <w:pgSz w:w="11880" w:h="15480" w:orient="portrait"/>
          <w:cols w:equalWidth="0" w:num="1">
            <w:col w:w="9160"/>
          </w:cols>
          <w:pgMar w:left="1380" w:top="1270" w:right="1340" w:bottom="654" w:gutter="0" w:footer="0" w:header="0"/>
        </w:sect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160"/>
          </w:cols>
          <w:pgMar w:left="1380" w:top="1270" w:right="1340" w:bottom="654" w:gutter="0" w:footer="0" w:header="0"/>
          <w:type w:val="continuous"/>
        </w:sectPr>
      </w:pPr>
    </w:p>
    <w:bookmarkStart w:id="89" w:name="page90"/>
    <w:bookmarkEnd w:id="89"/>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have entered into employment and other agreements with certain executives and other employees that provide for compensation and certain other benefits. These agreements provide for severance payments under certain circumstances.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 Partner Agreements</w:t>
      </w:r>
    </w:p>
    <w:p>
      <w:pPr>
        <w:spacing w:after="0" w:line="1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Under our licensing and other partner agreements, our potential maximum development milestones not accrued for at December 31, 2022 totaled approximately $347 million. We estimate that the amounts that may be paid during the next twelve months to be approximately $38 million. Additionally, these agreements may also include potential sales-based milestones and call for us to pay a percentage of amounts earned from the sale of the product as a royalty or a profit share. Refer to Note 19 </w:t>
      </w:r>
      <w:r>
        <w:rPr>
          <w:rFonts w:ascii="Times New Roman" w:cs="Times New Roman" w:eastAsia="Times New Roman" w:hAnsi="Times New Roman"/>
          <w:sz w:val="20"/>
          <w:szCs w:val="20"/>
          <w:i w:val="1"/>
          <w:iCs w:val="1"/>
          <w:color w:val="auto"/>
        </w:rPr>
        <w:t>Licensing and Other Partner Agreements</w:t>
      </w:r>
      <w:r>
        <w:rPr>
          <w:rFonts w:ascii="Times New Roman" w:cs="Times New Roman" w:eastAsia="Times New Roman" w:hAnsi="Times New Roman"/>
          <w:sz w:val="20"/>
          <w:szCs w:val="20"/>
          <w:color w:val="auto"/>
        </w:rPr>
        <w:t xml:space="preserve"> included in Part II. Item 8 of this Form 10-K for additional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Policies</w:t>
      </w:r>
    </w:p>
    <w:p>
      <w:pPr>
        <w:spacing w:after="0" w:line="11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Our significant accounting policies are described in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included in Part II. Item 8 of this Form 10-K and are in accordance with U.S. GAAP.</w:t>
      </w:r>
    </w:p>
    <w:p>
      <w:pPr>
        <w:spacing w:after="0" w:line="21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1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We recognize revenues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spacing w:after="0" w:line="111" w:lineRule="exact"/>
        <w:rPr>
          <w:sz w:val="20"/>
          <w:szCs w:val="20"/>
          <w:color w:val="auto"/>
        </w:rPr>
      </w:pPr>
    </w:p>
    <w:p>
      <w:pPr>
        <w:jc w:val="both"/>
        <w:ind w:left="800" w:hanging="300"/>
        <w:spacing w:after="0" w:line="249" w:lineRule="auto"/>
        <w:tabs>
          <w:tab w:leader="none" w:pos="8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Chargebacks</w:t>
      </w:r>
      <w:r>
        <w:rPr>
          <w:rFonts w:ascii="Times New Roman" w:cs="Times New Roman" w:eastAsia="Times New Roman" w:hAnsi="Times New Roman"/>
          <w:sz w:val="20"/>
          <w:szCs w:val="20"/>
          <w:color w:val="auto"/>
        </w:rPr>
        <w:t>: the Company has agreements with certain indirect customers, such as independent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$26.2 million.</w:t>
      </w:r>
    </w:p>
    <w:p>
      <w:pPr>
        <w:sectPr>
          <w:pgSz w:w="11880" w:h="15480" w:orient="portrait"/>
          <w:cols w:equalWidth="0" w:num="1">
            <w:col w:w="9120"/>
          </w:cols>
          <w:pgMar w:left="1380" w:top="1322" w:right="1380" w:bottom="654"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120"/>
          </w:cols>
          <w:pgMar w:left="1380" w:top="1322" w:right="1380" w:bottom="654" w:gutter="0" w:footer="0" w:header="0"/>
          <w:type w:val="continuous"/>
        </w:sectPr>
      </w:pPr>
    </w:p>
    <w:bookmarkStart w:id="90" w:name="page91"/>
    <w:bookmarkEnd w:id="90"/>
    <w:p>
      <w:pPr>
        <w:jc w:val="both"/>
        <w:ind w:left="800" w:hanging="300"/>
        <w:spacing w:after="0" w:line="248" w:lineRule="auto"/>
        <w:tabs>
          <w:tab w:leader="none" w:pos="8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Rebates, promotional programs and other sales allowances</w:t>
      </w:r>
      <w:r>
        <w:rPr>
          <w:rFonts w:ascii="Times New Roman" w:cs="Times New Roman" w:eastAsia="Times New Roman" w:hAnsi="Times New Roman"/>
          <w:sz w:val="20"/>
          <w:szCs w:val="20"/>
          <w:color w:val="auto"/>
        </w:rPr>
        <w:t>: this category includes rebate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$64.2 million.</w:t>
      </w:r>
    </w:p>
    <w:p>
      <w:pPr>
        <w:spacing w:after="0" w:line="119" w:lineRule="exact"/>
        <w:rPr>
          <w:rFonts w:ascii="Times New Roman" w:cs="Times New Roman" w:eastAsia="Times New Roman" w:hAnsi="Times New Roman"/>
          <w:sz w:val="20"/>
          <w:szCs w:val="20"/>
          <w:color w:val="auto"/>
        </w:rPr>
      </w:pPr>
    </w:p>
    <w:p>
      <w:pPr>
        <w:jc w:val="both"/>
        <w:ind w:left="800" w:hanging="300"/>
        <w:spacing w:after="0" w:line="248" w:lineRule="auto"/>
        <w:tabs>
          <w:tab w:leader="none" w:pos="8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Returns</w:t>
      </w:r>
      <w:r>
        <w:rPr>
          <w:rFonts w:ascii="Times New Roman" w:cs="Times New Roman" w:eastAsia="Times New Roman" w:hAnsi="Times New Roman"/>
          <w:sz w:val="20"/>
          <w:szCs w:val="20"/>
          <w:color w:val="auto"/>
        </w:rPr>
        <w:t>: consistent with industry practice, Viatris maintains a return policy that allows customers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$25.7 million.</w:t>
      </w:r>
    </w:p>
    <w:p>
      <w:pPr>
        <w:spacing w:after="0" w:line="121" w:lineRule="exact"/>
        <w:rPr>
          <w:rFonts w:ascii="Times New Roman" w:cs="Times New Roman" w:eastAsia="Times New Roman" w:hAnsi="Times New Roman"/>
          <w:sz w:val="20"/>
          <w:szCs w:val="20"/>
          <w:color w:val="auto"/>
        </w:rPr>
      </w:pPr>
    </w:p>
    <w:p>
      <w:pPr>
        <w:jc w:val="both"/>
        <w:ind w:left="800" w:hanging="300"/>
        <w:spacing w:after="0" w:line="249" w:lineRule="auto"/>
        <w:tabs>
          <w:tab w:leader="none" w:pos="8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Governmental rebate programs</w:t>
      </w:r>
      <w:r>
        <w:rPr>
          <w:rFonts w:ascii="Times New Roman" w:cs="Times New Roman" w:eastAsia="Times New Roman" w:hAnsi="Times New Roman"/>
          <w:sz w:val="20"/>
          <w:szCs w:val="20"/>
          <w:color w:val="auto"/>
        </w:rPr>
        <w:t>: government reimbursement programs in the U.S. include Medicare,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20" w:lineRule="exact"/>
        <w:rPr>
          <w:rFonts w:ascii="Times New Roman" w:cs="Times New Roman" w:eastAsia="Times New Roman" w:hAnsi="Times New Roman"/>
          <w:sz w:val="20"/>
          <w:szCs w:val="20"/>
          <w:color w:val="auto"/>
        </w:rPr>
      </w:pPr>
    </w:p>
    <w:p>
      <w:pPr>
        <w:jc w:val="both"/>
        <w:ind w:left="80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111"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5% would have an effect on our reserve balance of approximately $18.3 million.</w:t>
      </w:r>
    </w:p>
    <w:p>
      <w:pPr>
        <w:spacing w:after="0" w:line="2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The following is a rollforward of the categories of variable consideration during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Provision</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w w:val="97"/>
              </w:rPr>
              <w:t>Related to</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940" w:type="dxa"/>
            <w:vAlign w:val="bottom"/>
            <w:gridSpan w:val="2"/>
          </w:tcPr>
          <w:p>
            <w:pPr>
              <w:jc w:val="right"/>
              <w:ind w:right="23"/>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13"/>
                <w:szCs w:val="13"/>
                <w:color w:val="auto"/>
              </w:rPr>
            </w:pPr>
          </w:p>
        </w:tc>
        <w:tc>
          <w:tcPr>
            <w:tcW w:w="124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Sales Made in</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Checks/</w:t>
            </w:r>
          </w:p>
        </w:tc>
        <w:tc>
          <w:tcPr>
            <w:tcW w:w="98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940" w:type="dxa"/>
            <w:vAlign w:val="bottom"/>
            <w:gridSpan w:val="2"/>
          </w:tcPr>
          <w:p>
            <w:pPr>
              <w:jc w:val="right"/>
              <w:ind w:right="3"/>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w w:val="93"/>
              </w:rPr>
              <w:t>the</w:t>
            </w:r>
          </w:p>
        </w:tc>
        <w:tc>
          <w:tcPr>
            <w:tcW w:w="1180" w:type="dxa"/>
            <w:vAlign w:val="bottom"/>
            <w:gridSpan w:val="3"/>
          </w:tcPr>
          <w:p>
            <w:pPr>
              <w:jc w:val="right"/>
              <w:ind w:right="380"/>
              <w:spacing w:after="0" w:line="160" w:lineRule="exact"/>
              <w:rPr>
                <w:sz w:val="20"/>
                <w:szCs w:val="20"/>
                <w:color w:val="auto"/>
              </w:rPr>
            </w:pPr>
            <w:r>
              <w:rPr>
                <w:rFonts w:ascii="Times New Roman" w:cs="Times New Roman" w:eastAsia="Times New Roman" w:hAnsi="Times New Roman"/>
                <w:sz w:val="16"/>
                <w:szCs w:val="16"/>
                <w:b w:val="1"/>
                <w:bCs w:val="1"/>
                <w:color w:val="auto"/>
              </w:rPr>
              <w:t>Balances</w:t>
            </w:r>
          </w:p>
        </w:tc>
        <w:tc>
          <w:tcPr>
            <w:tcW w:w="144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Credits Issued to</w:t>
            </w:r>
          </w:p>
        </w:tc>
        <w:tc>
          <w:tcPr>
            <w:tcW w:w="120" w:type="dxa"/>
            <w:vAlign w:val="bottom"/>
          </w:tcPr>
          <w:p>
            <w:pPr>
              <w:spacing w:after="0"/>
              <w:rPr>
                <w:sz w:val="13"/>
                <w:szCs w:val="13"/>
                <w:color w:val="auto"/>
              </w:rPr>
            </w:pPr>
          </w:p>
        </w:tc>
        <w:tc>
          <w:tcPr>
            <w:tcW w:w="8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22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20" w:type="dxa"/>
            <w:vAlign w:val="bottom"/>
          </w:tcPr>
          <w:p>
            <w:pPr>
              <w:spacing w:after="0"/>
              <w:rPr>
                <w:sz w:val="15"/>
                <w:szCs w:val="15"/>
                <w:color w:val="auto"/>
              </w:rPr>
            </w:pPr>
          </w:p>
        </w:tc>
        <w:tc>
          <w:tcPr>
            <w:tcW w:w="720" w:type="dxa"/>
            <w:vAlign w:val="bottom"/>
          </w:tcPr>
          <w:p>
            <w:pPr>
              <w:jc w:val="right"/>
              <w:ind w:right="223"/>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5"/>
                <w:szCs w:val="15"/>
                <w:color w:val="auto"/>
              </w:rPr>
            </w:pPr>
          </w:p>
        </w:tc>
        <w:tc>
          <w:tcPr>
            <w:tcW w:w="124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Current Period</w:t>
            </w:r>
          </w:p>
        </w:tc>
        <w:tc>
          <w:tcPr>
            <w:tcW w:w="200" w:type="dxa"/>
            <w:vAlign w:val="bottom"/>
          </w:tcPr>
          <w:p>
            <w:pPr>
              <w:spacing w:after="0"/>
              <w:rPr>
                <w:sz w:val="15"/>
                <w:szCs w:val="15"/>
                <w:color w:val="auto"/>
              </w:rPr>
            </w:pPr>
          </w:p>
        </w:tc>
        <w:tc>
          <w:tcPr>
            <w:tcW w:w="980" w:type="dxa"/>
            <w:vAlign w:val="bottom"/>
            <w:gridSpan w:val="2"/>
          </w:tcPr>
          <w:p>
            <w:pPr>
              <w:jc w:val="right"/>
              <w:ind w:right="38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Divested</w:t>
            </w:r>
          </w:p>
        </w:tc>
        <w:tc>
          <w:tcPr>
            <w:tcW w:w="144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Third Parties</w:t>
            </w:r>
          </w:p>
        </w:tc>
        <w:tc>
          <w:tcPr>
            <w:tcW w:w="98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Exchange</w:t>
            </w:r>
          </w:p>
        </w:tc>
        <w:tc>
          <w:tcPr>
            <w:tcW w:w="220" w:type="dxa"/>
            <w:vAlign w:val="bottom"/>
          </w:tcPr>
          <w:p>
            <w:pPr>
              <w:spacing w:after="0"/>
              <w:rPr>
                <w:sz w:val="15"/>
                <w:szCs w:val="15"/>
                <w:color w:val="auto"/>
              </w:rPr>
            </w:pPr>
          </w:p>
        </w:tc>
        <w:tc>
          <w:tcPr>
            <w:tcW w:w="720" w:type="dxa"/>
            <w:vAlign w:val="bottom"/>
          </w:tcPr>
          <w:p>
            <w:pPr>
              <w:jc w:val="right"/>
              <w:ind w:right="20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Chargebacks . . . . . . . . .</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6,192.2</w:t>
            </w:r>
          </w:p>
        </w:tc>
        <w:tc>
          <w:tcPr>
            <w:tcW w:w="200" w:type="dxa"/>
            <w:vAlign w:val="bottom"/>
          </w:tcPr>
          <w:p>
            <w:pPr>
              <w:spacing w:after="0"/>
              <w:rPr>
                <w:sz w:val="23"/>
                <w:szCs w:val="23"/>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(53.4)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(6,205.6)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523.4</w:t>
            </w: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Rebates, promotional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programs and other sales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allowances . . . . . . . . . . .</w:t>
            </w:r>
          </w:p>
        </w:tc>
        <w:tc>
          <w:tcPr>
            <w:tcW w:w="2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1,373.0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4,346.2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(215.1)</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(4,177.5)</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(42.4)</w:t>
            </w:r>
          </w:p>
        </w:tc>
        <w:tc>
          <w:tcPr>
            <w:tcW w:w="2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1,284.2</w:t>
            </w: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Returns . . . . . . . . . . . . .</w:t>
            </w:r>
          </w:p>
        </w:tc>
        <w:tc>
          <w:tcPr>
            <w:tcW w:w="2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686.8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(16.0)</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(447.6)</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(6.5)</w:t>
            </w:r>
          </w:p>
        </w:tc>
        <w:tc>
          <w:tcPr>
            <w:tcW w:w="2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513.4</w:t>
            </w: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Governmental rebate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programs . . . . . . . . . . . .</w:t>
            </w:r>
          </w:p>
        </w:tc>
        <w:tc>
          <w:tcPr>
            <w:tcW w:w="2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399.2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608.9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(34.1)</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(602.4)</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(5.1)</w:t>
            </w:r>
          </w:p>
        </w:tc>
        <w:tc>
          <w:tcPr>
            <w:tcW w:w="2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366.5</w:t>
            </w:r>
          </w:p>
        </w:tc>
        <w:tc>
          <w:tcPr>
            <w:tcW w:w="0" w:type="dxa"/>
            <w:vAlign w:val="bottom"/>
          </w:tcPr>
          <w:p>
            <w:pPr>
              <w:spacing w:after="0"/>
              <w:rPr>
                <w:sz w:val="1"/>
                <w:szCs w:val="1"/>
                <w:color w:val="auto"/>
              </w:rPr>
            </w:pPr>
          </w:p>
        </w:tc>
      </w:tr>
      <w:tr>
        <w:trPr>
          <w:trHeight w:val="28"/>
        </w:trPr>
        <w:tc>
          <w:tcPr>
            <w:tcW w:w="22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200" w:type="dxa"/>
            <w:vAlign w:val="bottom"/>
            <w:vMerge w:val="continue"/>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11,444.0</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(318.6)</w:t>
            </w:r>
          </w:p>
        </w:tc>
        <w:tc>
          <w:tcPr>
            <w:tcW w:w="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(11,433.1)</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2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2,687.5</w:t>
            </w: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2022 and 2021, respectively:</w:t>
      </w:r>
    </w:p>
    <w:p>
      <w:pPr>
        <w:sectPr>
          <w:pgSz w:w="11880" w:h="15480" w:orient="portrait"/>
          <w:cols w:equalWidth="0" w:num="1">
            <w:col w:w="9120"/>
          </w:cols>
          <w:pgMar w:left="1380" w:top="1322" w:right="1380" w:bottom="65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120"/>
          </w:cols>
          <w:pgMar w:left="1380" w:top="1322" w:right="1380" w:bottom="654"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7060" w:type="dxa"/>
            <w:vAlign w:val="bottom"/>
          </w:tcPr>
          <w:p>
            <w:pPr>
              <w:jc w:val="right"/>
              <w:ind w:right="6125"/>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00" w:type="dxa"/>
            <w:vAlign w:val="bottom"/>
          </w:tcPr>
          <w:p>
            <w:pPr>
              <w:spacing w:after="0"/>
              <w:rPr>
                <w:sz w:val="15"/>
                <w:szCs w:val="15"/>
                <w:color w:val="auto"/>
              </w:rPr>
            </w:pPr>
          </w:p>
        </w:tc>
        <w:tc>
          <w:tcPr>
            <w:tcW w:w="720" w:type="dxa"/>
            <w:vAlign w:val="bottom"/>
          </w:tcPr>
          <w:p>
            <w:pPr>
              <w:jc w:val="right"/>
              <w:ind w:right="205"/>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0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 . . . . . .</w:t>
            </w: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1,798.7</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1,688.6</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1,362.1</w:t>
            </w:r>
          </w:p>
        </w:tc>
        <w:tc>
          <w:tcPr>
            <w:tcW w:w="0" w:type="dxa"/>
            <w:vAlign w:val="bottom"/>
          </w:tcPr>
          <w:p>
            <w:pPr>
              <w:spacing w:after="0"/>
              <w:rPr>
                <w:sz w:val="1"/>
                <w:szCs w:val="1"/>
                <w:color w:val="auto"/>
              </w:rPr>
            </w:pPr>
          </w:p>
        </w:tc>
      </w:tr>
      <w:tr>
        <w:trPr>
          <w:trHeight w:val="28"/>
        </w:trPr>
        <w:tc>
          <w:tcPr>
            <w:tcW w:w="706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vMerge w:val="continue"/>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2,687.5</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3,050.7</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Acquisitions, Intangible Assets, Goodwill and Contingent Consideration</w:t>
      </w:r>
    </w:p>
    <w:p>
      <w:pPr>
        <w:spacing w:after="0" w:line="13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acquired businesses using the acquisition method of accounting in accordance with the provisions of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 w:cs="Times New Roman" w:eastAsia="Times New Roman" w:hAnsi="Times New Roman"/>
          <w:sz w:val="20"/>
          <w:szCs w:val="20"/>
          <w:i w:val="1"/>
          <w:iCs w:val="1"/>
          <w:color w:val="auto"/>
        </w:rPr>
        <w:t>Acquisitions and Other Transactions</w:t>
      </w:r>
      <w:r>
        <w:rPr>
          <w:rFonts w:ascii="Times New Roman" w:cs="Times New Roman" w:eastAsia="Times New Roman" w:hAnsi="Times New Roman"/>
          <w:sz w:val="20"/>
          <w:szCs w:val="20"/>
          <w:color w:val="auto"/>
        </w:rPr>
        <w:t xml:space="preserve"> and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xml:space="preserve"> included in Part II. Item 8 of this Form 10-K for additional information.</w:t>
      </w:r>
    </w:p>
    <w:p>
      <w:pPr>
        <w:spacing w:after="0" w:line="23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2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records contingent consideration resulting from business acquisitions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24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24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reviews goodwill for impairment at least annually or more frequently if events or changes in circumstances indicate that the carrying value of goodwill may not be recoverable based on management’s</w:t>
      </w:r>
    </w:p>
    <w:p>
      <w:pPr>
        <w:sectPr>
          <w:pgSz w:w="11880" w:h="15480" w:orient="portrait"/>
          <w:cols w:equalWidth="0" w:num="1">
            <w:col w:w="9120"/>
          </w:cols>
          <w:pgMar w:left="1380" w:top="1248" w:right="1380" w:bottom="654"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120"/>
          </w:cols>
          <w:pgMar w:left="1380" w:top="1248" w:right="1380" w:bottom="654" w:gutter="0" w:footer="0" w:header="0"/>
          <w:type w:val="continuous"/>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auto"/>
        </w:rPr>
        <w:t>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25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As of March 31, 2022 and April 1, 2022, the Company determined that the fair value of the North America and Greater China reporting units was substantially in excess of the respective unit’s carrying value.</w:t>
      </w:r>
    </w:p>
    <w:p>
      <w:pPr>
        <w:spacing w:after="0" w:line="26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5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rate.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25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w:t>
      </w:r>
    </w:p>
    <w:p>
      <w:pPr>
        <w:sectPr>
          <w:pgSz w:w="11880" w:h="15480" w:orient="portrait"/>
          <w:cols w:equalWidth="0" w:num="1">
            <w:col w:w="9120"/>
          </w:cols>
          <w:pgMar w:left="1380" w:top="1322" w:right="1380" w:bottom="65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120"/>
          </w:cols>
          <w:pgMar w:left="1380" w:top="1322" w:right="1380" w:bottom="654" w:gutter="0" w:footer="0" w:header="0"/>
          <w:type w:val="continuous"/>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20"/>
          <w:szCs w:val="20"/>
          <w:color w:val="auto"/>
        </w:rPr>
        <w:t>was approximately 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the fourth quarter of 2022, we determined that our Upjohn Distributor Markets should be classified as held for sale on the December 31, 2022 consolidated balance sheet. The Company allocated goodwill to its Upjohn Distributor Markets using a relative fair value approach and recorded a goodwill impairment charge of $117.0 million within the Emerging Markets reporting unit, which was recorded within SG&amp;A in the consolidated statement of operations.</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have assessed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25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For the years ended December 31, 2021 and 2020, the Company recorded $83.4 million (related to the sale of a group of OTC products in the U.S.) and $45.0 million, respectively, of impairment charges for finite-lived intangible assets, which were recorded as a component of amortization expense. At December 31, 2022 and 2021, the Company’s finite-lived intangible assets totaled $22.57 billion and $26.09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spacing w:after="0" w:line="25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If the divestitures of the Upjohn Distributor Markets are not completed during 2023, the distribution arrangements will expire and the Company will wind down operations in these markets, which may result in additional asset impairment and other costs being incurred. These additional charges could be in excess of $300 million.</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indefinite-lived intangible assets,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2022, 2021 and 2020, the Company recorded $0.6 million, $19.4 million, and $37.4 million, respectively, of impairment charges, which were recorded as a component of amortization expense. At December 31, 2022 and 2021, the Company’s IPR&amp;D assets totaled $40.2 million and $46.5 million, respectively.</w:t>
      </w:r>
    </w:p>
    <w:p>
      <w:pPr>
        <w:sectPr>
          <w:pgSz w:w="11880" w:h="15480" w:orient="portrait"/>
          <w:cols w:equalWidth="0" w:num="1">
            <w:col w:w="9120"/>
          </w:cols>
          <w:pgMar w:left="1380" w:top="1322" w:right="1380" w:bottom="654"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120"/>
          </w:cols>
          <w:pgMar w:left="1380" w:top="1322" w:right="1380" w:bottom="654" w:gutter="0" w:footer="0" w:header="0"/>
          <w:type w:val="continuous"/>
        </w:sectPr>
      </w:pPr>
    </w:p>
    <w:bookmarkStart w:id="94" w:name="page95"/>
    <w:bookmarkEnd w:id="94"/>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fair value of both IPR&amp;D and finite-lived intangible assets was determined based upon detailed valuations employing the income approach which utilized Level 3 inputs, as defined in Note 10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Instruments and Risk Management </w:t>
      </w:r>
      <w:r>
        <w:rPr>
          <w:rFonts w:ascii="Times New Roman" w:cs="Times New Roman" w:eastAsia="Times New Roman" w:hAnsi="Times New Roman"/>
          <w:sz w:val="20"/>
          <w:szCs w:val="20"/>
          <w:color w:val="auto"/>
        </w:rPr>
        <w:t>included in Part II. Item 8 of this Form 10-K. Changes to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assumptions including changes to or abandonment of development programs, regulatory timelines, discount rates or the competitive environment related to the assets could lead to future material impairment charges.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2022, our reserve for unrecognized tax benefits totaled $296.7 million, of which $258.1 million was recorded in connection with the Combination and is subject to Pfizer’s indemnification obligations to Viatris under the Tax Matters Agreement.</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2022. Such objective evidence limits the ability to consider other subjective evidence such as our projections for future growth.</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Based on this evaluation and other factors, as of December 31, 2022, a valuation allowance of $387.0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2022 and 2021, the Company’s net deferred tax assets totaled $925.9 million and $1.33 billion, respectively.</w:t>
      </w:r>
    </w:p>
    <w:p>
      <w:pPr>
        <w:spacing w:after="0" w:line="25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 variance of 5% between estimated reserves and valuation allowances and actual resolution and realization of these tax items would have an effect on our reserve balance and valuation allowance of approximately $34.2 million.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w:t>
      </w:r>
    </w:p>
    <w:p>
      <w:pPr>
        <w:sectPr>
          <w:pgSz w:w="11880" w:h="15480" w:orient="portrait"/>
          <w:cols w:equalWidth="0" w:num="1">
            <w:col w:w="9120"/>
          </w:cols>
          <w:pgMar w:left="1380" w:top="1322" w:right="1380" w:bottom="65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120"/>
          </w:cols>
          <w:pgMar w:left="1380" w:top="1322" w:right="1380" w:bottom="654" w:gutter="0" w:footer="0" w:header="0"/>
          <w:type w:val="continuous"/>
        </w:sectPr>
      </w:pPr>
    </w:p>
    <w:bookmarkStart w:id="95" w:name="page96"/>
    <w:bookmarkEnd w:id="95"/>
    <w:p>
      <w:pPr>
        <w:jc w:val="both"/>
        <w:spacing w:after="0" w:line="245" w:lineRule="auto"/>
        <w:rPr>
          <w:sz w:val="20"/>
          <w:szCs w:val="20"/>
          <w:color w:val="auto"/>
        </w:rPr>
      </w:pPr>
      <w:r>
        <w:rPr>
          <w:rFonts w:ascii="Times New Roman" w:cs="Times New Roman" w:eastAsia="Times New Roman" w:hAnsi="Times New Roman"/>
          <w:sz w:val="20"/>
          <w:szCs w:val="20"/>
          <w:color w:val="auto"/>
        </w:rPr>
        <w:t>potential that an adverse outcome in a legal proceeding could have a material adverse effect on our business, financial condition, results of operations, cash flows, and/or ordinary share price, such estimates are considered to be critical accounting estimates.</w:t>
      </w:r>
    </w:p>
    <w:p>
      <w:pPr>
        <w:spacing w:after="0" w:line="24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A variance of 5% between estimated and recorded litigation reserves and actual resolution of certain legal matters would have an effect on our litigation reserve balance of approximately $10.2 million. Refer to Note 20 </w:t>
      </w:r>
      <w:r>
        <w:rPr>
          <w:rFonts w:ascii="Times New Roman" w:cs="Times New Roman" w:eastAsia="Times New Roman" w:hAnsi="Times New Roman"/>
          <w:sz w:val="20"/>
          <w:szCs w:val="20"/>
          <w:i w:val="1"/>
          <w:iCs w:val="1"/>
          <w:color w:val="auto"/>
        </w:rPr>
        <w:t xml:space="preserve">Litigation </w:t>
      </w:r>
      <w:r>
        <w:rPr>
          <w:rFonts w:ascii="Times New Roman" w:cs="Times New Roman" w:eastAsia="Times New Roman" w:hAnsi="Times New Roman"/>
          <w:sz w:val="20"/>
          <w:szCs w:val="20"/>
          <w:color w:val="auto"/>
        </w:rPr>
        <w:t>included in Part II. Item 8 of this Form 10-K for further discussion of litigation matters.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Currency Fluctuations and Inflation</w:t>
      </w:r>
    </w:p>
    <w:p>
      <w:pPr>
        <w:spacing w:after="0" w:line="13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During 2022, the global economy has been impacted by high levels of inflation and rising energy costs, which has resulted in significant economic volatility. As a result, central banks have and continue to tighten their monetary policies and increase interest rates. These macroeconomic pressures combined with the volatility in foreign exchange rates, including the strengthening of the U.S. dollar versus the other currencies in which we operate, negatively impacts our results of operations. We proactively look to manage such macroeconomic pressures by implementing strategies to mitigate and partially offset the impact of these factors. While inflationary and other macroeconomic pressures may ease, we continue to experience higher costs and we expect that this will likely continue throughout 2023.</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Refer to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Part II. Item 8 of this Form 10-K for recently adopted accounting pronouncements and recently issued accounting pronouncements not yet adopted.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Exchange Risk</w:t>
      </w:r>
    </w:p>
    <w:p>
      <w:pPr>
        <w:spacing w:after="0" w:line="13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24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spacing w:after="0" w:line="24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financial instrument holdings at year end were analyzed to determine their sensitivity to foreign exchange rate changes. The fair values of these instruments were determined as follows:</w:t>
      </w:r>
    </w:p>
    <w:p>
      <w:pPr>
        <w:spacing w:after="0" w:line="127" w:lineRule="exact"/>
        <w:rPr>
          <w:sz w:val="20"/>
          <w:szCs w:val="20"/>
          <w:color w:val="auto"/>
        </w:rPr>
      </w:pPr>
    </w:p>
    <w:p>
      <w:pPr>
        <w:ind w:left="800" w:hanging="300"/>
        <w:spacing w:after="0"/>
        <w:tabs>
          <w:tab w:leader="none" w:pos="8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forward-exchange contracts — net present values</w:t>
      </w:r>
    </w:p>
    <w:p>
      <w:pPr>
        <w:spacing w:after="0" w:line="12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denominated receivables, payables, debt and loans — changes in exchange rates</w:t>
      </w:r>
    </w:p>
    <w:p>
      <w:pPr>
        <w:spacing w:after="0" w:line="25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24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If there were an adverse change in foreign currency exchange rates of 10%, the expected net effect on net income related to Viatris’ foreign currency denominated financial instruments would not be material.</w:t>
      </w:r>
    </w:p>
    <w:p>
      <w:pPr>
        <w:sectPr>
          <w:pgSz w:w="11880" w:h="15480" w:orient="portrait"/>
          <w:cols w:equalWidth="0" w:num="1">
            <w:col w:w="9120"/>
          </w:cols>
          <w:pgMar w:left="1380" w:top="1322" w:right="1380" w:bottom="654"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120"/>
          </w:cols>
          <w:pgMar w:left="1380" w:top="1322" w:right="1380" w:bottom="654" w:gutter="0" w:footer="0" w:header="0"/>
          <w:type w:val="continuous"/>
        </w:sectPr>
      </w:pPr>
    </w:p>
    <w:bookmarkStart w:id="96" w:name="page97"/>
    <w:bookmarkEnd w:id="96"/>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and Long-Term Debt Risk</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2022, Viatris’ outstanding fixed rate borrowings consist principally of $18.41 billion notional amount of senior U.S. dollar and Euro notes. Generally, the fair value of fixed interest rate debt will decrease as interest rates rise and increase as interest rates fall. As of December 31, 2022, the fair value of our outstanding fixed rate senior U.S. dollar and Euro notes was approximately $15.36 billion. As of December 31, 2022, Viatris’ outstanding variable rate borrowings consist principally of borrowings under the Yen Term Loan Facility of $305.1 million. A 100 basis point change in interest rates on Viatris’ variable rate debt, net of interest rate swaps, would result in a change in interest expense of approximately $3.1 million per year.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Risk</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fair value risk exposure relates primarily to our equity investments that do not have readily determinable fair values, principally the CCPS received as part of the Biocon Biologics Transaction. As of December 31, 2022 and 2021, the carrying value of these investments were approximately $1.09 billion and $81.4 million, respectively. A hypothetical 20 percent decline in the fair value of these investments would have decreased the carrying value and other (income) expense, net by approximately $218.0 million at December 31, 2022.</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120"/>
          </w:cols>
          <w:pgMar w:left="1380" w:top="1322" w:right="1380" w:bottom="654" w:gutter="0" w:footer="0" w:header="0"/>
          <w:type w:val="continuous"/>
        </w:sectPr>
      </w:pPr>
    </w:p>
    <w:bookmarkStart w:id="97" w:name="page98"/>
    <w:bookmarkEnd w:id="97"/>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8.</w:t>
        <w:tab/>
        <w:t>Financial Statements And Supplementary Data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Supplementary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26"/>
        </w:trPr>
        <w:tc>
          <w:tcPr>
            <w:tcW w:w="8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402"/>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(PCAOB ID No. 34)</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2022, 2021 and 2021</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Earnings (Loss) for the Years Ended December 31, 2022,</w:t>
            </w:r>
          </w:p>
        </w:tc>
        <w:tc>
          <w:tcPr>
            <w:tcW w:w="320" w:type="dxa"/>
            <w:vAlign w:val="bottom"/>
          </w:tcPr>
          <w:p>
            <w:pPr>
              <w:spacing w:after="0"/>
              <w:rPr>
                <w:sz w:val="24"/>
                <w:szCs w:val="24"/>
                <w:color w:val="auto"/>
              </w:rPr>
            </w:pPr>
          </w:p>
        </w:tc>
      </w:tr>
      <w:tr>
        <w:trPr>
          <w:trHeight w:val="24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2021 and 2020</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Equity for the Years Ended December 31, 2022, 2021 and 2020</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100</w:t>
            </w:r>
          </w:p>
        </w:tc>
      </w:tr>
      <w:tr>
        <w:trPr>
          <w:trHeight w:val="3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w:t>
            </w: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120"/>
          </w:cols>
          <w:pgMar w:left="1380" w:top="1312" w:right="1380" w:bottom="654"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2013)</w:t>
      </w:r>
      <w:r>
        <w:rPr>
          <w:rFonts w:ascii="Times New Roman" w:cs="Times New Roman" w:eastAsia="Times New Roman" w:hAnsi="Times New Roman"/>
          <w:sz w:val="20"/>
          <w:szCs w:val="20"/>
          <w:color w:val="auto"/>
        </w:rPr>
        <w:t>, issued by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As a result of this assessment, management has concluded that the Company maintained effective internal control over financial reporting as of December 31, 2022 based on the criteria in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COSO.</w:t>
      </w:r>
    </w:p>
    <w:p>
      <w:pPr>
        <w:spacing w:after="0" w:line="25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95 of this Annual Report on Form 10-K.</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120"/>
          </w:cols>
          <w:pgMar w:left="1380" w:top="1312" w:right="1380" w:bottom="654" w:gutter="0" w:footer="0" w:header="0"/>
          <w:type w:val="continuous"/>
        </w:sectPr>
      </w:pPr>
    </w:p>
    <w:bookmarkStart w:id="99" w:name="page100"/>
    <w:bookmarkEnd w:id="99"/>
    <w:p>
      <w:pPr>
        <w:ind w:right="2280"/>
        <w:spacing w:after="0" w:line="362" w:lineRule="auto"/>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To the shareholders and the Board of Directors of Viatris Inc.: Opinion on the Financial Statements</w:t>
      </w:r>
    </w:p>
    <w:p>
      <w:pPr>
        <w:spacing w:after="0" w:line="1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Viatris Inc. and subsidiaries (the “Company”) as of December 31, 2022 and 2021, the related consolidated statements of operations, comprehensive earnings (loss),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3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February 27, 2023, expressed an unqualified opinion on the Company’s internal control over financial reporting.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2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w:t>
      </w:r>
    </w:p>
    <w:p>
      <w:pPr>
        <w:spacing w:after="0" w:line="22" w:lineRule="exact"/>
        <w:rPr>
          <w:sz w:val="20"/>
          <w:szCs w:val="20"/>
          <w:color w:val="auto"/>
        </w:rPr>
      </w:pPr>
    </w:p>
    <w:p>
      <w:pPr>
        <w:jc w:val="both"/>
        <w:spacing w:after="0" w:line="247" w:lineRule="auto"/>
        <w:tabs>
          <w:tab w:leader="none" w:pos="29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33" w:lineRule="exact"/>
        <w:rPr>
          <w:sz w:val="20"/>
          <w:szCs w:val="20"/>
          <w:color w:val="auto"/>
        </w:rPr>
      </w:pPr>
    </w:p>
    <w:p>
      <w:pPr>
        <w:ind w:right="80"/>
        <w:spacing w:after="0" w:line="360" w:lineRule="auto"/>
        <w:rPr>
          <w:sz w:val="20"/>
          <w:szCs w:val="20"/>
          <w:color w:val="auto"/>
        </w:rPr>
      </w:pPr>
      <w:r>
        <w:rPr>
          <w:rFonts w:ascii="Times New Roman" w:cs="Times New Roman" w:eastAsia="Times New Roman" w:hAnsi="Times New Roman"/>
          <w:sz w:val="20"/>
          <w:szCs w:val="20"/>
          <w:b w:val="1"/>
          <w:bCs w:val="1"/>
          <w:color w:val="auto"/>
        </w:rPr>
        <w:t xml:space="preserve">Goodwill — Viatris Inc. Europe and JANZ Reporting Units — Refer to Note 9 to the financial statements. </w:t>
      </w:r>
      <w:r>
        <w:rPr>
          <w:rFonts w:ascii="Times New Roman" w:cs="Times New Roman" w:eastAsia="Times New Roman" w:hAnsi="Times New Roman"/>
          <w:sz w:val="20"/>
          <w:szCs w:val="20"/>
          <w:i w:val="1"/>
          <w:iCs w:val="1"/>
          <w:color w:val="auto"/>
        </w:rPr>
        <w:t>Critical Audit Matter Description</w:t>
      </w:r>
    </w:p>
    <w:p>
      <w:pPr>
        <w:spacing w:after="0" w:line="1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performed an interim and annual goodwill impairment test as of March 31, 2022 and April 1, 2022, respectively. As of March 31, 2022 and April 1, 2022, the Company had $11.95 billion of consolidated goodwill, $4.95 billion and $0.78 billion of which was allocated to the Viatris Inc. Europe and JANZ reporting</w:t>
      </w:r>
    </w:p>
    <w:p>
      <w:pPr>
        <w:sectPr>
          <w:pgSz w:w="11880" w:h="15480" w:orient="portrait"/>
          <w:cols w:equalWidth="0" w:num="1">
            <w:col w:w="9120"/>
          </w:cols>
          <w:pgMar w:left="1380" w:top="1314" w:right="1380" w:bottom="65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120"/>
          </w:cols>
          <w:pgMar w:left="1380" w:top="1314" w:right="1380" w:bottom="654" w:gutter="0" w:footer="0" w:header="0"/>
          <w:type w:val="continuous"/>
        </w:sectPr>
      </w:pPr>
    </w:p>
    <w:bookmarkStart w:id="100" w:name="page101"/>
    <w:bookmarkEnd w:id="100"/>
    <w:p>
      <w:pPr>
        <w:jc w:val="both"/>
        <w:spacing w:after="0" w:line="249" w:lineRule="auto"/>
        <w:rPr>
          <w:sz w:val="20"/>
          <w:szCs w:val="20"/>
          <w:color w:val="auto"/>
        </w:rPr>
      </w:pPr>
      <w:r>
        <w:rPr>
          <w:rFonts w:ascii="Times New Roman" w:cs="Times New Roman" w:eastAsia="Times New Roman" w:hAnsi="Times New Roman"/>
          <w:sz w:val="20"/>
          <w:szCs w:val="20"/>
          <w:color w:val="auto"/>
        </w:rPr>
        <w:t>units, respectively. The Company’s evaluation of goodwill for impairment involves the comparison of the estimated fair value of each reporting unit to its carrying value. The Company performed its valuation analysis, using both income and market-based approaches, to determine the fair value of its Europe and JANZ reporting units. The determination of the fair value requires management to make significant estimates and assumptions that affect the reporting unit’s expected future cash flows. These estimates and assumptions, utilizing Level 3 valuation inputs, primarily include, but are not limited to, market multiples, control premiums, discount rates, terminal growth rates, operating income before depreciation and amortization, and capital expenditures forecasts. The fair values of the Europe and the JANZ reporting units exceeded their carrying values by approximately $0.8 billion, or 5.3%, and $0.23 billion, or 7.4%, respectively, as of March 31, 2022 and April 1, 2022 and, therefore, no impairments were recognized.</w:t>
      </w:r>
    </w:p>
    <w:p>
      <w:pPr>
        <w:spacing w:after="0" w:line="21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Given that the Europe and JANZ reporting unit’s revenues are sensitive to changes in consumer demand, the approval of new product launches, the expansion of existing products into new jurisdictions (which have differentiated distribution and commercialization models throughout the regions), and the impact of business development activity, auditing management’s judgments regarding forecasts of future revenues, and the selection of the discount rates and terminal growth rates required a high degree of auditor judgment and an increased extent of effort, including the need to involve our fair value specialists.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1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audit procedures related to the forecasts of future revenues (“forecasts”), and the selection of the discount rates and terminal growth rates for the Europe and the JANZ reporting units included the following procedures, among others:</w:t>
      </w:r>
    </w:p>
    <w:p>
      <w:pPr>
        <w:spacing w:after="0" w:line="114" w:lineRule="exact"/>
        <w:rPr>
          <w:sz w:val="20"/>
          <w:szCs w:val="20"/>
          <w:color w:val="auto"/>
        </w:rPr>
      </w:pPr>
    </w:p>
    <w:p>
      <w:pPr>
        <w:jc w:val="both"/>
        <w:ind w:left="800" w:hanging="300"/>
        <w:spacing w:after="0" w:line="245"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the review of the goodwill impairment tests, including those over the development of the business forecasts of future revenues and the selection of the discount rates and terminal growth rates.</w:t>
      </w:r>
    </w:p>
    <w:p>
      <w:pPr>
        <w:spacing w:after="0" w:line="113"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forecast future revenues of the Europe and JANZ reporting units by comparing actual results to management’s historical forecasts.</w:t>
      </w:r>
    </w:p>
    <w:p>
      <w:pPr>
        <w:spacing w:after="0" w:line="10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revenue forecasts by comparing the projections to</w:t>
      </w:r>
    </w:p>
    <w:p>
      <w:pPr>
        <w:spacing w:after="0" w:line="10" w:lineRule="exact"/>
        <w:rPr>
          <w:rFonts w:ascii="Times New Roman" w:cs="Times New Roman" w:eastAsia="Times New Roman" w:hAnsi="Times New Roman"/>
          <w:sz w:val="20"/>
          <w:szCs w:val="20"/>
          <w:color w:val="auto"/>
        </w:rPr>
      </w:pPr>
    </w:p>
    <w:p>
      <w:pPr>
        <w:ind w:left="1120" w:hanging="320"/>
        <w:spacing w:after="0"/>
        <w:tabs>
          <w:tab w:leader="none" w:pos="11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results, (2) internal communications to management and the Board of Directors, and</w:t>
      </w:r>
    </w:p>
    <w:p>
      <w:pPr>
        <w:spacing w:after="0" w:line="20" w:lineRule="exact"/>
        <w:rPr>
          <w:rFonts w:ascii="Times New Roman" w:cs="Times New Roman" w:eastAsia="Times New Roman" w:hAnsi="Times New Roman"/>
          <w:sz w:val="20"/>
          <w:szCs w:val="20"/>
          <w:color w:val="auto"/>
        </w:rPr>
      </w:pPr>
    </w:p>
    <w:p>
      <w:pPr>
        <w:jc w:val="both"/>
        <w:ind w:left="800"/>
        <w:spacing w:after="0" w:line="245" w:lineRule="auto"/>
        <w:tabs>
          <w:tab w:leader="none" w:pos="109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spacing w:after="0" w:line="113" w:lineRule="exact"/>
        <w:rPr>
          <w:rFonts w:ascii="Times New Roman" w:cs="Times New Roman" w:eastAsia="Times New Roman" w:hAnsi="Times New Roman"/>
          <w:sz w:val="20"/>
          <w:szCs w:val="20"/>
          <w:color w:val="auto"/>
        </w:rPr>
      </w:pPr>
    </w:p>
    <w:p>
      <w:pPr>
        <w:jc w:val="both"/>
        <w:ind w:left="800" w:hanging="300"/>
        <w:spacing w:after="0" w:line="247" w:lineRule="auto"/>
        <w:tabs>
          <w:tab w:leader="none" w:pos="8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spacing w:after="0" w:line="305" w:lineRule="exact"/>
        <w:rPr>
          <w:sz w:val="20"/>
          <w:szCs w:val="20"/>
          <w:color w:val="auto"/>
        </w:rPr>
      </w:pPr>
    </w:p>
    <w:p>
      <w:pPr>
        <w:ind w:right="300"/>
        <w:spacing w:after="0" w:line="350" w:lineRule="auto"/>
        <w:rPr>
          <w:sz w:val="20"/>
          <w:szCs w:val="20"/>
          <w:color w:val="auto"/>
        </w:rPr>
      </w:pPr>
      <w:r>
        <w:rPr>
          <w:rFonts w:ascii="Times New Roman" w:cs="Times New Roman" w:eastAsia="Times New Roman" w:hAnsi="Times New Roman"/>
          <w:sz w:val="20"/>
          <w:szCs w:val="20"/>
          <w:b w:val="1"/>
          <w:bCs w:val="1"/>
          <w:color w:val="auto"/>
        </w:rPr>
        <w:t xml:space="preserve">Net Revenue Provisions — Sales Returns Accrual at MPI — Refer to Note 3 to the financial statements. </w:t>
      </w:r>
      <w:r>
        <w:rPr>
          <w:rFonts w:ascii="Times New Roman" w:cs="Times New Roman" w:eastAsia="Times New Roman" w:hAnsi="Times New Roman"/>
          <w:sz w:val="20"/>
          <w:szCs w:val="20"/>
          <w:i w:val="1"/>
          <w:iCs w:val="1"/>
          <w:color w:val="auto"/>
        </w:rPr>
        <w:t>Critical Audit Matter Description</w:t>
      </w:r>
    </w:p>
    <w:p>
      <w:pPr>
        <w:spacing w:after="0" w:line="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MPI represents a significant component of the global sales returns reserve as of December 31, 2022.</w:t>
      </w:r>
    </w:p>
    <w:p>
      <w:pPr>
        <w:spacing w:after="0" w:line="21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w:t>
      </w:r>
    </w:p>
    <w:p>
      <w:pPr>
        <w:sectPr>
          <w:pgSz w:w="11880" w:h="15480" w:orient="portrait"/>
          <w:cols w:equalWidth="0" w:num="1">
            <w:col w:w="9120"/>
          </w:cols>
          <w:pgMar w:left="1380" w:top="1322" w:right="1380" w:bottom="65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120"/>
          </w:cols>
          <w:pgMar w:left="1380" w:top="1322" w:right="1380" w:bottom="654" w:gutter="0" w:footer="0" w:header="0"/>
          <w:type w:val="continuous"/>
        </w:sectPr>
      </w:pPr>
    </w:p>
    <w:bookmarkStart w:id="101" w:name="page102"/>
    <w:bookmarkEnd w:id="101"/>
    <w:p>
      <w:pPr>
        <w:jc w:val="both"/>
        <w:spacing w:after="0" w:line="245" w:lineRule="auto"/>
        <w:rPr>
          <w:sz w:val="20"/>
          <w:szCs w:val="20"/>
          <w:color w:val="auto"/>
        </w:rPr>
      </w:pPr>
      <w:r>
        <w:rPr>
          <w:rFonts w:ascii="Times New Roman" w:cs="Times New Roman" w:eastAsia="Times New Roman" w:hAnsi="Times New Roman"/>
          <w:sz w:val="20"/>
          <w:szCs w:val="20"/>
          <w:color w:val="auto"/>
        </w:rPr>
        <w:t>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audit procedures related to the Net Revenue Provisions – Sales Returns accrual included the following, among others:</w:t>
      </w:r>
    </w:p>
    <w:p>
      <w:pPr>
        <w:spacing w:after="0" w:line="142" w:lineRule="exact"/>
        <w:rPr>
          <w:sz w:val="20"/>
          <w:szCs w:val="20"/>
          <w:color w:val="auto"/>
        </w:rPr>
      </w:pPr>
    </w:p>
    <w:p>
      <w:pPr>
        <w:jc w:val="both"/>
        <w:ind w:left="800" w:hanging="300"/>
        <w:spacing w:after="0" w:line="245" w:lineRule="auto"/>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Company’s methodology and assumptions in developing their sales returns accrual model, including assessing the completeness and accuracy of the underlying data used by management in their estimates.</w:t>
      </w:r>
    </w:p>
    <w:p>
      <w:pPr>
        <w:spacing w:after="0" w:line="125"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the calculation of the sales returns reserve at MPI.</w:t>
      </w:r>
    </w:p>
    <w:p>
      <w:pPr>
        <w:spacing w:after="0" w:line="140"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compared prior period sales returns accruals to sales returns credits subsequently issued to evaluate management’s ability to accurately forecast sales returns activity.</w:t>
      </w:r>
    </w:p>
    <w:p>
      <w:pPr>
        <w:spacing w:after="0" w:line="141" w:lineRule="exact"/>
        <w:rPr>
          <w:rFonts w:ascii="Times New Roman" w:cs="Times New Roman" w:eastAsia="Times New Roman" w:hAnsi="Times New Roman"/>
          <w:sz w:val="20"/>
          <w:szCs w:val="20"/>
          <w:color w:val="auto"/>
        </w:rPr>
      </w:pPr>
    </w:p>
    <w:p>
      <w:pPr>
        <w:jc w:val="both"/>
        <w:ind w:left="800" w:hanging="300"/>
        <w:spacing w:after="0" w:line="248" w:lineRule="auto"/>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 DELOITTE &amp; TOUCHE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1976.</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120"/>
          </w:cols>
          <w:pgMar w:left="1380" w:top="1322" w:right="1380" w:bottom="654" w:gutter="0" w:footer="0" w:header="0"/>
          <w:type w:val="continuous"/>
        </w:sectPr>
      </w:pPr>
    </w:p>
    <w:bookmarkStart w:id="102" w:name="page103"/>
    <w:bookmarkEnd w:id="102"/>
    <w:p>
      <w:pPr>
        <w:ind w:right="2280"/>
        <w:spacing w:after="0" w:line="346" w:lineRule="auto"/>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To the shareholders and the Board of Directors of Viatris Inc.: Opinion on Internal Control over Financial Reporting</w:t>
      </w:r>
    </w:p>
    <w:p>
      <w:pPr>
        <w:spacing w:after="0" w:line="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Viatris, Inc. and subsidiaries (the “Company”) as of December 31, 2022,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(COSO). In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198"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2022, of the Company and our report dated February 27, 2023, expressed an unqualified opinion on those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0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0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 DELOITTE &amp; TOUCHE LLP</w:t>
      </w: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rPr>
          <w:sz w:val="20"/>
          <w:szCs w:val="20"/>
          <w:color w:val="auto"/>
        </w:rPr>
      </w:pPr>
      <w:r>
        <w:rPr>
          <w:rFonts w:ascii="Times New Roman" w:cs="Times New Roman" w:eastAsia="Times New Roman" w:hAnsi="Times New Roman"/>
          <w:sz w:val="20"/>
          <w:szCs w:val="20"/>
          <w:color w:val="auto"/>
        </w:rPr>
        <w:t>February 27, 2023</w:t>
      </w:r>
    </w:p>
    <w:p>
      <w:pPr>
        <w:sectPr>
          <w:pgSz w:w="11880" w:h="15480" w:orient="portrait"/>
          <w:cols w:equalWidth="0" w:num="1">
            <w:col w:w="9120"/>
          </w:cols>
          <w:pgMar w:left="1380" w:top="1314" w:right="1380" w:bottom="654"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120"/>
          </w:cols>
          <w:pgMar w:left="1380" w:top="1314" w:right="1380" w:bottom="654" w:gutter="0" w:footer="0" w:header="0"/>
          <w:type w:val="continuous"/>
        </w:sectPr>
      </w:pPr>
    </w:p>
    <w:bookmarkStart w:id="103" w:name="page104"/>
    <w:bookmarkEnd w:id="103"/>
    <w:p>
      <w:pPr>
        <w:jc w:val="center"/>
        <w:ind w:left="25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VIATRIS INC. AND SUBSIDIARIES Consolidated Balance Sheets </w:t>
      </w:r>
      <w:r>
        <w:rPr>
          <w:rFonts w:ascii="Times New Roman" w:cs="Times New Roman" w:eastAsia="Times New Roman" w:hAnsi="Times New Roman"/>
          <w:sz w:val="20"/>
          <w:szCs w:val="20"/>
          <w:color w:val="auto"/>
        </w:rPr>
        <w:t>(In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29" w:lineRule="auto"/>
        <w:rPr>
          <w:sz w:val="20"/>
          <w:szCs w:val="20"/>
          <w:color w:val="auto"/>
        </w:rPr>
      </w:pPr>
      <w:r>
        <w:rPr>
          <w:rFonts w:ascii="Times New Roman" w:cs="Times New Roman" w:eastAsia="Times New Roman" w:hAnsi="Times New Roman"/>
          <w:sz w:val="20"/>
          <w:szCs w:val="20"/>
          <w:color w:val="auto"/>
        </w:rPr>
        <w:t>Assets</w:t>
      </w:r>
    </w:p>
    <w:p>
      <w:pPr>
        <w:ind w:left="200"/>
        <w:spacing w:after="0" w:line="230" w:lineRule="auto"/>
        <w:rPr>
          <w:sz w:val="20"/>
          <w:szCs w:val="20"/>
          <w:color w:val="auto"/>
        </w:rPr>
      </w:pPr>
      <w:r>
        <w:rPr>
          <w:rFonts w:ascii="Times New Roman" w:cs="Times New Roman" w:eastAsia="Times New Roman" w:hAnsi="Times New Roman"/>
          <w:sz w:val="20"/>
          <w:szCs w:val="20"/>
          <w:color w:val="auto"/>
        </w:rPr>
        <w:t>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1080" w:type="dxa"/>
            <w:vAlign w:val="bottom"/>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2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711" w:lineRule="exact"/>
        <w:rPr>
          <w:sz w:val="20"/>
          <w:szCs w:val="20"/>
          <w:color w:val="auto"/>
        </w:rPr>
      </w:pPr>
    </w:p>
    <w:p>
      <w:pPr>
        <w:sectPr>
          <w:pgSz w:w="11880" w:h="15480" w:orient="portrait"/>
          <w:cols w:equalWidth="0" w:num="2">
            <w:col w:w="6540" w:space="240"/>
            <w:col w:w="2340"/>
          </w:cols>
          <w:pgMar w:left="1380" w:top="1314" w:right="1380" w:bottom="654" w:gutter="0" w:footer="0" w:header="0"/>
        </w:sectPr>
      </w:pPr>
    </w:p>
    <w:p>
      <w:pPr>
        <w:ind w:left="4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Inventories  . . . . . . . . . . . .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Assets held for sale . . . . . . . . . . . . . . . . . . . . . . . . . . . . . . . . . . . . . . . . . . . . . .</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Deferred income tax benefit . . . . . . . . . . . . . . . . . . . . . . . . . . . . . . . . . . . . . . .</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 .</w:t>
      </w:r>
    </w:p>
    <w:p>
      <w:pPr>
        <w:spacing w:after="0" w:line="80"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20"/>
          <w:szCs w:val="20"/>
          <w:color w:val="auto"/>
        </w:rPr>
        <w:t xml:space="preserve">Total assets . . . . . . . . . . . . . . . . . . . . . . . . . . . . . . . . . . . . . . . . . . . . . . . . . . . . . . . . </w:t>
      </w:r>
      <w:r>
        <w:rPr>
          <w:rFonts w:ascii="Times New Roman" w:cs="Times New Roman" w:eastAsia="Times New Roman" w:hAnsi="Times New Roman"/>
          <w:sz w:val="20"/>
          <w:szCs w:val="20"/>
          <w:b w:val="1"/>
          <w:bCs w:val="1"/>
          <w:color w:val="auto"/>
        </w:rPr>
        <w:t>LIABILITIES AND EQUITY</w:t>
      </w:r>
    </w:p>
    <w:p>
      <w:pPr>
        <w:spacing w:after="0" w:line="229" w:lineRule="auto"/>
        <w:rPr>
          <w:sz w:val="20"/>
          <w:szCs w:val="20"/>
          <w:color w:val="auto"/>
        </w:rPr>
      </w:pPr>
      <w:r>
        <w:rPr>
          <w:rFonts w:ascii="Times New Roman" w:cs="Times New Roman" w:eastAsia="Times New Roman" w:hAnsi="Times New Roman"/>
          <w:sz w:val="20"/>
          <w:szCs w:val="20"/>
          <w:color w:val="auto"/>
        </w:rPr>
        <w:t>Liabilities</w:t>
      </w:r>
    </w:p>
    <w:p>
      <w:pPr>
        <w:ind w:left="200"/>
        <w:spacing w:after="0" w:line="230" w:lineRule="auto"/>
        <w:rPr>
          <w:sz w:val="20"/>
          <w:szCs w:val="20"/>
          <w:color w:val="auto"/>
        </w:rPr>
      </w:pPr>
      <w:r>
        <w:rPr>
          <w:rFonts w:ascii="Times New Roman" w:cs="Times New Roman" w:eastAsia="Times New Roman" w:hAnsi="Times New Roman"/>
          <w:sz w:val="20"/>
          <w:szCs w:val="20"/>
          <w:color w:val="auto"/>
        </w:rPr>
        <w:t>Current liabilities:</w:t>
      </w:r>
    </w:p>
    <w:p>
      <w:pPr>
        <w:spacing w:after="0" w:line="20" w:lineRule="exact"/>
        <w:rPr>
          <w:sz w:val="20"/>
          <w:szCs w:val="20"/>
          <w:color w:val="auto"/>
        </w:rPr>
      </w:pPr>
      <w:r>
        <w:rPr>
          <w:sz w:val="20"/>
          <w:szCs w:val="20"/>
          <w:color w:val="auto"/>
        </w:rPr>
        <w:br w:type="column"/>
      </w:r>
    </w:p>
    <w:p>
      <w:pPr>
        <w:ind w:left="400" w:hanging="394"/>
        <w:spacing w:after="0"/>
        <w:tabs>
          <w:tab w:leader="none" w:pos="4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1,259.9</w:t>
      </w:r>
    </w:p>
    <w:p>
      <w:pPr>
        <w:spacing w:after="0" w:line="1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3,814.5</w:t>
      </w:r>
    </w:p>
    <w:p>
      <w:pPr>
        <w:spacing w:after="0" w:line="1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3,519.5</w:t>
      </w:r>
    </w:p>
    <w:p>
      <w:pPr>
        <w:spacing w:after="0" w:line="1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1,811.2</w:t>
      </w:r>
    </w:p>
    <w:p>
      <w:pPr>
        <w:spacing w:after="0" w:line="20"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230.3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21590</wp:posOffset>
                </wp:positionV>
                <wp:extent cx="67754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pt" to="53.6pt,1.7pt" o:allowincell="f" strokecolor="#000000" strokeweight="0.5pt"/>
            </w:pict>
          </mc:Fallback>
        </mc:AlternateConten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10,635.4</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3,024.5</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22,607.1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10,425.8</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925.9</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2,403.5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20320</wp:posOffset>
                </wp:positionV>
                <wp:extent cx="6775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pt" to="53.6pt,1.6pt" o:allowincell="f" strokecolor="#000000" strokeweight="0.5pt"/>
            </w:pict>
          </mc:Fallback>
        </mc:AlternateContent>
      </w:r>
    </w:p>
    <w:p>
      <w:pPr>
        <w:spacing w:after="0" w:line="50" w:lineRule="exact"/>
        <w:rPr>
          <w:sz w:val="20"/>
          <w:szCs w:val="20"/>
          <w:color w:val="auto"/>
        </w:rPr>
      </w:pPr>
    </w:p>
    <w:p>
      <w:pPr>
        <w:ind w:left="300" w:hanging="294"/>
        <w:spacing w:after="0"/>
        <w:tabs>
          <w:tab w:leader="none" w:pos="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50,022.2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20320</wp:posOffset>
                </wp:positionV>
                <wp:extent cx="67754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pt" to="53.6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45720</wp:posOffset>
                </wp:positionV>
                <wp:extent cx="6775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6pt" to="53.6pt,3.6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ind w:left="547" w:hanging="547"/>
        <w:spacing w:after="0"/>
        <w:tabs>
          <w:tab w:leader="none" w:pos="54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701.2</w:t>
      </w:r>
    </w:p>
    <w:p>
      <w:pPr>
        <w:spacing w:after="0" w:line="10" w:lineRule="exact"/>
        <w:rPr>
          <w:rFonts w:ascii="Times New Roman" w:cs="Times New Roman" w:eastAsia="Times New Roman" w:hAnsi="Times New Roman"/>
          <w:sz w:val="20"/>
          <w:szCs w:val="20"/>
          <w:color w:val="auto"/>
        </w:rPr>
      </w:pPr>
    </w:p>
    <w:p>
      <w:pPr>
        <w:ind w:left="40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4,266.4</w:t>
      </w:r>
    </w:p>
    <w:p>
      <w:pPr>
        <w:spacing w:after="0" w:line="10" w:lineRule="exact"/>
        <w:rPr>
          <w:rFonts w:ascii="Times New Roman" w:cs="Times New Roman" w:eastAsia="Times New Roman" w:hAnsi="Times New Roman"/>
          <w:sz w:val="20"/>
          <w:szCs w:val="20"/>
          <w:color w:val="auto"/>
        </w:rPr>
      </w:pPr>
    </w:p>
    <w:p>
      <w:pPr>
        <w:ind w:left="40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3,977.7</w:t>
      </w:r>
    </w:p>
    <w:p>
      <w:pPr>
        <w:spacing w:after="0" w:line="10" w:lineRule="exact"/>
        <w:rPr>
          <w:rFonts w:ascii="Times New Roman" w:cs="Times New Roman" w:eastAsia="Times New Roman" w:hAnsi="Times New Roman"/>
          <w:sz w:val="20"/>
          <w:szCs w:val="20"/>
          <w:color w:val="auto"/>
        </w:rPr>
      </w:pPr>
    </w:p>
    <w:p>
      <w:pPr>
        <w:ind w:left="40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1,957.6</w:t>
      </w:r>
    </w:p>
    <w:p>
      <w:pPr>
        <w:spacing w:after="0" w:line="10" w:lineRule="exact"/>
        <w:rPr>
          <w:rFonts w:ascii="Times New Roman" w:cs="Times New Roman" w:eastAsia="Times New Roman" w:hAnsi="Times New Roman"/>
          <w:sz w:val="20"/>
          <w:szCs w:val="20"/>
          <w:color w:val="auto"/>
        </w:rPr>
      </w:pPr>
    </w:p>
    <w:p>
      <w:pPr>
        <w:ind w:left="80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7754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3.35pt,1.65pt" o:allowincell="f" strokecolor="#000000" strokeweight="0.5pt"/>
            </w:pict>
          </mc:Fallback>
        </mc:AlternateContent>
      </w:r>
    </w:p>
    <w:p>
      <w:pPr>
        <w:spacing w:after="0" w:line="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10,902.9</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3,188.6</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26,134.2</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12,113.7</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1,332.7</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1,170.7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6775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53.35pt,1.6pt" o:allowincell="f" strokecolor="#000000" strokeweight="0.5pt"/>
            </w:pict>
          </mc:Fallback>
        </mc:AlternateContent>
      </w:r>
    </w:p>
    <w:p>
      <w:pPr>
        <w:spacing w:after="0" w:line="50" w:lineRule="exact"/>
        <w:rPr>
          <w:sz w:val="20"/>
          <w:szCs w:val="20"/>
          <w:color w:val="auto"/>
        </w:rPr>
      </w:pPr>
    </w:p>
    <w:p>
      <w:pPr>
        <w:ind w:left="307" w:hanging="307"/>
        <w:spacing w:after="0"/>
        <w:tabs>
          <w:tab w:leader="none" w:pos="30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54,842.8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67754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53.3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6775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53.35pt,3.6pt" o:allowincell="f" strokecolor="#000000" strokeweight="0.5pt"/>
            </w:pict>
          </mc:Fallback>
        </mc:AlternateContent>
      </w:r>
    </w:p>
    <w:p>
      <w:pPr>
        <w:spacing w:after="0" w:line="780" w:lineRule="exact"/>
        <w:rPr>
          <w:sz w:val="20"/>
          <w:szCs w:val="20"/>
          <w:color w:val="auto"/>
        </w:rPr>
      </w:pPr>
    </w:p>
    <w:p>
      <w:pPr>
        <w:sectPr>
          <w:pgSz w:w="11880" w:h="15480" w:orient="portrait"/>
          <w:cols w:equalWidth="0" w:num="3">
            <w:col w:w="6580" w:space="200"/>
            <w:col w:w="1000" w:space="273"/>
            <w:col w:w="1067"/>
          </w:cols>
          <w:pgMar w:left="1380" w:top="1314" w:right="1380" w:bottom="654" w:gutter="0" w:footer="0" w:header="0"/>
          <w:type w:val="continuous"/>
        </w:sectPr>
      </w:pPr>
    </w:p>
    <w:p>
      <w:pPr>
        <w:ind w:left="400"/>
        <w:spacing w:after="0" w:line="229" w:lineRule="auto"/>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p>
      <w:pPr>
        <w:ind w:left="400"/>
        <w:spacing w:after="0" w:line="230" w:lineRule="auto"/>
        <w:rPr>
          <w:sz w:val="20"/>
          <w:szCs w:val="20"/>
          <w:color w:val="auto"/>
        </w:rPr>
      </w:pPr>
      <w:r>
        <w:rPr>
          <w:rFonts w:ascii="Times New Roman" w:cs="Times New Roman" w:eastAsia="Times New Roman" w:hAnsi="Times New Roman"/>
          <w:sz w:val="20"/>
          <w:szCs w:val="20"/>
          <w:color w:val="auto"/>
        </w:rPr>
        <w:t>Short-term borrowings . . . . . . . . . . . . . . . . . . . . . . . . . . . . . . . . . . . . . . . . . . .</w:t>
      </w:r>
    </w:p>
    <w:p>
      <w:pPr>
        <w:ind w:left="400"/>
        <w:spacing w:after="0" w:line="230" w:lineRule="auto"/>
        <w:rPr>
          <w:sz w:val="20"/>
          <w:szCs w:val="20"/>
          <w:color w:val="auto"/>
        </w:rPr>
      </w:pPr>
      <w:r>
        <w:rPr>
          <w:rFonts w:ascii="Times New Roman" w:cs="Times New Roman" w:eastAsia="Times New Roman" w:hAnsi="Times New Roman"/>
          <w:sz w:val="20"/>
          <w:szCs w:val="20"/>
          <w:color w:val="auto"/>
        </w:rPr>
        <w:t>Income taxes payable . . . . . . . . . . . . . . . . . . . . . . . . . . . . . . . . . . . . . . . . . . . .</w:t>
      </w:r>
    </w:p>
    <w:p>
      <w:pPr>
        <w:ind w:left="400"/>
        <w:spacing w:after="0" w:line="229" w:lineRule="auto"/>
        <w:rPr>
          <w:sz w:val="20"/>
          <w:szCs w:val="20"/>
          <w:color w:val="auto"/>
        </w:rPr>
      </w:pPr>
      <w:r>
        <w:rPr>
          <w:rFonts w:ascii="Times New Roman" w:cs="Times New Roman" w:eastAsia="Times New Roman" w:hAnsi="Times New Roman"/>
          <w:sz w:val="20"/>
          <w:szCs w:val="20"/>
          <w:color w:val="auto"/>
        </w:rPr>
        <w:t>Current portion of long-term debt and other long-term obligations . . . . . . . . .</w:t>
      </w:r>
    </w:p>
    <w:p>
      <w:pPr>
        <w:ind w:left="400"/>
        <w:spacing w:after="0" w:line="230" w:lineRule="auto"/>
        <w:rPr>
          <w:sz w:val="20"/>
          <w:szCs w:val="20"/>
          <w:color w:val="auto"/>
        </w:rPr>
      </w:pPr>
      <w:r>
        <w:rPr>
          <w:rFonts w:ascii="Times New Roman" w:cs="Times New Roman" w:eastAsia="Times New Roman" w:hAnsi="Times New Roman"/>
          <w:sz w:val="20"/>
          <w:szCs w:val="20"/>
          <w:color w:val="auto"/>
        </w:rPr>
        <w:t>Other current liabilities . . . . . . . . . . . . . . . . . . . . . . . . . . . . . . . . . . . . . . . . . . .</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p>
      <w:pPr>
        <w:ind w:left="200"/>
        <w:spacing w:after="0" w:line="229" w:lineRule="auto"/>
        <w:rPr>
          <w:sz w:val="20"/>
          <w:szCs w:val="20"/>
          <w:color w:val="auto"/>
        </w:rPr>
      </w:pPr>
      <w:r>
        <w:rPr>
          <w:rFonts w:ascii="Times New Roman" w:cs="Times New Roman" w:eastAsia="Times New Roman" w:hAnsi="Times New Roman"/>
          <w:sz w:val="20"/>
          <w:szCs w:val="20"/>
          <w:color w:val="auto"/>
        </w:rPr>
        <w:t>Long-term debt . . . . . . . . . . . . . . . . . . . . . . . . . . . . . . . . . . . . . . . . . . . . . . . . . . .</w:t>
      </w:r>
    </w:p>
    <w:p>
      <w:pPr>
        <w:ind w:left="200"/>
        <w:spacing w:after="0" w:line="230" w:lineRule="auto"/>
        <w:rPr>
          <w:sz w:val="20"/>
          <w:szCs w:val="20"/>
          <w:color w:val="auto"/>
        </w:rPr>
      </w:pPr>
      <w:r>
        <w:rPr>
          <w:rFonts w:ascii="Times New Roman" w:cs="Times New Roman" w:eastAsia="Times New Roman" w:hAnsi="Times New Roman"/>
          <w:sz w:val="20"/>
          <w:szCs w:val="20"/>
          <w:color w:val="auto"/>
        </w:rPr>
        <w:t>Deferred income tax liability . . . . . . . . . . . . . . . . . . . . . . . . . . . . . . . . . . . . . . . .</w:t>
      </w:r>
    </w:p>
    <w:p>
      <w:pPr>
        <w:ind w:left="200"/>
        <w:spacing w:after="0" w:line="229" w:lineRule="auto"/>
        <w:rPr>
          <w:sz w:val="20"/>
          <w:szCs w:val="20"/>
          <w:color w:val="auto"/>
        </w:rPr>
      </w:pPr>
      <w:r>
        <w:rPr>
          <w:rFonts w:ascii="Times New Roman" w:cs="Times New Roman" w:eastAsia="Times New Roman" w:hAnsi="Times New Roman"/>
          <w:sz w:val="20"/>
          <w:szCs w:val="20"/>
          <w:color w:val="auto"/>
        </w:rPr>
        <w:t>Other long-term obligations . . . . . . . . . . . . . . . . . . . . . . . . . . . . . . . . . . . . . . . . .</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 . . . .</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w:t>
      </w:r>
    </w:p>
    <w:p>
      <w:pPr>
        <w:ind w:left="200"/>
        <w:spacing w:after="0" w:line="229" w:lineRule="auto"/>
        <w:rPr>
          <w:sz w:val="20"/>
          <w:szCs w:val="20"/>
          <w:color w:val="auto"/>
        </w:rPr>
      </w:pPr>
      <w:r>
        <w:rPr>
          <w:rFonts w:ascii="Times New Roman" w:cs="Times New Roman" w:eastAsia="Times New Roman" w:hAnsi="Times New Roman"/>
          <w:sz w:val="20"/>
          <w:szCs w:val="20"/>
          <w:color w:val="auto"/>
        </w:rPr>
        <w:t>Viatris Inc. shareholders’ equity . . . . . . . . . . . . . . . . . . . . . . . . . . . . . . . . . . . . . .</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Common stock: $0.01 par value, 3,000,000,000 shares authorized; shares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issued and outstanding: 1,213,793,231 and 1,209,507,463, respectively  . . . .</w:t>
      </w:r>
    </w:p>
    <w:p>
      <w:pPr>
        <w:ind w:left="200"/>
        <w:spacing w:after="0" w:line="229" w:lineRule="auto"/>
        <w:rPr>
          <w:sz w:val="20"/>
          <w:szCs w:val="20"/>
          <w:color w:val="auto"/>
        </w:rPr>
      </w:pPr>
      <w:r>
        <w:rPr>
          <w:rFonts w:ascii="Times New Roman" w:cs="Times New Roman" w:eastAsia="Times New Roman" w:hAnsi="Times New Roman"/>
          <w:sz w:val="20"/>
          <w:szCs w:val="20"/>
          <w:color w:val="auto"/>
        </w:rPr>
        <w:t>Additional paid-in capital . . . . . . . . . . . . . . . . . . . . . . . . . . . . . . . . . . . . . . . . . . .</w:t>
      </w:r>
    </w:p>
    <w:p>
      <w:pPr>
        <w:ind w:left="200"/>
        <w:spacing w:after="0" w:line="230" w:lineRule="auto"/>
        <w:rPr>
          <w:sz w:val="20"/>
          <w:szCs w:val="20"/>
          <w:color w:val="auto"/>
        </w:rPr>
      </w:pPr>
      <w:r>
        <w:rPr>
          <w:rFonts w:ascii="Times New Roman" w:cs="Times New Roman" w:eastAsia="Times New Roman" w:hAnsi="Times New Roman"/>
          <w:sz w:val="20"/>
          <w:szCs w:val="20"/>
          <w:color w:val="auto"/>
        </w:rPr>
        <w:t>Retained earnings . . . . . . . . . . . . . . . . . . . . . . . . . . . . . . . . . . . . . . . . . . . . . . . . .</w:t>
      </w:r>
    </w:p>
    <w:p>
      <w:pPr>
        <w:ind w:left="200"/>
        <w:spacing w:after="0" w:line="229" w:lineRule="auto"/>
        <w:rPr>
          <w:sz w:val="20"/>
          <w:szCs w:val="20"/>
          <w:color w:val="auto"/>
        </w:rPr>
      </w:pPr>
      <w:r>
        <w:rPr>
          <w:rFonts w:ascii="Times New Roman" w:cs="Times New Roman" w:eastAsia="Times New Roman" w:hAnsi="Times New Roman"/>
          <w:sz w:val="20"/>
          <w:szCs w:val="20"/>
          <w:color w:val="auto"/>
        </w:rPr>
        <w:t>Accumulated other comprehensive loss . . . . . . . . . . . . . . . . . . . . . . . . . . . . . . . .</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equity . . . . . . . . . . . . . . . . . . . . . . . . . . . . . . . . . . . . . . . . . . . . . . . . . . . . . . .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liabilities and equity . . . . .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 w:lineRule="exact"/>
        <w:rPr>
          <w:sz w:val="20"/>
          <w:szCs w:val="20"/>
          <w:color w:val="auto"/>
        </w:rPr>
      </w:pPr>
      <w:r>
        <w:rPr>
          <w:sz w:val="20"/>
          <w:szCs w:val="20"/>
          <w:color w:val="auto"/>
        </w:rPr>
        <w:br w:type="column"/>
      </w:r>
    </w:p>
    <w:p>
      <w:pPr>
        <w:ind w:left="400" w:hanging="394"/>
        <w:spacing w:after="0" w:line="229" w:lineRule="auto"/>
        <w:tabs>
          <w:tab w:leader="none" w:pos="4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1,766.6</w:t>
      </w:r>
    </w:p>
    <w:p>
      <w:pPr>
        <w:ind w:left="800"/>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560"/>
        <w:spacing w:after="0" w:line="230" w:lineRule="auto"/>
        <w:rPr>
          <w:sz w:val="20"/>
          <w:szCs w:val="20"/>
          <w:color w:val="auto"/>
        </w:rPr>
      </w:pPr>
      <w:r>
        <w:rPr>
          <w:rFonts w:ascii="Times New Roman" w:cs="Times New Roman" w:eastAsia="Times New Roman" w:hAnsi="Times New Roman"/>
          <w:sz w:val="20"/>
          <w:szCs w:val="20"/>
          <w:color w:val="auto"/>
        </w:rPr>
        <w:t>279.6</w:t>
      </w:r>
    </w:p>
    <w:p>
      <w:pPr>
        <w:ind w:left="400"/>
        <w:spacing w:after="0" w:line="229" w:lineRule="auto"/>
        <w:rPr>
          <w:sz w:val="20"/>
          <w:szCs w:val="20"/>
          <w:color w:val="auto"/>
        </w:rPr>
      </w:pPr>
      <w:r>
        <w:rPr>
          <w:rFonts w:ascii="Times New Roman" w:cs="Times New Roman" w:eastAsia="Times New Roman" w:hAnsi="Times New Roman"/>
          <w:sz w:val="20"/>
          <w:szCs w:val="20"/>
          <w:color w:val="auto"/>
        </w:rPr>
        <w:t>1,259.1</w:t>
      </w:r>
    </w:p>
    <w:p>
      <w:pPr>
        <w:ind w:left="400"/>
        <w:spacing w:after="0" w:line="230" w:lineRule="auto"/>
        <w:rPr>
          <w:sz w:val="20"/>
          <w:szCs w:val="20"/>
          <w:color w:val="auto"/>
        </w:rPr>
      </w:pPr>
      <w:r>
        <w:rPr>
          <w:rFonts w:ascii="Times New Roman" w:cs="Times New Roman" w:eastAsia="Times New Roman" w:hAnsi="Times New Roman"/>
          <w:sz w:val="20"/>
          <w:szCs w:val="20"/>
          <w:color w:val="auto"/>
        </w:rPr>
        <w:t>3,440.9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6775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53.6pt,1.65pt" o:allowincell="f" strokecolor="#000000" strokeweight="0.5pt"/>
            </w:pict>
          </mc:Fallback>
        </mc:AlternateConten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6,746.2</w:t>
      </w:r>
    </w:p>
    <w:p>
      <w:pPr>
        <w:jc w:val="right"/>
        <w:ind w:right="80"/>
        <w:spacing w:after="0" w:line="229" w:lineRule="auto"/>
        <w:rPr>
          <w:sz w:val="20"/>
          <w:szCs w:val="20"/>
          <w:color w:val="auto"/>
        </w:rPr>
      </w:pPr>
      <w:r>
        <w:rPr>
          <w:rFonts w:ascii="Times New Roman" w:cs="Times New Roman" w:eastAsia="Times New Roman" w:hAnsi="Times New Roman"/>
          <w:sz w:val="20"/>
          <w:szCs w:val="20"/>
          <w:color w:val="auto"/>
        </w:rPr>
        <w:t>18,015.2</w:t>
      </w:r>
    </w:p>
    <w:p>
      <w:pPr>
        <w:jc w:val="right"/>
        <w:ind w:right="80"/>
        <w:spacing w:after="0" w:line="230" w:lineRule="auto"/>
        <w:rPr>
          <w:sz w:val="20"/>
          <w:szCs w:val="20"/>
          <w:color w:val="auto"/>
        </w:rPr>
      </w:pPr>
      <w:r>
        <w:rPr>
          <w:rFonts w:ascii="Times New Roman" w:cs="Times New Roman" w:eastAsia="Times New Roman" w:hAnsi="Times New Roman"/>
          <w:sz w:val="20"/>
          <w:szCs w:val="20"/>
          <w:color w:val="auto"/>
        </w:rPr>
        <w:t>2,432.0</w:t>
      </w:r>
    </w:p>
    <w:p>
      <w:pPr>
        <w:jc w:val="right"/>
        <w:ind w:right="80"/>
        <w:spacing w:after="0" w:line="229" w:lineRule="auto"/>
        <w:rPr>
          <w:sz w:val="20"/>
          <w:szCs w:val="20"/>
          <w:color w:val="auto"/>
        </w:rPr>
      </w:pPr>
      <w:r>
        <w:rPr>
          <w:rFonts w:ascii="Times New Roman" w:cs="Times New Roman" w:eastAsia="Times New Roman" w:hAnsi="Times New Roman"/>
          <w:sz w:val="20"/>
          <w:szCs w:val="20"/>
          <w:color w:val="auto"/>
        </w:rPr>
        <w:t>1,756.5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67754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53.6pt,1.65pt" o:allowincell="f" strokecolor="#000000" strokeweight="0.5pt"/>
            </w:pict>
          </mc:Fallback>
        </mc:AlternateConten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28,949.9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20320</wp:posOffset>
                </wp:positionV>
                <wp:extent cx="6775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pt" to="53.6pt,1.6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12.1</w:t>
      </w:r>
    </w:p>
    <w:p>
      <w:pPr>
        <w:jc w:val="right"/>
        <w:ind w:right="80"/>
        <w:spacing w:after="0" w:line="229" w:lineRule="auto"/>
        <w:rPr>
          <w:sz w:val="20"/>
          <w:szCs w:val="20"/>
          <w:color w:val="auto"/>
        </w:rPr>
      </w:pPr>
      <w:r>
        <w:rPr>
          <w:rFonts w:ascii="Times New Roman" w:cs="Times New Roman" w:eastAsia="Times New Roman" w:hAnsi="Times New Roman"/>
          <w:sz w:val="20"/>
          <w:szCs w:val="20"/>
          <w:color w:val="auto"/>
        </w:rPr>
        <w:t>18,645.8</w:t>
      </w:r>
    </w:p>
    <w:p>
      <w:pPr>
        <w:jc w:val="right"/>
        <w:ind w:right="80"/>
        <w:spacing w:after="0" w:line="230" w:lineRule="auto"/>
        <w:rPr>
          <w:sz w:val="20"/>
          <w:szCs w:val="20"/>
          <w:color w:val="auto"/>
        </w:rPr>
      </w:pPr>
      <w:r>
        <w:rPr>
          <w:rFonts w:ascii="Times New Roman" w:cs="Times New Roman" w:eastAsia="Times New Roman" w:hAnsi="Times New Roman"/>
          <w:sz w:val="20"/>
          <w:szCs w:val="20"/>
          <w:color w:val="auto"/>
        </w:rPr>
        <w:t>5,175.6</w:t>
      </w:r>
    </w:p>
    <w:p>
      <w:pPr>
        <w:jc w:val="right"/>
        <w:spacing w:after="0" w:line="229" w:lineRule="auto"/>
        <w:rPr>
          <w:sz w:val="20"/>
          <w:szCs w:val="20"/>
          <w:color w:val="auto"/>
        </w:rPr>
      </w:pPr>
      <w:r>
        <w:rPr>
          <w:rFonts w:ascii="Times New Roman" w:cs="Times New Roman" w:eastAsia="Times New Roman" w:hAnsi="Times New Roman"/>
          <w:sz w:val="20"/>
          <w:szCs w:val="20"/>
          <w:color w:val="auto"/>
        </w:rPr>
        <w:t>(2,761.2)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6775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53.6pt,1.65pt" o:allowincell="f" strokecolor="#000000" strokeweight="0.5pt"/>
            </w:pict>
          </mc:Fallback>
        </mc:AlternateContent>
      </w:r>
    </w:p>
    <w:p>
      <w:pPr>
        <w:spacing w:after="0" w:line="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21,072.3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20320</wp:posOffset>
                </wp:positionV>
                <wp:extent cx="6775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pt" to="53.6pt,1.6pt" o:allowincell="f" strokecolor="#000000" strokeweight="0.5pt"/>
            </w:pict>
          </mc:Fallback>
        </mc:AlternateContent>
      </w:r>
    </w:p>
    <w:p>
      <w:pPr>
        <w:spacing w:after="0" w:line="70" w:lineRule="exact"/>
        <w:rPr>
          <w:sz w:val="20"/>
          <w:szCs w:val="20"/>
          <w:color w:val="auto"/>
        </w:rPr>
      </w:pPr>
    </w:p>
    <w:p>
      <w:pPr>
        <w:ind w:left="300" w:hanging="294"/>
        <w:spacing w:after="0"/>
        <w:tabs>
          <w:tab w:leader="none" w:pos="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50,022.2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58420</wp:posOffset>
                </wp:positionV>
                <wp:extent cx="67754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6pt" to="53.6pt,4.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83820</wp:posOffset>
                </wp:positionV>
                <wp:extent cx="6775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6pt" to="53.6pt,6.6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ind w:left="407" w:hanging="407"/>
        <w:spacing w:after="0" w:line="229" w:lineRule="auto"/>
        <w:tabs>
          <w:tab w:leader="none" w:pos="40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1,657.4</w:t>
      </w:r>
    </w:p>
    <w:p>
      <w:pPr>
        <w:ind w:left="407"/>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1,493.0</w:t>
      </w:r>
    </w:p>
    <w:p>
      <w:pPr>
        <w:ind w:left="547"/>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236.9</w:t>
      </w:r>
    </w:p>
    <w:p>
      <w:pPr>
        <w:ind w:left="407"/>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1,877.5</w:t>
      </w:r>
    </w:p>
    <w:p>
      <w:pPr>
        <w:ind w:left="407"/>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4,619.6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775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3.35pt,1.65pt" o:allowincell="f" strokecolor="#000000" strokeweight="0.5pt"/>
            </w:pict>
          </mc:Fallback>
        </mc:AlternateConten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9,884.4</w:t>
      </w:r>
    </w:p>
    <w:p>
      <w:pPr>
        <w:jc w:val="right"/>
        <w:ind w:right="60"/>
        <w:spacing w:after="0" w:line="229" w:lineRule="auto"/>
        <w:rPr>
          <w:sz w:val="20"/>
          <w:szCs w:val="20"/>
          <w:color w:val="auto"/>
        </w:rPr>
      </w:pPr>
      <w:r>
        <w:rPr>
          <w:rFonts w:ascii="Times New Roman" w:cs="Times New Roman" w:eastAsia="Times New Roman" w:hAnsi="Times New Roman"/>
          <w:sz w:val="20"/>
          <w:szCs w:val="20"/>
          <w:color w:val="auto"/>
        </w:rPr>
        <w:t>19,717.1</w:t>
      </w:r>
    </w:p>
    <w:p>
      <w:pPr>
        <w:jc w:val="right"/>
        <w:ind w:right="60"/>
        <w:spacing w:after="0" w:line="230" w:lineRule="auto"/>
        <w:rPr>
          <w:sz w:val="20"/>
          <w:szCs w:val="20"/>
          <w:color w:val="auto"/>
        </w:rPr>
      </w:pPr>
      <w:r>
        <w:rPr>
          <w:rFonts w:ascii="Times New Roman" w:cs="Times New Roman" w:eastAsia="Times New Roman" w:hAnsi="Times New Roman"/>
          <w:sz w:val="20"/>
          <w:szCs w:val="20"/>
          <w:color w:val="auto"/>
        </w:rPr>
        <w:t>2,815.0</w:t>
      </w:r>
    </w:p>
    <w:p>
      <w:pPr>
        <w:jc w:val="right"/>
        <w:ind w:right="60"/>
        <w:spacing w:after="0" w:line="229" w:lineRule="auto"/>
        <w:rPr>
          <w:sz w:val="20"/>
          <w:szCs w:val="20"/>
          <w:color w:val="auto"/>
        </w:rPr>
      </w:pPr>
      <w:r>
        <w:rPr>
          <w:rFonts w:ascii="Times New Roman" w:cs="Times New Roman" w:eastAsia="Times New Roman" w:hAnsi="Times New Roman"/>
          <w:sz w:val="20"/>
          <w:szCs w:val="20"/>
          <w:color w:val="auto"/>
        </w:rPr>
        <w:t>1,933.6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7754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3.35pt,1.65pt" o:allowincell="f" strokecolor="#000000" strokeweight="0.5pt"/>
            </w:pict>
          </mc:Fallback>
        </mc:AlternateContent>
      </w:r>
    </w:p>
    <w:p>
      <w:pPr>
        <w:spacing w:after="0" w:line="51"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20"/>
          <w:szCs w:val="20"/>
          <w:color w:val="auto"/>
        </w:rPr>
        <w:t>34,350.1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67754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53.35pt,1.6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12.1</w:t>
      </w:r>
    </w:p>
    <w:p>
      <w:pPr>
        <w:jc w:val="right"/>
        <w:ind w:right="60"/>
        <w:spacing w:after="0" w:line="229" w:lineRule="auto"/>
        <w:rPr>
          <w:sz w:val="20"/>
          <w:szCs w:val="20"/>
          <w:color w:val="auto"/>
        </w:rPr>
      </w:pPr>
      <w:r>
        <w:rPr>
          <w:rFonts w:ascii="Times New Roman" w:cs="Times New Roman" w:eastAsia="Times New Roman" w:hAnsi="Times New Roman"/>
          <w:sz w:val="20"/>
          <w:szCs w:val="20"/>
          <w:color w:val="auto"/>
        </w:rPr>
        <w:t>18,536.1</w:t>
      </w:r>
    </w:p>
    <w:p>
      <w:pPr>
        <w:jc w:val="right"/>
        <w:ind w:right="60"/>
        <w:spacing w:after="0" w:line="230" w:lineRule="auto"/>
        <w:rPr>
          <w:sz w:val="20"/>
          <w:szCs w:val="20"/>
          <w:color w:val="auto"/>
        </w:rPr>
      </w:pPr>
      <w:r>
        <w:rPr>
          <w:rFonts w:ascii="Times New Roman" w:cs="Times New Roman" w:eastAsia="Times New Roman" w:hAnsi="Times New Roman"/>
          <w:sz w:val="20"/>
          <w:szCs w:val="20"/>
          <w:color w:val="auto"/>
        </w:rPr>
        <w:t>3,688.8</w:t>
      </w:r>
    </w:p>
    <w:p>
      <w:pPr>
        <w:jc w:val="right"/>
        <w:spacing w:after="0" w:line="229" w:lineRule="auto"/>
        <w:rPr>
          <w:sz w:val="20"/>
          <w:szCs w:val="20"/>
          <w:color w:val="auto"/>
        </w:rPr>
      </w:pPr>
      <w:r>
        <w:rPr>
          <w:rFonts w:ascii="Times New Roman" w:cs="Times New Roman" w:eastAsia="Times New Roman" w:hAnsi="Times New Roman"/>
          <w:sz w:val="20"/>
          <w:szCs w:val="20"/>
          <w:color w:val="auto"/>
        </w:rPr>
        <w:t>(1,744.3)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7754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3.35pt,1.65pt" o:allowincell="f" strokecolor="#000000" strokeweight="0.5pt"/>
            </w:pict>
          </mc:Fallback>
        </mc:AlternateContent>
      </w:r>
    </w:p>
    <w:p>
      <w:pPr>
        <w:spacing w:after="0" w:line="71"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20"/>
          <w:szCs w:val="20"/>
          <w:color w:val="auto"/>
        </w:rPr>
        <w:t>20,492.7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67754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53.35pt,1.6pt" o:allowincell="f" strokecolor="#000000" strokeweight="0.5pt"/>
            </w:pict>
          </mc:Fallback>
        </mc:AlternateContent>
      </w:r>
    </w:p>
    <w:p>
      <w:pPr>
        <w:spacing w:after="0" w:line="70" w:lineRule="exact"/>
        <w:rPr>
          <w:sz w:val="20"/>
          <w:szCs w:val="20"/>
          <w:color w:val="auto"/>
        </w:rPr>
      </w:pPr>
    </w:p>
    <w:p>
      <w:pPr>
        <w:ind w:left="307" w:hanging="307"/>
        <w:spacing w:after="0"/>
        <w:tabs>
          <w:tab w:leader="none" w:pos="30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54,842.8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58420</wp:posOffset>
                </wp:positionV>
                <wp:extent cx="67754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pt" to="53.35pt,4.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6775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53.35pt,6.6pt" o:allowincell="f" strokecolor="#000000" strokeweight="0.5pt"/>
            </w:pict>
          </mc:Fallback>
        </mc:AlternateContent>
      </w:r>
    </w:p>
    <w:p>
      <w:pPr>
        <w:spacing w:after="0" w:line="2252" w:lineRule="exact"/>
        <w:rPr>
          <w:sz w:val="20"/>
          <w:szCs w:val="20"/>
          <w:color w:val="auto"/>
        </w:rPr>
      </w:pPr>
    </w:p>
    <w:p>
      <w:pPr>
        <w:sectPr>
          <w:pgSz w:w="11880" w:h="15480" w:orient="portrait"/>
          <w:cols w:equalWidth="0" w:num="3">
            <w:col w:w="6580" w:space="200"/>
            <w:col w:w="1080" w:space="193"/>
            <w:col w:w="1067"/>
          </w:cols>
          <w:pgMar w:left="1380" w:top="1314" w:right="1380" w:bottom="654"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120"/>
          </w:cols>
          <w:pgMar w:left="1380" w:top="1314" w:right="1380" w:bottom="654" w:gutter="0" w:footer="0" w:header="0"/>
          <w:type w:val="continuous"/>
        </w:sectPr>
      </w:pPr>
    </w:p>
    <w:bookmarkStart w:id="104" w:name="page105"/>
    <w:bookmarkEnd w:id="10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VIATRIS INC. AND SUBSIDIARIES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8"/>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16,218.1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17,813.6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revenues .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16,262.7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17,886.3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11,946.0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Cost of sales  . . . .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12,310.8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5,575.5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3,796.7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Acquired IPR&amp;D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Litigation settlements and other contingencies, net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4,882.1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5,609.5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Earnings (loss) from operations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(34.0)</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(210.8)</w:t>
            </w: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expense, net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(1,790.7)</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Earnings (loss) before income taxes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(664.4)</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(721.2)</w:t>
            </w: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tax provision (benefit)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Net earnings (loss) . . . . . . . . . . .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(1,269.1)</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0" w:type="dxa"/>
            <w:vAlign w:val="bottom"/>
          </w:tcPr>
          <w:p>
            <w:pPr>
              <w:spacing w:after="0"/>
              <w:rPr>
                <w:sz w:val="1"/>
                <w:szCs w:val="1"/>
                <w:color w:val="auto"/>
              </w:rPr>
            </w:pPr>
          </w:p>
        </w:tc>
      </w:tr>
      <w:tr>
        <w:trPr>
          <w:trHeight w:val="28"/>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(loss) per share attributable to Viatris Inc. shareholders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8"/>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ectPr>
          <w:pgSz w:w="11880" w:h="15480" w:orient="portrait"/>
          <w:cols w:equalWidth="0" w:num="1">
            <w:col w:w="9180"/>
          </w:cols>
          <w:pgMar w:left="1380" w:top="1312" w:right="1320" w:bottom="654"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180"/>
          </w:cols>
          <w:pgMar w:left="1380" w:top="1312" w:right="1320" w:bottom="654" w:gutter="0" w:footer="0" w:header="0"/>
          <w:type w:val="continuous"/>
        </w:sectPr>
      </w:pPr>
    </w:p>
    <w:bookmarkStart w:id="105" w:name="page106"/>
    <w:bookmarkEnd w:id="105"/>
    <w:p>
      <w:pPr>
        <w:jc w:val="center"/>
        <w:ind w:right="6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VIATRIS INC. AND SUBSIDIARIES Consolidated Statements of Comprehensive Earnings (Loss) </w:t>
      </w:r>
      <w:r>
        <w:rPr>
          <w:rFonts w:ascii="Times New Roman" w:cs="Times New Roman" w:eastAsia="Times New Roman" w:hAnsi="Times New Roman"/>
          <w:sz w:val="20"/>
          <w:szCs w:val="20"/>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700" w:type="dxa"/>
            <w:vAlign w:val="bottom"/>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480" w:type="dxa"/>
            <w:vAlign w:val="bottom"/>
          </w:tcPr>
          <w:p>
            <w:pPr>
              <w:spacing w:after="0"/>
              <w:rPr>
                <w:sz w:val="16"/>
                <w:szCs w:val="16"/>
                <w:color w:val="auto"/>
              </w:rPr>
            </w:pP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earnings (loss)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$ 2,078.6</w:t>
            </w: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$(1,269.1)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r>
      <w:tr>
        <w:trPr>
          <w:trHeight w:val="240"/>
        </w:trPr>
        <w:tc>
          <w:tcPr>
            <w:tcW w:w="6480" w:type="dxa"/>
            <w:vAlign w:val="bottom"/>
          </w:tcPr>
          <w:p>
            <w:pPr>
              <w:jc w:val="right"/>
              <w:ind w:right="2480"/>
              <w:spacing w:after="0"/>
              <w:rPr>
                <w:sz w:val="20"/>
                <w:szCs w:val="20"/>
                <w:color w:val="auto"/>
              </w:rPr>
            </w:pPr>
            <w:r>
              <w:rPr>
                <w:rFonts w:ascii="Times New Roman" w:cs="Times New Roman" w:eastAsia="Times New Roman" w:hAnsi="Times New Roman"/>
                <w:sz w:val="20"/>
                <w:szCs w:val="20"/>
                <w:color w:val="auto"/>
                <w:w w:val="99"/>
              </w:rPr>
              <w:t>Other comprehensive (loss) earnings, before tax:</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currency translation adjustment  . . . . . . . . . . . . . . . . . . . . . . . .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(1,583.5)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(1,340.9)</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1,213.0</w:t>
            </w:r>
          </w:p>
        </w:tc>
        <w:tc>
          <w:tcPr>
            <w:tcW w:w="60" w:type="dxa"/>
            <w:vAlign w:val="bottom"/>
          </w:tcPr>
          <w:p>
            <w:pPr>
              <w:spacing w:after="0"/>
              <w:rPr>
                <w:sz w:val="20"/>
                <w:szCs w:val="20"/>
                <w:color w:val="auto"/>
              </w:rPr>
            </w:pPr>
          </w:p>
        </w:tc>
      </w:tr>
      <w:tr>
        <w:trPr>
          <w:trHeight w:val="240"/>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unrecognized gain (loss) and prior service cost related to</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defined benefit plans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40"/>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unrecognized (loss) gain on derivatives in cash flow hedging</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relationships . . . . . . . . . . . . . . . . . . . . . . . . . . . . . . . . . . . . . . . . . . . . . .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60" w:type="dxa"/>
            <w:vAlign w:val="bottom"/>
          </w:tcPr>
          <w:p>
            <w:pPr>
              <w:spacing w:after="0"/>
              <w:rPr>
                <w:sz w:val="20"/>
                <w:szCs w:val="20"/>
                <w:color w:val="auto"/>
              </w:rPr>
            </w:pPr>
          </w:p>
        </w:tc>
      </w:tr>
      <w:tr>
        <w:trPr>
          <w:trHeight w:val="240"/>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unrecognized gain (loss) on derivatives in net investment hedging</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relationships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(305.2)</w:t>
            </w: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unrealized (loss) gain on marketable securities . . . . . . . . . . . . . . . .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0"/>
                <w:szCs w:val="20"/>
                <w:color w:val="auto"/>
              </w:rPr>
            </w:pPr>
          </w:p>
        </w:tc>
      </w:tr>
      <w:tr>
        <w:trPr>
          <w:trHeight w:val="28"/>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comprehensive (loss) earnings, before tax . . . . . . . . . . . . . .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(884.0)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(775.2)</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912.6</w:t>
            </w:r>
          </w:p>
        </w:tc>
        <w:tc>
          <w:tcPr>
            <w:tcW w:w="60" w:type="dxa"/>
            <w:vAlign w:val="bottom"/>
          </w:tcPr>
          <w:p>
            <w:pPr>
              <w:spacing w:after="0"/>
              <w:rPr>
                <w:sz w:val="23"/>
                <w:szCs w:val="23"/>
                <w:color w:val="auto"/>
              </w:rPr>
            </w:pPr>
          </w:p>
        </w:tc>
      </w:tr>
      <w:tr>
        <w:trPr>
          <w:trHeight w:val="240"/>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tax provision (benefit)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w:t>
            </w:r>
          </w:p>
        </w:tc>
      </w:tr>
      <w:tr>
        <w:trPr>
          <w:trHeight w:val="28"/>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comprehensive (loss) earnings, net of tax  . . . . . . . . . . . . . .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(1,016.9)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(886.3)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939.2</w:t>
            </w:r>
          </w:p>
        </w:tc>
        <w:tc>
          <w:tcPr>
            <w:tcW w:w="60" w:type="dxa"/>
            <w:vAlign w:val="bottom"/>
          </w:tcPr>
          <w:p>
            <w:pPr>
              <w:spacing w:after="0"/>
              <w:rPr>
                <w:sz w:val="23"/>
                <w:szCs w:val="23"/>
                <w:color w:val="auto"/>
              </w:rPr>
            </w:pPr>
          </w:p>
        </w:tc>
      </w:tr>
      <w:tr>
        <w:trPr>
          <w:trHeight w:val="28"/>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Comprehensive earnings (loss)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$ 1,061.7</w:t>
            </w:r>
          </w:p>
        </w:tc>
        <w:tc>
          <w:tcPr>
            <w:tcW w:w="20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$(2,155.4)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60" w:type="dxa"/>
            <w:vAlign w:val="bottom"/>
          </w:tcPr>
          <w:p>
            <w:pPr>
              <w:spacing w:after="0"/>
              <w:rPr>
                <w:sz w:val="23"/>
                <w:szCs w:val="23"/>
                <w:color w:val="auto"/>
              </w:rPr>
            </w:pPr>
          </w:p>
        </w:tc>
      </w:tr>
      <w:tr>
        <w:trPr>
          <w:trHeight w:val="28"/>
        </w:trPr>
        <w:tc>
          <w:tcPr>
            <w:tcW w:w="6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ectPr>
          <w:pgSz w:w="11880" w:h="15480" w:orient="portrait"/>
          <w:cols w:equalWidth="0" w:num="1">
            <w:col w:w="9180"/>
          </w:cols>
          <w:pgMar w:left="1380" w:top="1314" w:right="1320" w:bottom="654"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9180"/>
          </w:cols>
          <w:pgMar w:left="1380" w:top="1314" w:right="1320" w:bottom="654"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99</w:t>
            </w:r>
          </w:p>
        </w:tc>
      </w:tr>
    </w:tbl>
    <w:p>
      <w:pPr>
        <w:spacing w:after="0" w:line="20" w:lineRule="exact"/>
        <w:rPr>
          <w:sz w:val="20"/>
          <w:szCs w:val="20"/>
          <w:color w:val="auto"/>
        </w:rPr>
      </w:pPr>
      <w:r>
        <w:rPr>
          <w:sz w:val="20"/>
          <w:szCs w:val="20"/>
          <w:color w:val="auto"/>
        </w:rPr>
        <w:br w:type="column"/>
      </w:r>
    </w:p>
    <w:p>
      <w:pPr>
        <w:ind w:left="4620"/>
        <w:spacing w:after="0"/>
        <w:rPr>
          <w:sz w:val="20"/>
          <w:szCs w:val="20"/>
          <w:color w:val="auto"/>
        </w:rPr>
      </w:pPr>
      <w:r>
        <w:rPr>
          <w:rFonts w:ascii="Times New Roman" w:cs="Times New Roman" w:eastAsia="Times New Roman" w:hAnsi="Times New Roman"/>
          <w:sz w:val="20"/>
          <w:szCs w:val="20"/>
          <w:b w:val="1"/>
          <w:bCs w:val="1"/>
          <w:color w:val="auto"/>
        </w:rPr>
        <w:t>VIATRIS INC. AND SUBSIDIARIES</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(In millions,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7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20"/>
                <w:szCs w:val="20"/>
                <w:b w:val="1"/>
                <w:bCs w:val="1"/>
                <w:color w:val="auto"/>
                <w:vertAlign w:val="superscript"/>
              </w:rPr>
              <w:t>(1)</w:t>
            </w:r>
          </w:p>
        </w:tc>
        <w:tc>
          <w:tcPr>
            <w:tcW w:w="100" w:type="dxa"/>
            <w:vAlign w:val="bottom"/>
            <w:vMerge w:val="restart"/>
          </w:tcPr>
          <w:p>
            <w:pPr>
              <w:spacing w:after="0"/>
              <w:rPr>
                <w:sz w:val="13"/>
                <w:szCs w:val="13"/>
                <w:color w:val="auto"/>
              </w:rPr>
            </w:pPr>
          </w:p>
        </w:tc>
        <w:tc>
          <w:tcPr>
            <w:tcW w:w="900" w:type="dxa"/>
            <w:vAlign w:val="bottom"/>
            <w:gridSpan w:val="3"/>
          </w:tcPr>
          <w:p>
            <w:pPr>
              <w:jc w:val="right"/>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7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5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0"/>
                <w:szCs w:val="10"/>
                <w:color w:val="auto"/>
              </w:rPr>
            </w:pPr>
          </w:p>
        </w:tc>
        <w:tc>
          <w:tcPr>
            <w:tcW w:w="76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2019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540,746,871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$ 6,031.1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24,598,074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(999.7)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Net loss . . . . . . . . . . . . . . . . . . . . . . .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(669.9)</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Other comprehensive earnings, net of tax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939.2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939.2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Share-based compensation expense .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restricted stock and stock options exercised, net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872,802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Taxes related to the net share settlement of equity awards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(6.3)</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Exchange of Mylan N.V. ordinary shares for Viatris Inc. common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stock . . . . . . . . . . . . . . . . . . . . . . . . . . . . . . . . . . . . . . . . . . . . . . . . . . . . . .</w:t>
            </w:r>
          </w:p>
        </w:tc>
        <w:tc>
          <w:tcPr>
            <w:tcW w:w="126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(541,619,673)</w:t>
            </w:r>
          </w:p>
        </w:tc>
        <w:tc>
          <w:tcPr>
            <w:tcW w:w="100" w:type="dxa"/>
            <w:vAlign w:val="bottom"/>
          </w:tcPr>
          <w:p>
            <w:pPr>
              <w:spacing w:after="0"/>
              <w:rPr>
                <w:sz w:val="17"/>
                <w:szCs w:val="17"/>
                <w:color w:val="auto"/>
              </w:rPr>
            </w:pPr>
          </w:p>
        </w:tc>
        <w:tc>
          <w:tcPr>
            <w:tcW w:w="44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common stock to Mylan N.V. shareholders . . . .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541,619,673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(5.2)</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common stock for the Combination . . . . . . . . . .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689,874,045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10,720.6</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10,727.5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Retirement of Mylan N.V. treasury stock, net . . . . . . . . . . . . . . . . . . . . . .</w:t>
            </w:r>
          </w:p>
        </w:tc>
        <w:tc>
          <w:tcPr>
            <w:tcW w:w="126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(24,598,074)</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(999.7)</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w w:val="98"/>
              </w:rPr>
              <w:t>(24,598,074)</w:t>
            </w:r>
          </w:p>
        </w:tc>
        <w:tc>
          <w:tcPr>
            <w:tcW w:w="100" w:type="dxa"/>
            <w:vAlign w:val="bottom"/>
          </w:tcPr>
          <w:p>
            <w:pPr>
              <w:spacing w:after="0"/>
              <w:rPr>
                <w:sz w:val="17"/>
                <w:szCs w:val="17"/>
                <w:color w:val="auto"/>
              </w:rPr>
            </w:pPr>
          </w:p>
        </w:tc>
        <w:tc>
          <w:tcPr>
            <w:tcW w:w="4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2020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1,206,895,644</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$ 5,361.2</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$(1,269.1)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Other comprehensive loss, net of tax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(886.3)</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(886.3)</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Share-based compensation expense .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restricted stock, net . . . . . . . . . . . . . . . . . . . . . . .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2,611,819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Taxes related to the net share settlement of equity awards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(13.9)</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Cash dividends declared, $0.33 per common share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(403.3)</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2021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1,209,507,463</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$ 3,688.8</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$ 2,078.6</w:t>
            </w: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Other comprehensive loss, net of tax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Share-based compensation expense . . . . . . . . . . . .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restricted stock, net . . . . . . . . . . . . . . . . . . . . . . .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3,972,427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Taxes related to the net share settlement of equity awards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(11.6)</w:t>
            </w: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Issuance of common stock . . . . . . . . . . . . . . . . . . . . . . . . . . . . . . . . . . . . .</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313,341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Cash dividends declared, $0.48 per common share . . . . . . . . . . . . . . . . . .</w:t>
            </w:r>
          </w:p>
        </w:tc>
        <w:tc>
          <w:tcPr>
            <w:tcW w:w="12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(591.8)</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36"/>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380" w:type="dxa"/>
            <w:vAlign w:val="bottom"/>
            <w:gridSpan w:val="2"/>
            <w:vMerge w:val="continue"/>
          </w:tcPr>
          <w:p>
            <w:pPr>
              <w:ind w:left="2260"/>
              <w:spacing w:after="0" w:line="190" w:lineRule="exact"/>
              <w:rPr>
                <w:sz w:val="20"/>
                <w:szCs w:val="20"/>
                <w:color w:val="auto"/>
              </w:rPr>
            </w:pPr>
            <w:r>
              <w:rPr>
                <w:rFonts w:ascii="Times New Roman" w:cs="Times New Roman" w:eastAsia="Times New Roman" w:hAnsi="Times New Roman"/>
                <w:sz w:val="18"/>
                <w:szCs w:val="18"/>
                <w:color w:val="auto"/>
              </w:rPr>
              <w:t>.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1,213,793,231</w:t>
            </w:r>
          </w:p>
        </w:tc>
        <w:tc>
          <w:tcPr>
            <w:tcW w:w="1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1"/>
              </w:rPr>
              <w:t>12.1</w:t>
            </w:r>
          </w:p>
        </w:tc>
        <w:tc>
          <w:tcPr>
            <w:tcW w:w="1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18,645.8</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$5,175.6</w:t>
            </w:r>
          </w:p>
        </w:tc>
        <w:tc>
          <w:tcPr>
            <w:tcW w:w="10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(2,761.2)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21,072.3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3" w:lineRule="auto"/>
        <w:tabs>
          <w:tab w:leader="none" w:pos="380" w:val="left"/>
        </w:tabs>
        <w:rPr>
          <w:sz w:val="20"/>
          <w:szCs w:val="20"/>
          <w:color w:val="auto"/>
        </w:rPr>
      </w:pPr>
      <w:r>
        <w:rPr>
          <w:rFonts w:ascii="Times New Roman" w:cs="Times New Roman" w:eastAsia="Times New Roman" w:hAnsi="Times New Roman"/>
          <w:sz w:val="26"/>
          <w:szCs w:val="26"/>
          <w:color w:val="auto"/>
          <w:vertAlign w:val="superscript"/>
        </w:rPr>
        <w:t>(1)</w:t>
      </w:r>
      <w:r>
        <w:rPr>
          <w:sz w:val="20"/>
          <w:szCs w:val="20"/>
          <w:color w:val="auto"/>
        </w:rPr>
        <w:tab/>
      </w:r>
      <w:r>
        <w:rPr>
          <w:rFonts w:ascii="Times New Roman" w:cs="Times New Roman" w:eastAsia="Times New Roman" w:hAnsi="Times New Roman"/>
          <w:sz w:val="20"/>
          <w:szCs w:val="20"/>
          <w:color w:val="auto"/>
        </w:rPr>
        <w:t>Ordinary Shares prior to November 16, 2020.</w:t>
      </w:r>
    </w:p>
    <w:p>
      <w:pPr>
        <w:spacing w:after="0" w:line="200" w:lineRule="exact"/>
        <w:rPr>
          <w:sz w:val="20"/>
          <w:szCs w:val="20"/>
          <w:color w:val="auto"/>
        </w:rPr>
      </w:pPr>
    </w:p>
    <w:p>
      <w:pPr>
        <w:sectPr>
          <w:pgSz w:w="15480" w:h="11880" w:orient="landscape"/>
          <w:cols w:equalWidth="0" w:num="2">
            <w:col w:w="230" w:space="292"/>
            <w:col w:w="12540"/>
          </w:cols>
          <w:pgMar w:left="1218" w:top="1437" w:right="1200" w:bottom="779"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461"/>
        <w:spacing w:after="0"/>
        <w:rPr>
          <w:sz w:val="20"/>
          <w:szCs w:val="20"/>
          <w:color w:val="auto"/>
        </w:rPr>
      </w:pPr>
      <w:r>
        <w:rPr>
          <w:rFonts w:ascii="Times New Roman" w:cs="Times New Roman" w:eastAsia="Times New Roman" w:hAnsi="Times New Roman"/>
          <w:sz w:val="19"/>
          <w:szCs w:val="19"/>
          <w:i w:val="1"/>
          <w:iCs w:val="1"/>
          <w:color w:val="auto"/>
        </w:rPr>
        <w:t>See Notes to Consolidated Financial Statements</w:t>
      </w:r>
    </w:p>
    <w:p>
      <w:pPr>
        <w:sectPr>
          <w:pgSz w:w="15480" w:h="11880" w:orient="landscape"/>
          <w:cols w:equalWidth="0" w:num="1">
            <w:col w:w="13062"/>
          </w:cols>
          <w:pgMar w:left="1218" w:top="1437" w:right="1200" w:bottom="779" w:gutter="0" w:footer="0" w:header="0"/>
          <w:type w:val="continuous"/>
        </w:sectPr>
      </w:pPr>
    </w:p>
    <w:bookmarkStart w:id="107" w:name="page108"/>
    <w:bookmarkEnd w:id="10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VIATRIS INC. AND SUBSIDIARIES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Net earnings (loss)  . . . . . . . . . . . . . . . . . . . . . . . . . . . . . . . . . . . . . . . . . . . . . . . . . . . . . . . . .</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2,078.6</w:t>
            </w:r>
          </w:p>
        </w:tc>
        <w:tc>
          <w:tcPr>
            <w:tcW w:w="2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7"/>
                <w:szCs w:val="17"/>
                <w:color w:val="auto"/>
              </w:rPr>
              <w:t>(1,269.1)</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(669.9)</w:t>
            </w:r>
          </w:p>
        </w:tc>
        <w:tc>
          <w:tcPr>
            <w:tcW w:w="0" w:type="dxa"/>
            <w:vAlign w:val="bottom"/>
          </w:tcPr>
          <w:p>
            <w:pPr>
              <w:spacing w:after="0"/>
              <w:rPr>
                <w:sz w:val="1"/>
                <w:szCs w:val="1"/>
                <w:color w:val="auto"/>
              </w:rPr>
            </w:pPr>
          </w:p>
        </w:tc>
      </w:tr>
      <w:tr>
        <w:trPr>
          <w:trHeight w:val="180"/>
        </w:trPr>
        <w:tc>
          <w:tcPr>
            <w:tcW w:w="6500" w:type="dxa"/>
            <w:vAlign w:val="bottom"/>
          </w:tcPr>
          <w:p>
            <w:pPr>
              <w:jc w:val="right"/>
              <w:ind w:right="716"/>
              <w:spacing w:after="0" w:line="180" w:lineRule="exact"/>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Depreciation and amortization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3,027.6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4,506.5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2,216.1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Deferred income tax expense (benefit)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675.7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(213.2)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Litigation settlements and other contingencies, net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323.7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101.1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Loss from equity method investments . . . . . . . . . . . . . . . . . . . . . . . . . . . . . . . . . . . . . . . .</w:t>
            </w:r>
          </w:p>
        </w:tc>
        <w:tc>
          <w:tcPr>
            <w:tcW w:w="1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61.9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Gain on disposal of business . . . . . . . . . . . . . . . . . . . . . . . . . . . . . . . . . . . . . . . . . . . . . . . .</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7"/>
                <w:szCs w:val="17"/>
                <w:color w:val="auto"/>
              </w:rPr>
              <w:t>(1,754.1)</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Share-based compensation expense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116.4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111.2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Other non-cash items  .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434.3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411.8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366.4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3216"/>
              <w:spacing w:after="0" w:line="180" w:lineRule="exact"/>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Accounts receivable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(240.3)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59.3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Inventories  . . . . . . .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(259.5)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(427.6)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(741.9)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Trade accounts payable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170.2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(82.7)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Income taxes . . . . . .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25.3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(699.6)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rPr>
              <w:t>Other operating assets and liabilities, net . . . . . . . . . . . . . . . . . . . . . . . . . . . . . . . . . . . .</w:t>
            </w: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(618.3)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(666.5)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Net cash provided by operating activities . . . . . . . . . . . . . . . . . . . . . . . . . . . . . . . . . . . . . .</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Cash received (paid) for acquisitions, net of cash acquired . . . . . . . . . . . . . . . . . . . . . . . . . .</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277.0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415.8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Capital expenditures . . . .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(406.0)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(457.2)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(243.0)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Payments for product rights and other, net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(52.2)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(438.2)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Proceeds from sale of property, plant and equipment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13.8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Proceeds from sale of assets and subsidiaries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1,950.0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96.7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Purchase of marketable securities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(104.8)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rPr>
              <w:t>Proceeds from the sale of marketable securities . . . . . . . . . . . . . . . . . . . . . . . . . . . . . . . . . . .</w:t>
            </w: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29.9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Net cash provided by (used in) investing activities . . . . . . . . . . . . . . . . . . . . . . . . . . . . . .</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Proceeds from issuance of long-term debt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1,875.6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36"/>
              <w:spacing w:after="0" w:line="180" w:lineRule="exact"/>
              <w:rPr>
                <w:sz w:val="20"/>
                <w:szCs w:val="20"/>
                <w:color w:val="auto"/>
              </w:rPr>
            </w:pPr>
            <w:r>
              <w:rPr>
                <w:rFonts w:ascii="Times New Roman" w:cs="Times New Roman" w:eastAsia="Times New Roman" w:hAnsi="Times New Roman"/>
                <w:sz w:val="17"/>
                <w:szCs w:val="17"/>
                <w:color w:val="auto"/>
                <w:w w:val="97"/>
              </w:rPr>
              <w:t>1,710.1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983.3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Payments of long-term debt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w w:val="96"/>
              </w:rPr>
              <w:t>(3,662.5)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w w:val="96"/>
              </w:rPr>
              <w:t>(4,201.3)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w w:val="96"/>
              </w:rPr>
              <w:t>(2,484.2)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Payments of financing fees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Change in short-term borrowings, net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w w:val="96"/>
              </w:rPr>
              <w:t>(1,493.2)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392.1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1,099.6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Proceeds from exercise of stock options  . . . . . . . . . . . . . . . . . . . . . . . . . . . . . . . . . . . . . . . .</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Taxes paid related to net share settlement of equity awards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(17.4)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Contingent consideration payments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(18.9)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(28.6)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Cash dividends paid . . . . .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(581.6)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(399.0)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Non-contingent payments for product rights . . . . . . . . . . . . . . . . . . . . . . . . . . . . . . . . . . . . .</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(456.0)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(143.3)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rPr>
              <w:t>Issuance of common stock . . . . . . . . . . . . . . . . . . . . . . . . . . . . . . . . . . . . . . . . . . . . . . . . . . .</w:t>
            </w:r>
          </w:p>
        </w:tc>
        <w:tc>
          <w:tcPr>
            <w:tcW w:w="1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rPr>
              <w:t>Other items, net . . . . . . . . . . . . . . . . . . . . . . . . . . . . . . . . . . . . . . . . . . . . . . . . . . . . . . . . . . . .</w:t>
            </w: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18.6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Net cash used in financing activities  . . . . . . . . . . . . . . . . . . . . . . . . . . . . . . . . . . . . . . . . .</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(3,877.9)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(3,012.0)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99"/>
              </w:rPr>
              <w:t>Effect on cash of changes in exchange rates  . . . . . . . . . . . . . . . . . . . . . . . . . . . . . . . . . . . . . . .</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99"/>
              </w:rPr>
              <w:t>Net increase (decrease) in cash, cash equivalents and restricted cash . . . . . . . . . . . . . . . . . . . .</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w w:val="99"/>
              </w:rPr>
              <w:t>Cash, cash equivalents and restricted cash — beginning of period . . . . . . . . . . . . . . . . . . . . . .</w:t>
            </w: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706.2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850.0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491.1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99"/>
              </w:rPr>
              <w:t>Cash, cash equivalents and restricted cash — end of period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 —</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5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5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Non-cash transactions: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rPr>
              <w:t>Common stock issued for the Combination . . . . . . . . . . . . . . . . . . . . . . . . . . . . . . . . . . . .</w:t>
            </w: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6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6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10,727.5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paid during the period for:</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ind w:right="116"/>
              <w:spacing w:after="0" w:line="185" w:lineRule="exact"/>
              <w:rPr>
                <w:sz w:val="20"/>
                <w:szCs w:val="20"/>
                <w:color w:val="auto"/>
              </w:rPr>
            </w:pPr>
            <w:r>
              <w:rPr>
                <w:rFonts w:ascii="Times New Roman" w:cs="Times New Roman" w:eastAsia="Times New Roman" w:hAnsi="Times New Roman"/>
                <w:sz w:val="17"/>
                <w:szCs w:val="17"/>
                <w:color w:val="auto"/>
              </w:rPr>
              <w:t>Income taxes . . . . . . . . . . . . . . . . . . . . . . . . . . . . . . . . . . . . . . . . . . . . . . . . . . . . . . . . . . . .</w:t>
            </w: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735.2</w:t>
            </w:r>
          </w:p>
        </w:tc>
        <w:tc>
          <w:tcPr>
            <w:tcW w:w="200" w:type="dxa"/>
            <w:vAlign w:val="bottom"/>
          </w:tcPr>
          <w:p>
            <w:pPr>
              <w:spacing w:after="0"/>
              <w:rPr>
                <w:sz w:val="16"/>
                <w:szCs w:val="16"/>
                <w:color w:val="auto"/>
              </w:rPr>
            </w:pP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641.7</w:t>
            </w:r>
          </w:p>
        </w:tc>
        <w:tc>
          <w:tcPr>
            <w:tcW w:w="200" w:type="dxa"/>
            <w:vAlign w:val="bottom"/>
          </w:tcPr>
          <w:p>
            <w:pPr>
              <w:spacing w:after="0"/>
              <w:rPr>
                <w:sz w:val="16"/>
                <w:szCs w:val="16"/>
                <w:color w:val="auto"/>
              </w:rPr>
            </w:pP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324.4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Interest  .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ectPr>
          <w:pgSz w:w="11880" w:h="15480" w:orient="portrait"/>
          <w:cols w:equalWidth="0" w:num="1">
            <w:col w:w="9180"/>
          </w:cols>
          <w:pgMar w:left="1380" w:top="1312" w:right="1320" w:bottom="654" w:gutter="0" w:footer="0" w:header="0"/>
        </w:sect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180"/>
          </w:cols>
          <w:pgMar w:left="1380" w:top="1312" w:right="1320" w:bottom="654"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Viatris Inc. and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Operations</w:t>
      </w:r>
    </w:p>
    <w:p>
      <w:pPr>
        <w:spacing w:after="0" w:line="2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23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We conduct our business through four segments: Developed Markets, Greater China, JANZ, and Emerging Markets. Viatris is headquartered in the U.S., with global centers in Pittsburgh, Pennsylvania, Shanghai, China and Hyderabad, India.</w:t>
      </w:r>
    </w:p>
    <w:p>
      <w:pPr>
        <w:spacing w:after="0" w:line="23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Certain reclassifications were made to conform the prior period consolidated financial statements to the current period presentation. Upfront and milestone-related charges in connection with collaboration and licensing arrangements made prior to regulatory approval of a development product that were previously presented in </w:t>
      </w: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are now presented in</w:t>
      </w:r>
      <w:r>
        <w:rPr>
          <w:rFonts w:ascii="Times New Roman" w:cs="Times New Roman" w:eastAsia="Times New Roman" w:hAnsi="Times New Roman"/>
          <w:sz w:val="20"/>
          <w:szCs w:val="20"/>
          <w:i w:val="1"/>
          <w:iCs w:val="1"/>
          <w:color w:val="auto"/>
        </w:rPr>
        <w:t xml:space="preserve"> Acquired IPR&amp;D </w:t>
      </w:r>
      <w:r>
        <w:rPr>
          <w:rFonts w:ascii="Times New Roman" w:cs="Times New Roman" w:eastAsia="Times New Roman" w:hAnsi="Times New Roman"/>
          <w:sz w:val="20"/>
          <w:szCs w:val="20"/>
          <w:color w:val="auto"/>
        </w:rPr>
        <w:t>in the consolidated statements of operations.</w:t>
      </w:r>
    </w:p>
    <w:p>
      <w:pPr>
        <w:spacing w:after="0" w:line="23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Mylan is considered the accounting acquirer of the Upjohn Business and all historical financial information of the Company prior to November 16, 2020 represents Mylan’s historical results and the Company’s thereafter.</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2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Principles of Consolidation. </w:t>
      </w:r>
      <w:r>
        <w:rPr>
          <w:rFonts w:ascii="Times New Roman" w:cs="Times New Roman" w:eastAsia="Times New Roman" w:hAnsi="Times New Roman"/>
          <w:sz w:val="20"/>
          <w:szCs w:val="20"/>
          <w:color w:val="auto"/>
        </w:rPr>
        <w:t>The consolidated financial statements include the accounts of Viatris and those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w:t>
      </w:r>
    </w:p>
    <w:p>
      <w:pPr>
        <w:spacing w:after="0" w:line="22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Estimates in the Preparation of Financial Statements. </w:t>
      </w:r>
      <w:r>
        <w:rPr>
          <w:rFonts w:ascii="Times New Roman" w:cs="Times New Roman" w:eastAsia="Times New Roman" w:hAnsi="Times New Roman"/>
          <w:sz w:val="20"/>
          <w:szCs w:val="20"/>
          <w:color w:val="auto"/>
        </w:rPr>
        <w:t>The preparation of financial statements,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conformity with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22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Currencies. </w:t>
      </w:r>
      <w:r>
        <w:rPr>
          <w:rFonts w:ascii="Times New Roman" w:cs="Times New Roman" w:eastAsia="Times New Roman" w:hAnsi="Times New Roman"/>
          <w:sz w:val="20"/>
          <w:szCs w:val="20"/>
          <w:color w:val="auto"/>
        </w:rPr>
        <w:t>The consolidated financial statements are presented in U.S. Dollars, the reporting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currency of Viatris. Statements of 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23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Under ASC 830, Foreign Currency Matters (“ASC 830”), a highly inflationary economy is one that has cumulative inflation of approximately 100% or more over a three-year period. Effective April 1, 2022, we classified Turkey as highly inflationary and began to utilize the U.S. dollar as our functional currency in Turkey,</w:t>
      </w:r>
    </w:p>
    <w:p>
      <w:pPr>
        <w:sectPr>
          <w:pgSz w:w="11880" w:h="15480" w:orient="portrait"/>
          <w:cols w:equalWidth="0" w:num="1">
            <w:col w:w="9120"/>
          </w:cols>
          <w:pgMar w:left="1380" w:top="1312" w:right="1380" w:bottom="654"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120"/>
          </w:cols>
          <w:pgMar w:left="1380" w:top="1312" w:right="1380" w:bottom="654" w:gutter="0" w:footer="0" w:header="0"/>
          <w:type w:val="continuous"/>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0"/>
          <w:szCs w:val="20"/>
          <w:color w:val="auto"/>
        </w:rPr>
        <w:t>which historically utilized the Turkish lira as the functional currency. Application of the guidance in ASC 830 did not have a material impact on our consolidated financial statements for the year ended December 31, 2022. The impacted net sales for the year ended December 31, 2022 and total assets at December 31, 2022 represented less than 1% of our consolidated net sales and total assets, respectively.</w:t>
      </w:r>
    </w:p>
    <w:p>
      <w:pPr>
        <w:spacing w:after="0" w:line="28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Cash and cash equivalents are comprised of highly liquid investments with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original maturity of three months or less at the date of purchase.</w:t>
      </w:r>
    </w:p>
    <w:p>
      <w:pPr>
        <w:spacing w:after="0" w:line="283"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Debt and Equity Securities. </w:t>
      </w:r>
      <w:r>
        <w:rPr>
          <w:rFonts w:ascii="Times New Roman" w:cs="Times New Roman" w:eastAsia="Times New Roman" w:hAnsi="Times New Roman"/>
          <w:sz w:val="20"/>
          <w:szCs w:val="20"/>
          <w:color w:val="auto"/>
        </w:rPr>
        <w:t>Debt securities classified as available-for-sale on the date of purchase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w:t>
      </w:r>
      <w:r>
        <w:rPr>
          <w:rFonts w:ascii="Times New Roman" w:cs="Times New Roman" w:eastAsia="Times New Roman" w:hAnsi="Times New Roman"/>
          <w:sz w:val="20"/>
          <w:szCs w:val="20"/>
          <w:i w:val="1"/>
          <w:iCs w:val="1"/>
          <w:color w:val="auto"/>
        </w:rPr>
        <w:t>Other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expense, net </w:t>
      </w:r>
      <w:r>
        <w:rPr>
          <w:rFonts w:ascii="Times New Roman" w:cs="Times New Roman" w:eastAsia="Times New Roman" w:hAnsi="Times New Roman"/>
          <w:sz w:val="20"/>
          <w:szCs w:val="20"/>
          <w:color w:val="auto"/>
        </w:rPr>
        <w:t>in the consolidated statements of operations. Debt securities classified as trading securities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valued using the quoted market price from broker or dealer quotations or transparent pricing sources at the reporting date, with gains and losses included in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xml:space="preserve"> 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spacing w:after="0" w:line="28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Investments in equity securities with readily determinable fair values are recorded at fair value with changes in fair value recorded in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xml:space="preserve"> in the consolidated statements of operations. Investments in equity securities without readily determinable fair values are recorded at cost minus any impairment, plus or minus changes in their estimated fair value resulting from observable price changes in orderly transactions for the identical or a similar investment of the same issuer. Investments in entities are accounted for using the equity method of accounting when the ability to exercise significant influence over the operating and financial decisions of the investee is maintained. The share of net income or losses of equity method investments are included in </w:t>
      </w:r>
      <w:r>
        <w:rPr>
          <w:rFonts w:ascii="Times New Roman" w:cs="Times New Roman" w:eastAsia="Times New Roman" w:hAnsi="Times New Roman"/>
          <w:sz w:val="20"/>
          <w:szCs w:val="20"/>
          <w:i w:val="1"/>
          <w:iCs w:val="1"/>
          <w:color w:val="auto"/>
        </w:rPr>
        <w:t xml:space="preserve">Other (income) expense, net </w:t>
      </w:r>
      <w:r>
        <w:rPr>
          <w:rFonts w:ascii="Times New Roman" w:cs="Times New Roman" w:eastAsia="Times New Roman" w:hAnsi="Times New Roman"/>
          <w:sz w:val="20"/>
          <w:szCs w:val="20"/>
          <w:color w:val="auto"/>
        </w:rPr>
        <w:t>in the consolidated statements of operations. Investments in equity securities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readily determinable fair values and investments in equity accounted for using the equity method are assessed for potential impairment on a quarterly basis based on qualitative factors.</w:t>
      </w:r>
    </w:p>
    <w:p>
      <w:pPr>
        <w:spacing w:after="0" w:line="28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Concentrations of Credit Risk. </w:t>
      </w:r>
      <w:r>
        <w:rPr>
          <w:rFonts w:ascii="Times New Roman" w:cs="Times New Roman" w:eastAsia="Times New Roman" w:hAnsi="Times New Roman"/>
          <w:sz w:val="20"/>
          <w:szCs w:val="20"/>
          <w:color w:val="auto"/>
        </w:rPr>
        <w:t>Financial instruments that potentially subject the Company to credit risk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 principally of interest-bearing investments, derivatives and accounts receivable.</w:t>
      </w:r>
    </w:p>
    <w:p>
      <w:pPr>
        <w:spacing w:after="0" w:line="28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spacing w:after="0" w:line="28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Inventories. </w:t>
      </w:r>
      <w:r>
        <w:rPr>
          <w:rFonts w:ascii="Times New Roman" w:cs="Times New Roman" w:eastAsia="Times New Roman" w:hAnsi="Times New Roman"/>
          <w:sz w:val="20"/>
          <w:szCs w:val="20"/>
          <w:color w:val="auto"/>
        </w:rPr>
        <w:t>Inventories are stated at the lower of cost and net realizable value, with cost principally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determined by the weighted average cost 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w:t>
      </w:r>
    </w:p>
    <w:p>
      <w:pPr>
        <w:spacing w:after="0" w:line="28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Property, Plant and Equipment. </w:t>
      </w:r>
      <w:r>
        <w:rPr>
          <w:rFonts w:ascii="Times New Roman" w:cs="Times New Roman" w:eastAsia="Times New Roman" w:hAnsi="Times New Roman"/>
          <w:sz w:val="20"/>
          <w:szCs w:val="20"/>
          <w:color w:val="auto"/>
        </w:rPr>
        <w:t>Property, plant and equipment are stated at cost less accumulated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Depreciation is computed and 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w:t>
      </w:r>
    </w:p>
    <w:p>
      <w:pPr>
        <w:sectPr>
          <w:pgSz w:w="11880" w:h="15480" w:orient="portrait"/>
          <w:cols w:equalWidth="0" w:num="1">
            <w:col w:w="9120"/>
          </w:cols>
          <w:pgMar w:left="1380" w:top="1322" w:right="1380" w:bottom="654"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120"/>
          </w:cols>
          <w:pgMar w:left="1380" w:top="1322" w:right="1380" w:bottom="654" w:gutter="0" w:footer="0" w:header="0"/>
          <w:type w:val="continuous"/>
        </w:sectPr>
      </w:pPr>
    </w:p>
    <w:bookmarkStart w:id="110" w:name="page111"/>
    <w:bookmarkEnd w:id="110"/>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and Goodwill. </w:t>
      </w:r>
      <w:r>
        <w:rPr>
          <w:rFonts w:ascii="Times New Roman" w:cs="Times New Roman" w:eastAsia="Times New Roman" w:hAnsi="Times New Roman"/>
          <w:sz w:val="20"/>
          <w:szCs w:val="20"/>
          <w:color w:val="auto"/>
        </w:rPr>
        <w:t>Intangible assets are stated at cost less accumulated amortization.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spacing w:after="0" w:line="21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acquired businesses using the acquisition method of accounting in accordance with the provisions of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w:t>
      </w:r>
    </w:p>
    <w:p>
      <w:pPr>
        <w:spacing w:after="0" w:line="21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Purchases of developed products and licenses that are accounted for as asset acquisitions are capitalized as intangible assets and amortized over an estimated useful life.</w:t>
      </w:r>
    </w:p>
    <w:p>
      <w:pPr>
        <w:spacing w:after="0" w:line="22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22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spacing w:after="0" w:line="21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Acquired IPR&amp;D. </w:t>
      </w:r>
      <w:r>
        <w:rPr>
          <w:rFonts w:ascii="Times New Roman" w:cs="Times New Roman" w:eastAsia="Times New Roman" w:hAnsi="Times New Roman"/>
          <w:sz w:val="20"/>
          <w:szCs w:val="20"/>
          <w:color w:val="auto"/>
        </w:rPr>
        <w:t>IPR&amp;D assets acquired as part of an asset acquisition are expensed immediately if they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have no alternative future uses and are recorded in </w:t>
      </w:r>
      <w:r>
        <w:rPr>
          <w:rFonts w:ascii="Times New Roman" w:cs="Times New Roman" w:eastAsia="Times New Roman" w:hAnsi="Times New Roman"/>
          <w:sz w:val="20"/>
          <w:szCs w:val="20"/>
          <w:i w:val="1"/>
          <w:iCs w:val="1"/>
          <w:color w:val="auto"/>
        </w:rPr>
        <w:t>Acquired IPR&amp;D</w:t>
      </w:r>
      <w:r>
        <w:rPr>
          <w:rFonts w:ascii="Times New Roman" w:cs="Times New Roman" w:eastAsia="Times New Roman" w:hAnsi="Times New Roman"/>
          <w:sz w:val="20"/>
          <w:szCs w:val="20"/>
          <w:color w:val="auto"/>
        </w:rPr>
        <w:t xml:space="preserve"> in the consolidated statements of operations.</w:t>
      </w:r>
    </w:p>
    <w:p>
      <w:pPr>
        <w:spacing w:after="0" w:line="21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Contingent Consideration. </w:t>
      </w:r>
      <w:r>
        <w:rPr>
          <w:rFonts w:ascii="Times New Roman" w:cs="Times New Roman" w:eastAsia="Times New Roman" w:hAnsi="Times New Roman"/>
          <w:sz w:val="20"/>
          <w:szCs w:val="20"/>
          <w:color w:val="auto"/>
        </w:rPr>
        <w:t>Viatris records contingent consideration resulting from business acquisitions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divestitures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w:t>
      </w:r>
    </w:p>
    <w:p>
      <w:pPr>
        <w:spacing w:after="0" w:line="22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sectPr>
          <w:pgSz w:w="11880" w:h="15480" w:orient="portrait"/>
          <w:cols w:equalWidth="0" w:num="1">
            <w:col w:w="9120"/>
          </w:cols>
          <w:pgMar w:left="1380" w:top="1316" w:right="1380" w:bottom="654"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120"/>
          </w:cols>
          <w:pgMar w:left="1380" w:top="1316" w:right="1380" w:bottom="654" w:gutter="0" w:footer="0" w:header="0"/>
          <w:type w:val="continuous"/>
        </w:sectPr>
      </w:pPr>
    </w:p>
    <w:bookmarkStart w:id="111" w:name="page112"/>
    <w:bookmarkEnd w:id="111"/>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of Long-Lived Assets. </w:t>
      </w:r>
      <w:r>
        <w:rPr>
          <w:rFonts w:ascii="Times New Roman" w:cs="Times New Roman" w:eastAsia="Times New Roman" w:hAnsi="Times New Roman"/>
          <w:sz w:val="20"/>
          <w:szCs w:val="20"/>
          <w:color w:val="auto"/>
        </w:rPr>
        <w:t>The carrying values of long-lived assets, which include property, plant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equipment and intangible assets 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25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spacing w:after="0" w:line="25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Divestitures. </w:t>
      </w:r>
      <w:r>
        <w:rPr>
          <w:rFonts w:ascii="Times New Roman" w:cs="Times New Roman" w:eastAsia="Times New Roman" w:hAnsi="Times New Roman"/>
          <w:sz w:val="20"/>
          <w:szCs w:val="20"/>
          <w:color w:val="auto"/>
        </w:rPr>
        <w:t>For businesses that are divested, the Company records the net gain or loss on the sale within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For divestitures of businesses, including divestitures of products that qualify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business, the Company allocates the relative fair value of goodwill associated with the businesses in the determining the gain or loss on sale. The Company records amounts received as part of TSAs within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 expense, net.</w:t>
      </w:r>
    </w:p>
    <w:p>
      <w:pPr>
        <w:spacing w:after="0" w:line="24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Short-Term Borrowings. </w:t>
      </w:r>
      <w:r>
        <w:rPr>
          <w:rFonts w:ascii="Times New Roman" w:cs="Times New Roman" w:eastAsia="Times New Roman" w:hAnsi="Times New Roman"/>
          <w:sz w:val="20"/>
          <w:szCs w:val="20"/>
          <w:color w:val="auto"/>
        </w:rPr>
        <w:t>The Company’s subsidiaries in India have working capital facilities with several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banks which are secured by its current assets. The Company also has the CP Notes, Receivables Facility and the Note Securitization Facility. Under the terms of each of the Receivables Facility and Note Securitization Facility, certain of our accounts receivable secure the amounts borrowed and cannot be used to pay our other debts or liabilities. As the accounts receivable do not transfer to the banks, any amounts outstanding under the facilities are recorded as borrowings and the underlying receivables continue to be included in accounts receivable, net, in the consolidated balance sheets.</w:t>
      </w:r>
    </w:p>
    <w:p>
      <w:pPr>
        <w:spacing w:after="0" w:line="250"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The Company recognizes revenues in accordance with ASC 606,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Under ASC 606, the Company recognizes net revenue for product sales when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spacing w:after="0" w:line="131" w:lineRule="exact"/>
        <w:rPr>
          <w:sz w:val="20"/>
          <w:szCs w:val="20"/>
          <w:color w:val="auto"/>
        </w:rPr>
      </w:pPr>
    </w:p>
    <w:p>
      <w:pPr>
        <w:jc w:val="both"/>
        <w:ind w:left="800" w:hanging="300"/>
        <w:spacing w:after="0" w:line="249"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Chargebacks</w:t>
      </w:r>
      <w:r>
        <w:rPr>
          <w:rFonts w:ascii="Times New Roman" w:cs="Times New Roman" w:eastAsia="Times New Roman" w:hAnsi="Times New Roman"/>
          <w:sz w:val="20"/>
          <w:szCs w:val="20"/>
          <w:color w:val="auto"/>
        </w:rPr>
        <w:t>: the Company has agreements with certain indirect customers, such as independent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133" w:lineRule="exact"/>
        <w:rPr>
          <w:rFonts w:ascii="Times New Roman" w:cs="Times New Roman" w:eastAsia="Times New Roman" w:hAnsi="Times New Roman"/>
          <w:sz w:val="20"/>
          <w:szCs w:val="20"/>
          <w:color w:val="auto"/>
        </w:rPr>
      </w:pPr>
    </w:p>
    <w:p>
      <w:pPr>
        <w:jc w:val="both"/>
        <w:ind w:left="800" w:hanging="300"/>
        <w:spacing w:after="0" w:line="239"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Rebates, promotional programs and other sales allowances</w:t>
      </w:r>
      <w:r>
        <w:rPr>
          <w:rFonts w:ascii="Times New Roman" w:cs="Times New Roman" w:eastAsia="Times New Roman" w:hAnsi="Times New Roman"/>
          <w:sz w:val="20"/>
          <w:szCs w:val="20"/>
          <w:color w:val="auto"/>
        </w:rPr>
        <w:t>: this category includes rebate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programs to assist in product sales. These programs generally provide that the customer receives credit</w:t>
      </w:r>
    </w:p>
    <w:p>
      <w:pPr>
        <w:sectPr>
          <w:pgSz w:w="11880" w:h="15480" w:orient="portrait"/>
          <w:cols w:equalWidth="0" w:num="1">
            <w:col w:w="9120"/>
          </w:cols>
          <w:pgMar w:left="1380" w:top="1316" w:right="1380" w:bottom="65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120"/>
          </w:cols>
          <w:pgMar w:left="1380" w:top="1316" w:right="1380" w:bottom="654" w:gutter="0" w:footer="0" w:header="0"/>
          <w:type w:val="continuous"/>
        </w:sectPr>
      </w:pPr>
    </w:p>
    <w:bookmarkStart w:id="112" w:name="page113"/>
    <w:bookmarkEnd w:id="112"/>
    <w:p>
      <w:pPr>
        <w:jc w:val="both"/>
        <w:ind w:left="800"/>
        <w:spacing w:after="0" w:line="245" w:lineRule="auto"/>
        <w:rPr>
          <w:sz w:val="20"/>
          <w:szCs w:val="20"/>
          <w:color w:val="auto"/>
        </w:rPr>
      </w:pPr>
      <w:r>
        <w:rPr>
          <w:rFonts w:ascii="Times New Roman" w:cs="Times New Roman" w:eastAsia="Times New Roman" w:hAnsi="Times New Roman"/>
          <w:sz w:val="20"/>
          <w:szCs w:val="20"/>
          <w:color w:val="auto"/>
        </w:rPr>
        <w:t>directly related to the amount of purchases or credits upon the attainment of pre-established volumes. Also included in this category are prompt pay discounts, administrative fees and price adjustments to reflect decreases in the selling prices of products.</w:t>
      </w:r>
    </w:p>
    <w:p>
      <w:pPr>
        <w:spacing w:after="0" w:line="112" w:lineRule="exact"/>
        <w:rPr>
          <w:sz w:val="20"/>
          <w:szCs w:val="20"/>
          <w:color w:val="auto"/>
        </w:rPr>
      </w:pPr>
    </w:p>
    <w:p>
      <w:pPr>
        <w:jc w:val="both"/>
        <w:ind w:left="800" w:hanging="300"/>
        <w:spacing w:after="0" w:line="248" w:lineRule="auto"/>
        <w:tabs>
          <w:tab w:leader="none" w:pos="8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Returns</w:t>
      </w:r>
      <w:r>
        <w:rPr>
          <w:rFonts w:ascii="Times New Roman" w:cs="Times New Roman" w:eastAsia="Times New Roman" w:hAnsi="Times New Roman"/>
          <w:sz w:val="20"/>
          <w:szCs w:val="20"/>
          <w:color w:val="auto"/>
        </w:rPr>
        <w:t>: consistent with industry practice, Viatris maintains a return policy that allows customers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spacing w:after="0" w:line="110" w:lineRule="exact"/>
        <w:rPr>
          <w:rFonts w:ascii="Times New Roman" w:cs="Times New Roman" w:eastAsia="Times New Roman" w:hAnsi="Times New Roman"/>
          <w:sz w:val="20"/>
          <w:szCs w:val="20"/>
          <w:color w:val="auto"/>
        </w:rPr>
      </w:pPr>
    </w:p>
    <w:p>
      <w:pPr>
        <w:jc w:val="both"/>
        <w:ind w:left="800" w:hanging="300"/>
        <w:spacing w:after="0" w:line="249" w:lineRule="auto"/>
        <w:tabs>
          <w:tab w:leader="none" w:pos="8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Governmental rebate programs</w:t>
      </w:r>
      <w:r>
        <w:rPr>
          <w:rFonts w:ascii="Times New Roman" w:cs="Times New Roman" w:eastAsia="Times New Roman" w:hAnsi="Times New Roman"/>
          <w:sz w:val="20"/>
          <w:szCs w:val="20"/>
          <w:color w:val="auto"/>
        </w:rPr>
        <w:t>: government reimbursement programs in the U.S. include Medicare,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11" w:lineRule="exact"/>
        <w:rPr>
          <w:rFonts w:ascii="Times New Roman" w:cs="Times New Roman" w:eastAsia="Times New Roman" w:hAnsi="Times New Roman"/>
          <w:sz w:val="20"/>
          <w:szCs w:val="20"/>
          <w:color w:val="auto"/>
        </w:rPr>
      </w:pPr>
    </w:p>
    <w:p>
      <w:pPr>
        <w:jc w:val="both"/>
        <w:ind w:left="80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20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20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w:t>
      </w:r>
    </w:p>
    <w:p>
      <w:pPr>
        <w:spacing w:after="0" w:line="20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Receivables, including deferred consideration, with terms in excess of one year are initially recorded at their net present value using discount rates reflecting the relative credit risk.</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w:t>
      </w:r>
      <w:r>
        <w:rPr>
          <w:rFonts w:ascii="Times New Roman" w:cs="Times New Roman" w:eastAsia="Times New Roman" w:hAnsi="Times New Roman"/>
          <w:sz w:val="20"/>
          <w:szCs w:val="20"/>
          <w:color w:val="auto"/>
        </w:rPr>
        <w:t>R&amp;D expenses are charged to operations as incurred.</w:t>
      </w:r>
    </w:p>
    <w:p>
      <w:pPr>
        <w:spacing w:after="0" w:line="20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Income taxes have been provided for using an asset and liability approach in which deferred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taxes reflect the tax 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9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Earnings per Share. </w:t>
      </w:r>
      <w:r>
        <w:rPr>
          <w:rFonts w:ascii="Times New Roman" w:cs="Times New Roman" w:eastAsia="Times New Roman" w:hAnsi="Times New Roman"/>
          <w:sz w:val="20"/>
          <w:szCs w:val="20"/>
          <w:color w:val="auto"/>
        </w:rPr>
        <w:t>Basic earnings per share is computed by dividing net earnings attributable to holders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Viatris Inc. common stock by the 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ectPr>
          <w:pgSz w:w="11880" w:h="15480" w:orient="portrait"/>
          <w:cols w:equalWidth="0" w:num="1">
            <w:col w:w="9120"/>
          </w:cols>
          <w:pgMar w:left="1380" w:top="1322" w:right="1380" w:bottom="654"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120"/>
          </w:cols>
          <w:pgMar w:left="1380" w:top="1322" w:right="1380" w:bottom="654" w:gutter="0" w:footer="0" w:header="0"/>
          <w:type w:val="continuous"/>
        </w:sectPr>
      </w:pPr>
    </w:p>
    <w:bookmarkStart w:id="113" w:name="page114"/>
    <w:bookmarkEnd w:id="113"/>
    <w:p>
      <w:pPr>
        <w:ind w:left="400"/>
        <w:spacing w:after="0"/>
        <w:rPr>
          <w:sz w:val="20"/>
          <w:szCs w:val="20"/>
          <w:color w:val="auto"/>
        </w:rPr>
      </w:pPr>
      <w:r>
        <w:rPr>
          <w:rFonts w:ascii="Times New Roman" w:cs="Times New Roman" w:eastAsia="Times New Roman" w:hAnsi="Times New Roman"/>
          <w:sz w:val="20"/>
          <w:szCs w:val="20"/>
          <w:color w:val="auto"/>
        </w:rPr>
        <w:t>Basic and diluted earnings per share attributable to Viatris Inc. are calculated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 share amounts)</w:t>
            </w:r>
          </w:p>
        </w:tc>
        <w:tc>
          <w:tcPr>
            <w:tcW w:w="24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Basic earnings (loss) attributable to Viatris Inc. common</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(numerator):</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earnings (loss) attributable to Viatris Inc. common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shareholders  . .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Shares (denominator):</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average shares outstanding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c>
          <w:tcPr>
            <w:tcW w:w="0" w:type="dxa"/>
            <w:vAlign w:val="bottom"/>
          </w:tcPr>
          <w:p>
            <w:pPr>
              <w:spacing w:after="0"/>
              <w:rPr>
                <w:sz w:val="1"/>
                <w:szCs w:val="1"/>
                <w:color w:val="auto"/>
              </w:rPr>
            </w:pPr>
          </w:p>
        </w:tc>
      </w:tr>
      <w:tr>
        <w:trPr>
          <w:trHeight w:val="28"/>
        </w:trPr>
        <w:tc>
          <w:tcPr>
            <w:tcW w:w="53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Basic earnings (loss) per share attributable to Viatris Inc.</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shareholders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Diluted earnings (loss) attributable to Viatris Inc. common</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shareholders (numerator):</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earnings (loss) attributable to Viatris Inc. common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shareholders  . .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Shares (denominator):</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average shares outstanding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c>
          <w:tcPr>
            <w:tcW w:w="0" w:type="dxa"/>
            <w:vAlign w:val="bottom"/>
          </w:tcPr>
          <w:p>
            <w:pPr>
              <w:spacing w:after="0"/>
              <w:rPr>
                <w:sz w:val="1"/>
                <w:szCs w:val="1"/>
                <w:color w:val="auto"/>
              </w:rPr>
            </w:pPr>
          </w:p>
        </w:tc>
      </w:tr>
      <w:tr>
        <w:trPr>
          <w:trHeight w:val="240"/>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Share-based awards . .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dilutive shares outstanding  . . . . . . . . . . . . . . . . . . . .</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c>
          <w:tcPr>
            <w:tcW w:w="0" w:type="dxa"/>
            <w:vAlign w:val="bottom"/>
          </w:tcPr>
          <w:p>
            <w:pPr>
              <w:spacing w:after="0"/>
              <w:rPr>
                <w:sz w:val="1"/>
                <w:szCs w:val="1"/>
                <w:color w:val="auto"/>
              </w:rPr>
            </w:pPr>
          </w:p>
        </w:tc>
      </w:tr>
      <w:tr>
        <w:trPr>
          <w:trHeight w:val="28"/>
        </w:trPr>
        <w:tc>
          <w:tcPr>
            <w:tcW w:w="530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Diluted earnings (loss) per share attributable to Viatris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Inc. shareholders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weighted average shares outstanding used in the computation of earnings per share for the year ended December 31, 2020 includes the effect of the 689.9 million shares issued for the closing of the Combination.</w:t>
      </w:r>
    </w:p>
    <w:p>
      <w:pPr>
        <w:spacing w:after="0" w:line="26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Additional stock awards and restricted ordinary shares were outstanding during the years ended December 31, 2022, 2021 and 2020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11.8 million, 12.7 million and 10.3 million shares for the years ended December 31, 2022, 2021 and 2020, respectively.</w:t>
      </w:r>
    </w:p>
    <w:p>
      <w:pPr>
        <w:spacing w:after="0" w:line="25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paid quarterly cash dividends of $0.11 per share on the Company’s issued and outstanding common stock on June 16, 2021, September 16, 2021, and December 16, 2021. The Company paid quarterly dividends of $0.12 per share on the Company’s issued and outstanding common stock on March 16, 2022, June 16, 2022, September 16, 2022 and December 16, 2022. On February 24, 2023, the Company’s Board of Directors declared a quarterly cash dividend of $0.12 per share on the Company’s issued and outstanding common stock, which will be payable on March 17, 2023 to shareholders of record as of the close of business on March 9,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120"/>
          </w:cols>
          <w:pgMar w:left="1380" w:top="1312" w:right="1380" w:bottom="654" w:gutter="0" w:footer="0" w:header="0"/>
          <w:type w:val="continuous"/>
        </w:sectPr>
      </w:pPr>
    </w:p>
    <w:bookmarkStart w:id="114" w:name="page115"/>
    <w:bookmarkEnd w:id="114"/>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2022, the Company did not repurchase any shares of common stock under the share repurchase program. In January and February 2023, the Company repurchased approximately 21.2 million shares of common stock at a cost of approximately $250 million. The share repurchase program does not obligate the Company to acquire any particular amount of common stock.</w:t>
      </w:r>
    </w:p>
    <w:p>
      <w:pPr>
        <w:spacing w:after="0" w:line="248"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Share-Based Compensation. </w:t>
      </w:r>
      <w:r>
        <w:rPr>
          <w:rFonts w:ascii="Times New Roman" w:cs="Times New Roman" w:eastAsia="Times New Roman" w:hAnsi="Times New Roman"/>
          <w:sz w:val="20"/>
          <w:szCs w:val="20"/>
          <w:color w:val="auto"/>
        </w:rPr>
        <w:t>The fair value of share-based compensation is recognized as expense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statements of operations over the vesting period.</w:t>
      </w:r>
    </w:p>
    <w:p>
      <w:pPr>
        <w:spacing w:after="0" w:line="249"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Derivatives. </w:t>
      </w:r>
      <w:r>
        <w:rPr>
          <w:rFonts w:ascii="Times New Roman" w:cs="Times New Roman" w:eastAsia="Times New Roman" w:hAnsi="Times New Roman"/>
          <w:sz w:val="20"/>
          <w:szCs w:val="20"/>
          <w:color w:val="auto"/>
        </w:rPr>
        <w:t>From time to time the Company may enter into derivative financial instruments (mainly foreign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currency exchange forward contracts, 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within the same line item on the consolidated statements of operations as the hedged item. When such instruments do not qualify for hedge accounting the changes in fair value are recorded in the consolidated statements of operations within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Financial Instruments. </w:t>
      </w:r>
      <w:r>
        <w:rPr>
          <w:rFonts w:ascii="Times New Roman" w:cs="Times New Roman" w:eastAsia="Times New Roman" w:hAnsi="Times New Roman"/>
          <w:sz w:val="20"/>
          <w:szCs w:val="20"/>
          <w:color w:val="auto"/>
        </w:rPr>
        <w:t>The Company’s financial instruments consist primarily of short-term and long-term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debt, interest rate swaps, forward 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25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carries derivative instruments in the consolidated balance sheets at fair value, determined by reference to market data such as forward rates for currencies, implied volatility,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Adoption of New Accounting Standards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November 2021, the FASB issued Accounting Standards Update 2021-10, </w:t>
      </w:r>
      <w:r>
        <w:rPr>
          <w:rFonts w:ascii="Times New Roman" w:cs="Times New Roman" w:eastAsia="Times New Roman" w:hAnsi="Times New Roman"/>
          <w:sz w:val="20"/>
          <w:szCs w:val="20"/>
          <w:i w:val="1"/>
          <w:iCs w:val="1"/>
          <w:color w:val="auto"/>
        </w:rPr>
        <w:t>Government Assistance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832): Disclosures by Business Entities about Government Assistance </w:t>
      </w:r>
      <w:r>
        <w:rPr>
          <w:rFonts w:ascii="Times New Roman" w:cs="Times New Roman" w:eastAsia="Times New Roman" w:hAnsi="Times New Roman"/>
          <w:sz w:val="20"/>
          <w:szCs w:val="20"/>
          <w:color w:val="auto"/>
        </w:rPr>
        <w:t>(“ASU 2021-10”), which requires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provide annual disclosures about transactions with a government that are accounted for by applying a grant or contribution accounting model by analogy. We adopted the ASU prospectively on January 1, 2022. The adoption of this guidance did not have a material impact on the Company’s consolidated financial statements and disclosures.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120"/>
          </w:cols>
          <w:pgMar w:left="1380" w:top="1322" w:right="1380" w:bottom="654"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i w:val="1"/>
          <w:iCs w:val="1"/>
          <w:color w:val="auto"/>
        </w:rPr>
        <w:t>Accounting Standards Issued Not Yet Adopted</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In March 2020, the FASB issued Accounting Standards Update 2020-04, </w:t>
      </w:r>
      <w:r>
        <w:rPr>
          <w:rFonts w:ascii="Times New Roman" w:cs="Times New Roman" w:eastAsia="Times New Roman" w:hAnsi="Times New Roman"/>
          <w:sz w:val="20"/>
          <w:szCs w:val="20"/>
          <w:i w:val="1"/>
          <w:iCs w:val="1"/>
          <w:color w:val="auto"/>
        </w:rPr>
        <w:t>Reference Rate Reform (Topic</w:t>
      </w:r>
    </w:p>
    <w:p>
      <w:pPr>
        <w:spacing w:after="0" w:line="20" w:lineRule="exact"/>
        <w:rPr>
          <w:sz w:val="20"/>
          <w:szCs w:val="20"/>
          <w:color w:val="auto"/>
        </w:rPr>
      </w:pPr>
    </w:p>
    <w:p>
      <w:pPr>
        <w:jc w:val="both"/>
        <w:spacing w:after="0" w:line="249" w:lineRule="auto"/>
        <w:tabs>
          <w:tab w:leader="none" w:pos="425" w:val="left"/>
        </w:tabs>
        <w:numPr>
          <w:ilvl w:val="0"/>
          <w:numId w:val="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Facilitation of the Effects of Reference Rate Reform on Financial Reporting </w:t>
      </w:r>
      <w:r>
        <w:rPr>
          <w:rFonts w:ascii="Times New Roman" w:cs="Times New Roman" w:eastAsia="Times New Roman" w:hAnsi="Times New Roman"/>
          <w:sz w:val="20"/>
          <w:szCs w:val="20"/>
          <w:color w:val="auto"/>
        </w:rPr>
        <w:t>(“ASU 2020-04”)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for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period of time adds ASC 848 to provide optional expedients and exceptions for applying U.S. GAAP to 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On December 21, 2022, the FASB issued ASU 2022-06 to defer the sunset date of ASC 848 until December 31, 2024. ASU 2022-06 became effective upon issuance. Entities can apply the provisions of ASU 2020-04 immediately, as applicable, and generally the provisions of the guidance are available through December 31, 2024 as entities transition away from reference rates that are expected to be discontinued. The Company is currently assessing the impact of the adoption of this guidance on its consolidated financial statements and disclosures.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October 2021, the FASB issued Accounting Standards Update 2021-08, </w:t>
      </w:r>
      <w:r>
        <w:rPr>
          <w:rFonts w:ascii="Times New Roman" w:cs="Times New Roman" w:eastAsia="Times New Roman" w:hAnsi="Times New Roman"/>
          <w:sz w:val="20"/>
          <w:szCs w:val="20"/>
          <w:i w:val="1"/>
          <w:iCs w:val="1"/>
          <w:color w:val="auto"/>
        </w:rPr>
        <w:t>Business Combinations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805): Accounting for Contract Assets and Contract Liabilities from Contracts with Customers </w:t>
      </w:r>
      <w:r>
        <w:rPr>
          <w:rFonts w:ascii="Times New Roman" w:cs="Times New Roman" w:eastAsia="Times New Roman" w:hAnsi="Times New Roman"/>
          <w:sz w:val="20"/>
          <w:szCs w:val="20"/>
          <w:color w:val="auto"/>
        </w:rPr>
        <w:t>(“ASU 2021-08”),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requires entities (acquirers) to recognize and measure contract assets and contract liabilities acquired in a business combination in accordance with ASC Topic 606. The ASU will be effective for fiscal years, including interim periods within those fiscal years, beginning after December 15, 2022 with early adoption permitted. The Company is currently assessing the impact of the adoption of this guidance on its consolidated financial statements and disclosures.</w:t>
      </w:r>
    </w:p>
    <w:p>
      <w:pPr>
        <w:spacing w:after="0" w:line="25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September 2022, the FASB issued Accounting Standards Update 2022-04, </w:t>
      </w:r>
      <w:r>
        <w:rPr>
          <w:rFonts w:ascii="Times New Roman" w:cs="Times New Roman" w:eastAsia="Times New Roman" w:hAnsi="Times New Roman"/>
          <w:sz w:val="20"/>
          <w:szCs w:val="20"/>
          <w:i w:val="1"/>
          <w:iCs w:val="1"/>
          <w:color w:val="auto"/>
        </w:rPr>
        <w:t>Liabilities—Supplier Finance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Programs (Subtopic 405-50), </w:t>
      </w:r>
      <w:r>
        <w:rPr>
          <w:rFonts w:ascii="Times New Roman" w:cs="Times New Roman" w:eastAsia="Times New Roman" w:hAnsi="Times New Roman"/>
          <w:sz w:val="20"/>
          <w:szCs w:val="20"/>
          <w:color w:val="auto"/>
        </w:rPr>
        <w:t>which requires entities to provide qualitative and quantitative disclosures about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their supplier finance programs, including a rollforward of related obligations. The ASU will be effective for fiscal years beginning after December 15, 2022, including interim periods within those fiscal years, except for the rollforward requirement, which becomes effective for fiscal years beginning after December 15, 2023, with early adoption permitted. The Company is currently assessing the impact of the adoption of this guidance on its consolidated financial statements and disclosures.</w:t>
      </w:r>
    </w:p>
    <w:p>
      <w:pPr>
        <w:spacing w:after="0" w:line="366" w:lineRule="exact"/>
        <w:rPr>
          <w:sz w:val="20"/>
          <w:szCs w:val="20"/>
          <w:color w:val="auto"/>
        </w:rPr>
      </w:pPr>
    </w:p>
    <w:p>
      <w:pPr>
        <w:ind w:left="400" w:hanging="400"/>
        <w:spacing w:after="0"/>
        <w:tabs>
          <w:tab w:leader="none" w:pos="4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 and Accounts Receivable</w:t>
      </w:r>
    </w:p>
    <w:p>
      <w:pPr>
        <w:spacing w:after="0" w:line="14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presents the Company’s net sales by product category for each of our reportable segments for the years ended December 31, 2022, 2021, and 2020,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2022 Net Sales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
        </w:trPr>
        <w:tc>
          <w:tcPr>
            <w:tcW w:w="3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3520" w:type="dxa"/>
            <w:vAlign w:val="bottom"/>
          </w:tcPr>
          <w:p>
            <w:pPr>
              <w:spacing w:after="0"/>
              <w:rPr>
                <w:sz w:val="14"/>
                <w:szCs w:val="14"/>
                <w:color w:val="auto"/>
              </w:rPr>
            </w:pPr>
          </w:p>
        </w:tc>
        <w:tc>
          <w:tcPr>
            <w:tcW w:w="1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2"/>
        </w:trPr>
        <w:tc>
          <w:tcPr>
            <w:tcW w:w="35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Product Category</w:t>
            </w:r>
          </w:p>
        </w:tc>
        <w:tc>
          <w:tcPr>
            <w:tcW w:w="10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Markets</w:t>
            </w:r>
          </w:p>
        </w:tc>
        <w:tc>
          <w:tcPr>
            <w:tcW w:w="200" w:type="dxa"/>
            <w:vAlign w:val="bottom"/>
          </w:tcPr>
          <w:p>
            <w:pPr>
              <w:spacing w:after="0"/>
              <w:rPr>
                <w:sz w:val="15"/>
                <w:szCs w:val="15"/>
                <w:color w:val="auto"/>
              </w:rPr>
            </w:pPr>
          </w:p>
        </w:tc>
        <w:tc>
          <w:tcPr>
            <w:tcW w:w="10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7"/>
              </w:rPr>
              <w:t>Greater China</w:t>
            </w:r>
          </w:p>
        </w:tc>
        <w:tc>
          <w:tcPr>
            <w:tcW w:w="200" w:type="dxa"/>
            <w:vAlign w:val="bottom"/>
          </w:tcPr>
          <w:p>
            <w:pPr>
              <w:spacing w:after="0"/>
              <w:rPr>
                <w:sz w:val="15"/>
                <w:szCs w:val="15"/>
                <w:color w:val="auto"/>
              </w:rPr>
            </w:pPr>
          </w:p>
        </w:tc>
        <w:tc>
          <w:tcPr>
            <w:tcW w:w="900" w:type="dxa"/>
            <w:vAlign w:val="bottom"/>
          </w:tcPr>
          <w:p>
            <w:pPr>
              <w:ind w:left="240"/>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200" w:type="dxa"/>
            <w:vAlign w:val="bottom"/>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1000" w:type="dxa"/>
            <w:vAlign w:val="bottom"/>
          </w:tcPr>
          <w:p>
            <w:pPr>
              <w:ind w:left="32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3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Brands . . . . . . . . . . . . . . . . . . . . . . . . . .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9,889.6</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Complex Gx and Biosimilars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1,218.0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1,313.4</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Generics . . . . . .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5,015.1</w:t>
            </w:r>
          </w:p>
        </w:tc>
        <w:tc>
          <w:tcPr>
            <w:tcW w:w="0" w:type="dxa"/>
            <w:vAlign w:val="bottom"/>
          </w:tcPr>
          <w:p>
            <w:pPr>
              <w:spacing w:after="0"/>
              <w:rPr>
                <w:sz w:val="1"/>
                <w:szCs w:val="1"/>
                <w:color w:val="auto"/>
              </w:rPr>
            </w:pPr>
          </w:p>
        </w:tc>
      </w:tr>
      <w:tr>
        <w:trPr>
          <w:trHeight w:val="28"/>
        </w:trPr>
        <w:tc>
          <w:tcPr>
            <w:tcW w:w="35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Total Viatris </w:t>
            </w:r>
            <w:r>
              <w:rPr>
                <w:rFonts w:ascii="Times New Roman" w:cs="Times New Roman" w:eastAsia="Times New Roman" w:hAnsi="Times New Roman"/>
                <w:sz w:val="20"/>
                <w:szCs w:val="20"/>
                <w:color w:val="auto"/>
              </w:rPr>
              <w:t>. . . . . . . . . . . . . . . . . . . .</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20" w:type="dxa"/>
            <w:vAlign w:val="bottom"/>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9,768.9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16,218.1</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 Net Sales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4"/>
              <w:spacing w:after="0" w:line="172" w:lineRule="exact"/>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4"/>
              <w:spacing w:after="0" w:line="172"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Product Category</w:t>
            </w:r>
          </w:p>
        </w:tc>
        <w:tc>
          <w:tcPr>
            <w:tcW w:w="120" w:type="dxa"/>
            <w:vAlign w:val="bottom"/>
          </w:tcPr>
          <w:p>
            <w:pPr>
              <w:spacing w:after="0"/>
              <w:rPr>
                <w:sz w:val="15"/>
                <w:szCs w:val="15"/>
                <w:color w:val="auto"/>
              </w:rPr>
            </w:pPr>
          </w:p>
        </w:tc>
        <w:tc>
          <w:tcPr>
            <w:tcW w:w="880" w:type="dxa"/>
            <w:vAlign w:val="bottom"/>
          </w:tcPr>
          <w:p>
            <w:pPr>
              <w:jc w:val="right"/>
              <w:ind w:right="124"/>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10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Greater China</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2"/>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22"/>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Brands . . . . . . . . . . . . . . . . . . . . . . . . . . .</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5,759.2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2,207.8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10,841.3</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Complex Gx and Biosimilars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1,342.1</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Generics . . . . . .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3,427.9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5,630.2</w:t>
            </w:r>
          </w:p>
        </w:tc>
        <w:tc>
          <w:tcPr>
            <w:tcW w:w="0" w:type="dxa"/>
            <w:vAlign w:val="bottom"/>
          </w:tcPr>
          <w:p>
            <w:pPr>
              <w:spacing w:after="0"/>
              <w:rPr>
                <w:sz w:val="1"/>
                <w:szCs w:val="1"/>
                <w:color w:val="auto"/>
              </w:rPr>
            </w:pPr>
          </w:p>
        </w:tc>
      </w:tr>
      <w:tr>
        <w:trPr>
          <w:trHeight w:val="28"/>
        </w:trPr>
        <w:tc>
          <w:tcPr>
            <w:tcW w:w="35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Total Viatris </w:t>
            </w:r>
            <w:r>
              <w:rPr>
                <w:rFonts w:ascii="Times New Roman" w:cs="Times New Roman" w:eastAsia="Times New Roman" w:hAnsi="Times New Roman"/>
                <w:sz w:val="20"/>
                <w:szCs w:val="20"/>
                <w:color w:val="auto"/>
              </w:rPr>
              <w:t>. . . . . . . . . . . . . . . . . . . .</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20" w:type="dxa"/>
            <w:vAlign w:val="bottom"/>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10,428.7</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17,813.6</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120"/>
          </w:cols>
          <w:pgMar w:left="1380" w:top="1312" w:right="1380" w:bottom="654"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2020 Net Sales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7"/>
              <w:spacing w:after="0" w:line="172" w:lineRule="exact"/>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4"/>
                <w:szCs w:val="14"/>
                <w:color w:val="auto"/>
              </w:rPr>
            </w:pPr>
          </w:p>
        </w:tc>
        <w:tc>
          <w:tcPr>
            <w:tcW w:w="740" w:type="dxa"/>
            <w:vAlign w:val="bottom"/>
          </w:tcPr>
          <w:p>
            <w:pPr>
              <w:jc w:val="right"/>
              <w:ind w:right="20"/>
              <w:spacing w:after="0" w:line="172" w:lineRule="exact"/>
              <w:rPr>
                <w:sz w:val="20"/>
                <w:szCs w:val="20"/>
                <w:color w:val="auto"/>
              </w:rPr>
            </w:pPr>
            <w:r>
              <w:rPr>
                <w:rFonts w:ascii="Times New Roman" w:cs="Times New Roman" w:eastAsia="Times New Roman" w:hAnsi="Times New Roman"/>
                <w:sz w:val="16"/>
                <w:szCs w:val="16"/>
                <w:b w:val="1"/>
                <w:bCs w:val="1"/>
                <w:color w:val="auto"/>
              </w:rPr>
              <w:t>Greater</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7"/>
              <w:spacing w:after="0" w:line="172"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Product Category</w:t>
            </w:r>
          </w:p>
        </w:tc>
        <w:tc>
          <w:tcPr>
            <w:tcW w:w="900" w:type="dxa"/>
            <w:vAlign w:val="bottom"/>
          </w:tcPr>
          <w:p>
            <w:pPr>
              <w:jc w:val="right"/>
              <w:ind w:right="87"/>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74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China</w:t>
            </w:r>
          </w:p>
        </w:tc>
        <w:tc>
          <w:tcPr>
            <w:tcW w:w="200" w:type="dxa"/>
            <w:vAlign w:val="bottom"/>
          </w:tcPr>
          <w:p>
            <w:pPr>
              <w:spacing w:after="0"/>
              <w:rPr>
                <w:sz w:val="15"/>
                <w:szCs w:val="15"/>
                <w:color w:val="auto"/>
              </w:rPr>
            </w:pPr>
          </w:p>
        </w:tc>
        <w:tc>
          <w:tcPr>
            <w:tcW w:w="110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100" w:type="dxa"/>
            <w:vAlign w:val="bottom"/>
          </w:tcPr>
          <w:p>
            <w:pPr>
              <w:spacing w:after="0"/>
              <w:rPr>
                <w:sz w:val="15"/>
                <w:szCs w:val="15"/>
                <w:color w:val="auto"/>
              </w:rPr>
            </w:pPr>
          </w:p>
        </w:tc>
        <w:tc>
          <w:tcPr>
            <w:tcW w:w="800" w:type="dxa"/>
            <w:vAlign w:val="bottom"/>
          </w:tcPr>
          <w:p>
            <w:pPr>
              <w:jc w:val="right"/>
              <w:ind w:right="67"/>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1000" w:type="dxa"/>
            <w:vAlign w:val="bottom"/>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Brands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5,234.9</w:t>
            </w:r>
          </w:p>
        </w:tc>
        <w:tc>
          <w:tcPr>
            <w:tcW w:w="0" w:type="dxa"/>
            <w:vAlign w:val="bottom"/>
          </w:tcPr>
          <w:p>
            <w:pPr>
              <w:spacing w:after="0"/>
              <w:rPr>
                <w:sz w:val="1"/>
                <w:szCs w:val="1"/>
                <w:color w:val="auto"/>
              </w:rPr>
            </w:pPr>
          </w:p>
        </w:tc>
      </w:tr>
      <w:tr>
        <w:trPr>
          <w:trHeight w:val="24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Complex Gx and Biosimilars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1,295.5</w:t>
            </w:r>
          </w:p>
        </w:tc>
        <w:tc>
          <w:tcPr>
            <w:tcW w:w="0" w:type="dxa"/>
            <w:vAlign w:val="bottom"/>
          </w:tcPr>
          <w:p>
            <w:pPr>
              <w:spacing w:after="0"/>
              <w:rPr>
                <w:sz w:val="1"/>
                <w:szCs w:val="1"/>
                <w:color w:val="auto"/>
              </w:rPr>
            </w:pPr>
          </w:p>
        </w:tc>
      </w:tr>
      <w:tr>
        <w:trPr>
          <w:trHeight w:val="24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Generics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5,289.5</w:t>
            </w:r>
          </w:p>
        </w:tc>
        <w:tc>
          <w:tcPr>
            <w:tcW w:w="0" w:type="dxa"/>
            <w:vAlign w:val="bottom"/>
          </w:tcPr>
          <w:p>
            <w:pPr>
              <w:spacing w:after="0"/>
              <w:rPr>
                <w:sz w:val="1"/>
                <w:szCs w:val="1"/>
                <w:color w:val="auto"/>
              </w:rPr>
            </w:pPr>
          </w:p>
        </w:tc>
      </w:tr>
      <w:tr>
        <w:trPr>
          <w:trHeight w:val="28"/>
        </w:trPr>
        <w:tc>
          <w:tcPr>
            <w:tcW w:w="3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Total Viatris</w:t>
            </w: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80" w:type="dxa"/>
            <w:vAlign w:val="bottom"/>
            <w:gridSpan w:val="2"/>
            <w:vMerge w:val="continue"/>
          </w:tcPr>
          <w:p>
            <w:pPr>
              <w:ind w:left="1420"/>
              <w:spacing w:after="0"/>
              <w:rPr>
                <w:sz w:val="20"/>
                <w:szCs w:val="20"/>
                <w:color w:val="auto"/>
              </w:rPr>
            </w:pPr>
            <w:r>
              <w:rPr>
                <w:rFonts w:ascii="Times New Roman" w:cs="Times New Roman" w:eastAsia="Times New Roman" w:hAnsi="Times New Roman"/>
                <w:sz w:val="20"/>
                <w:szCs w:val="20"/>
                <w:color w:val="auto"/>
              </w:rPr>
              <w:t>.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8,510.9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1,195.3</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11,819.9</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400"/>
        <w:spacing w:after="0" w:line="208" w:lineRule="auto"/>
        <w:tabs>
          <w:tab w:leader="none" w:pos="4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for the year ended December 31, 2022 include the unfavorable impact of foreign currency translations compared to the prior year period.</w:t>
      </w:r>
    </w:p>
    <w:p>
      <w:pPr>
        <w:spacing w:after="0" w:line="21" w:lineRule="exact"/>
        <w:rPr>
          <w:rFonts w:ascii="Times New Roman" w:cs="Times New Roman" w:eastAsia="Times New Roman" w:hAnsi="Times New Roman"/>
          <w:sz w:val="26"/>
          <w:szCs w:val="26"/>
          <w:color w:val="auto"/>
          <w:vertAlign w:val="superscript"/>
        </w:rPr>
      </w:pPr>
    </w:p>
    <w:p>
      <w:pPr>
        <w:jc w:val="both"/>
        <w:ind w:left="400" w:hanging="400"/>
        <w:spacing w:after="0" w:line="228" w:lineRule="auto"/>
        <w:tabs>
          <w:tab w:leader="none" w:pos="4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for the year ended December 31, 2022 reflect a decrease of approximately $63.5 million related to the year over year impact of the sale of the biosimilars business in November 2022. The Company has not recognized the results of the biosimilars business in its consolidated financial statements subsequent to November 29, 2022.</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net sales on a consolidated basis for select key products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82"/>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241"/>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6"/>
                <w:szCs w:val="16"/>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Select Key Global Products</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20" w:type="dxa"/>
            <w:vAlign w:val="bottom"/>
          </w:tcPr>
          <w:p>
            <w:pPr>
              <w:spacing w:after="0" w:line="255" w:lineRule="exact"/>
              <w:rPr>
                <w:sz w:val="20"/>
                <w:szCs w:val="20"/>
                <w:color w:val="auto"/>
              </w:rPr>
            </w:pPr>
            <w:r>
              <w:rPr>
                <w:rFonts w:ascii="Times New Roman" w:cs="Times New Roman" w:eastAsia="Times New Roman" w:hAnsi="Times New Roman"/>
                <w:sz w:val="19"/>
                <w:szCs w:val="19"/>
                <w:color w:val="auto"/>
              </w:rPr>
              <w:t xml:space="preserve">Lipitor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 .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1,635.2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1,663.2</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Norvasc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775.1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824.7</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Lyrica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623.8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728.5</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Viagra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458.9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533.8</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EpiPen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Auto-Injectors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378.0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391.7</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Celebrex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338.1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344.4</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Creon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304.0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309.8</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Effexor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279.6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316.8</w:t>
            </w:r>
          </w:p>
        </w:tc>
        <w:tc>
          <w:tcPr>
            <w:tcW w:w="0" w:type="dxa"/>
            <w:vAlign w:val="bottom"/>
          </w:tcPr>
          <w:p>
            <w:pPr>
              <w:spacing w:after="0"/>
              <w:rPr>
                <w:sz w:val="1"/>
                <w:szCs w:val="1"/>
                <w:color w:val="auto"/>
              </w:rPr>
            </w:pPr>
          </w:p>
        </w:tc>
      </w:tr>
      <w:tr>
        <w:trPr>
          <w:trHeight w:val="245"/>
        </w:trPr>
        <w:tc>
          <w:tcPr>
            <w:tcW w:w="7520" w:type="dxa"/>
            <w:vAlign w:val="bottom"/>
          </w:tcPr>
          <w:p>
            <w:pPr>
              <w:spacing w:after="0" w:line="245" w:lineRule="exact"/>
              <w:rPr>
                <w:sz w:val="20"/>
                <w:szCs w:val="20"/>
                <w:color w:val="auto"/>
              </w:rPr>
            </w:pPr>
            <w:r>
              <w:rPr>
                <w:rFonts w:ascii="Times New Roman" w:cs="Times New Roman" w:eastAsia="Times New Roman" w:hAnsi="Times New Roman"/>
                <w:sz w:val="19"/>
                <w:szCs w:val="19"/>
                <w:color w:val="auto"/>
              </w:rPr>
              <w:t xml:space="preserve">Zoloft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 . . . . . . . . . . . . . . . . . . . . . . . . . . . . . . . . . . . . . . . . . . . . . . . . . . . . . . . . . . . . . . . . .</w:t>
            </w:r>
          </w:p>
        </w:tc>
        <w:tc>
          <w:tcPr>
            <w:tcW w:w="100" w:type="dxa"/>
            <w:vAlign w:val="bottom"/>
          </w:tcPr>
          <w:p>
            <w:pPr>
              <w:spacing w:after="0"/>
              <w:rPr>
                <w:sz w:val="21"/>
                <w:szCs w:val="21"/>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246.2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284.3</w:t>
            </w:r>
          </w:p>
        </w:tc>
        <w:tc>
          <w:tcPr>
            <w:tcW w:w="0" w:type="dxa"/>
            <w:vAlign w:val="bottom"/>
          </w:tcPr>
          <w:p>
            <w:pPr>
              <w:spacing w:after="0"/>
              <w:rPr>
                <w:sz w:val="1"/>
                <w:szCs w:val="1"/>
                <w:color w:val="auto"/>
              </w:rPr>
            </w:pPr>
          </w:p>
        </w:tc>
      </w:tr>
      <w:tr>
        <w:trPr>
          <w:trHeight w:val="220"/>
        </w:trPr>
        <w:tc>
          <w:tcPr>
            <w:tcW w:w="7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Xalabrands . . . . . . . . . . . . . . . . . . . . . . . . . . .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195.1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226.0</w:t>
            </w:r>
          </w:p>
        </w:tc>
        <w:tc>
          <w:tcPr>
            <w:tcW w:w="0" w:type="dxa"/>
            <w:vAlign w:val="bottom"/>
          </w:tcPr>
          <w:p>
            <w:pPr>
              <w:spacing w:after="0"/>
              <w:rPr>
                <w:sz w:val="1"/>
                <w:szCs w:val="1"/>
                <w:color w:val="auto"/>
              </w:rPr>
            </w:pPr>
          </w:p>
        </w:tc>
      </w:tr>
      <w:tr>
        <w:trPr>
          <w:trHeight w:val="240"/>
        </w:trPr>
        <w:tc>
          <w:tcPr>
            <w:tcW w:w="7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Select Key Segment Products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520" w:type="dxa"/>
            <w:vAlign w:val="bottom"/>
          </w:tcPr>
          <w:p>
            <w:pPr>
              <w:spacing w:after="0" w:line="255" w:lineRule="exact"/>
              <w:rPr>
                <w:sz w:val="20"/>
                <w:szCs w:val="20"/>
                <w:color w:val="auto"/>
              </w:rPr>
            </w:pPr>
            <w:r>
              <w:rPr>
                <w:rFonts w:ascii="Times New Roman" w:cs="Times New Roman" w:eastAsia="Times New Roman" w:hAnsi="Times New Roman"/>
                <w:sz w:val="19"/>
                <w:szCs w:val="19"/>
                <w:color w:val="auto"/>
              </w:rPr>
              <w:t xml:space="preserve">Influvac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rPr>
              <w:t xml:space="preserve">  .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299.3</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Yupelri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161.9</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Dymista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179.8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168.0</w:t>
            </w:r>
          </w:p>
        </w:tc>
        <w:tc>
          <w:tcPr>
            <w:tcW w:w="0" w:type="dxa"/>
            <w:vAlign w:val="bottom"/>
          </w:tcPr>
          <w:p>
            <w:pPr>
              <w:spacing w:after="0"/>
              <w:rPr>
                <w:sz w:val="1"/>
                <w:szCs w:val="1"/>
                <w:color w:val="auto"/>
              </w:rPr>
            </w:pPr>
          </w:p>
        </w:tc>
      </w:tr>
      <w:tr>
        <w:trPr>
          <w:trHeight w:val="240"/>
        </w:trPr>
        <w:tc>
          <w:tcPr>
            <w:tcW w:w="752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Amitiza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 . . . . . . .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322"/>
        </w:trPr>
        <w:tc>
          <w:tcPr>
            <w:tcW w:w="7520" w:type="dxa"/>
            <w:vAlign w:val="bottom"/>
          </w:tcPr>
          <w:p>
            <w:pPr>
              <w:spacing w:after="0" w:line="322" w:lineRule="exact"/>
              <w:rPr>
                <w:sz w:val="20"/>
                <w:szCs w:val="20"/>
                <w:color w:val="auto"/>
              </w:rPr>
            </w:pPr>
            <w:r>
              <w:rPr>
                <w:rFonts w:ascii="Times New Roman" w:cs="Times New Roman" w:eastAsia="Times New Roman" w:hAnsi="Times New Roman"/>
                <w:sz w:val="20"/>
                <w:szCs w:val="20"/>
                <w:color w:val="auto"/>
              </w:rPr>
              <w:t xml:space="preserve">Xanax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 . . . . . . . . . . . . . . . . . . . . . . . . . . . . . . . . . . . . . . . . . . . . . . . . . . . . . . . . . . . . . . . . .</w:t>
            </w:r>
          </w:p>
        </w:tc>
        <w:tc>
          <w:tcPr>
            <w:tcW w:w="100" w:type="dxa"/>
            <w:vAlign w:val="bottom"/>
          </w:tcPr>
          <w:p>
            <w:pPr>
              <w:spacing w:after="0"/>
              <w:rPr>
                <w:sz w:val="24"/>
                <w:szCs w:val="24"/>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156.5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096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5pt" to="48pt,0.75pt" o:allowincell="f" strokecolor="#000000" strokeweight="0.5pt"/>
            </w:pict>
          </mc:Fallback>
        </mc:AlternateContent>
      </w:r>
    </w:p>
    <w:p>
      <w:pPr>
        <w:ind w:left="400" w:hanging="400"/>
        <w:spacing w:after="0"/>
        <w:tabs>
          <w:tab w:leader="none" w:pos="4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does not disclose net sales for any products considered competitively sensitive.</w:t>
      </w:r>
    </w:p>
    <w:p>
      <w:pPr>
        <w:spacing w:after="0" w:line="58" w:lineRule="exact"/>
        <w:rPr>
          <w:rFonts w:ascii="Times New Roman" w:cs="Times New Roman" w:eastAsia="Times New Roman" w:hAnsi="Times New Roman"/>
          <w:sz w:val="26"/>
          <w:szCs w:val="26"/>
          <w:color w:val="auto"/>
          <w:vertAlign w:val="superscript"/>
        </w:rPr>
      </w:pPr>
    </w:p>
    <w:p>
      <w:pPr>
        <w:ind w:left="400" w:hanging="400"/>
        <w:spacing w:after="0" w:line="191" w:lineRule="auto"/>
        <w:tabs>
          <w:tab w:leader="none" w:pos="4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Products disclosed may change in future periods, including as a result of seasonality, competition or new product launches.</w:t>
      </w:r>
    </w:p>
    <w:p>
      <w:pPr>
        <w:spacing w:after="0" w:line="21" w:lineRule="exact"/>
        <w:rPr>
          <w:rFonts w:ascii="Times New Roman" w:cs="Times New Roman" w:eastAsia="Times New Roman" w:hAnsi="Times New Roman"/>
          <w:sz w:val="26"/>
          <w:szCs w:val="26"/>
          <w:color w:val="auto"/>
          <w:vertAlign w:val="superscript"/>
        </w:rPr>
      </w:pPr>
    </w:p>
    <w:p>
      <w:pPr>
        <w:ind w:left="400" w:hanging="400"/>
        <w:spacing w:after="0" w:line="208" w:lineRule="auto"/>
        <w:tabs>
          <w:tab w:leader="none" w:pos="4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for the year ended December 31, 2022 include the unfavorable impact of foreign currency translations compared to the prior year period.</w:t>
      </w:r>
    </w:p>
    <w:p>
      <w:pPr>
        <w:spacing w:after="0" w:line="21" w:lineRule="exact"/>
        <w:rPr>
          <w:rFonts w:ascii="Times New Roman" w:cs="Times New Roman" w:eastAsia="Times New Roman" w:hAnsi="Times New Roman"/>
          <w:sz w:val="26"/>
          <w:szCs w:val="26"/>
          <w:color w:val="auto"/>
          <w:vertAlign w:val="superscript"/>
        </w:rPr>
      </w:pPr>
    </w:p>
    <w:p>
      <w:pPr>
        <w:ind w:left="400" w:hanging="400"/>
        <w:spacing w:after="0" w:line="208" w:lineRule="auto"/>
        <w:tabs>
          <w:tab w:leader="none" w:pos="4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for the year ended December 31, 2020 are not presented due to the significance of products acquired as part of the Combination.</w:t>
      </w:r>
    </w:p>
    <w:p>
      <w:pPr>
        <w:sectPr>
          <w:pgSz w:w="11880" w:h="15480" w:orient="portrait"/>
          <w:cols w:equalWidth="0" w:num="1">
            <w:col w:w="9120"/>
          </w:cols>
          <w:pgMar w:left="1380" w:top="1270"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9120"/>
          </w:cols>
          <w:pgMar w:left="1380" w:top="1270" w:right="1380" w:bottom="654"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Variable Consideration and Accounts Receivable</w:t>
      </w:r>
    </w:p>
    <w:p>
      <w:pPr>
        <w:spacing w:after="0" w:line="140"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presents a reconciliation of gross sales to net sales by each significant category of variable consideration during the years ended December 31, 2022, 2021 and 2020,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300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8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Gross sales  . . . . . . . . . . . . . . .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$ 27,662.1</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$ 30,553.4</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$19,899.1</w:t>
            </w:r>
          </w:p>
        </w:tc>
        <w:tc>
          <w:tcPr>
            <w:tcW w:w="60" w:type="dxa"/>
            <w:vAlign w:val="bottom"/>
          </w:tcPr>
          <w:p>
            <w:pPr>
              <w:spacing w:after="0"/>
              <w:rPr>
                <w:sz w:val="24"/>
                <w:szCs w:val="24"/>
                <w:color w:val="auto"/>
              </w:rPr>
            </w:pPr>
          </w:p>
        </w:tc>
      </w:tr>
      <w:tr>
        <w:trPr>
          <w:trHeight w:val="240"/>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Gross to net adjustments: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Chargebacks . . . . . . . . . . . . . . . . . . . . . . . . . . . . . . . . . . . . . . . . . . . . .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(6,192.2)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(5,530.1)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(3,656.2)</w:t>
            </w:r>
          </w:p>
        </w:tc>
      </w:tr>
      <w:tr>
        <w:trPr>
          <w:trHeight w:val="240"/>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Rebates, promotional programs and other sales allowances  . . . . . . . .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(4,346.2)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(6,135.6)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(3,765.5)</w:t>
            </w:r>
          </w:p>
        </w:tc>
      </w:tr>
      <w:tr>
        <w:trPr>
          <w:trHeight w:val="240"/>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Returns . . . . . . . . . . . . . . . . . . . . . . . . . . . . . . . . . . . . . . . . . . . . . . . . .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(296.7)</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(384.6)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(329.7)</w:t>
            </w:r>
          </w:p>
        </w:tc>
      </w:tr>
      <w:tr>
        <w:trPr>
          <w:trHeight w:val="240"/>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Governmental rebate programs  . . . . . . . . . . . . . . . . . . . . . . . . . . . . . .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(608.9)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(689.5)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(327.8)</w:t>
            </w:r>
          </w:p>
        </w:tc>
      </w:tr>
      <w:tr>
        <w:trPr>
          <w:trHeight w:val="28"/>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Total gross to net adjustments  . . . . . . . . . . . . . . . . . . . . . . . . . . . . .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$(11,444.0)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$(12,739.8)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 (8,079.2)</w:t>
            </w:r>
          </w:p>
        </w:tc>
      </w:tr>
      <w:tr>
        <w:trPr>
          <w:trHeight w:val="28"/>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1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Net sales . . . . . . . . . . . . . . . . .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$ 16,218.1</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$ 17,813.6</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$11,819.9</w:t>
            </w:r>
          </w:p>
        </w:tc>
        <w:tc>
          <w:tcPr>
            <w:tcW w:w="60" w:type="dxa"/>
            <w:vAlign w:val="bottom"/>
          </w:tcPr>
          <w:p>
            <w:pPr>
              <w:spacing w:after="0"/>
              <w:rPr>
                <w:sz w:val="23"/>
                <w:szCs w:val="23"/>
                <w:color w:val="auto"/>
              </w:rPr>
            </w:pPr>
          </w:p>
        </w:tc>
      </w:tr>
      <w:tr>
        <w:trPr>
          <w:trHeight w:val="28"/>
        </w:trPr>
        <w:tc>
          <w:tcPr>
            <w:tcW w:w="6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is a rollforward of the categories of variable consideration during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Provision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940" w:type="dxa"/>
            <w:vAlign w:val="bottom"/>
            <w:gridSpan w:val="2"/>
          </w:tcPr>
          <w:p>
            <w:pPr>
              <w:jc w:val="right"/>
              <w:ind w:right="3"/>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13"/>
                <w:szCs w:val="13"/>
                <w:color w:val="auto"/>
              </w:rPr>
            </w:pPr>
          </w:p>
        </w:tc>
        <w:tc>
          <w:tcPr>
            <w:tcW w:w="12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Related to Sales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Checks/Credits</w:t>
            </w:r>
          </w:p>
        </w:tc>
        <w:tc>
          <w:tcPr>
            <w:tcW w:w="200" w:type="dxa"/>
            <w:vAlign w:val="bottom"/>
          </w:tcPr>
          <w:p>
            <w:pPr>
              <w:spacing w:after="0"/>
              <w:rPr>
                <w:sz w:val="13"/>
                <w:szCs w:val="13"/>
                <w:color w:val="auto"/>
              </w:rPr>
            </w:pPr>
          </w:p>
        </w:tc>
        <w:tc>
          <w:tcPr>
            <w:tcW w:w="7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200" w:type="dxa"/>
            <w:vAlign w:val="bottom"/>
          </w:tcPr>
          <w:p>
            <w:pPr>
              <w:spacing w:after="0"/>
              <w:rPr>
                <w:sz w:val="13"/>
                <w:szCs w:val="13"/>
                <w:color w:val="auto"/>
              </w:rPr>
            </w:pPr>
          </w:p>
        </w:tc>
        <w:tc>
          <w:tcPr>
            <w:tcW w:w="940" w:type="dxa"/>
            <w:vAlign w:val="bottom"/>
            <w:gridSpan w:val="2"/>
          </w:tcPr>
          <w:p>
            <w:pPr>
              <w:jc w:val="right"/>
              <w:ind w:right="3"/>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128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Made in the</w:t>
            </w:r>
          </w:p>
        </w:tc>
        <w:tc>
          <w:tcPr>
            <w:tcW w:w="120" w:type="dxa"/>
            <w:vAlign w:val="bottom"/>
          </w:tcPr>
          <w:p>
            <w:pPr>
              <w:spacing w:after="0"/>
              <w:rPr>
                <w:sz w:val="13"/>
                <w:szCs w:val="13"/>
                <w:color w:val="auto"/>
              </w:rPr>
            </w:pPr>
          </w:p>
        </w:tc>
        <w:tc>
          <w:tcPr>
            <w:tcW w:w="760" w:type="dxa"/>
            <w:vAlign w:val="bottom"/>
          </w:tcPr>
          <w:p>
            <w:pPr>
              <w:jc w:val="right"/>
              <w:ind w:right="46"/>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
              <w:spacing w:after="0" w:line="160" w:lineRule="exact"/>
              <w:rPr>
                <w:sz w:val="20"/>
                <w:szCs w:val="20"/>
                <w:color w:val="auto"/>
              </w:rPr>
            </w:pPr>
            <w:r>
              <w:rPr>
                <w:rFonts w:ascii="Times New Roman" w:cs="Times New Roman" w:eastAsia="Times New Roman" w:hAnsi="Times New Roman"/>
                <w:sz w:val="16"/>
                <w:szCs w:val="16"/>
                <w:b w:val="1"/>
                <w:bCs w:val="1"/>
                <w:color w:val="auto"/>
                <w:w w:val="98"/>
              </w:rPr>
              <w:t>Issued to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3"/>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200" w:type="dxa"/>
            <w:vAlign w:val="bottom"/>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23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20" w:type="dxa"/>
            <w:vAlign w:val="bottom"/>
          </w:tcPr>
          <w:p>
            <w:pPr>
              <w:spacing w:after="0"/>
              <w:rPr>
                <w:sz w:val="15"/>
                <w:szCs w:val="15"/>
                <w:color w:val="auto"/>
              </w:rPr>
            </w:pPr>
          </w:p>
        </w:tc>
        <w:tc>
          <w:tcPr>
            <w:tcW w:w="720" w:type="dxa"/>
            <w:vAlign w:val="bottom"/>
          </w:tcPr>
          <w:p>
            <w:pPr>
              <w:jc w:val="right"/>
              <w:ind w:right="203"/>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5"/>
                <w:szCs w:val="15"/>
                <w:color w:val="auto"/>
              </w:rPr>
            </w:pPr>
          </w:p>
        </w:tc>
        <w:tc>
          <w:tcPr>
            <w:tcW w:w="1280" w:type="dxa"/>
            <w:vAlign w:val="bottom"/>
            <w:gridSpan w:val="3"/>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Current Period</w:t>
            </w:r>
          </w:p>
        </w:tc>
        <w:tc>
          <w:tcPr>
            <w:tcW w:w="120" w:type="dxa"/>
            <w:vAlign w:val="bottom"/>
          </w:tcPr>
          <w:p>
            <w:pPr>
              <w:spacing w:after="0"/>
              <w:rPr>
                <w:sz w:val="15"/>
                <w:szCs w:val="15"/>
                <w:color w:val="auto"/>
              </w:rPr>
            </w:pPr>
          </w:p>
        </w:tc>
        <w:tc>
          <w:tcPr>
            <w:tcW w:w="760" w:type="dxa"/>
            <w:vAlign w:val="bottom"/>
          </w:tcPr>
          <w:p>
            <w:pPr>
              <w:jc w:val="right"/>
              <w:ind w:right="46"/>
              <w:spacing w:after="0" w:line="182" w:lineRule="exact"/>
              <w:rPr>
                <w:sz w:val="20"/>
                <w:szCs w:val="20"/>
                <w:color w:val="auto"/>
              </w:rPr>
            </w:pPr>
            <w:r>
              <w:rPr>
                <w:rFonts w:ascii="Times New Roman" w:cs="Times New Roman" w:eastAsia="Times New Roman" w:hAnsi="Times New Roman"/>
                <w:sz w:val="16"/>
                <w:szCs w:val="16"/>
                <w:b w:val="1"/>
                <w:bCs w:val="1"/>
                <w:color w:val="auto"/>
              </w:rPr>
              <w:t>Divested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
              <w:spacing w:after="0" w:line="182" w:lineRule="exact"/>
              <w:rPr>
                <w:sz w:val="20"/>
                <w:szCs w:val="20"/>
                <w:color w:val="auto"/>
              </w:rPr>
            </w:pPr>
            <w:r>
              <w:rPr>
                <w:rFonts w:ascii="Times New Roman" w:cs="Times New Roman" w:eastAsia="Times New Roman" w:hAnsi="Times New Roman"/>
                <w:sz w:val="16"/>
                <w:szCs w:val="16"/>
                <w:b w:val="1"/>
                <w:bCs w:val="1"/>
                <w:color w:val="auto"/>
                <w:w w:val="99"/>
              </w:rPr>
              <w:t>Third Parties</w:t>
            </w:r>
          </w:p>
        </w:tc>
        <w:tc>
          <w:tcPr>
            <w:tcW w:w="200" w:type="dxa"/>
            <w:vAlign w:val="bottom"/>
          </w:tcPr>
          <w:p>
            <w:pPr>
              <w:spacing w:after="0"/>
              <w:rPr>
                <w:sz w:val="15"/>
                <w:szCs w:val="15"/>
                <w:color w:val="auto"/>
              </w:rPr>
            </w:pPr>
          </w:p>
        </w:tc>
        <w:tc>
          <w:tcPr>
            <w:tcW w:w="7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Exchange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0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Chargebacks . . . . . . . . . . .</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6,192.2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523.4</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Rebates, promotional</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programs and other sales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allowances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1,284.2</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Returns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513.4</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Governmental rebate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programs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w:t>
            </w:r>
          </w:p>
        </w:tc>
        <w:tc>
          <w:tcPr>
            <w:tcW w:w="0" w:type="dxa"/>
            <w:vAlign w:val="bottom"/>
          </w:tcPr>
          <w:p>
            <w:pPr>
              <w:spacing w:after="0"/>
              <w:rPr>
                <w:sz w:val="1"/>
                <w:szCs w:val="1"/>
                <w:color w:val="auto"/>
              </w:rPr>
            </w:pPr>
          </w:p>
        </w:tc>
      </w:tr>
      <w:tr>
        <w:trPr>
          <w:trHeight w:val="28"/>
        </w:trPr>
        <w:tc>
          <w:tcPr>
            <w:tcW w:w="23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60" w:type="dxa"/>
            <w:vAlign w:val="bottom"/>
            <w:vMerge w:val="continue"/>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11,444.0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2,687.5</w:t>
            </w:r>
          </w:p>
        </w:tc>
        <w:tc>
          <w:tcPr>
            <w:tcW w:w="0" w:type="dxa"/>
            <w:vAlign w:val="bottom"/>
          </w:tcPr>
          <w:p>
            <w:pPr>
              <w:spacing w:after="0"/>
              <w:rPr>
                <w:sz w:val="1"/>
                <w:szCs w:val="1"/>
                <w:color w:val="auto"/>
              </w:rPr>
            </w:pPr>
          </w:p>
        </w:tc>
      </w:tr>
      <w:tr>
        <w:trPr>
          <w:trHeight w:val="28"/>
        </w:trPr>
        <w:tc>
          <w:tcPr>
            <w:tcW w:w="2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60" w:firstLine="400"/>
        <w:spacing w:after="0" w:line="246" w:lineRule="auto"/>
        <w:rPr>
          <w:sz w:val="20"/>
          <w:szCs w:val="20"/>
          <w:color w:val="auto"/>
        </w:rPr>
      </w:pPr>
      <w:r>
        <w:rPr>
          <w:rFonts w:ascii="Times New Roman" w:cs="Times New Roman" w:eastAsia="Times New Roman" w:hAnsi="Times New Roman"/>
          <w:sz w:val="20"/>
          <w:szCs w:val="20"/>
          <w:color w:val="auto"/>
        </w:rPr>
        <w:t>Accruals for these provisions are presented in the consolidated financial statements as reductions in determining net revenues and as a contra-asset in accounts receivable, net (if settled via credit) and other current liabilities (if paid in cash). Accounts receivable are presented net of allowances relating to these provisions, which were comprised of the following at December 31, 2022 and 2021,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900" w:type="dxa"/>
            <w:vAlign w:val="bottom"/>
          </w:tcPr>
          <w:p>
            <w:pPr>
              <w:jc w:val="right"/>
              <w:ind w:right="5965"/>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1000" w:type="dxa"/>
            <w:vAlign w:val="bottom"/>
          </w:tcPr>
          <w:p>
            <w:pPr>
              <w:jc w:val="right"/>
              <w:ind w:right="208"/>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6"/>
        </w:trPr>
        <w:tc>
          <w:tcPr>
            <w:tcW w:w="69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69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$1,688.6</w:t>
            </w:r>
          </w:p>
        </w:tc>
        <w:tc>
          <w:tcPr>
            <w:tcW w:w="0" w:type="dxa"/>
            <w:vAlign w:val="bottom"/>
          </w:tcPr>
          <w:p>
            <w:pPr>
              <w:spacing w:after="0"/>
              <w:rPr>
                <w:sz w:val="1"/>
                <w:szCs w:val="1"/>
                <w:color w:val="auto"/>
              </w:rPr>
            </w:pPr>
          </w:p>
        </w:tc>
      </w:tr>
      <w:tr>
        <w:trPr>
          <w:trHeight w:val="240"/>
        </w:trPr>
        <w:tc>
          <w:tcPr>
            <w:tcW w:w="69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1,362.1</w:t>
            </w:r>
          </w:p>
        </w:tc>
        <w:tc>
          <w:tcPr>
            <w:tcW w:w="0" w:type="dxa"/>
            <w:vAlign w:val="bottom"/>
          </w:tcPr>
          <w:p>
            <w:pPr>
              <w:spacing w:after="0"/>
              <w:rPr>
                <w:sz w:val="1"/>
                <w:szCs w:val="1"/>
                <w:color w:val="auto"/>
              </w:rPr>
            </w:pPr>
          </w:p>
        </w:tc>
      </w:tr>
      <w:tr>
        <w:trPr>
          <w:trHeight w:val="28"/>
        </w:trPr>
        <w:tc>
          <w:tcPr>
            <w:tcW w:w="690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 .</w:t>
            </w: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00" w:type="dxa"/>
            <w:vAlign w:val="bottom"/>
            <w:vMerge w:val="continue"/>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$3,050.7</w:t>
            </w:r>
          </w:p>
        </w:tc>
        <w:tc>
          <w:tcPr>
            <w:tcW w:w="0" w:type="dxa"/>
            <w:vAlign w:val="bottom"/>
          </w:tcPr>
          <w:p>
            <w:pPr>
              <w:spacing w:after="0"/>
              <w:rPr>
                <w:sz w:val="1"/>
                <w:szCs w:val="1"/>
                <w:color w:val="auto"/>
              </w:rPr>
            </w:pPr>
          </w:p>
        </w:tc>
      </w:tr>
      <w:tr>
        <w:trPr>
          <w:trHeight w:val="28"/>
        </w:trPr>
        <w:tc>
          <w:tcPr>
            <w:tcW w:w="6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60" w:firstLine="400"/>
        <w:spacing w:after="0" w:line="246" w:lineRule="auto"/>
        <w:rPr>
          <w:sz w:val="20"/>
          <w:szCs w:val="20"/>
          <w:color w:val="auto"/>
        </w:rPr>
      </w:pPr>
      <w:r>
        <w:rPr>
          <w:rFonts w:ascii="Times New Roman" w:cs="Times New Roman" w:eastAsia="Times New Roman" w:hAnsi="Times New Roman"/>
          <w:sz w:val="20"/>
          <w:szCs w:val="20"/>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ectPr>
          <w:pgSz w:w="11880" w:h="15480" w:orient="portrait"/>
          <w:cols w:equalWidth="0" w:num="1">
            <w:col w:w="9180"/>
          </w:cols>
          <w:pgMar w:left="1380" w:top="1312" w:right="132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9180"/>
          </w:cols>
          <w:pgMar w:left="1380" w:top="1312" w:right="1320" w:bottom="654" w:gutter="0" w:footer="0" w:header="0"/>
          <w:type w:val="continuous"/>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0"/>
          <w:szCs w:val="20"/>
          <w:color w:val="auto"/>
        </w:rPr>
        <w:t>Accounts receivable, net was comprised of the following at December 31, 2022 and 2021,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900" w:type="dxa"/>
            <w:vAlign w:val="bottom"/>
          </w:tcPr>
          <w:p>
            <w:pPr>
              <w:jc w:val="right"/>
              <w:ind w:right="5965"/>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1000" w:type="dxa"/>
            <w:vAlign w:val="bottom"/>
          </w:tcPr>
          <w:p>
            <w:pPr>
              <w:jc w:val="right"/>
              <w:ind w:right="208"/>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9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Trade receivables, net . . . . . . . . . . . . . . . . . . . . . . . . . . . . . . . . . . . . . . . . . . . . . . . . .</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$3,243.8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$3,774.4</w:t>
            </w:r>
          </w:p>
        </w:tc>
        <w:tc>
          <w:tcPr>
            <w:tcW w:w="0" w:type="dxa"/>
            <w:vAlign w:val="bottom"/>
          </w:tcPr>
          <w:p>
            <w:pPr>
              <w:spacing w:after="0"/>
              <w:rPr>
                <w:sz w:val="1"/>
                <w:szCs w:val="1"/>
                <w:color w:val="auto"/>
              </w:rPr>
            </w:pPr>
          </w:p>
        </w:tc>
      </w:tr>
      <w:tr>
        <w:trPr>
          <w:trHeight w:val="240"/>
        </w:trPr>
        <w:tc>
          <w:tcPr>
            <w:tcW w:w="69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Other receivables  . . . . . . . . . . . . . . . . . . . . . . . . . . . . . . . . . . . . . . . . . . . . . . . . . . . .</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570.7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492.0</w:t>
            </w:r>
          </w:p>
        </w:tc>
        <w:tc>
          <w:tcPr>
            <w:tcW w:w="0" w:type="dxa"/>
            <w:vAlign w:val="bottom"/>
          </w:tcPr>
          <w:p>
            <w:pPr>
              <w:spacing w:after="0"/>
              <w:rPr>
                <w:sz w:val="1"/>
                <w:szCs w:val="1"/>
                <w:color w:val="auto"/>
              </w:rPr>
            </w:pPr>
          </w:p>
        </w:tc>
      </w:tr>
      <w:tr>
        <w:trPr>
          <w:trHeight w:val="28"/>
        </w:trPr>
        <w:tc>
          <w:tcPr>
            <w:tcW w:w="690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b w:val="1"/>
                <w:bCs w:val="1"/>
                <w:color w:val="auto"/>
              </w:rPr>
              <w:t xml:space="preserve">Accounts receivable, net </w:t>
            </w:r>
            <w:r>
              <w:rPr>
                <w:rFonts w:ascii="Times New Roman" w:cs="Times New Roman" w:eastAsia="Times New Roman" w:hAnsi="Times New Roman"/>
                <w:sz w:val="20"/>
                <w:szCs w:val="20"/>
                <w:color w:val="auto"/>
              </w:rPr>
              <w:t>. . . . . . . . . . . . . . . . . . . . . . . . . . . . . . . . . . . . . . . . . . . .</w:t>
            </w: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00" w:type="dxa"/>
            <w:vAlign w:val="bottom"/>
            <w:vMerge w:val="continue"/>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$3,814.5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$4,266.4</w:t>
            </w:r>
          </w:p>
        </w:tc>
        <w:tc>
          <w:tcPr>
            <w:tcW w:w="0" w:type="dxa"/>
            <w:vAlign w:val="bottom"/>
          </w:tcPr>
          <w:p>
            <w:pPr>
              <w:spacing w:after="0"/>
              <w:rPr>
                <w:sz w:val="1"/>
                <w:szCs w:val="1"/>
                <w:color w:val="auto"/>
              </w:rPr>
            </w:pPr>
          </w:p>
        </w:tc>
      </w:tr>
      <w:tr>
        <w:trPr>
          <w:trHeight w:val="28"/>
        </w:trPr>
        <w:tc>
          <w:tcPr>
            <w:tcW w:w="6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Total allowances for doubtful accounts were $114.7 million and $154.5 million at December 31, 2022 and 2021, respectively. Viatris performs ongoing credit evaluations of its customers and generally does not require collateral. Approximately 23% and 18% of the accounts receivable balances represent amounts due from three customers at December 31, 2022 and 2021,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Factoring Arrangements</w:t>
      </w:r>
    </w:p>
    <w:p>
      <w:pPr>
        <w:spacing w:after="0" w:line="12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$34.7 million and $29.6 million of accounts receivable as of December 31, 2022 and 2021 under these factoring arrangements, respectively.</w:t>
      </w:r>
    </w:p>
    <w:p>
      <w:pPr>
        <w:spacing w:after="0" w:line="328" w:lineRule="exact"/>
        <w:rPr>
          <w:sz w:val="20"/>
          <w:szCs w:val="20"/>
          <w:color w:val="auto"/>
        </w:rPr>
      </w:pPr>
    </w:p>
    <w:p>
      <w:pPr>
        <w:ind w:left="400" w:hanging="400"/>
        <w:spacing w:after="0"/>
        <w:tabs>
          <w:tab w:leader="none" w:pos="4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 and Other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Oyster Point Acquisition</w:t>
      </w:r>
    </w:p>
    <w:p>
      <w:pPr>
        <w:spacing w:after="0" w:line="12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During the first quarter of 2023, the Company completed the acquisition of Oyster Point for approximately $425 million in cash, which includes $11 per share paid to Oyster Point stockholders through a tender offer and the repayment of the principal amount of certain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which are expected to be determined by the end of the first quarter of 2023. Oyster Point is a commercial-stage biopharmaceutical company focused on the discovery, development, and commercialization of first-in-class pharmaceutical therapies to treat ophthalmic diseases.</w:t>
      </w:r>
    </w:p>
    <w:p>
      <w:pPr>
        <w:spacing w:after="0" w:line="22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expects to account for this transaction as a business combination. The accounting impact of this acquisition and the results of the operations for Oyster Point will be included in our consolidated financial statements beginning in the first quarter of 2023. Due to the proximity of the closing date of this acquisition to the date of this filing, the initial accounting for this acquisition is incomplete, pending identification and measurement of the assets acquired and liabilities assumed.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Famy Life Sciences Acquisition</w:t>
      </w:r>
    </w:p>
    <w:p>
      <w:pPr>
        <w:spacing w:after="0" w:line="12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investment was accounted for in accordance with ASC 321, </w:t>
      </w:r>
      <w:r>
        <w:rPr>
          <w:rFonts w:ascii="Times New Roman" w:cs="Times New Roman" w:eastAsia="Times New Roman" w:hAnsi="Times New Roman"/>
          <w:sz w:val="20"/>
          <w:szCs w:val="20"/>
          <w:i w:val="1"/>
          <w:iCs w:val="1"/>
          <w:color w:val="auto"/>
        </w:rPr>
        <w:t>Investments —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w:t>
      </w:r>
    </w:p>
    <w:p>
      <w:pPr>
        <w:sectPr>
          <w:pgSz w:w="11880" w:h="15480" w:orient="portrait"/>
          <w:cols w:equalWidth="0" w:num="1">
            <w:col w:w="9120"/>
          </w:cols>
          <w:pgMar w:left="1380" w:top="1312" w:right="1380" w:bottom="654"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9120"/>
          </w:cols>
          <w:pgMar w:left="1380" w:top="1312" w:right="1380" w:bottom="654" w:gutter="0" w:footer="0" w:header="0"/>
          <w:type w:val="continuous"/>
        </w:sectPr>
      </w:pPr>
    </w:p>
    <w:bookmarkStart w:id="119" w:name="page120"/>
    <w:bookmarkEnd w:id="119"/>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The transaction to acquire the remaining equity shares of Famy Life Sciences closed during the first quarter of 2023. The Company expects to recognize a gain of $18.9 million during the first quarter of 2023 as a result of remeasuring its pre-existing 13.5% equity interest in Famy Life Sciences to fair value, which will be recognized as a component of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xml:space="preserve"> in the consolidated statements of operations.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expects to account for this transaction as a business combination. The accounting impact of this acquisition and the results of the operations for Famy Life Sciences will be included in our consolidated financial statements beginning in the first quarter of 2023. Due to the proximity of the closing date of this acquisition to the date of this filing, the initial accounting for this acquisition is incomplete, pending identification and measurement of the assets acquired and liabilities assumed.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Upjohn Business Combination Agreement</w:t>
      </w:r>
    </w:p>
    <w:p>
      <w:pPr>
        <w:spacing w:after="0" w:line="140"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On July 29, 2019, Mylan, Pfizer, Upjohn, a wholly-owned subsidiary of Pfizer, and certain other affiliated entities entered into a Business Combination Agreement pursuant to which Mylan would combine with the Upjohn Business in a Reverse Morris Trust transaction. The Upjohn Business was a global, primarily off-patent branded and generic established medicines business, which includes 20 primarily off-patent oral solid dose legacy brands, such as Lyrica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Celebrex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and Viagra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The Combination was completed on November 16, 2020.</w:t>
      </w:r>
    </w:p>
    <w:p>
      <w:pPr>
        <w:spacing w:after="0" w:line="26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Times New Roman" w:cs="Times New Roman" w:eastAsia="Times New Roman" w:hAnsi="Times New Roman"/>
          <w:sz w:val="20"/>
          <w:szCs w:val="20"/>
          <w:i w:val="1"/>
          <w:iCs w:val="1"/>
          <w:color w:val="auto"/>
        </w:rPr>
        <w:t>ASC 805, Business Combinations</w:t>
      </w:r>
      <w:r>
        <w:rPr>
          <w:rFonts w:ascii="Times New Roman" w:cs="Times New Roman" w:eastAsia="Times New Roman" w:hAnsi="Times New Roman"/>
          <w:sz w:val="20"/>
          <w:szCs w:val="20"/>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purchase price consists of the issuance of approximately 689.9 million Viatris shares of common stock at a fair value of approximately $10.73 billion based on the closing price of Mylan’s ordinary shares on November 13, 2020, as reported by the NASDAQ. In accordance with U.S. GAAP, the Company used the acquisition method of accounting to account for this transaction. Under the acquisition method of accounting, the assets acquired and liabilities assumed in the transaction have been recorded at their respective estimated fair values at the acquisition date. During the twelve months ended December 31, 2021 and 2020, the Company incurred acquisition related costs of approximately $234.6 million and $602.9 million, respectively. Acquisition related costs were recorded primarily in SG&amp;A in the consolidated statements of operations for such periods.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120"/>
          </w:cols>
          <w:pgMar w:left="1380" w:top="1322" w:right="1380" w:bottom="654" w:gutter="0" w:footer="0" w:header="0"/>
          <w:type w:val="continuous"/>
        </w:sectPr>
      </w:pPr>
    </w:p>
    <w:bookmarkStart w:id="120" w:name="page121"/>
    <w:bookmarkEnd w:id="120"/>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2021, adjustments were made to the preliminary purchase price recorded at December 31, 2020, and are reflected as “Measurement Period and Other Adjustments” in the table below. The allocation of the $10.73 billion purchase price to the assets acquired and liabilities assumed under the Combination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Preliminary Purchase</w:t>
            </w:r>
          </w:p>
        </w:tc>
        <w:tc>
          <w:tcPr>
            <w:tcW w:w="200" w:type="dxa"/>
            <w:vAlign w:val="bottom"/>
          </w:tcPr>
          <w:p>
            <w:pPr>
              <w:spacing w:after="0"/>
              <w:rPr>
                <w:sz w:val="13"/>
                <w:szCs w:val="13"/>
                <w:color w:val="auto"/>
              </w:rPr>
            </w:pPr>
          </w:p>
        </w:tc>
        <w:tc>
          <w:tcPr>
            <w:tcW w:w="16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Measurement Period</w:t>
            </w:r>
          </w:p>
        </w:tc>
        <w:tc>
          <w:tcPr>
            <w:tcW w:w="12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Allocation as of</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9"/>
              </w:rPr>
              <w:t>Price Allocation as of</w:t>
            </w:r>
          </w:p>
        </w:tc>
        <w:tc>
          <w:tcPr>
            <w:tcW w:w="200" w:type="dxa"/>
            <w:vAlign w:val="bottom"/>
          </w:tcPr>
          <w:p>
            <w:pPr>
              <w:spacing w:after="0"/>
              <w:rPr>
                <w:sz w:val="13"/>
                <w:szCs w:val="13"/>
                <w:color w:val="auto"/>
              </w:rPr>
            </w:pPr>
          </w:p>
        </w:tc>
        <w:tc>
          <w:tcPr>
            <w:tcW w:w="16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and Other</w:t>
            </w:r>
          </w:p>
        </w:tc>
        <w:tc>
          <w:tcPr>
            <w:tcW w:w="12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45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5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w w:val="98"/>
              </w:rPr>
              <w:t xml:space="preserve">December 31, 2020 </w:t>
            </w:r>
            <w:r>
              <w:rPr>
                <w:rFonts w:ascii="Times New Roman" w:cs="Times New Roman" w:eastAsia="Times New Roman" w:hAnsi="Times New Roman"/>
                <w:sz w:val="20"/>
                <w:szCs w:val="20"/>
                <w:b w:val="1"/>
                <w:bCs w:val="1"/>
                <w:color w:val="auto"/>
                <w:w w:val="98"/>
                <w:vertAlign w:val="superscript"/>
              </w:rPr>
              <w:t>(a)</w:t>
            </w:r>
          </w:p>
        </w:tc>
        <w:tc>
          <w:tcPr>
            <w:tcW w:w="200" w:type="dxa"/>
            <w:vAlign w:val="bottom"/>
          </w:tcPr>
          <w:p>
            <w:pPr>
              <w:spacing w:after="0"/>
              <w:rPr>
                <w:sz w:val="18"/>
                <w:szCs w:val="18"/>
                <w:color w:val="auto"/>
              </w:rPr>
            </w:pPr>
          </w:p>
        </w:tc>
        <w:tc>
          <w:tcPr>
            <w:tcW w:w="1620" w:type="dxa"/>
            <w:vAlign w:val="bottom"/>
            <w:gridSpan w:val="3"/>
          </w:tcPr>
          <w:p>
            <w:pPr>
              <w:jc w:val="center"/>
              <w:ind w:right="200"/>
              <w:spacing w:after="0" w:line="207" w:lineRule="exact"/>
              <w:rPr>
                <w:sz w:val="20"/>
                <w:szCs w:val="20"/>
                <w:color w:val="auto"/>
              </w:rPr>
            </w:pPr>
            <w:r>
              <w:rPr>
                <w:rFonts w:ascii="Times New Roman" w:cs="Times New Roman" w:eastAsia="Times New Roman" w:hAnsi="Times New Roman"/>
                <w:sz w:val="16"/>
                <w:szCs w:val="16"/>
                <w:b w:val="1"/>
                <w:bCs w:val="1"/>
                <w:color w:val="auto"/>
                <w:w w:val="94"/>
              </w:rPr>
              <w:t xml:space="preserve">Adjustments </w:t>
            </w:r>
            <w:r>
              <w:rPr>
                <w:rFonts w:ascii="Times New Roman" w:cs="Times New Roman" w:eastAsia="Times New Roman" w:hAnsi="Times New Roman"/>
                <w:sz w:val="20"/>
                <w:szCs w:val="20"/>
                <w:b w:val="1"/>
                <w:bCs w:val="1"/>
                <w:color w:val="auto"/>
                <w:w w:val="94"/>
                <w:vertAlign w:val="superscript"/>
              </w:rPr>
              <w:t>(b)</w:t>
            </w:r>
          </w:p>
        </w:tc>
        <w:tc>
          <w:tcPr>
            <w:tcW w:w="12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2021 (as adjusted)</w:t>
            </w:r>
          </w:p>
        </w:tc>
        <w:tc>
          <w:tcPr>
            <w:tcW w:w="0" w:type="dxa"/>
            <w:vAlign w:val="bottom"/>
          </w:tcPr>
          <w:p>
            <w:pPr>
              <w:spacing w:after="0"/>
              <w:rPr>
                <w:sz w:val="1"/>
                <w:szCs w:val="1"/>
                <w:color w:val="auto"/>
              </w:rPr>
            </w:pPr>
          </w:p>
        </w:tc>
      </w:tr>
      <w:tr>
        <w:trPr>
          <w:trHeight w:val="28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 (excluding inventories and net of cash</w:t>
            </w: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acquired)  . . .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2,841.9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(38.7)</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2,803.2</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Inventories . . . . . . . . . . . .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2,588.9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(34.2)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2,554.7</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Property, plant and equipment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1,394.1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1,389.1</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Identified intangible assets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18,040.0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18,040.0</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Goodwill . . . . . . . . . . . . . .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2,107.5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3"/>
              </w:rPr>
              <w:t>295.6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2,403.1</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Deferred income tax benefit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1,481.9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3"/>
              </w:rPr>
              <w:t>196.3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1,678.2</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Other assets  . . . . . . . . . . .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792.1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(7.4)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784.7</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assets acquired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29,246.4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3"/>
              </w:rPr>
              <w:t>406.6</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29,653.0</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Current liabilities . . . . . . .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2,760.2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3"/>
              </w:rPr>
              <w:t>419.7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3,179.9</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Long-term debt, including current portion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13,076.2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13,076.2</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Deferred tax liabilities . . . .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1,656.9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1,657.9</w:t>
            </w: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Other noncurrent liabilities  . . . . . . . . . . . . . . . . . . . . .</w:t>
            </w:r>
          </w:p>
        </w:tc>
        <w:tc>
          <w:tcPr>
            <w:tcW w:w="440" w:type="dxa"/>
            <w:vAlign w:val="bottom"/>
          </w:tcPr>
          <w:p>
            <w:pPr>
              <w:spacing w:after="0"/>
              <w:rPr>
                <w:sz w:val="20"/>
                <w:szCs w:val="20"/>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1,441.5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(14.1)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1,427.4</w:t>
            </w:r>
          </w:p>
        </w:tc>
        <w:tc>
          <w:tcPr>
            <w:tcW w:w="0" w:type="dxa"/>
            <w:vAlign w:val="bottom"/>
          </w:tcPr>
          <w:p>
            <w:pPr>
              <w:spacing w:after="0"/>
              <w:rPr>
                <w:sz w:val="1"/>
                <w:szCs w:val="1"/>
                <w:color w:val="auto"/>
              </w:rPr>
            </w:pPr>
          </w:p>
        </w:tc>
      </w:tr>
      <w:tr>
        <w:trPr>
          <w:trHeight w:val="28"/>
        </w:trPr>
        <w:tc>
          <w:tcPr>
            <w:tcW w:w="45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20"/>
                <w:szCs w:val="20"/>
                <w:color w:val="auto"/>
              </w:rPr>
              <w:t>Net assets acquired (net of $415.8 of cash</w:t>
            </w: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acquired)  .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10,311.6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10,311.6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3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400"/>
        <w:spacing w:after="0" w:line="208" w:lineRule="auto"/>
        <w:tabs>
          <w:tab w:leader="none" w:pos="400"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previously reported in Viatris’ Annual Report on Form 10-K for the fiscal year ended December 31, 2020.</w:t>
      </w:r>
    </w:p>
    <w:p>
      <w:pPr>
        <w:spacing w:after="0" w:line="21" w:lineRule="exact"/>
        <w:rPr>
          <w:rFonts w:ascii="Times New Roman" w:cs="Times New Roman" w:eastAsia="Times New Roman" w:hAnsi="Times New Roman"/>
          <w:sz w:val="26"/>
          <w:szCs w:val="26"/>
          <w:color w:val="auto"/>
          <w:vertAlign w:val="superscript"/>
        </w:rPr>
      </w:pPr>
    </w:p>
    <w:p>
      <w:pPr>
        <w:jc w:val="both"/>
        <w:ind w:left="400" w:hanging="400"/>
        <w:spacing w:after="0" w:line="232" w:lineRule="auto"/>
        <w:tabs>
          <w:tab w:leader="none" w:pos="400"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measurement period adjustments are primarily for 1) certain working capital adjustments, an increase in litigation reserves to reflect facts and circumstances that existed as of the date of the Combination, and other adjustments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spacing w:after="0" w:line="262"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The Combination enhanced each businesses’ ability to serve patients’ needs and expand their capabilities across more than 165 markets. Mylan brought a diverse portfolio across many geographies and key therapeutic areas, such as central nervous system and anesthesia, infectious disease and cardiovascular, as well as a robust pipeline, high-quality manufacturing and supply chain excellence. The Upjohn Business brought trusted, iconic brands, such as Lipitor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(atorvastatin calcium), Celebrex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(celecoxib) and Viagra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(sildenafil), and proven commercialization capabilities, including leadership positions in China and other emerging markets.</w:t>
      </w:r>
    </w:p>
    <w:p>
      <w:pPr>
        <w:spacing w:after="0" w:line="26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recorded a step-up in the fair value of inventory of approximately $1.43 billion at the acquisition date. During the twelve months ended December 31, 2021 and 2020, the Company recorded amortization of the inventory step-up of approximately $1.19 billion and $238.2 million, respectively, which was included in cost of sales in the consolidated statements of operations. The inventory step-up was fully amortized during 2021. In addition, a step-up in the fair value of property, plant and equipment of approximately $385.0 million was recognized. The related depreciation is being expensed over a service life of five years for machinery and equipment and between 10 and 20 years for buildings.</w:t>
      </w:r>
    </w:p>
    <w:p>
      <w:pPr>
        <w:spacing w:after="0" w:line="25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$2.40 billion</w:t>
      </w:r>
    </w:p>
    <w:p>
      <w:pPr>
        <w:sectPr>
          <w:pgSz w:w="11880" w:h="15480" w:orient="portrait"/>
          <w:cols w:equalWidth="0" w:num="1">
            <w:col w:w="9120"/>
          </w:cols>
          <w:pgMar w:left="1380" w:top="1322" w:right="1380" w:bottom="654"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120"/>
          </w:cols>
          <w:pgMar w:left="1380" w:top="1322" w:right="1380" w:bottom="654" w:gutter="0" w:footer="0" w:header="0"/>
          <w:type w:val="continuous"/>
        </w:sectPr>
      </w:pPr>
    </w:p>
    <w:bookmarkStart w:id="121" w:name="page122"/>
    <w:bookmarkEnd w:id="121"/>
    <w:p>
      <w:pPr>
        <w:jc w:val="both"/>
        <w:spacing w:after="0" w:line="246" w:lineRule="auto"/>
        <w:rPr>
          <w:sz w:val="20"/>
          <w:szCs w:val="20"/>
          <w:color w:val="auto"/>
        </w:rPr>
      </w:pPr>
      <w:r>
        <w:rPr>
          <w:rFonts w:ascii="Times New Roman" w:cs="Times New Roman" w:eastAsia="Times New Roman" w:hAnsi="Times New Roman"/>
          <w:sz w:val="20"/>
          <w:szCs w:val="20"/>
          <w:color w:val="auto"/>
        </w:rPr>
        <w:t>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operating results of the Upjohn Business have been included in the Company’s consolidated statements of operations since the acquisition date. The total revenues of the Upjohn Business for the period from the acquisition date to December 31, 2020, were $866.5 million and net loss, net of tax, was approximately $360.9 million. The net loss for the period includes the effect of the purchase accounting adjustments and acquisition related costs.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 Pro Forma Financial Results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82"/>
        </w:trPr>
        <w:tc>
          <w:tcPr>
            <w:tcW w:w="8040" w:type="dxa"/>
            <w:vAlign w:val="bottom"/>
          </w:tcPr>
          <w:p>
            <w:pPr>
              <w:spacing w:after="0"/>
              <w:rPr>
                <w:sz w:val="15"/>
                <w:szCs w:val="15"/>
                <w:color w:val="auto"/>
              </w:rPr>
            </w:pPr>
          </w:p>
        </w:tc>
        <w:tc>
          <w:tcPr>
            <w:tcW w:w="10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(Unaudited, in millions, except per share amounts)</w:t>
            </w:r>
          </w:p>
        </w:tc>
        <w:tc>
          <w:tcPr>
            <w:tcW w:w="120" w:type="dxa"/>
            <w:vAlign w:val="bottom"/>
          </w:tcPr>
          <w:p>
            <w:pPr>
              <w:spacing w:after="0"/>
              <w:rPr>
                <w:sz w:val="16"/>
                <w:szCs w:val="16"/>
                <w:color w:val="auto"/>
              </w:rPr>
            </w:pPr>
          </w:p>
        </w:tc>
        <w:tc>
          <w:tcPr>
            <w:tcW w:w="9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18,284.8</w:t>
            </w:r>
          </w:p>
        </w:tc>
        <w:tc>
          <w:tcPr>
            <w:tcW w:w="0" w:type="dxa"/>
            <w:vAlign w:val="bottom"/>
          </w:tcPr>
          <w:p>
            <w:pPr>
              <w:spacing w:after="0"/>
              <w:rPr>
                <w:sz w:val="1"/>
                <w:szCs w:val="1"/>
                <w:color w:val="auto"/>
              </w:rPr>
            </w:pPr>
          </w:p>
        </w:tc>
      </w:tr>
      <w:tr>
        <w:trPr>
          <w:trHeight w:val="28"/>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Net earnings . . . . .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1,483.7</w:t>
            </w:r>
          </w:p>
        </w:tc>
        <w:tc>
          <w:tcPr>
            <w:tcW w:w="0" w:type="dxa"/>
            <w:vAlign w:val="bottom"/>
          </w:tcPr>
          <w:p>
            <w:pPr>
              <w:spacing w:after="0"/>
              <w:rPr>
                <w:sz w:val="1"/>
                <w:szCs w:val="1"/>
                <w:color w:val="auto"/>
              </w:rPr>
            </w:pPr>
          </w:p>
        </w:tc>
      </w:tr>
      <w:tr>
        <w:trPr>
          <w:trHeight w:val="28"/>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8"/>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8"/>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 . . . . . . . . .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1,206.8</w:t>
            </w:r>
          </w:p>
        </w:tc>
        <w:tc>
          <w:tcPr>
            <w:tcW w:w="0" w:type="dxa"/>
            <w:vAlign w:val="bottom"/>
          </w:tcPr>
          <w:p>
            <w:pPr>
              <w:spacing w:after="0"/>
              <w:rPr>
                <w:sz w:val="1"/>
                <w:szCs w:val="1"/>
                <w:color w:val="auto"/>
              </w:rPr>
            </w:pPr>
          </w:p>
        </w:tc>
      </w:tr>
      <w:tr>
        <w:trPr>
          <w:trHeight w:val="28"/>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 . . . . . . . . . . . .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1,207.7</w:t>
            </w:r>
          </w:p>
        </w:tc>
        <w:tc>
          <w:tcPr>
            <w:tcW w:w="0" w:type="dxa"/>
            <w:vAlign w:val="bottom"/>
          </w:tcPr>
          <w:p>
            <w:pPr>
              <w:spacing w:after="0"/>
              <w:rPr>
                <w:sz w:val="1"/>
                <w:szCs w:val="1"/>
                <w:color w:val="auto"/>
              </w:rPr>
            </w:pPr>
          </w:p>
        </w:tc>
      </w:tr>
      <w:tr>
        <w:trPr>
          <w:trHeight w:val="28"/>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Transactions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December 2020, Viatris and Pfizer terminated their strategic collaboration for generic drugs in Japan pursuant to an amendment and termination agreement. Under the prior collaboration agreement, both parties contributed products, which Pfizer distributed to third-parties in the Japan market. Under the terms of the amendment and termination agreement, Viatris purchased all collaboration related inventory held by Pfizer. As a result of the termination, and the repurchase of collaboration inventory, the Company reduced revenue by $86.5 million during the year ended December 31, 2020.</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120"/>
          </w:cols>
          <w:pgMar w:left="1380" w:top="1322" w:right="1380" w:bottom="654"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auto"/>
        </w:rPr>
        <w:t>5. Divestitures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Biocon Biologics Transaction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On February 27, 2022, Viatris entered into a definitive agreement with Biocon Biologics to contribute its biosimilars portfolio to Biocon Biologics. The transaction subsequently closed on November 29, 2022, creating what Viatris expects to be a unique fully vertically integrated global biosimilars leader.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Refer to Note 6 </w:t>
      </w:r>
      <w:r>
        <w:rPr>
          <w:rFonts w:ascii="Times New Roman" w:cs="Times New Roman" w:eastAsia="Times New Roman" w:hAnsi="Times New Roman"/>
          <w:sz w:val="20"/>
          <w:szCs w:val="20"/>
          <w:i w:val="1"/>
          <w:iCs w:val="1"/>
          <w:color w:val="auto"/>
        </w:rPr>
        <w:t>Balance Sheet Components</w:t>
      </w:r>
      <w:r>
        <w:rPr>
          <w:rFonts w:ascii="Times New Roman" w:cs="Times New Roman" w:eastAsia="Times New Roman" w:hAnsi="Times New Roman"/>
          <w:sz w:val="20"/>
          <w:szCs w:val="20"/>
          <w:color w:val="auto"/>
        </w:rPr>
        <w:t xml:space="preserve"> for additional information on assets and liabilities related to Biocon Biologics.</w:t>
      </w:r>
    </w:p>
    <w:p>
      <w:pPr>
        <w:spacing w:after="0" w:line="25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Upon closing, the Company recognized a gain on sale of approximately $1.75 billion for the difference between the consideration received, including the fair value of the CCPS, and the carrying value of the biosimilars portfolio (including an allocation of goodwill). The gain was recognized as a component of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 expense, net </w:t>
      </w:r>
      <w:r>
        <w:rPr>
          <w:rFonts w:ascii="Times New Roman" w:cs="Times New Roman" w:eastAsia="Times New Roman" w:hAnsi="Times New Roman"/>
          <w:sz w:val="20"/>
          <w:szCs w:val="20"/>
          <w:color w:val="auto"/>
        </w:rPr>
        <w:t>in the consolidated statement of operations during the year ended December 31, 2022.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has not recognized the results of the business in its consolidated financial statements subsequent to November 29, 2022. For the period from January 1, 2022 to November 29, 2022, total revenues relating to the biosimilars portfolio which was subsequently contributed to Biocon Biologics were approximately $611.5 million.</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 xml:space="preserve">The Company’s CCPS in Biocon Biologics are classified as equity securities and are included in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assets </w:t>
      </w:r>
      <w:r>
        <w:rPr>
          <w:rFonts w:ascii="Times New Roman" w:cs="Times New Roman" w:eastAsia="Times New Roman" w:hAnsi="Times New Roman"/>
          <w:sz w:val="20"/>
          <w:szCs w:val="20"/>
          <w:color w:val="auto"/>
        </w:rPr>
        <w:t>in the consolidated balance sheet as of December 31, 2022. Refer to Note 10</w:t>
      </w:r>
      <w:r>
        <w:rPr>
          <w:rFonts w:ascii="Times New Roman" w:cs="Times New Roman" w:eastAsia="Times New Roman" w:hAnsi="Times New Roman"/>
          <w:sz w:val="20"/>
          <w:szCs w:val="20"/>
          <w:i w:val="1"/>
          <w:iCs w:val="1"/>
          <w:color w:val="auto"/>
        </w:rPr>
        <w:t xml:space="preserve"> Financial Instruments and Risk Management </w:t>
      </w:r>
      <w:r>
        <w:rPr>
          <w:rFonts w:ascii="Times New Roman" w:cs="Times New Roman" w:eastAsia="Times New Roman" w:hAnsi="Times New Roman"/>
          <w:sz w:val="20"/>
          <w:szCs w:val="20"/>
          <w:color w:val="auto"/>
        </w:rPr>
        <w:t>for further discussion.</w:t>
      </w:r>
    </w:p>
    <w:p>
      <w:pPr>
        <w:spacing w:after="0" w:line="25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Potential Divestitures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126" w:lineRule="exact"/>
        <w:rPr>
          <w:sz w:val="20"/>
          <w:szCs w:val="20"/>
          <w:color w:val="auto"/>
        </w:rPr>
      </w:pPr>
    </w:p>
    <w:p>
      <w:pPr>
        <w:ind w:left="800" w:hanging="300"/>
        <w:spacing w:after="0"/>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OTC;</w:t>
      </w:r>
    </w:p>
    <w:p>
      <w:pPr>
        <w:spacing w:after="0" w:line="130"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API (while retaining some selective development API capabilities);</w:t>
      </w:r>
    </w:p>
    <w:p>
      <w:pPr>
        <w:spacing w:after="0" w:line="140" w:lineRule="exact"/>
        <w:rPr>
          <w:rFonts w:ascii="Times New Roman" w:cs="Times New Roman" w:eastAsia="Times New Roman" w:hAnsi="Times New Roman"/>
          <w:sz w:val="20"/>
          <w:szCs w:val="20"/>
          <w:color w:val="auto"/>
        </w:rPr>
      </w:pPr>
    </w:p>
    <w:p>
      <w:pPr>
        <w:jc w:val="both"/>
        <w:ind w:left="800" w:hanging="300"/>
        <w:spacing w:after="0" w:line="208" w:lineRule="auto"/>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Women’s health care, primarily related to our oral and injectable contraceptives. This does not include all of our women’s health care related products; as an example, our Xulane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product in the U.S. is excluded; and</w:t>
      </w:r>
    </w:p>
    <w:p>
      <w:pPr>
        <w:spacing w:after="0" w:line="132"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Upjohn Distributor Markets.</w:t>
      </w:r>
    </w:p>
    <w:p>
      <w:pPr>
        <w:sectPr>
          <w:pgSz w:w="11880" w:h="15480" w:orient="portrait"/>
          <w:cols w:equalWidth="0" w:num="1">
            <w:col w:w="9120"/>
          </w:cols>
          <w:pgMar w:left="1380" w:top="1312"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120"/>
          </w:cols>
          <w:pgMar w:left="1380" w:top="1312" w:right="1380" w:bottom="654" w:gutter="0" w:footer="0" w:header="0"/>
          <w:type w:val="continuous"/>
        </w:sectPr>
      </w:pPr>
    </w:p>
    <w:bookmarkStart w:id="123" w:name="page124"/>
    <w:bookmarkEnd w:id="123"/>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the fourth quarter of 2022, we determined that our Upjohn Distributor Markets should be classified as held for sale in the December 31, 2022 consolidated balance sheet. Upon classification as held for sale, we recognized a total charge of $374.2 million. This was comprised of a goodwill impairment charge of $117.0 million, other charges, principally inventory write-offs, of $84.3 million and a charge of approximately $172.9 million to write down the disposal group to fair value, less cost to sell. Assets held for sale associated with the Upjohn Distributor Markets consisted of intangible assets of $230.3 million as of December 31, 2022. If these transactions are not completed during 2023, the distribution arrangements will expire and the Company will wind down operations in these markets, which may result in additional asset write-offs and other costs being incurred. These additional charges could be in excess of $300 million.</w:t>
      </w:r>
    </w:p>
    <w:p>
      <w:pPr>
        <w:spacing w:after="0" w:line="23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Balance Sheet Components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Selected balance sheet components consist of the following: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restricted cash</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56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20" w:type="dxa"/>
            <w:vAlign w:val="bottom"/>
          </w:tcPr>
          <w:p>
            <w:pPr>
              <w:jc w:val="right"/>
              <w:ind w:right="28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22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5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844.4</w:t>
            </w: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current and non-current assets . . .</w:t>
            </w:r>
          </w:p>
        </w:tc>
        <w:tc>
          <w:tcPr>
            <w:tcW w:w="3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
        </w:trPr>
        <w:tc>
          <w:tcPr>
            <w:tcW w:w="56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Cash, cash equivalents and restricted cash </w:t>
            </w:r>
            <w:r>
              <w:rPr>
                <w:rFonts w:ascii="Times New Roman" w:cs="Times New Roman" w:eastAsia="Times New Roman" w:hAnsi="Times New Roman"/>
                <w:sz w:val="20"/>
                <w:szCs w:val="20"/>
                <w:color w:val="auto"/>
              </w:rPr>
              <w:t>. . . . . . . . . . . . . . . .</w:t>
            </w: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80" w:type="dxa"/>
            <w:vAlign w:val="bottom"/>
            <w:vMerge w:val="continue"/>
          </w:tcPr>
          <w:p>
            <w:pPr>
              <w:spacing w:after="0"/>
              <w:rPr>
                <w:sz w:val="23"/>
                <w:szCs w:val="23"/>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706.2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0" w:type="dxa"/>
            <w:vAlign w:val="bottom"/>
          </w:tcPr>
          <w:p>
            <w:pPr>
              <w:spacing w:after="0"/>
              <w:rPr>
                <w:sz w:val="1"/>
                <w:szCs w:val="1"/>
                <w:color w:val="auto"/>
              </w:rPr>
            </w:pPr>
          </w:p>
        </w:tc>
      </w:tr>
      <w:tr>
        <w:trPr>
          <w:trHeight w:val="28"/>
        </w:trPr>
        <w:tc>
          <w:tcPr>
            <w:tcW w:w="5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56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83"/>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03"/>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  . . . . . . . . . . . . . . . . . . . . . . . . . . . . . . . . . . . . . . . . . . . .</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 . . .</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 .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571.5</w:t>
            </w:r>
          </w:p>
        </w:tc>
        <w:tc>
          <w:tcPr>
            <w:tcW w:w="1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922.4</w:t>
            </w: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 . . . . . . . . . . . . . . . . . . . . . . . . . . . . . . . . . . . . . . . . . . .</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 . . .</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993.3</w:t>
            </w: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 . . . . . . . .</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 . . .</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2,062.0</w:t>
            </w:r>
          </w:p>
        </w:tc>
        <w:tc>
          <w:tcPr>
            <w:tcW w:w="0" w:type="dxa"/>
            <w:vAlign w:val="bottom"/>
          </w:tcPr>
          <w:p>
            <w:pPr>
              <w:spacing w:after="0"/>
              <w:rPr>
                <w:sz w:val="1"/>
                <w:szCs w:val="1"/>
                <w:color w:val="auto"/>
              </w:rPr>
            </w:pPr>
          </w:p>
        </w:tc>
      </w:tr>
      <w:tr>
        <w:trPr>
          <w:trHeight w:val="28"/>
        </w:trPr>
        <w:tc>
          <w:tcPr>
            <w:tcW w:w="56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Inventories </w:t>
            </w:r>
            <w:r>
              <w:rPr>
                <w:rFonts w:ascii="Times New Roman" w:cs="Times New Roman" w:eastAsia="Times New Roman" w:hAnsi="Times New Roman"/>
                <w:sz w:val="20"/>
                <w:szCs w:val="20"/>
                <w:color w:val="auto"/>
              </w:rPr>
              <w:t>. . . . . . . . . . . . . . . . . . . . . . . . . . . . . . . . . . . . . . . . . . . .</w:t>
            </w: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80" w:type="dxa"/>
            <w:vAlign w:val="bottom"/>
            <w:vMerge w:val="continue"/>
          </w:tcPr>
          <w:p>
            <w:pPr>
              <w:spacing w:after="0"/>
              <w:rPr>
                <w:sz w:val="23"/>
                <w:szCs w:val="23"/>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 . . .</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 .  $</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3,519.5</w:t>
            </w:r>
          </w:p>
        </w:tc>
        <w:tc>
          <w:tcPr>
            <w:tcW w:w="18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3,977.7</w:t>
            </w: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Inventory reserves totaled $484.8 million and $519.0 million at December 31, 2022 and 2021, respectively. Included as a component of cost of sales is expense related to the net realizable value of inventories of $326.1 million, $474.9 million and $206.1 million for the years ended December 31, 2022, 2021 and 2020, respectively.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740" w:type="dxa"/>
            <w:vAlign w:val="bottom"/>
          </w:tcPr>
          <w:p>
            <w:pPr>
              <w:jc w:val="right"/>
              <w:ind w:right="5803"/>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40" w:type="dxa"/>
            <w:vAlign w:val="bottom"/>
          </w:tcPr>
          <w:p>
            <w:pPr>
              <w:spacing w:after="0"/>
              <w:rPr>
                <w:sz w:val="15"/>
                <w:szCs w:val="15"/>
                <w:color w:val="auto"/>
              </w:rPr>
            </w:pPr>
          </w:p>
        </w:tc>
        <w:tc>
          <w:tcPr>
            <w:tcW w:w="840" w:type="dxa"/>
            <w:vAlign w:val="bottom"/>
          </w:tcPr>
          <w:p>
            <w:pPr>
              <w:jc w:val="right"/>
              <w:ind w:right="28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83"/>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Prepaid expenses . . . . . . . . . .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0" w:type="dxa"/>
            <w:vAlign w:val="bottom"/>
          </w:tcPr>
          <w:p>
            <w:pPr>
              <w:spacing w:after="0"/>
              <w:rPr>
                <w:sz w:val="1"/>
                <w:szCs w:val="1"/>
                <w:color w:val="auto"/>
              </w:rPr>
            </w:pPr>
          </w:p>
        </w:tc>
      </w:tr>
      <w:tr>
        <w:trPr>
          <w:trHeight w:val="240"/>
        </w:trPr>
        <w:tc>
          <w:tcPr>
            <w:tcW w:w="67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Available-for-sale fixed income securities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40"/>
        </w:trPr>
        <w:tc>
          <w:tcPr>
            <w:tcW w:w="67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Fair value of financial instruments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0" w:type="dxa"/>
            <w:vAlign w:val="bottom"/>
          </w:tcPr>
          <w:p>
            <w:pPr>
              <w:spacing w:after="0"/>
              <w:rPr>
                <w:sz w:val="1"/>
                <w:szCs w:val="1"/>
                <w:color w:val="auto"/>
              </w:rPr>
            </w:pPr>
          </w:p>
        </w:tc>
      </w:tr>
      <w:tr>
        <w:trPr>
          <w:trHeight w:val="240"/>
        </w:trPr>
        <w:tc>
          <w:tcPr>
            <w:tcW w:w="67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Equity securities  . .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r>
        <w:trPr>
          <w:trHeight w:val="240"/>
        </w:trPr>
        <w:tc>
          <w:tcPr>
            <w:tcW w:w="67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1,467.1</w:t>
            </w:r>
          </w:p>
        </w:tc>
        <w:tc>
          <w:tcPr>
            <w:tcW w:w="0" w:type="dxa"/>
            <w:vAlign w:val="bottom"/>
          </w:tcPr>
          <w:p>
            <w:pPr>
              <w:spacing w:after="0"/>
              <w:rPr>
                <w:sz w:val="1"/>
                <w:szCs w:val="1"/>
                <w:color w:val="auto"/>
              </w:rPr>
            </w:pPr>
          </w:p>
        </w:tc>
      </w:tr>
      <w:tr>
        <w:trPr>
          <w:trHeight w:val="28"/>
        </w:trPr>
        <w:tc>
          <w:tcPr>
            <w:tcW w:w="6740" w:type="dxa"/>
            <w:vAlign w:val="bottom"/>
            <w:vMerge w:val="restart"/>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 xml:space="preserve">Prepaid expenses and other current assets </w:t>
            </w:r>
            <w:r>
              <w:rPr>
                <w:rFonts w:ascii="Times New Roman" w:cs="Times New Roman" w:eastAsia="Times New Roman" w:hAnsi="Times New Roman"/>
                <w:sz w:val="20"/>
                <w:szCs w:val="20"/>
                <w:color w:val="auto"/>
              </w:rPr>
              <w:t>. . . . . . . . . . . . . . . . . . . . . . . . . . .</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40" w:type="dxa"/>
            <w:vAlign w:val="bottom"/>
            <w:vMerge w:val="continue"/>
          </w:tcPr>
          <w:p>
            <w:pPr>
              <w:spacing w:after="0"/>
              <w:rPr>
                <w:sz w:val="23"/>
                <w:szCs w:val="23"/>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1,811.2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1,957.6</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22" w:right="1380" w:bottom="654"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120"/>
          </w:cols>
          <w:pgMar w:left="1380" w:top="1322" w:right="1380" w:bottom="654" w:gutter="0" w:footer="0" w:header="0"/>
          <w:type w:val="continuous"/>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20"/>
          <w:szCs w:val="20"/>
          <w:color w:val="auto"/>
        </w:rPr>
        <w:t>Prepaid expenses consist primarily of prepaid rent, insurance and other individually insignificant items.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6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80" w:type="dxa"/>
            <w:vAlign w:val="bottom"/>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rPr>
          <w:sz w:val="20"/>
          <w:szCs w:val="20"/>
          <w:color w:val="auto"/>
        </w:rPr>
      </w:pPr>
      <w:r>
        <w:rPr>
          <w:rFonts w:ascii="Times New Roman" w:cs="Times New Roman" w:eastAsia="Times New Roman" w:hAnsi="Times New Roman"/>
          <w:sz w:val="20"/>
          <w:szCs w:val="20"/>
          <w:color w:val="auto"/>
        </w:rPr>
        <w:t>Machinery and equipment . .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Buildings and improvements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 and improvements  . . . . . . . . . . . . . . . . . . . . . . . . . . . . . . . . . . . . . . . . . . . .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Gross property, plant and equipment . . . . . . . . . . . . . . . . . . . . . . . . . . . . . . . . .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Accumulated depreciation . . . . . . . . . . . . . . . . . . . . . . . . . . . . . . . . . . . . . . . . . . .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Property, plant and equipment, net </w:t>
      </w:r>
      <w:r>
        <w:rPr>
          <w:rFonts w:ascii="Times New Roman" w:cs="Times New Roman" w:eastAsia="Times New Roman" w:hAnsi="Times New Roman"/>
          <w:sz w:val="20"/>
          <w:szCs w:val="20"/>
          <w:color w:val="auto"/>
        </w:rPr>
        <w:t>. . . . . . . . . . . . . . . . . . . . . . . . . . . . . . . . .</w:t>
      </w:r>
    </w:p>
    <w:p>
      <w:pPr>
        <w:spacing w:after="0" w:line="20" w:lineRule="exact"/>
        <w:rPr>
          <w:sz w:val="20"/>
          <w:szCs w:val="20"/>
          <w:color w:val="auto"/>
        </w:rPr>
      </w:pPr>
      <w:r>
        <w:rPr>
          <w:sz w:val="20"/>
          <w:szCs w:val="20"/>
          <w:color w:val="auto"/>
        </w:rPr>
        <w:br w:type="column"/>
      </w:r>
    </w:p>
    <w:p>
      <w:pPr>
        <w:ind w:left="486" w:hanging="486"/>
        <w:spacing w:after="0"/>
        <w:tabs>
          <w:tab w:leader="none" w:pos="4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2,936.7</w:t>
      </w:r>
    </w:p>
    <w:p>
      <w:pPr>
        <w:spacing w:after="0" w:line="10" w:lineRule="exact"/>
        <w:rPr>
          <w:rFonts w:ascii="Times New Roman" w:cs="Times New Roman" w:eastAsia="Times New Roman" w:hAnsi="Times New Roman"/>
          <w:sz w:val="20"/>
          <w:szCs w:val="20"/>
          <w:color w:val="auto"/>
        </w:rPr>
      </w:pPr>
    </w:p>
    <w:p>
      <w:pPr>
        <w:ind w:left="48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1,539.7</w:t>
      </w:r>
    </w:p>
    <w:p>
      <w:pPr>
        <w:spacing w:after="0" w:line="20" w:lineRule="exact"/>
        <w:rPr>
          <w:rFonts w:ascii="Times New Roman" w:cs="Times New Roman" w:eastAsia="Times New Roman" w:hAnsi="Times New Roman"/>
          <w:sz w:val="20"/>
          <w:szCs w:val="20"/>
          <w:color w:val="auto"/>
        </w:rPr>
      </w:pPr>
    </w:p>
    <w:p>
      <w:pPr>
        <w:ind w:left="64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474.0</w:t>
      </w:r>
    </w:p>
    <w:p>
      <w:pPr>
        <w:spacing w:after="0" w:line="21" w:lineRule="exact"/>
        <w:rPr>
          <w:rFonts w:ascii="Times New Roman" w:cs="Times New Roman" w:eastAsia="Times New Roman" w:hAnsi="Times New Roman"/>
          <w:sz w:val="20"/>
          <w:szCs w:val="20"/>
          <w:color w:val="auto"/>
        </w:rPr>
      </w:pPr>
    </w:p>
    <w:p>
      <w:pPr>
        <w:ind w:left="64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133.4</w:t>
      </w:r>
    </w:p>
    <w:p>
      <w:pPr>
        <w:spacing w:after="0" w:line="91" w:lineRule="exact"/>
        <w:rPr>
          <w:rFonts w:ascii="Times New Roman" w:cs="Times New Roman" w:eastAsia="Times New Roman" w:hAnsi="Times New Roman"/>
          <w:sz w:val="20"/>
          <w:szCs w:val="20"/>
          <w:color w:val="auto"/>
        </w:rPr>
      </w:pPr>
    </w:p>
    <w:p>
      <w:pPr>
        <w:ind w:left="48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5,083.8</w:t>
      </w:r>
    </w:p>
    <w:p>
      <w:pPr>
        <w:spacing w:after="0" w:line="90" w:lineRule="exact"/>
        <w:rPr>
          <w:rFonts w:ascii="Times New Roman" w:cs="Times New Roman" w:eastAsia="Times New Roman" w:hAnsi="Times New Roman"/>
          <w:sz w:val="20"/>
          <w:szCs w:val="20"/>
          <w:color w:val="auto"/>
        </w:rPr>
      </w:pPr>
    </w:p>
    <w:p>
      <w:pPr>
        <w:ind w:left="48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2,059.3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-384810</wp:posOffset>
                </wp:positionV>
                <wp:extent cx="69342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999pt" to="54.6pt,-3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-181610</wp:posOffset>
                </wp:positionV>
                <wp:extent cx="69342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999pt" to="54.6pt,-14.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9342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4.6pt,1.65pt" o:allowincell="f" strokecolor="#000000" strokeweight="0.5pt"/>
            </w:pict>
          </mc:Fallback>
        </mc:AlternateContent>
      </w:r>
    </w:p>
    <w:p>
      <w:pPr>
        <w:spacing w:after="0" w:line="70" w:lineRule="exact"/>
        <w:rPr>
          <w:sz w:val="20"/>
          <w:szCs w:val="20"/>
          <w:color w:val="auto"/>
        </w:rPr>
      </w:pPr>
    </w:p>
    <w:p>
      <w:pPr>
        <w:ind w:left="486" w:hanging="486"/>
        <w:spacing w:after="0"/>
        <w:tabs>
          <w:tab w:leader="none" w:pos="4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3,024.5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9342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4.6pt,1.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46355</wp:posOffset>
                </wp:positionV>
                <wp:extent cx="69342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5pt" to="54.6pt,3.6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ind w:left="493" w:hanging="493"/>
        <w:spacing w:after="0"/>
        <w:tabs>
          <w:tab w:leader="none" w:pos="4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3,054.0</w:t>
      </w:r>
    </w:p>
    <w:p>
      <w:pPr>
        <w:spacing w:after="0" w:line="10" w:lineRule="exact"/>
        <w:rPr>
          <w:rFonts w:ascii="Times New Roman" w:cs="Times New Roman" w:eastAsia="Times New Roman" w:hAnsi="Times New Roman"/>
          <w:sz w:val="20"/>
          <w:szCs w:val="20"/>
          <w:color w:val="auto"/>
        </w:rPr>
      </w:pPr>
    </w:p>
    <w:p>
      <w:pPr>
        <w:ind w:left="49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1,808.5</w:t>
      </w:r>
    </w:p>
    <w:p>
      <w:pPr>
        <w:spacing w:after="0" w:line="20" w:lineRule="exact"/>
        <w:rPr>
          <w:rFonts w:ascii="Times New Roman" w:cs="Times New Roman" w:eastAsia="Times New Roman" w:hAnsi="Times New Roman"/>
          <w:sz w:val="20"/>
          <w:szCs w:val="20"/>
          <w:color w:val="auto"/>
        </w:rPr>
      </w:pPr>
    </w:p>
    <w:p>
      <w:pPr>
        <w:ind w:left="65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588.7</w:t>
      </w:r>
    </w:p>
    <w:p>
      <w:pPr>
        <w:spacing w:after="0" w:line="21" w:lineRule="exact"/>
        <w:rPr>
          <w:rFonts w:ascii="Times New Roman" w:cs="Times New Roman" w:eastAsia="Times New Roman" w:hAnsi="Times New Roman"/>
          <w:sz w:val="20"/>
          <w:szCs w:val="20"/>
          <w:color w:val="auto"/>
        </w:rPr>
      </w:pPr>
    </w:p>
    <w:p>
      <w:pPr>
        <w:ind w:left="65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137.9</w:t>
      </w:r>
    </w:p>
    <w:p>
      <w:pPr>
        <w:spacing w:after="0" w:line="91" w:lineRule="exact"/>
        <w:rPr>
          <w:rFonts w:ascii="Times New Roman" w:cs="Times New Roman" w:eastAsia="Times New Roman" w:hAnsi="Times New Roman"/>
          <w:sz w:val="20"/>
          <w:szCs w:val="20"/>
          <w:color w:val="auto"/>
        </w:rPr>
      </w:pPr>
    </w:p>
    <w:p>
      <w:pPr>
        <w:ind w:left="49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5,589.1</w:t>
      </w:r>
    </w:p>
    <w:p>
      <w:pPr>
        <w:spacing w:after="0" w:line="90" w:lineRule="exact"/>
        <w:rPr>
          <w:rFonts w:ascii="Times New Roman" w:cs="Times New Roman" w:eastAsia="Times New Roman" w:hAnsi="Times New Roman"/>
          <w:sz w:val="20"/>
          <w:szCs w:val="20"/>
          <w:color w:val="auto"/>
        </w:rPr>
      </w:pPr>
    </w:p>
    <w:p>
      <w:pPr>
        <w:ind w:left="49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-384810</wp:posOffset>
                </wp:positionV>
                <wp:extent cx="69342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999pt" to="54.6pt,-3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-181610</wp:posOffset>
                </wp:positionV>
                <wp:extent cx="69342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999pt" to="54.6pt,-14.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9342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4.6pt,1.65pt" o:allowincell="f" strokecolor="#000000" strokeweight="0.5pt"/>
            </w:pict>
          </mc:Fallback>
        </mc:AlternateContent>
      </w:r>
    </w:p>
    <w:p>
      <w:pPr>
        <w:spacing w:after="0" w:line="70" w:lineRule="exact"/>
        <w:rPr>
          <w:sz w:val="20"/>
          <w:szCs w:val="20"/>
          <w:color w:val="auto"/>
        </w:rPr>
      </w:pPr>
    </w:p>
    <w:p>
      <w:pPr>
        <w:ind w:left="493" w:hanging="493"/>
        <w:spacing w:after="0"/>
        <w:tabs>
          <w:tab w:leader="none" w:pos="4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3,188.6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934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4.6pt,1.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46355</wp:posOffset>
                </wp:positionV>
                <wp:extent cx="69342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5pt" to="54.6pt,3.65pt" o:allowincell="f" strokecolor="#000000" strokeweight="0.5pt"/>
            </w:pict>
          </mc:Fallback>
        </mc:AlternateContent>
      </w:r>
    </w:p>
    <w:p>
      <w:pPr>
        <w:spacing w:after="0" w:line="200" w:lineRule="exact"/>
        <w:rPr>
          <w:sz w:val="20"/>
          <w:szCs w:val="20"/>
          <w:color w:val="auto"/>
        </w:rPr>
      </w:pPr>
    </w:p>
    <w:p>
      <w:pPr>
        <w:sectPr>
          <w:pgSz w:w="11880" w:h="15480" w:orient="portrait"/>
          <w:cols w:equalWidth="0" w:num="3">
            <w:col w:w="6540" w:space="194"/>
            <w:col w:w="1086" w:space="207"/>
            <w:col w:w="1093"/>
          </w:cols>
          <w:pgMar w:left="1380" w:top="1312" w:right="1380" w:bottom="654" w:gutter="0" w:footer="0" w:header="0"/>
          <w:type w:val="continuous"/>
        </w:sectPr>
      </w:pPr>
    </w:p>
    <w:p>
      <w:pPr>
        <w:spacing w:after="0" w:line="18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Capitalized software costs included in our consolidated balance sheets were $121.5 million and $62.3 million, net of accumulated depreciation, at December 31, 2022 and 2021, respectively. The Company periodically reviews the estimated useful lives of assets and makes adjustments when appropriate. Depreciation expense was approximately $349.5 million, $509.5 million and $289.7 million for the years ended December 31, 2022, 2021 and 2020, respectively.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5"/>
                <w:szCs w:val="15"/>
                <w:color w:val="auto"/>
              </w:rPr>
            </w:pPr>
          </w:p>
        </w:tc>
        <w:tc>
          <w:tcPr>
            <w:tcW w:w="840" w:type="dxa"/>
            <w:vAlign w:val="bottom"/>
          </w:tcPr>
          <w:p>
            <w:pPr>
              <w:jc w:val="center"/>
              <w:ind w:right="144"/>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144"/>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CCPS in Biocon Biologics  . .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Non-marketable equity investments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consideration due from Biocon Biologics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w:t>
            </w:r>
          </w:p>
        </w:tc>
        <w:tc>
          <w:tcPr>
            <w:tcW w:w="0" w:type="dxa"/>
            <w:vAlign w:val="bottom"/>
          </w:tcPr>
          <w:p>
            <w:pPr>
              <w:spacing w:after="0"/>
              <w:rPr>
                <w:sz w:val="1"/>
                <w:szCs w:val="1"/>
                <w:color w:val="auto"/>
              </w:rPr>
            </w:pPr>
          </w:p>
        </w:tc>
      </w:tr>
      <w:tr>
        <w:trPr>
          <w:trHeight w:val="28"/>
        </w:trPr>
        <w:tc>
          <w:tcPr>
            <w:tcW w:w="6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Other assets  </w:t>
            </w:r>
            <w:r>
              <w:rPr>
                <w:rFonts w:ascii="Times New Roman" w:cs="Times New Roman" w:eastAsia="Times New Roman" w:hAnsi="Times New Roman"/>
                <w:sz w:val="20"/>
                <w:szCs w:val="20"/>
                <w:color w:val="auto"/>
              </w:rPr>
              <w:t>. . . . . . . . . . . . . . . . . . . . . . . . . . . . . . . . . . . . . . . . . . . . . . . . . . . .</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40" w:type="dxa"/>
            <w:vAlign w:val="bottom"/>
            <w:vMerge w:val="continue"/>
          </w:tcPr>
          <w:p>
            <w:pPr>
              <w:spacing w:after="0"/>
              <w:rPr>
                <w:sz w:val="23"/>
                <w:szCs w:val="23"/>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1,170.7</w:t>
            </w:r>
          </w:p>
        </w:tc>
        <w:tc>
          <w:tcPr>
            <w:tcW w:w="0" w:type="dxa"/>
            <w:vAlign w:val="bottom"/>
          </w:tcPr>
          <w:p>
            <w:pPr>
              <w:spacing w:after="0"/>
              <w:rPr>
                <w:sz w:val="1"/>
                <w:szCs w:val="1"/>
                <w:color w:val="auto"/>
              </w:rPr>
            </w:pPr>
          </w:p>
        </w:tc>
      </w:tr>
      <w:tr>
        <w:trPr>
          <w:trHeight w:val="28"/>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payable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6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7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5"/>
                <w:szCs w:val="15"/>
                <w:color w:val="auto"/>
              </w:rPr>
            </w:pPr>
          </w:p>
        </w:tc>
        <w:tc>
          <w:tcPr>
            <w:tcW w:w="840" w:type="dxa"/>
            <w:vAlign w:val="bottom"/>
          </w:tcPr>
          <w:p>
            <w:pPr>
              <w:jc w:val="center"/>
              <w:ind w:right="144"/>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144"/>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payable . . . . .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1,056.1</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Other payables . . . .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601.3</w:t>
            </w:r>
          </w:p>
        </w:tc>
        <w:tc>
          <w:tcPr>
            <w:tcW w:w="0" w:type="dxa"/>
            <w:vAlign w:val="bottom"/>
          </w:tcPr>
          <w:p>
            <w:pPr>
              <w:spacing w:after="0"/>
              <w:rPr>
                <w:sz w:val="1"/>
                <w:szCs w:val="1"/>
                <w:color w:val="auto"/>
              </w:rPr>
            </w:pPr>
          </w:p>
        </w:tc>
      </w:tr>
      <w:tr>
        <w:trPr>
          <w:trHeight w:val="28"/>
        </w:trPr>
        <w:tc>
          <w:tcPr>
            <w:tcW w:w="6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Accounts payable </w:t>
            </w:r>
            <w:r>
              <w:rPr>
                <w:rFonts w:ascii="Times New Roman" w:cs="Times New Roman" w:eastAsia="Times New Roman" w:hAnsi="Times New Roman"/>
                <w:sz w:val="20"/>
                <w:szCs w:val="20"/>
                <w:color w:val="auto"/>
              </w:rPr>
              <w:t>. . . . . . . . . . . . . . . . . . . . . . . . . . . . . . . . . . . . . . . . . . . . . . . .</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40" w:type="dxa"/>
            <w:vAlign w:val="bottom"/>
            <w:vMerge w:val="continue"/>
          </w:tcPr>
          <w:p>
            <w:pPr>
              <w:spacing w:after="0"/>
              <w:rPr>
                <w:sz w:val="23"/>
                <w:szCs w:val="23"/>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1,657.4</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9120"/>
          </w:cols>
          <w:pgMar w:left="1380" w:top="1312" w:right="1380" w:bottom="654"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7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5"/>
                <w:szCs w:val="15"/>
                <w:color w:val="auto"/>
              </w:rPr>
            </w:pPr>
          </w:p>
        </w:tc>
        <w:tc>
          <w:tcPr>
            <w:tcW w:w="840" w:type="dxa"/>
            <w:vAlign w:val="bottom"/>
          </w:tcPr>
          <w:p>
            <w:pPr>
              <w:jc w:val="center"/>
              <w:ind w:right="14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14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sales allowances . . .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1,362.1</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Payroll and employee benefit liabilities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Legal and professional accruals, including litigation accruals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715.6</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Contingent consideration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restructuring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233.5</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interest . . .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of financial instruments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Due to Biocon Biologics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1,265.5</w:t>
            </w:r>
          </w:p>
        </w:tc>
        <w:tc>
          <w:tcPr>
            <w:tcW w:w="0" w:type="dxa"/>
            <w:vAlign w:val="bottom"/>
          </w:tcPr>
          <w:p>
            <w:pPr>
              <w:spacing w:after="0"/>
              <w:rPr>
                <w:sz w:val="1"/>
                <w:szCs w:val="1"/>
                <w:color w:val="auto"/>
              </w:rPr>
            </w:pPr>
          </w:p>
        </w:tc>
      </w:tr>
      <w:tr>
        <w:trPr>
          <w:trHeight w:val="28"/>
        </w:trPr>
        <w:tc>
          <w:tcPr>
            <w:tcW w:w="6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Other current liabilities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4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4,619.6</w:t>
            </w:r>
          </w:p>
        </w:tc>
        <w:tc>
          <w:tcPr>
            <w:tcW w:w="0" w:type="dxa"/>
            <w:vAlign w:val="bottom"/>
          </w:tcPr>
          <w:p>
            <w:pPr>
              <w:spacing w:after="0"/>
              <w:rPr>
                <w:sz w:val="1"/>
                <w:szCs w:val="1"/>
                <w:color w:val="auto"/>
              </w:rPr>
            </w:pPr>
          </w:p>
        </w:tc>
      </w:tr>
      <w:tr>
        <w:trPr>
          <w:trHeight w:val="28"/>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long-term obligations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7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5"/>
                <w:szCs w:val="15"/>
                <w:color w:val="auto"/>
              </w:rPr>
            </w:pPr>
          </w:p>
        </w:tc>
        <w:tc>
          <w:tcPr>
            <w:tcW w:w="840" w:type="dxa"/>
            <w:vAlign w:val="bottom"/>
          </w:tcPr>
          <w:p>
            <w:pPr>
              <w:jc w:val="center"/>
              <w:ind w:right="14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14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benefit liabilities . . . . .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876.4</w:t>
            </w:r>
          </w:p>
        </w:tc>
        <w:tc>
          <w:tcPr>
            <w:tcW w:w="0" w:type="dxa"/>
            <w:vAlign w:val="bottom"/>
          </w:tcPr>
          <w:p>
            <w:pPr>
              <w:spacing w:after="0"/>
              <w:rPr>
                <w:sz w:val="1"/>
                <w:szCs w:val="1"/>
                <w:color w:val="auto"/>
              </w:rPr>
            </w:pPr>
          </w:p>
        </w:tc>
      </w:tr>
      <w:tr>
        <w:trPr>
          <w:trHeight w:val="260"/>
        </w:trPr>
        <w:tc>
          <w:tcPr>
            <w:tcW w:w="674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Contingent consideration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 . . . . . . . . . .</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0" w:type="dxa"/>
            <w:vAlign w:val="bottom"/>
          </w:tcPr>
          <w:p>
            <w:pPr>
              <w:spacing w:after="0"/>
              <w:rPr>
                <w:sz w:val="1"/>
                <w:szCs w:val="1"/>
                <w:color w:val="auto"/>
              </w:rPr>
            </w:pPr>
          </w:p>
        </w:tc>
      </w:tr>
      <w:tr>
        <w:trPr>
          <w:trHeight w:val="220"/>
        </w:trPr>
        <w:tc>
          <w:tcPr>
            <w:tcW w:w="67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Tax related items, including contingencies . . . . . . . . . . . . . . . . . . . . . . . . . . . . . . .</w:t>
            </w:r>
          </w:p>
        </w:tc>
        <w:tc>
          <w:tcPr>
            <w:tcW w:w="24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426.1</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200.9</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restructuring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0" w:type="dxa"/>
            <w:vAlign w:val="bottom"/>
          </w:tcPr>
          <w:p>
            <w:pPr>
              <w:spacing w:after="0"/>
              <w:rPr>
                <w:sz w:val="1"/>
                <w:szCs w:val="1"/>
                <w:color w:val="auto"/>
              </w:rPr>
            </w:pPr>
          </w:p>
        </w:tc>
      </w:tr>
      <w:tr>
        <w:trPr>
          <w:trHeight w:val="24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w:t>
            </w:r>
          </w:p>
        </w:tc>
        <w:tc>
          <w:tcPr>
            <w:tcW w:w="0" w:type="dxa"/>
            <w:vAlign w:val="bottom"/>
          </w:tcPr>
          <w:p>
            <w:pPr>
              <w:spacing w:after="0"/>
              <w:rPr>
                <w:sz w:val="1"/>
                <w:szCs w:val="1"/>
                <w:color w:val="auto"/>
              </w:rPr>
            </w:pPr>
          </w:p>
        </w:tc>
      </w:tr>
      <w:tr>
        <w:trPr>
          <w:trHeight w:val="28"/>
        </w:trPr>
        <w:tc>
          <w:tcPr>
            <w:tcW w:w="6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Other long-term obligations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4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 . . . . . .</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400"/>
        <w:spacing w:after="0" w:line="208" w:lineRule="auto"/>
        <w:tabs>
          <w:tab w:leader="none" w:pos="400"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Includes a total of $221.2 million due to Biocon Biologics. Refer to Note 10 </w:t>
      </w:r>
      <w:r>
        <w:rPr>
          <w:rFonts w:ascii="Times New Roman" w:cs="Times New Roman" w:eastAsia="Times New Roman" w:hAnsi="Times New Roman"/>
          <w:sz w:val="20"/>
          <w:szCs w:val="20"/>
          <w:i w:val="1"/>
          <w:iCs w:val="1"/>
          <w:color w:val="auto"/>
        </w:rPr>
        <w:t>Financial Instruments and 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Management </w:t>
      </w:r>
      <w:r>
        <w:rPr>
          <w:rFonts w:ascii="Times New Roman" w:cs="Times New Roman" w:eastAsia="Times New Roman" w:hAnsi="Times New Roman"/>
          <w:sz w:val="20"/>
          <w:szCs w:val="20"/>
          <w:color w:val="auto"/>
        </w:rPr>
        <w:t>for additional information.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12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spacing w:after="0" w:line="22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spacing w:after="0" w:line="22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As of December 31, 2022, the Company recognized ROU assets of $259.3 million and total lease liabilities of $262.0 million. The Company’s ROU assets are recorded in other assets. The related lease liability balances are recorded in other current liabilities and other long-term obligations in the consolidated balance sheets. Refer to Note 6 </w:t>
      </w:r>
      <w:r>
        <w:rPr>
          <w:rFonts w:ascii="Times New Roman" w:cs="Times New Roman" w:eastAsia="Times New Roman" w:hAnsi="Times New Roman"/>
          <w:sz w:val="20"/>
          <w:szCs w:val="20"/>
          <w:i w:val="1"/>
          <w:iCs w:val="1"/>
          <w:color w:val="auto"/>
        </w:rPr>
        <w:t>Balance Sheet Components</w:t>
      </w:r>
      <w:r>
        <w:rPr>
          <w:rFonts w:ascii="Times New Roman" w:cs="Times New Roman" w:eastAsia="Times New Roman" w:hAnsi="Times New Roman"/>
          <w:sz w:val="20"/>
          <w:szCs w:val="20"/>
          <w:color w:val="auto"/>
        </w:rPr>
        <w:t xml:space="preserve"> for additional information.</w:t>
      </w:r>
    </w:p>
    <w:p>
      <w:pPr>
        <w:spacing w:after="0" w:line="22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sectPr>
          <w:pgSz w:w="11880" w:h="15480" w:orient="portrait"/>
          <w:cols w:equalWidth="0" w:num="1">
            <w:col w:w="9120"/>
          </w:cols>
          <w:pgMar w:left="1380" w:top="1312" w:right="1380" w:bottom="65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120"/>
          </w:cols>
          <w:pgMar w:left="1380" w:top="1312" w:right="1380" w:bottom="654" w:gutter="0" w:footer="0" w:header="0"/>
          <w:type w:val="continuous"/>
        </w:sectPr>
      </w:pPr>
    </w:p>
    <w:bookmarkStart w:id="126" w:name="page127"/>
    <w:bookmarkEnd w:id="126"/>
    <w:p>
      <w:pPr>
        <w:ind w:left="400"/>
        <w:spacing w:after="0"/>
        <w:rPr>
          <w:sz w:val="20"/>
          <w:szCs w:val="20"/>
          <w:color w:val="auto"/>
        </w:rPr>
      </w:pPr>
      <w:r>
        <w:rPr>
          <w:rFonts w:ascii="Times New Roman" w:cs="Times New Roman" w:eastAsia="Times New Roman" w:hAnsi="Times New Roman"/>
          <w:sz w:val="20"/>
          <w:szCs w:val="20"/>
          <w:color w:val="auto"/>
        </w:rPr>
        <w:t>Other information related to leases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82"/>
        </w:trPr>
        <w:tc>
          <w:tcPr>
            <w:tcW w:w="7700" w:type="dxa"/>
            <w:vAlign w:val="bottom"/>
          </w:tcPr>
          <w:p>
            <w:pPr>
              <w:spacing w:after="0"/>
              <w:rPr>
                <w:sz w:val="15"/>
                <w:szCs w:val="15"/>
                <w:color w:val="auto"/>
              </w:rPr>
            </w:pPr>
          </w:p>
        </w:tc>
        <w:tc>
          <w:tcPr>
            <w:tcW w:w="14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6"/>
        </w:trPr>
        <w:tc>
          <w:tcPr>
            <w:tcW w:w="7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Remaining lease terms . . . . . . . . . . . . . . . . . . . . . . . . . . . . . . . . . . . . . . . . . . . . . . . . . . . . . . . .</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 year to 22 years</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 . . . . . . . . . . . . . . . . . . . . . . . . . . . . . . . . . . . . . . . . .</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 years</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 . . . . . . . . . . . . . . . . . . . . . . . . . . . . . . . . . . . . . . . . . . . . . . . . .</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480"/>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As of December 31, 2022, maturities of lease liabilities were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8"/>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800" w:type="dxa"/>
            <w:vAlign w:val="bottom"/>
            <w:gridSpan w:val="2"/>
          </w:tcPr>
          <w:p>
            <w:pPr>
              <w:jc w:val="center"/>
              <w:ind w:left="563"/>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8"/>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2"/>
        </w:trPr>
        <w:tc>
          <w:tcPr>
            <w:tcW w:w="7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lease payments  . . . . . . . . . . . . . . . . . . . . . . . . . . . . . . . . . . . . . . . . . . . . . . . . . . . . . . . . .</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w:t>
            </w:r>
          </w:p>
        </w:tc>
      </w:tr>
      <w:tr>
        <w:trPr>
          <w:trHeight w:val="24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 . . . . . . . . . . . . . . . . . . . . . .</w:t>
            </w:r>
          </w:p>
        </w:tc>
        <w:tc>
          <w:tcPr>
            <w:tcW w:w="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r>
      <w:tr>
        <w:trPr>
          <w:trHeight w:val="28"/>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2"/>
        </w:trPr>
        <w:tc>
          <w:tcPr>
            <w:tcW w:w="7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lease liability . . . . . . . . . . . . . . . . . . . . . . . . . . . . . . . . . . . . . . . . . . . . . . . . . . . . . . . . . . .</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w:t>
            </w:r>
          </w:p>
        </w:tc>
      </w:tr>
      <w:tr>
        <w:trPr>
          <w:trHeight w:val="28"/>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2022, the Company did not have any significant leases that have not yet commenced. For the years ended December 31, 2022, 2021 and 2020, the Company had operating lease expense of approximately $90.9 million, $97.6 million and $80.7 million, respectively. Operating lease costs are classified primarily as SG&amp;A and cost of sales in the consolidated statements of operations.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Equity Method Investments</w:t>
      </w:r>
    </w:p>
    <w:p>
      <w:pPr>
        <w:spacing w:after="0" w:line="26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had three equity method investments in limited liability companies that owned refined coal production plants whose activities qualified for income tax credits under Section 45 of the Code. The Company did not consolidate these entities as we had determined that we were not the primary beneficiary of these entities and did not have the power to individually direct the activities of these entities. Accordingly, these investments were accounted for under the equity method of accounting. For each of the clean energy investments, the Company had entered into notes payable with the respective project sponsor, which in part were paid to the sponsor as certain production levels were met. The law that provided for IRC Section 45 tax credits expired during the year ended December 31, 2021for all three clean energy investments and all of the clean energy investments have wound down operations.</w:t>
      </w:r>
    </w:p>
    <w:p>
      <w:pPr>
        <w:spacing w:after="0" w:line="25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During the years ended December 31, 2021 and 2020, the Company reduced its long-term obligations for its three investments as a result of lower than anticipated production levels and lower expected future variable debt payments to the respective project sponsor. The Company recognized a net gain of approximately $5.7 million and $21.4 million, respectively, which was recognized as a component of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xml:space="preserve"> in the consolidated statements of operations.</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carrying values and respective balance sheet location of the Company’s clean energy investments were as follows at December 31, 2021:</w:t>
      </w:r>
    </w:p>
    <w:p>
      <w:pPr>
        <w:spacing w:after="0" w:line="2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8" w:lineRule="auto"/>
        <w:tabs>
          <w:tab w:leader="none" w:pos="8400" w:val="left"/>
        </w:tabs>
        <w:rPr>
          <w:sz w:val="20"/>
          <w:szCs w:val="20"/>
          <w:color w:val="auto"/>
        </w:rPr>
      </w:pPr>
      <w:r>
        <w:rPr>
          <w:rFonts w:ascii="Times New Roman" w:cs="Times New Roman" w:eastAsia="Times New Roman" w:hAnsi="Times New Roman"/>
          <w:sz w:val="16"/>
          <w:szCs w:val="16"/>
          <w:b w:val="1"/>
          <w:bCs w:val="1"/>
          <w:i w:val="1"/>
          <w:iCs w:val="1"/>
          <w:color w:val="auto"/>
        </w:rPr>
        <w:t>(In millions)</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5097145</wp:posOffset>
                </wp:positionH>
                <wp:positionV relativeFrom="paragraph">
                  <wp:posOffset>22860</wp:posOffset>
                </wp:positionV>
                <wp:extent cx="69405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0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35pt,1.8pt" to="456pt,1.8pt" o:allowincell="f" strokecolor="#000000" strokeweight="1pt"/>
            </w:pict>
          </mc:Fallback>
        </mc:AlternateContent>
      </w:r>
    </w:p>
    <w:p>
      <w:pPr>
        <w:spacing w:after="0" w:line="79" w:lineRule="exact"/>
        <w:rPr>
          <w:sz w:val="20"/>
          <w:szCs w:val="20"/>
          <w:color w:val="auto"/>
        </w:rPr>
      </w:pPr>
    </w:p>
    <w:p>
      <w:pPr>
        <w:spacing w:after="0"/>
        <w:tabs>
          <w:tab w:leader="none" w:pos="8580" w:val="left"/>
        </w:tabs>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 . . . . . . . . . . .</w:t>
      </w:r>
      <w:r>
        <w:rPr>
          <w:sz w:val="20"/>
          <w:szCs w:val="20"/>
          <w:color w:val="auto"/>
        </w:rPr>
        <w:tab/>
      </w:r>
      <w:r>
        <w:rPr>
          <w:rFonts w:ascii="Times New Roman" w:cs="Times New Roman" w:eastAsia="Times New Roman" w:hAnsi="Times New Roman"/>
          <w:sz w:val="19"/>
          <w:szCs w:val="19"/>
          <w:color w:val="auto"/>
        </w:rPr>
        <w:t>10.9</w:t>
      </w:r>
    </w:p>
    <w:p>
      <w:pPr>
        <w:sectPr>
          <w:pgSz w:w="11880" w:h="15480" w:orient="portrait"/>
          <w:cols w:equalWidth="0" w:num="1">
            <w:col w:w="9120"/>
          </w:cols>
          <w:pgMar w:left="1380" w:top="1312" w:right="1380" w:bottom="654"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9120"/>
          </w:cols>
          <w:pgMar w:left="1380" w:top="1312" w:right="1380" w:bottom="654" w:gutter="0" w:footer="0" w:header="0"/>
          <w:type w:val="continuous"/>
        </w:sectPr>
      </w:pPr>
    </w:p>
    <w:bookmarkStart w:id="127" w:name="page128"/>
    <w:bookmarkEnd w:id="127"/>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Summarized financial information, in the aggregate, for the Company’s three equity method, clean energy investments on a 100% basis as of December 31, 2021 and for the years ended December 31, 2021 and 2020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2"/>
        </w:trPr>
        <w:tc>
          <w:tcPr>
            <w:tcW w:w="72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83"/>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2"/>
        </w:trPr>
        <w:tc>
          <w:tcPr>
            <w:tcW w:w="7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 . . . . . . . . . . . . . .</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 .  $</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40"/>
        </w:trPr>
        <w:tc>
          <w:tcPr>
            <w:tcW w:w="7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 . . . . . . . . . . . . . . . . . . . . . . . . . . . . .</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8"/>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 . . . . . . . .</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0"/>
        </w:trPr>
        <w:tc>
          <w:tcPr>
            <w:tcW w:w="7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 . . . . . . . . . . . . . . . . . . . . . . . . . . . . . . . . . . . . . . . . . . . . . . . . . . . . . . . . . . . . .</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 . . . . . . . . . . . .</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Net assets . . . . . . . . . . . . . . . . . . . . . . . . . . . . . . . . . . . . . . . . . . . . . . . . . . . . . . . . . . . . . . .</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 .  $</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
        </w:trPr>
        <w:tc>
          <w:tcPr>
            <w:tcW w:w="72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r>
      <w:tr>
        <w:trPr>
          <w:trHeight w:val="424"/>
        </w:trPr>
        <w:tc>
          <w:tcPr>
            <w:tcW w:w="7280" w:type="dxa"/>
            <w:vAlign w:val="bottom"/>
          </w:tcPr>
          <w:p>
            <w:pPr>
              <w:spacing w:after="0"/>
              <w:rPr>
                <w:sz w:val="24"/>
                <w:szCs w:val="24"/>
                <w:color w:val="auto"/>
              </w:rPr>
            </w:pPr>
          </w:p>
        </w:tc>
        <w:tc>
          <w:tcPr>
            <w:tcW w:w="18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72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 . . . . . . . . . .</w:t>
            </w: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326.7</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w:t>
            </w:r>
          </w:p>
        </w:tc>
      </w:tr>
      <w:tr>
        <w:trPr>
          <w:trHeight w:val="24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Gross loss . . . . . . . . . . . . . . . . . . . . . . . . . . . . . . . . . . . . . . . . . . . . . . . . . . . . . . . . . . . . . .</w:t>
            </w:r>
          </w:p>
        </w:tc>
        <w:tc>
          <w:tcPr>
            <w:tcW w:w="2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4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Operating and non-operating expense . . . . . . . . . . . . . . . . . . . . . . . . . . . . . . . . . . . . . . . .</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8"/>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 . . . . . . .</w:t>
            </w: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28"/>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Company’s net losses from its equity method investments included amortization expense related to the excess of the cost basis of the Company’s investment over the underlying assets of each individual investee. For the years ended December 31, 2021 and 2020, the Company recognized net losses from equity method investments of $61.9 million, and $48.4 million, respectively, which were recognized as a component of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 expense, net </w:t>
      </w:r>
      <w:r>
        <w:rPr>
          <w:rFonts w:ascii="Times New Roman" w:cs="Times New Roman" w:eastAsia="Times New Roman" w:hAnsi="Times New Roman"/>
          <w:sz w:val="20"/>
          <w:szCs w:val="20"/>
          <w:color w:val="auto"/>
        </w:rPr>
        <w:t>in the consolidated statements of operations. The Company recognized the income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credits and benefits from the clean energy investments as part of its provision for income taxes.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changes in the carrying amount of goodwill for the years ended December 31, 2022 and 2021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Developed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Greater</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Emerging</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4700" w:type="dxa"/>
            <w:vAlign w:val="bottom"/>
            <w:gridSpan w:val="2"/>
          </w:tcPr>
          <w:p>
            <w:pPr>
              <w:jc w:val="right"/>
              <w:ind w:right="386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Markets </w:t>
            </w:r>
            <w:r>
              <w:rPr>
                <w:rFonts w:ascii="Times New Roman" w:cs="Times New Roman" w:eastAsia="Times New Roman" w:hAnsi="Times New Roman"/>
                <w:sz w:val="20"/>
                <w:szCs w:val="20"/>
                <w:b w:val="1"/>
                <w:bCs w:val="1"/>
                <w:color w:val="auto"/>
                <w:w w:val="93"/>
                <w:vertAlign w:val="superscript"/>
              </w:rPr>
              <w:t>(1)</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
              <w:spacing w:after="0" w:line="182" w:lineRule="exact"/>
              <w:rPr>
                <w:sz w:val="20"/>
                <w:szCs w:val="20"/>
                <w:color w:val="auto"/>
              </w:rPr>
            </w:pPr>
            <w:r>
              <w:rPr>
                <w:rFonts w:ascii="Times New Roman" w:cs="Times New Roman" w:eastAsia="Times New Roman" w:hAnsi="Times New Roman"/>
                <w:sz w:val="16"/>
                <w:szCs w:val="16"/>
                <w:b w:val="1"/>
                <w:bCs w:val="1"/>
                <w:color w:val="auto"/>
              </w:rPr>
              <w:t>China</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w w:val="95"/>
              </w:rPr>
              <w:t xml:space="preserve">Markets </w:t>
            </w:r>
            <w:r>
              <w:rPr>
                <w:rFonts w:ascii="Times New Roman" w:cs="Times New Roman" w:eastAsia="Times New Roman" w:hAnsi="Times New Roman"/>
                <w:sz w:val="20"/>
                <w:szCs w:val="20"/>
                <w:b w:val="1"/>
                <w:bCs w:val="1"/>
                <w:color w:val="auto"/>
                <w:w w:val="95"/>
                <w:vertAlign w:val="superscript"/>
              </w:rPr>
              <w:t>(2)</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82"/>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Balance at December 31, 2020: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$9,184.5</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$738.3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$12,347.0</w:t>
            </w:r>
          </w:p>
        </w:tc>
      </w:tr>
      <w:tr>
        <w:trPr>
          <w:trHeight w:val="240"/>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Measurement period and other adjustments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295.6</w:t>
            </w:r>
          </w:p>
        </w:tc>
      </w:tr>
      <w:tr>
        <w:trPr>
          <w:trHeight w:val="240"/>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Foreign currency translation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(528.8)</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(528.9)</w:t>
            </w:r>
          </w:p>
        </w:tc>
      </w:tr>
      <w:tr>
        <w:trPr>
          <w:trHeight w:val="28"/>
        </w:trPr>
        <w:tc>
          <w:tcPr>
            <w:tcW w:w="9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Balance at December 31, 2021: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$8,723.4</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$969.5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$12,113.7</w:t>
            </w:r>
          </w:p>
        </w:tc>
      </w:tr>
      <w:tr>
        <w:trPr>
          <w:trHeight w:val="260"/>
        </w:trPr>
        <w:tc>
          <w:tcPr>
            <w:tcW w:w="4700" w:type="dxa"/>
            <w:vAlign w:val="bottom"/>
            <w:gridSpan w:val="2"/>
          </w:tcPr>
          <w:p>
            <w:pPr>
              <w:jc w:val="right"/>
              <w:ind w:right="180"/>
              <w:spacing w:after="0" w:line="260" w:lineRule="exact"/>
              <w:rPr>
                <w:sz w:val="20"/>
                <w:szCs w:val="20"/>
                <w:color w:val="auto"/>
              </w:rPr>
            </w:pPr>
            <w:r>
              <w:rPr>
                <w:rFonts w:ascii="Times New Roman" w:cs="Times New Roman" w:eastAsia="Times New Roman" w:hAnsi="Times New Roman"/>
                <w:sz w:val="20"/>
                <w:szCs w:val="20"/>
                <w:color w:val="auto"/>
              </w:rPr>
              <w:t xml:space="preserve">Disposition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(743.9)</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(919.7)</w:t>
            </w:r>
          </w:p>
        </w:tc>
      </w:tr>
      <w:tr>
        <w:trPr>
          <w:trHeight w:val="220"/>
        </w:trPr>
        <w:tc>
          <w:tcPr>
            <w:tcW w:w="470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Impairment  . . . . . . . . . . . . . . . . . . . . . . . . . . . . . . . . .</w:t>
            </w:r>
          </w:p>
        </w:tc>
        <w:tc>
          <w:tcPr>
            <w:tcW w:w="20" w:type="dxa"/>
            <w:vAlign w:val="bottom"/>
          </w:tcPr>
          <w:p>
            <w:pPr>
              <w:spacing w:after="0"/>
              <w:rPr>
                <w:sz w:val="19"/>
                <w:szCs w:val="19"/>
                <w:color w:val="auto"/>
              </w:rPr>
            </w:pPr>
          </w:p>
        </w:tc>
        <w:tc>
          <w:tcPr>
            <w:tcW w:w="94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(117.0)</w:t>
            </w:r>
          </w:p>
        </w:tc>
        <w:tc>
          <w:tcPr>
            <w:tcW w:w="10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(117.0)</w:t>
            </w:r>
          </w:p>
        </w:tc>
      </w:tr>
      <w:tr>
        <w:trPr>
          <w:trHeight w:val="240"/>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Foreign currency translation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(518.0)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(651.2)</w:t>
            </w:r>
          </w:p>
        </w:tc>
      </w:tr>
      <w:tr>
        <w:trPr>
          <w:trHeight w:val="28"/>
        </w:trPr>
        <w:tc>
          <w:tcPr>
            <w:tcW w:w="9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Balance at December 31, 2022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$7,461.5</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$940.6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$10,425.8</w:t>
            </w:r>
          </w:p>
        </w:tc>
      </w:tr>
      <w:tr>
        <w:trPr>
          <w:trHeight w:val="28"/>
        </w:trPr>
        <w:tc>
          <w:tcPr>
            <w:tcW w:w="9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62" w:lineRule="exact"/>
        <w:rPr>
          <w:sz w:val="20"/>
          <w:szCs w:val="20"/>
          <w:color w:val="auto"/>
        </w:rPr>
      </w:pPr>
    </w:p>
    <w:p>
      <w:pPr>
        <w:ind w:left="400" w:hanging="400"/>
        <w:spacing w:after="0" w:line="208" w:lineRule="auto"/>
        <w:tabs>
          <w:tab w:leader="none" w:pos="400" w:val="left"/>
        </w:tabs>
        <w:numPr>
          <w:ilvl w:val="0"/>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Balances as of December 31, 2022, 2021 and 2020 include accumulated impairment losses of $385.0 million.</w:t>
      </w:r>
    </w:p>
    <w:p>
      <w:pPr>
        <w:spacing w:after="0" w:line="1" w:lineRule="exact"/>
        <w:rPr>
          <w:rFonts w:ascii="Times New Roman" w:cs="Times New Roman" w:eastAsia="Times New Roman" w:hAnsi="Times New Roman"/>
          <w:sz w:val="26"/>
          <w:szCs w:val="26"/>
          <w:color w:val="auto"/>
          <w:vertAlign w:val="superscript"/>
        </w:rPr>
      </w:pPr>
    </w:p>
    <w:p>
      <w:pPr>
        <w:ind w:left="400" w:hanging="400"/>
        <w:spacing w:after="0" w:line="192" w:lineRule="auto"/>
        <w:tabs>
          <w:tab w:leader="none" w:pos="400" w:val="left"/>
        </w:tabs>
        <w:numPr>
          <w:ilvl w:val="0"/>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Balance as of December 31, 2022 includes accumulated impairment loss of $117.0 million.</w:t>
      </w:r>
    </w:p>
    <w:p>
      <w:pPr>
        <w:spacing w:after="0" w:line="59" w:lineRule="exact"/>
        <w:rPr>
          <w:rFonts w:ascii="Times New Roman" w:cs="Times New Roman" w:eastAsia="Times New Roman" w:hAnsi="Times New Roman"/>
          <w:sz w:val="26"/>
          <w:szCs w:val="26"/>
          <w:color w:val="auto"/>
          <w:vertAlign w:val="superscript"/>
        </w:rPr>
      </w:pPr>
    </w:p>
    <w:p>
      <w:pPr>
        <w:ind w:left="400" w:hanging="400"/>
        <w:spacing w:after="0" w:line="191" w:lineRule="auto"/>
        <w:tabs>
          <w:tab w:leader="none" w:pos="400" w:val="left"/>
        </w:tabs>
        <w:numPr>
          <w:ilvl w:val="0"/>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Reflects goodwill relating to the biosimilars portfolio. Refer to Note 5 </w:t>
      </w:r>
      <w:r>
        <w:rPr>
          <w:rFonts w:ascii="Times New Roman" w:cs="Times New Roman" w:eastAsia="Times New Roman" w:hAnsi="Times New Roman"/>
          <w:sz w:val="20"/>
          <w:szCs w:val="20"/>
          <w:i w:val="1"/>
          <w:iCs w:val="1"/>
          <w:color w:val="auto"/>
        </w:rPr>
        <w:t>Divestitures</w:t>
      </w:r>
      <w:r>
        <w:rPr>
          <w:rFonts w:ascii="Times New Roman" w:cs="Times New Roman" w:eastAsia="Times New Roman" w:hAnsi="Times New Roman"/>
          <w:sz w:val="20"/>
          <w:szCs w:val="20"/>
          <w:color w:val="auto"/>
        </w:rPr>
        <w:t xml:space="preserve"> for additional information.</w:t>
      </w:r>
    </w:p>
    <w:p>
      <w:pPr>
        <w:sectPr>
          <w:pgSz w:w="11880" w:h="15480" w:orient="portrait"/>
          <w:cols w:equalWidth="0" w:num="1">
            <w:col w:w="9120"/>
          </w:cols>
          <w:pgMar w:left="1380" w:top="1322" w:right="1380" w:bottom="654"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9120"/>
          </w:cols>
          <w:pgMar w:left="1380" w:top="1322" w:right="1380" w:bottom="654" w:gutter="0" w:footer="0" w:header="0"/>
          <w:type w:val="continuous"/>
        </w:sectPr>
      </w:pPr>
    </w:p>
    <w:bookmarkStart w:id="128" w:name="page129"/>
    <w:bookmarkEnd w:id="128"/>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Company reviews goodwill for impairment annually on April 1st or more frequently if events or changes in circumstances indicate that the carrying value of goodwill may not be recoverable. As a result of the Biocon Biologics Transaction (refer to Note 5 </w:t>
      </w:r>
      <w:r>
        <w:rPr>
          <w:rFonts w:ascii="Times New Roman" w:cs="Times New Roman" w:eastAsia="Times New Roman" w:hAnsi="Times New Roman"/>
          <w:sz w:val="20"/>
          <w:szCs w:val="20"/>
          <w:i w:val="1"/>
          <w:iCs w:val="1"/>
          <w:color w:val="auto"/>
        </w:rPr>
        <w:t>Divestitures</w:t>
      </w:r>
      <w:r>
        <w:rPr>
          <w:rFonts w:ascii="Times New Roman" w:cs="Times New Roman" w:eastAsia="Times New Roman" w:hAnsi="Times New Roman"/>
          <w:sz w:val="20"/>
          <w:szCs w:val="20"/>
          <w:color w:val="auto"/>
        </w:rPr>
        <w:t xml:space="preserve"> for additional information) and the decline in the Company’s share price during the first quarter of 2022, the Company performed an interim goodwill impairment test as of March 31, 2022. The Company performed the annual goodwill impairment test as of April 1, 2022. There were no significant changes from the interim goodwill test performed at March 31, 2022 and the results were consistent with the interim goodwill impairment test.</w:t>
      </w:r>
    </w:p>
    <w:p>
      <w:pPr>
        <w:spacing w:after="0" w:line="21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21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21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As of March 31, 2022 and April 1, 2022, the Company determined that the fair value of the North America and Greater China reporting units was substantially in excess of the respective unit’s carrying value.</w:t>
      </w:r>
    </w:p>
    <w:p>
      <w:pPr>
        <w:spacing w:after="0" w:line="22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rate.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21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 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ectPr>
          <w:pgSz w:w="11880" w:h="15480" w:orient="portrait"/>
          <w:cols w:equalWidth="0" w:num="1">
            <w:col w:w="9120"/>
          </w:cols>
          <w:pgMar w:left="1380" w:top="1322" w:right="1380" w:bottom="65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9120"/>
          </w:cols>
          <w:pgMar w:left="1380" w:top="1322" w:right="1380" w:bottom="654" w:gutter="0" w:footer="0" w:header="0"/>
          <w:type w:val="continuous"/>
        </w:sectPr>
      </w:pPr>
    </w:p>
    <w:bookmarkStart w:id="129" w:name="page130"/>
    <w:bookmarkEnd w:id="129"/>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Subsequent to the completion of the interim goodwill impairment test and in conjunction with the Biocon Biologics Transaction, the Company allocated goodwill to its biosimilars portfolio using a relative fair value approach and reclassified the amount to assets held for sale. Upon closing of the Biocon Biologics Transaction on November 29, 2022, we derecognized goodwill of $919.7 million allocated to the biosimilars portfolio.</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the fourth quarter of 2022, we determined that our Upjohn Distributor Markets should be classified as held for sale in the December 31, 2022 consolidated balance sheet. The Company allocated goodwill to its Upjohn Distributor Markets using a relative fair value approach and recorded a goodwill impairment charge of $117.0 million within the Emerging Markets reporting unit, which was recorded within </w:t>
      </w:r>
      <w:r>
        <w:rPr>
          <w:rFonts w:ascii="Times New Roman" w:cs="Times New Roman" w:eastAsia="Times New Roman" w:hAnsi="Times New Roman"/>
          <w:sz w:val="20"/>
          <w:szCs w:val="20"/>
          <w:i w:val="1"/>
          <w:iCs w:val="1"/>
          <w:color w:val="auto"/>
        </w:rPr>
        <w:t>SG&amp;A</w:t>
      </w:r>
      <w:r>
        <w:rPr>
          <w:rFonts w:ascii="Times New Roman" w:cs="Times New Roman" w:eastAsia="Times New Roman" w:hAnsi="Times New Roman"/>
          <w:sz w:val="20"/>
          <w:szCs w:val="20"/>
          <w:color w:val="auto"/>
        </w:rPr>
        <w:t xml:space="preserve"> in the consolidated statement of operations. The goodwill impairment charge was the result of the estimated proceeds less selling costs from the disposal of the Upjohn Distributor Markets being below the carrying value of the net assets of the disposal group.</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Refer to Note 5 </w:t>
      </w:r>
      <w:r>
        <w:rPr>
          <w:rFonts w:ascii="Times New Roman" w:cs="Times New Roman" w:eastAsia="Times New Roman" w:hAnsi="Times New Roman"/>
          <w:sz w:val="20"/>
          <w:szCs w:val="20"/>
          <w:i w:val="1"/>
          <w:iCs w:val="1"/>
          <w:color w:val="auto"/>
        </w:rPr>
        <w:t>Divestitures</w:t>
      </w:r>
      <w:r>
        <w:rPr>
          <w:rFonts w:ascii="Times New Roman" w:cs="Times New Roman" w:eastAsia="Times New Roman" w:hAnsi="Times New Roman"/>
          <w:sz w:val="20"/>
          <w:szCs w:val="20"/>
          <w:color w:val="auto"/>
        </w:rPr>
        <w:t xml:space="preserve"> for additional information.</w:t>
      </w:r>
    </w:p>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Intangible assets consist of the following components at December 31,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0"/>
        </w:trPr>
        <w:tc>
          <w:tcPr>
            <w:tcW w:w="4640" w:type="dxa"/>
            <w:vAlign w:val="bottom"/>
          </w:tcPr>
          <w:p>
            <w:pPr>
              <w:spacing w:after="0"/>
              <w:rPr>
                <w:sz w:val="13"/>
                <w:szCs w:val="13"/>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Life</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Net Book</w:t>
            </w:r>
          </w:p>
        </w:tc>
      </w:tr>
      <w:tr>
        <w:trPr>
          <w:trHeight w:val="182"/>
        </w:trPr>
        <w:tc>
          <w:tcPr>
            <w:tcW w:w="46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8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(Years)</w:t>
            </w:r>
          </w:p>
        </w:tc>
        <w:tc>
          <w:tcPr>
            <w:tcW w:w="100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5"/>
                <w:szCs w:val="15"/>
                <w:color w:val="auto"/>
              </w:rPr>
            </w:pPr>
          </w:p>
        </w:tc>
        <w:tc>
          <w:tcPr>
            <w:tcW w:w="100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5"/>
                <w:szCs w:val="15"/>
                <w:color w:val="auto"/>
              </w:rPr>
            </w:pPr>
          </w:p>
        </w:tc>
        <w:tc>
          <w:tcPr>
            <w:tcW w:w="10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6"/>
        </w:trPr>
        <w:tc>
          <w:tcPr>
            <w:tcW w:w="4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December 31, 2022</w:t>
      </w:r>
    </w:p>
    <w:p>
      <w:pPr>
        <w:sectPr>
          <w:pgSz w:w="11880" w:h="15480" w:orient="portrait"/>
          <w:cols w:equalWidth="0" w:num="1">
            <w:col w:w="9120"/>
          </w:cols>
          <w:pgMar w:left="1380" w:top="1322" w:right="1380" w:bottom="654" w:gutter="0" w:footer="0" w:header="0"/>
        </w:sectPr>
      </w:pPr>
    </w:p>
    <w:p>
      <w:pPr>
        <w:spacing w:after="0" w:line="20"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0"/>
          <w:szCs w:val="20"/>
          <w:color w:val="auto"/>
        </w:rPr>
        <w:t xml:space="preserve">Product rights, licenses and other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In-process research and development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jc w:val="right"/>
              <w:ind w:right="465"/>
              <w:spacing w:after="0"/>
              <w:rPr>
                <w:sz w:val="20"/>
                <w:szCs w:val="20"/>
                <w:color w:val="auto"/>
              </w:rPr>
            </w:pPr>
            <w:r>
              <w:rPr>
                <w:rFonts w:ascii="Times New Roman" w:cs="Times New Roman" w:eastAsia="Times New Roman" w:hAnsi="Times New Roman"/>
                <w:sz w:val="20"/>
                <w:szCs w:val="20"/>
                <w:color w:val="auto"/>
                <w:w w:val="99"/>
              </w:rPr>
              <w:t>. . . . . . . . . . . . . . .15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37,490.5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14,923.6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22,566.9</w:t>
            </w:r>
          </w:p>
        </w:tc>
      </w:tr>
      <w:tr>
        <w:trPr>
          <w:trHeight w:val="240"/>
        </w:trPr>
        <w:tc>
          <w:tcPr>
            <w:tcW w:w="2740" w:type="dxa"/>
            <w:vAlign w:val="bottom"/>
          </w:tcPr>
          <w:p>
            <w:pPr>
              <w:jc w:val="right"/>
              <w:ind w:right="1205"/>
              <w:spacing w:after="0"/>
              <w:rPr>
                <w:sz w:val="20"/>
                <w:szCs w:val="20"/>
                <w:color w:val="auto"/>
              </w:rPr>
            </w:pPr>
            <w:r>
              <w:rPr>
                <w:rFonts w:ascii="Times New Roman" w:cs="Times New Roman" w:eastAsia="Times New Roman" w:hAnsi="Times New Roman"/>
                <w:sz w:val="20"/>
                <w:szCs w:val="20"/>
                <w:color w:val="auto"/>
              </w:rPr>
              <w:t>. . . . . . . . . . . . .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r>
      <w:tr>
        <w:trPr>
          <w:trHeight w:val="28"/>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27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37,530.7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14,923.6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22,607.1</w:t>
            </w:r>
          </w:p>
        </w:tc>
      </w:tr>
      <w:tr>
        <w:trPr>
          <w:trHeight w:val="28"/>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ectPr>
          <w:pgSz w:w="11880" w:h="15480" w:orient="portrait"/>
          <w:cols w:equalWidth="0" w:num="2">
            <w:col w:w="2980" w:space="0"/>
            <w:col w:w="6140"/>
          </w:cols>
          <w:pgMar w:left="1380" w:top="1322" w:right="1380" w:bottom="654"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December 31, 2021</w:t>
      </w:r>
    </w:p>
    <w:p>
      <w:pPr>
        <w:sectPr>
          <w:pgSz w:w="11880" w:h="15480" w:orient="portrait"/>
          <w:cols w:equalWidth="0" w:num="1">
            <w:col w:w="9120"/>
          </w:cols>
          <w:pgMar w:left="1380" w:top="1322" w:right="1380" w:bottom="654" w:gutter="0" w:footer="0" w:header="0"/>
          <w:type w:val="continuous"/>
        </w:sectPr>
      </w:pPr>
    </w:p>
    <w:p>
      <w:pPr>
        <w:spacing w:after="0" w:line="20"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0"/>
          <w:szCs w:val="20"/>
          <w:color w:val="auto"/>
        </w:rPr>
        <w:t xml:space="preserve">Product rights, licenses and other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In-process research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351790</wp:posOffset>
                </wp:positionV>
                <wp:extent cx="609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7pt" to="48pt,27.7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jc w:val="right"/>
              <w:ind w:right="465"/>
              <w:spacing w:after="0"/>
              <w:rPr>
                <w:sz w:val="20"/>
                <w:szCs w:val="20"/>
                <w:color w:val="auto"/>
              </w:rPr>
            </w:pPr>
            <w:r>
              <w:rPr>
                <w:rFonts w:ascii="Times New Roman" w:cs="Times New Roman" w:eastAsia="Times New Roman" w:hAnsi="Times New Roman"/>
                <w:sz w:val="20"/>
                <w:szCs w:val="20"/>
                <w:color w:val="auto"/>
                <w:w w:val="99"/>
              </w:rPr>
              <w:t>. . . . . . . . . . . . . . .15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39,006.2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12,918.5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26,087.7</w:t>
            </w:r>
          </w:p>
        </w:tc>
      </w:tr>
      <w:tr>
        <w:trPr>
          <w:trHeight w:val="240"/>
        </w:trPr>
        <w:tc>
          <w:tcPr>
            <w:tcW w:w="2740" w:type="dxa"/>
            <w:vAlign w:val="bottom"/>
          </w:tcPr>
          <w:p>
            <w:pPr>
              <w:jc w:val="right"/>
              <w:ind w:right="1205"/>
              <w:spacing w:after="0"/>
              <w:rPr>
                <w:sz w:val="20"/>
                <w:szCs w:val="20"/>
                <w:color w:val="auto"/>
              </w:rPr>
            </w:pPr>
            <w:r>
              <w:rPr>
                <w:rFonts w:ascii="Times New Roman" w:cs="Times New Roman" w:eastAsia="Times New Roman" w:hAnsi="Times New Roman"/>
                <w:sz w:val="20"/>
                <w:szCs w:val="20"/>
                <w:color w:val="auto"/>
              </w:rPr>
              <w:t>. . . . . . . . . . . . .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r>
      <w:tr>
        <w:trPr>
          <w:trHeight w:val="28"/>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27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39,052.7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12,918.5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26,134.2</w:t>
            </w:r>
          </w:p>
        </w:tc>
      </w:tr>
      <w:tr>
        <w:trPr>
          <w:trHeight w:val="28"/>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2980" w:space="0"/>
            <w:col w:w="6140"/>
          </w:cols>
          <w:pgMar w:left="1380" w:top="1322" w:right="1380" w:bottom="654" w:gutter="0" w:footer="0" w:header="0"/>
          <w:type w:val="continuous"/>
        </w:sectPr>
      </w:pPr>
    </w:p>
    <w:p>
      <w:pPr>
        <w:spacing w:after="0" w:line="22" w:lineRule="exact"/>
        <w:rPr>
          <w:sz w:val="20"/>
          <w:szCs w:val="20"/>
          <w:color w:val="auto"/>
        </w:rPr>
      </w:pPr>
    </w:p>
    <w:p>
      <w:pPr>
        <w:ind w:left="400" w:hanging="400"/>
        <w:spacing w:after="0" w:line="208" w:lineRule="auto"/>
        <w:tabs>
          <w:tab w:leader="none" w:pos="40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amortizable intangible assets. Other intangibles consist principally of customer lists and contractual rights.</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Product rights and licenses are primarily comprised of the products marketed at the time of acquisition. These product rights and licenses relate to numerous individual products, the net book value of which, by product category,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6"/>
                <w:szCs w:val="16"/>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Greater</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Emerging</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2"/>
        </w:trPr>
        <w:tc>
          <w:tcPr>
            <w:tcW w:w="4040" w:type="dxa"/>
            <w:vAlign w:val="bottom"/>
          </w:tcPr>
          <w:p>
            <w:pPr>
              <w:jc w:val="right"/>
              <w:ind w:right="3104"/>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100" w:type="dxa"/>
            <w:vAlign w:val="bottom"/>
          </w:tcPr>
          <w:p>
            <w:pPr>
              <w:spacing w:after="0"/>
              <w:rPr>
                <w:sz w:val="15"/>
                <w:szCs w:val="15"/>
                <w:color w:val="auto"/>
              </w:rPr>
            </w:pPr>
          </w:p>
        </w:tc>
        <w:tc>
          <w:tcPr>
            <w:tcW w:w="70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b w:val="1"/>
                <w:bCs w:val="1"/>
                <w:color w:val="auto"/>
                <w:w w:val="96"/>
              </w:rPr>
              <w:t>Markets</w:t>
            </w:r>
          </w:p>
        </w:tc>
        <w:tc>
          <w:tcPr>
            <w:tcW w:w="200" w:type="dxa"/>
            <w:vAlign w:val="bottom"/>
          </w:tcPr>
          <w:p>
            <w:pPr>
              <w:spacing w:after="0"/>
              <w:rPr>
                <w:sz w:val="15"/>
                <w:szCs w:val="15"/>
                <w:color w:val="auto"/>
              </w:rPr>
            </w:pPr>
          </w:p>
        </w:tc>
        <w:tc>
          <w:tcPr>
            <w:tcW w:w="84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6"/>
                <w:szCs w:val="16"/>
                <w:b w:val="1"/>
                <w:bCs w:val="1"/>
                <w:color w:val="auto"/>
              </w:rPr>
              <w:t>China</w:t>
            </w:r>
          </w:p>
        </w:tc>
        <w:tc>
          <w:tcPr>
            <w:tcW w:w="200" w:type="dxa"/>
            <w:vAlign w:val="bottom"/>
          </w:tcPr>
          <w:p>
            <w:pPr>
              <w:spacing w:after="0"/>
              <w:rPr>
                <w:sz w:val="15"/>
                <w:szCs w:val="15"/>
                <w:color w:val="auto"/>
              </w:rPr>
            </w:pPr>
          </w:p>
        </w:tc>
        <w:tc>
          <w:tcPr>
            <w:tcW w:w="860" w:type="dxa"/>
            <w:vAlign w:val="bottom"/>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200" w:type="dxa"/>
            <w:vAlign w:val="bottom"/>
          </w:tcPr>
          <w:p>
            <w:pPr>
              <w:spacing w:after="0"/>
              <w:rPr>
                <w:sz w:val="15"/>
                <w:szCs w:val="15"/>
                <w:color w:val="auto"/>
              </w:rPr>
            </w:pPr>
          </w:p>
        </w:tc>
        <w:tc>
          <w:tcPr>
            <w:tcW w:w="84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1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4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Brands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$5,632.3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$18,578.3</w:t>
            </w:r>
          </w:p>
        </w:tc>
      </w:tr>
      <w:tr>
        <w:trPr>
          <w:trHeight w:val="240"/>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Complex Gx and Biosimilars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178.4</w:t>
            </w:r>
          </w:p>
        </w:tc>
      </w:tr>
      <w:tr>
        <w:trPr>
          <w:trHeight w:val="240"/>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Generics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263.9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3,809.2</w:t>
            </w:r>
          </w:p>
        </w:tc>
      </w:tr>
      <w:tr>
        <w:trPr>
          <w:trHeight w:val="28"/>
        </w:trPr>
        <w:tc>
          <w:tcPr>
            <w:tcW w:w="4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Total Product Rights and Licenses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12,211.1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$5,642.9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$22,565.9</w:t>
            </w:r>
          </w:p>
        </w:tc>
      </w:tr>
      <w:tr>
        <w:trPr>
          <w:trHeight w:val="28"/>
        </w:trPr>
        <w:tc>
          <w:tcPr>
            <w:tcW w:w="4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22" w:right="1380" w:bottom="6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9120"/>
          </w:cols>
          <w:pgMar w:left="1380" w:top="1322" w:right="1380" w:bottom="654"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Greater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Emerging</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2"/>
        </w:trPr>
        <w:tc>
          <w:tcPr>
            <w:tcW w:w="4040" w:type="dxa"/>
            <w:vAlign w:val="bottom"/>
          </w:tcPr>
          <w:p>
            <w:pPr>
              <w:jc w:val="right"/>
              <w:ind w:right="3104"/>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800" w:type="dxa"/>
            <w:vAlign w:val="bottom"/>
          </w:tcPr>
          <w:p>
            <w:pPr>
              <w:jc w:val="right"/>
              <w:ind w:right="27"/>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07"/>
              <w:spacing w:after="0" w:line="182" w:lineRule="exact"/>
              <w:rPr>
                <w:sz w:val="20"/>
                <w:szCs w:val="20"/>
                <w:color w:val="auto"/>
              </w:rPr>
            </w:pPr>
            <w:r>
              <w:rPr>
                <w:rFonts w:ascii="Times New Roman" w:cs="Times New Roman" w:eastAsia="Times New Roman" w:hAnsi="Times New Roman"/>
                <w:sz w:val="16"/>
                <w:szCs w:val="16"/>
                <w:b w:val="1"/>
                <w:bCs w:val="1"/>
                <w:color w:val="auto"/>
              </w:rPr>
              <w:t>China</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24"/>
              <w:spacing w:after="0" w:line="182" w:lineRule="exact"/>
              <w:rPr>
                <w:sz w:val="20"/>
                <w:szCs w:val="20"/>
                <w:color w:val="auto"/>
              </w:rPr>
            </w:pPr>
            <w:r>
              <w:rPr>
                <w:rFonts w:ascii="Times New Roman" w:cs="Times New Roman" w:eastAsia="Times New Roman" w:hAnsi="Times New Roman"/>
                <w:sz w:val="16"/>
                <w:szCs w:val="16"/>
                <w:b w:val="1"/>
                <w:bCs w:val="1"/>
                <w:color w:val="auto"/>
              </w:rPr>
              <w:t>JANZ</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1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4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Brands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$10,066.6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6,102.9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$21,146.0</w:t>
            </w:r>
          </w:p>
        </w:tc>
      </w:tr>
      <w:tr>
        <w:trPr>
          <w:trHeight w:val="240"/>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Complex Gx and Biosimilars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228.3</w:t>
            </w:r>
          </w:p>
        </w:tc>
      </w:tr>
      <w:tr>
        <w:trPr>
          <w:trHeight w:val="240"/>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Generics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4,710.2</w:t>
            </w:r>
          </w:p>
        </w:tc>
      </w:tr>
      <w:tr>
        <w:trPr>
          <w:trHeight w:val="28"/>
        </w:trPr>
        <w:tc>
          <w:tcPr>
            <w:tcW w:w="4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40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Total Product Rights and Licenses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$14,313.6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$26,084.5</w:t>
            </w:r>
          </w:p>
        </w:tc>
      </w:tr>
      <w:tr>
        <w:trPr>
          <w:trHeight w:val="28"/>
        </w:trPr>
        <w:tc>
          <w:tcPr>
            <w:tcW w:w="4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Amortization expense and intangible asset disposal &amp; impairment charges, which are included as a component of amortization expense, are classified primarily within cost of sales in the consolidated statements of operations, and were as follows for the years ended December 31, 2022,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5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20" w:type="dxa"/>
            <w:vAlign w:val="bottom"/>
          </w:tcPr>
          <w:p>
            <w:pPr>
              <w:jc w:val="right"/>
              <w:ind w:right="5683"/>
              <w:spacing w:after="0"/>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70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w w:val="99"/>
              </w:rPr>
              <w:t>Intangible asset amortization expense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$2,504.6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$1,605.8</w:t>
            </w:r>
          </w:p>
        </w:tc>
        <w:tc>
          <w:tcPr>
            <w:tcW w:w="0" w:type="dxa"/>
            <w:vAlign w:val="bottom"/>
          </w:tcPr>
          <w:p>
            <w:pPr>
              <w:spacing w:after="0"/>
              <w:rPr>
                <w:sz w:val="1"/>
                <w:szCs w:val="1"/>
                <w:color w:val="auto"/>
              </w:rPr>
            </w:pPr>
          </w:p>
        </w:tc>
      </w:tr>
      <w:tr>
        <w:trPr>
          <w:trHeight w:val="240"/>
        </w:trPr>
        <w:tc>
          <w:tcPr>
            <w:tcW w:w="66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IPR&amp;D intangible asset impairment charges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0" w:type="dxa"/>
            <w:vAlign w:val="bottom"/>
          </w:tcPr>
          <w:p>
            <w:pPr>
              <w:spacing w:after="0"/>
              <w:rPr>
                <w:sz w:val="1"/>
                <w:szCs w:val="1"/>
                <w:color w:val="auto"/>
              </w:rPr>
            </w:pPr>
          </w:p>
        </w:tc>
      </w:tr>
      <w:tr>
        <w:trPr>
          <w:trHeight w:val="240"/>
        </w:trPr>
        <w:tc>
          <w:tcPr>
            <w:tcW w:w="66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Finite-lived intangible asset disposal &amp; impairment charges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r>
        <w:trPr>
          <w:trHeight w:val="28"/>
        </w:trPr>
        <w:tc>
          <w:tcPr>
            <w:tcW w:w="6620" w:type="dxa"/>
            <w:vAlign w:val="bottom"/>
            <w:vMerge w:val="restart"/>
          </w:tcPr>
          <w:p>
            <w:pPr>
              <w:jc w:val="right"/>
              <w:ind w:right="1063"/>
              <w:spacing w:after="0"/>
              <w:rPr>
                <w:sz w:val="20"/>
                <w:szCs w:val="20"/>
                <w:color w:val="auto"/>
              </w:rPr>
            </w:pPr>
            <w:r>
              <w:rPr>
                <w:rFonts w:ascii="Times New Roman" w:cs="Times New Roman" w:eastAsia="Times New Roman" w:hAnsi="Times New Roman"/>
                <w:sz w:val="20"/>
                <w:szCs w:val="20"/>
                <w:color w:val="auto"/>
              </w:rPr>
              <w:t>Total intangible asset amortization expense (including disposal &amp;</w:t>
            </w: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2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$2,678.1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$1,688.2</w:t>
            </w:r>
          </w:p>
        </w:tc>
        <w:tc>
          <w:tcPr>
            <w:tcW w:w="0" w:type="dxa"/>
            <w:vAlign w:val="bottom"/>
          </w:tcPr>
          <w:p>
            <w:pPr>
              <w:spacing w:after="0"/>
              <w:rPr>
                <w:sz w:val="1"/>
                <w:szCs w:val="1"/>
                <w:color w:val="auto"/>
              </w:rPr>
            </w:pPr>
          </w:p>
        </w:tc>
      </w:tr>
      <w:tr>
        <w:trPr>
          <w:trHeight w:val="28"/>
        </w:trPr>
        <w:tc>
          <w:tcPr>
            <w:tcW w:w="66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24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A discount rate of 9.0% was utilized in the valuations performed during the years ended December 31, 2021 and 2020. Any future long-lived assets impairment charges could have a material impact in the Company’s consolidated financial condition and results of operations.</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the fourth quarter of 2022, the Company recognized an intangible asset charge of approximately $172.9 million, which was recorded within </w:t>
      </w:r>
      <w:r>
        <w:rPr>
          <w:rFonts w:ascii="Times New Roman" w:cs="Times New Roman" w:eastAsia="Times New Roman" w:hAnsi="Times New Roman"/>
          <w:sz w:val="20"/>
          <w:szCs w:val="20"/>
          <w:i w:val="1"/>
          <w:iCs w:val="1"/>
          <w:color w:val="auto"/>
        </w:rPr>
        <w:t>Cost of Sales</w:t>
      </w:r>
      <w:r>
        <w:rPr>
          <w:rFonts w:ascii="Times New Roman" w:cs="Times New Roman" w:eastAsia="Times New Roman" w:hAnsi="Times New Roman"/>
          <w:sz w:val="20"/>
          <w:szCs w:val="20"/>
          <w:color w:val="auto"/>
        </w:rPr>
        <w:t xml:space="preserve"> in the consolidated statement of operations, to write down the disposal group to fair value, less cost to sell, related to our Upjohn Distributor Markets, which was classified as held for sale. The Company has approximately $230.3 million of intangible assets related to the Upjohn Distributor Markets that have been classified as held for sale in the December 31,2022 consolidated balance sheet. Refer to Note 5 </w:t>
      </w:r>
      <w:r>
        <w:rPr>
          <w:rFonts w:ascii="Times New Roman" w:cs="Times New Roman" w:eastAsia="Times New Roman" w:hAnsi="Times New Roman"/>
          <w:sz w:val="20"/>
          <w:szCs w:val="20"/>
          <w:i w:val="1"/>
          <w:iCs w:val="1"/>
          <w:color w:val="auto"/>
        </w:rPr>
        <w:t>Divestitures</w:t>
      </w:r>
      <w:r>
        <w:rPr>
          <w:rFonts w:ascii="Times New Roman" w:cs="Times New Roman" w:eastAsia="Times New Roman" w:hAnsi="Times New Roman"/>
          <w:sz w:val="20"/>
          <w:szCs w:val="20"/>
          <w:color w:val="auto"/>
        </w:rPr>
        <w:t xml:space="preserve"> for additional information.</w:t>
      </w:r>
    </w:p>
    <w:p>
      <w:pPr>
        <w:spacing w:after="0" w:line="24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spacing w:after="0" w:line="2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w:t>
      </w:r>
    </w:p>
    <w:p>
      <w:pPr>
        <w:sectPr>
          <w:pgSz w:w="11880" w:h="15480" w:orient="portrait"/>
          <w:cols w:equalWidth="0" w:num="1">
            <w:col w:w="9120"/>
          </w:cols>
          <w:pgMar w:left="1380" w:top="1248"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9120"/>
          </w:cols>
          <w:pgMar w:left="1380" w:top="1248" w:right="1380" w:bottom="654" w:gutter="0" w:footer="0" w:header="0"/>
          <w:type w:val="continuous"/>
        </w:sectPr>
      </w:pPr>
    </w:p>
    <w:bookmarkStart w:id="131" w:name="page132"/>
    <w:bookmarkEnd w:id="131"/>
    <w:p>
      <w:pPr>
        <w:jc w:val="both"/>
        <w:spacing w:after="0" w:line="246" w:lineRule="auto"/>
        <w:rPr>
          <w:sz w:val="20"/>
          <w:szCs w:val="20"/>
          <w:color w:val="auto"/>
        </w:rPr>
      </w:pPr>
      <w:r>
        <w:rPr>
          <w:rFonts w:ascii="Times New Roman" w:cs="Times New Roman" w:eastAsia="Times New Roman" w:hAnsi="Times New Roman"/>
          <w:sz w:val="20"/>
          <w:szCs w:val="20"/>
          <w:color w:val="auto"/>
        </w:rPr>
        <w:t>the impact of changes to the development programs, the projected development and regulatory time frames and the current competitive environment. A discount rate of 10.5% was utilized in the valuations performed during the year ended December 31, 2022. Discount rates ranging between 7.0% and 9.0%, and 9.0% and 11.0% were utilized in the valuations performed during the years ended December 31, 2021 and 2020, respectively.</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The fair value of both IPR&amp;D and finite-lived intangible assets was determined based upon detailed valuations employing the income approach which utilized Level 3 inputs, as defined in Note 10,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Instruments and Risk Management</w:t>
      </w:r>
      <w:r>
        <w:rPr>
          <w:rFonts w:ascii="Times New Roman" w:cs="Times New Roman" w:eastAsia="Times New Roman" w:hAnsi="Times New Roman"/>
          <w:sz w:val="20"/>
          <w:szCs w:val="20"/>
          <w:color w:val="auto"/>
        </w:rPr>
        <w:t>. Changes to any of the Company’s assumptions including changes to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abandonment of development programs, regulatory timelines, discount rates or the competitive environment related to the assets could lead to future material impairment charges.</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Intangible asset amortization expense for the years ending December 31, 2023 through 2027 is estimated to be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18" w:lineRule="exact"/>
        <w:rPr>
          <w:sz w:val="20"/>
          <w:szCs w:val="20"/>
          <w:color w:val="auto"/>
        </w:rPr>
      </w:pPr>
    </w:p>
    <w:p>
      <w:pPr>
        <w:spacing w:after="0"/>
        <w:tabs>
          <w:tab w:leader="none" w:pos="8560" w:val="left"/>
        </w:tabs>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$2,322</w:t>
      </w:r>
    </w:p>
    <w:p>
      <w:pPr>
        <w:spacing w:after="0" w:line="10"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2,230</w:t>
      </w:r>
    </w:p>
    <w:p>
      <w:pPr>
        <w:spacing w:after="0" w:line="10"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2,136</w:t>
      </w:r>
    </w:p>
    <w:p>
      <w:pPr>
        <w:spacing w:after="0" w:line="10"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2,083</w:t>
      </w:r>
    </w:p>
    <w:p>
      <w:pPr>
        <w:spacing w:after="0" w:line="10"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1,871</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Financial Instruments and Risk Management</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 Management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Investment Hedges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has designated certain Euro and Yen borrowings as a hedge of its investment in certain Euro-functional and Yen-functional currency subsidiaries in order to manage foreign currency translation risk.</w:t>
      </w:r>
    </w:p>
    <w:p>
      <w:pPr>
        <w:sectPr>
          <w:pgSz w:w="11880" w:h="15480" w:orient="portrait"/>
          <w:cols w:equalWidth="0" w:num="1">
            <w:col w:w="9120"/>
          </w:cols>
          <w:pgMar w:left="1380" w:top="1322" w:right="1380" w:bottom="654"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9120"/>
          </w:cols>
          <w:pgMar w:left="1380" w:top="1322" w:right="1380" w:bottom="654" w:gutter="0" w:footer="0" w:header="0"/>
          <w:type w:val="continuous"/>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20"/>
          <w:szCs w:val="20"/>
          <w:color w:val="auto"/>
        </w:rPr>
        <w:t>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principal amounts of the Company’s outstanding Euro and Yen borrowings and the notional amounts of the Euro and Yen borrowings designated as net investment hedges: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Amount Designated as a</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4"/>
          </w:tcPr>
          <w:p>
            <w:pPr>
              <w:jc w:val="right"/>
              <w:ind w:right="322"/>
              <w:spacing w:after="0" w:line="182" w:lineRule="exact"/>
              <w:rPr>
                <w:sz w:val="20"/>
                <w:szCs w:val="20"/>
                <w:color w:val="auto"/>
              </w:rPr>
            </w:pPr>
            <w:r>
              <w:rPr>
                <w:rFonts w:ascii="Times New Roman" w:cs="Times New Roman" w:eastAsia="Times New Roman" w:hAnsi="Times New Roman"/>
                <w:sz w:val="16"/>
                <w:szCs w:val="16"/>
                <w:b w:val="1"/>
                <w:bCs w:val="1"/>
                <w:color w:val="auto"/>
              </w:rPr>
              <w:t>Net Investment Hedge</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20" w:type="dxa"/>
            <w:vAlign w:val="bottom"/>
            <w:gridSpan w:val="2"/>
          </w:tcPr>
          <w:p>
            <w:pPr>
              <w:jc w:val="right"/>
              <w:ind w:right="43"/>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4"/>
                <w:szCs w:val="14"/>
                <w:color w:val="auto"/>
              </w:rPr>
            </w:pPr>
          </w:p>
        </w:tc>
        <w:tc>
          <w:tcPr>
            <w:tcW w:w="94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556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40" w:type="dxa"/>
            <w:vAlign w:val="bottom"/>
          </w:tcPr>
          <w:p>
            <w:pPr>
              <w:spacing w:after="0"/>
              <w:rPr>
                <w:sz w:val="15"/>
                <w:szCs w:val="15"/>
                <w:color w:val="auto"/>
              </w:rPr>
            </w:pPr>
          </w:p>
        </w:tc>
        <w:tc>
          <w:tcPr>
            <w:tcW w:w="106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tcPr>
          <w:p>
            <w:pPr>
              <w:spacing w:after="0"/>
              <w:rPr>
                <w:sz w:val="15"/>
                <w:szCs w:val="15"/>
                <w:color w:val="auto"/>
              </w:rPr>
            </w:pPr>
          </w:p>
        </w:tc>
        <w:tc>
          <w:tcPr>
            <w:tcW w:w="940" w:type="dxa"/>
            <w:vAlign w:val="bottom"/>
          </w:tcPr>
          <w:p>
            <w:pPr>
              <w:jc w:val="right"/>
              <w:ind w:right="36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22"/>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Euro</w:t>
            </w:r>
          </w:p>
        </w:tc>
        <w:tc>
          <w:tcPr>
            <w:tcW w:w="3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2.250%</w:t>
            </w:r>
          </w:p>
        </w:tc>
        <w:tc>
          <w:tcPr>
            <w:tcW w:w="4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Euro Senior Notes due 2024 . . . . . . . . . . . . . . . . . . . . . . . .</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00" w:type="dxa"/>
            <w:vAlign w:val="bottom"/>
          </w:tcPr>
          <w:p>
            <w:pPr>
              <w:spacing w:after="0"/>
              <w:rPr>
                <w:sz w:val="20"/>
                <w:szCs w:val="20"/>
                <w:color w:val="auto"/>
              </w:rPr>
            </w:pPr>
          </w:p>
        </w:tc>
        <w:tc>
          <w:tcPr>
            <w:tcW w:w="2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1,000.0</w:t>
            </w:r>
          </w:p>
        </w:tc>
        <w:tc>
          <w:tcPr>
            <w:tcW w:w="200" w:type="dxa"/>
            <w:vAlign w:val="bottom"/>
          </w:tcPr>
          <w:p>
            <w:pPr>
              <w:spacing w:after="0"/>
              <w:rPr>
                <w:sz w:val="20"/>
                <w:szCs w:val="20"/>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3.125%</w:t>
            </w:r>
          </w:p>
        </w:tc>
        <w:tc>
          <w:tcPr>
            <w:tcW w:w="4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Euro Senior Notes due 2028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750.0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2.125%</w:t>
            </w:r>
          </w:p>
        </w:tc>
        <w:tc>
          <w:tcPr>
            <w:tcW w:w="4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Euro Senior Notes due 2025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500.0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6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0.816%</w:t>
            </w:r>
          </w:p>
        </w:tc>
        <w:tc>
          <w:tcPr>
            <w:tcW w:w="4920" w:type="dxa"/>
            <w:vAlign w:val="bottom"/>
            <w:gridSpan w:val="2"/>
          </w:tcPr>
          <w:p>
            <w:pPr>
              <w:jc w:val="right"/>
              <w:ind w:right="200"/>
              <w:spacing w:after="0" w:line="260" w:lineRule="exact"/>
              <w:rPr>
                <w:sz w:val="20"/>
                <w:szCs w:val="20"/>
                <w:color w:val="auto"/>
              </w:rPr>
            </w:pPr>
            <w:r>
              <w:rPr>
                <w:rFonts w:ascii="Times New Roman" w:cs="Times New Roman" w:eastAsia="Times New Roman" w:hAnsi="Times New Roman"/>
                <w:sz w:val="20"/>
                <w:szCs w:val="20"/>
                <w:color w:val="auto"/>
                <w:w w:val="99"/>
              </w:rPr>
              <w:t xml:space="preserve">Euro Senior Notes due 2022 </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 . . . . . . . . . . . . . . . . . . . . .</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220"/>
        </w:trPr>
        <w:tc>
          <w:tcPr>
            <w:tcW w:w="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1.023%</w:t>
            </w:r>
          </w:p>
        </w:tc>
        <w:tc>
          <w:tcPr>
            <w:tcW w:w="492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Euro Senior Notes due 2024 . . . . . . . . . . . . . . . . . . . . . . . .</w:t>
            </w:r>
          </w:p>
        </w:tc>
        <w:tc>
          <w:tcPr>
            <w:tcW w:w="14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750.0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3"/>
              <w:spacing w:after="0" w:line="220" w:lineRule="exact"/>
              <w:rPr>
                <w:sz w:val="20"/>
                <w:szCs w:val="20"/>
                <w:color w:val="auto"/>
              </w:rPr>
            </w:pPr>
            <w:r>
              <w:rPr>
                <w:rFonts w:ascii="Times New Roman" w:cs="Times New Roman" w:eastAsia="Times New Roman" w:hAnsi="Times New Roman"/>
                <w:sz w:val="20"/>
                <w:szCs w:val="20"/>
                <w:color w:val="auto"/>
              </w:rPr>
              <w:t>750.0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1.362%</w:t>
            </w:r>
          </w:p>
        </w:tc>
        <w:tc>
          <w:tcPr>
            <w:tcW w:w="4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Euro Senior Notes due 2027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850.0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1.908%</w:t>
            </w:r>
          </w:p>
        </w:tc>
        <w:tc>
          <w:tcPr>
            <w:tcW w:w="4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Euro Senior Notes due 2032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1,250.0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0" w:type="dxa"/>
            <w:vAlign w:val="bottom"/>
          </w:tcPr>
          <w:p>
            <w:pPr>
              <w:spacing w:after="0"/>
              <w:rPr>
                <w:sz w:val="1"/>
                <w:szCs w:val="1"/>
                <w:color w:val="auto"/>
              </w:rPr>
            </w:pPr>
          </w:p>
        </w:tc>
      </w:tr>
      <w:tr>
        <w:trPr>
          <w:trHeight w:val="28"/>
        </w:trPr>
        <w:tc>
          <w:tcPr>
            <w:tcW w:w="96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Euro Total . . . . . . . . . . . . . . . . . . . . . . . . . . . . . . . . . . . . . . . . . . .</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5,850.0</w:t>
            </w:r>
          </w:p>
        </w:tc>
        <w:tc>
          <w:tcPr>
            <w:tcW w:w="20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5,100.0</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5,850.0</w:t>
            </w:r>
          </w:p>
        </w:tc>
        <w:tc>
          <w:tcPr>
            <w:tcW w:w="0" w:type="dxa"/>
            <w:vAlign w:val="bottom"/>
          </w:tcPr>
          <w:p>
            <w:pPr>
              <w:spacing w:after="0"/>
              <w:rPr>
                <w:sz w:val="1"/>
                <w:szCs w:val="1"/>
                <w:color w:val="auto"/>
              </w:rPr>
            </w:pPr>
          </w:p>
        </w:tc>
      </w:tr>
      <w:tr>
        <w:trPr>
          <w:trHeight w:val="28"/>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Yen</w:t>
            </w:r>
          </w:p>
        </w:tc>
        <w:tc>
          <w:tcPr>
            <w:tcW w:w="3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YEN Term Loan . . . . . . . . . . . . . . . . . . . . . . . . . . . . . . . . . . . . . . . .</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20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28"/>
        </w:trPr>
        <w:tc>
          <w:tcPr>
            <w:tcW w:w="96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Yen Total . . . . . . . . . . . . . . . . . . . . . . . . . . . . . . . . . . . . . . . . . . .</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20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0" w:hanging="400"/>
        <w:spacing w:after="0" w:line="226" w:lineRule="auto"/>
        <w:tabs>
          <w:tab w:leader="none" w:pos="4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Senior Notes were repaid at maturity during the second quarter of 2022.</w:t>
      </w:r>
    </w:p>
    <w:p>
      <w:pPr>
        <w:spacing w:after="0" w:line="26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At December 31, 2022, the principal amount of the Company’s outstanding Yen borrowings and the notional amount of the Yen borrowings designated as net investment hedge was $305.1 million.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 Management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Hedging Relationships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9120"/>
          </w:cols>
          <w:pgMar w:left="1380" w:top="1322" w:right="1380" w:bottom="654"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i w:val="1"/>
          <w:iCs w:val="1"/>
          <w:color w:val="auto"/>
        </w:rPr>
        <w:t>Fair Value Hedging Relationships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The Company’s fair value hedge was terminated during 2020.</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 Management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w:t>
      </w:r>
    </w:p>
    <w:p>
      <w:pPr>
        <w:spacing w:after="0" w:line="25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classification and fair values of derivative instruments in our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560" w:type="dxa"/>
            <w:vAlign w:val="bottom"/>
            <w:gridSpan w:val="4"/>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20" w:type="dxa"/>
            <w:vAlign w:val="bottom"/>
            <w:gridSpan w:val="6"/>
          </w:tcPr>
          <w:p>
            <w:pPr>
              <w:jc w:val="center"/>
              <w:ind w:left="771"/>
              <w:spacing w:after="0"/>
              <w:rPr>
                <w:sz w:val="20"/>
                <w:szCs w:val="20"/>
                <w:color w:val="auto"/>
              </w:rPr>
            </w:pPr>
            <w:r>
              <w:rPr>
                <w:rFonts w:ascii="Times New Roman" w:cs="Times New Roman" w:eastAsia="Times New Roman" w:hAnsi="Times New Roman"/>
                <w:sz w:val="16"/>
                <w:szCs w:val="16"/>
                <w:b w:val="1"/>
                <w:bCs w:val="1"/>
                <w:color w:val="auto"/>
                <w:w w:val="98"/>
              </w:rPr>
              <w:t>Liability Derivatives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4"/>
                <w:szCs w:val="14"/>
                <w:color w:val="auto"/>
              </w:rPr>
            </w:pPr>
          </w:p>
        </w:tc>
        <w:tc>
          <w:tcPr>
            <w:tcW w:w="10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4"/>
                <w:szCs w:val="14"/>
                <w:color w:val="auto"/>
              </w:rPr>
            </w:pPr>
          </w:p>
        </w:tc>
        <w:tc>
          <w:tcPr>
            <w:tcW w:w="104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86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b w:val="1"/>
                <w:bCs w:val="1"/>
                <w:color w:val="auto"/>
                <w:w w:val="97"/>
              </w:rPr>
              <w:t>2022 Fair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b w:val="1"/>
                <w:bCs w:val="1"/>
                <w:color w:val="auto"/>
                <w:w w:val="97"/>
              </w:rPr>
              <w:t>2021 Fair</w:t>
            </w:r>
          </w:p>
        </w:tc>
        <w:tc>
          <w:tcPr>
            <w:tcW w:w="60" w:type="dxa"/>
            <w:vAlign w:val="bottom"/>
          </w:tcPr>
          <w:p>
            <w:pPr>
              <w:spacing w:after="0"/>
              <w:rPr>
                <w:sz w:val="13"/>
                <w:szCs w:val="13"/>
                <w:color w:val="auto"/>
              </w:rPr>
            </w:pPr>
          </w:p>
        </w:tc>
        <w:tc>
          <w:tcPr>
            <w:tcW w:w="10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3"/>
                <w:szCs w:val="13"/>
                <w:color w:val="auto"/>
              </w:rPr>
            </w:pPr>
          </w:p>
        </w:tc>
        <w:tc>
          <w:tcPr>
            <w:tcW w:w="86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rPr>
              <w:t>2022 Fair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89"/>
              <w:spacing w:after="0" w:line="160" w:lineRule="exact"/>
              <w:rPr>
                <w:sz w:val="20"/>
                <w:szCs w:val="20"/>
                <w:color w:val="auto"/>
              </w:rPr>
            </w:pPr>
            <w:r>
              <w:rPr>
                <w:rFonts w:ascii="Times New Roman" w:cs="Times New Roman" w:eastAsia="Times New Roman" w:hAnsi="Times New Roman"/>
                <w:sz w:val="16"/>
                <w:szCs w:val="16"/>
                <w:b w:val="1"/>
                <w:bCs w:val="1"/>
                <w:color w:val="auto"/>
                <w:w w:val="97"/>
              </w:rPr>
              <w:t>2021 Fair</w:t>
            </w:r>
          </w:p>
        </w:tc>
        <w:tc>
          <w:tcPr>
            <w:tcW w:w="0" w:type="dxa"/>
            <w:vAlign w:val="bottom"/>
          </w:tcPr>
          <w:p>
            <w:pPr>
              <w:spacing w:after="0"/>
              <w:rPr>
                <w:sz w:val="1"/>
                <w:szCs w:val="1"/>
                <w:color w:val="auto"/>
              </w:rPr>
            </w:pPr>
          </w:p>
        </w:tc>
      </w:tr>
      <w:tr>
        <w:trPr>
          <w:trHeight w:val="182"/>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70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860" w:type="dxa"/>
            <w:vAlign w:val="bottom"/>
          </w:tcPr>
          <w:p>
            <w:pPr>
              <w:jc w:val="center"/>
              <w:ind w:right="49"/>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9"/>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5"/>
                <w:szCs w:val="15"/>
                <w:color w:val="auto"/>
              </w:rPr>
            </w:pPr>
          </w:p>
        </w:tc>
        <w:tc>
          <w:tcPr>
            <w:tcW w:w="10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40" w:type="dxa"/>
            <w:vAlign w:val="bottom"/>
          </w:tcPr>
          <w:p>
            <w:pPr>
              <w:spacing w:after="0"/>
              <w:rPr>
                <w:sz w:val="15"/>
                <w:szCs w:val="15"/>
                <w:color w:val="auto"/>
              </w:rPr>
            </w:pPr>
          </w:p>
        </w:tc>
        <w:tc>
          <w:tcPr>
            <w:tcW w:w="860" w:type="dxa"/>
            <w:vAlign w:val="bottom"/>
          </w:tcPr>
          <w:p>
            <w:pPr>
              <w:jc w:val="center"/>
              <w:ind w:right="49"/>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89"/>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6"/>
        </w:trPr>
        <w:tc>
          <w:tcPr>
            <w:tcW w:w="2260" w:type="dxa"/>
            <w:vAlign w:val="bottom"/>
            <w:gridSpan w:val="2"/>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Derivatives designated as</w:t>
            </w: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hedges:</w:t>
            </w: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 currency forward</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9"/>
                <w:szCs w:val="19"/>
                <w:color w:val="auto"/>
                <w:w w:val="99"/>
              </w:rPr>
              <w:t>Prepaid expenses &amp;</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current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contracts</w:t>
            </w:r>
          </w:p>
        </w:tc>
        <w:tc>
          <w:tcPr>
            <w:tcW w:w="32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 . . . . . . . . . . . . . other current assets $</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0" w:type="dxa"/>
            <w:vAlign w:val="bottom"/>
          </w:tcPr>
          <w:p>
            <w:pPr>
              <w:spacing w:after="0"/>
              <w:rPr>
                <w:sz w:val="1"/>
                <w:szCs w:val="1"/>
                <w:color w:val="auto"/>
              </w:rPr>
            </w:pPr>
          </w:p>
        </w:tc>
      </w:tr>
      <w:tr>
        <w:trPr>
          <w:trHeight w:val="30"/>
        </w:trPr>
        <w:tc>
          <w:tcPr>
            <w:tcW w:w="2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9"/>
                <w:szCs w:val="19"/>
                <w:b w:val="1"/>
                <w:bCs w:val="1"/>
                <w:color w:val="auto"/>
              </w:rPr>
              <w:t>Total derivatives</w:t>
            </w: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260" w:type="dxa"/>
            <w:vAlign w:val="bottom"/>
            <w:gridSpan w:val="2"/>
            <w:vMerge w:val="continue"/>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designated as hedges </w:t>
            </w:r>
            <w:r>
              <w:rPr>
                <w:rFonts w:ascii="Times New Roman" w:cs="Times New Roman" w:eastAsia="Times New Roman" w:hAnsi="Times New Roman"/>
                <w:sz w:val="19"/>
                <w:szCs w:val="19"/>
                <w:color w:val="auto"/>
              </w:rPr>
              <w:t>. . .</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0" w:type="dxa"/>
            <w:vAlign w:val="bottom"/>
          </w:tcPr>
          <w:p>
            <w:pPr>
              <w:spacing w:after="0"/>
              <w:rPr>
                <w:sz w:val="1"/>
                <w:szCs w:val="1"/>
                <w:color w:val="auto"/>
              </w:rPr>
            </w:pPr>
          </w:p>
        </w:tc>
      </w:tr>
      <w:tr>
        <w:trPr>
          <w:trHeight w:val="30"/>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Derivatives not designated</w:t>
            </w: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260" w:type="dxa"/>
            <w:vAlign w:val="bottom"/>
            <w:gridSpan w:val="2"/>
            <w:vMerge w:val="continue"/>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as hedges:</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 currency forward</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9"/>
                <w:szCs w:val="19"/>
                <w:color w:val="auto"/>
                <w:w w:val="99"/>
              </w:rPr>
              <w:t>Prepaid expenses &amp;</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current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contracts</w:t>
            </w:r>
          </w:p>
        </w:tc>
        <w:tc>
          <w:tcPr>
            <w:tcW w:w="320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 . . . . . . . . . . . . . . other current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82.6</w:t>
            </w:r>
          </w:p>
        </w:tc>
        <w:tc>
          <w:tcPr>
            <w:tcW w:w="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liabilities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56.7</w:t>
            </w:r>
          </w:p>
        </w:tc>
        <w:tc>
          <w:tcPr>
            <w:tcW w:w="0" w:type="dxa"/>
            <w:vAlign w:val="bottom"/>
          </w:tcPr>
          <w:p>
            <w:pPr>
              <w:spacing w:after="0"/>
              <w:rPr>
                <w:sz w:val="1"/>
                <w:szCs w:val="1"/>
                <w:color w:val="auto"/>
              </w:rPr>
            </w:pPr>
          </w:p>
        </w:tc>
      </w:tr>
      <w:tr>
        <w:trPr>
          <w:trHeight w:val="30"/>
        </w:trPr>
        <w:tc>
          <w:tcPr>
            <w:tcW w:w="2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9"/>
                <w:szCs w:val="19"/>
                <w:b w:val="1"/>
                <w:bCs w:val="1"/>
                <w:color w:val="auto"/>
              </w:rPr>
              <w:t>Total derivatives not</w:t>
            </w: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260" w:type="dxa"/>
            <w:vAlign w:val="bottom"/>
            <w:gridSpan w:val="2"/>
            <w:vMerge w:val="continue"/>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designated as hedges </w:t>
            </w:r>
            <w:r>
              <w:rPr>
                <w:rFonts w:ascii="Times New Roman" w:cs="Times New Roman" w:eastAsia="Times New Roman" w:hAnsi="Times New Roman"/>
                <w:sz w:val="19"/>
                <w:szCs w:val="19"/>
                <w:color w:val="auto"/>
              </w:rPr>
              <w:t>. . .</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82.6</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56.7</w:t>
            </w:r>
          </w:p>
        </w:tc>
        <w:tc>
          <w:tcPr>
            <w:tcW w:w="0" w:type="dxa"/>
            <w:vAlign w:val="bottom"/>
          </w:tcPr>
          <w:p>
            <w:pPr>
              <w:spacing w:after="0"/>
              <w:rPr>
                <w:sz w:val="1"/>
                <w:szCs w:val="1"/>
                <w:color w:val="auto"/>
              </w:rPr>
            </w:pPr>
          </w:p>
        </w:tc>
      </w:tr>
      <w:tr>
        <w:trPr>
          <w:trHeight w:val="30"/>
        </w:trPr>
        <w:tc>
          <w:tcPr>
            <w:tcW w:w="3820" w:type="dxa"/>
            <w:vAlign w:val="bottom"/>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6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Total derivatives </w:t>
            </w:r>
            <w:r>
              <w:rPr>
                <w:rFonts w:ascii="Times New Roman" w:cs="Times New Roman" w:eastAsia="Times New Roman" w:hAnsi="Times New Roman"/>
                <w:sz w:val="19"/>
                <w:szCs w:val="19"/>
                <w:color w:val="auto"/>
              </w:rPr>
              <w:t>. . . . . . . . . . . . . . . . . . . . . $</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144.6</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tables summarize information about the gains/(losses) incurred to hedge or offset operational foreign exchange or interest rate risk: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 of Gains/</w:t>
            </w:r>
          </w:p>
        </w:tc>
        <w:tc>
          <w:tcPr>
            <w:tcW w:w="21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Excluded</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7"/>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(Losses) Recognized</w:t>
            </w:r>
          </w:p>
        </w:tc>
        <w:tc>
          <w:tcPr>
            <w:tcW w:w="2160" w:type="dxa"/>
            <w:vAlign w:val="bottom"/>
            <w:gridSpan w:val="7"/>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from the Assessment of Hedge</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6"/>
          </w:tcPr>
          <w:p>
            <w:pPr>
              <w:jc w:val="center"/>
              <w:ind w:right="4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in Earnings</w:t>
            </w:r>
          </w:p>
        </w:tc>
        <w:tc>
          <w:tcPr>
            <w:tcW w:w="580" w:type="dxa"/>
            <w:vAlign w:val="bottom"/>
          </w:tcPr>
          <w:p>
            <w:pPr>
              <w:spacing w:after="0"/>
              <w:rPr>
                <w:sz w:val="15"/>
                <w:szCs w:val="15"/>
                <w:color w:val="auto"/>
              </w:rPr>
            </w:pPr>
          </w:p>
        </w:tc>
        <w:tc>
          <w:tcPr>
            <w:tcW w:w="100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Effectiveness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6"/>
          </w:tcPr>
          <w:p>
            <w:pPr>
              <w:jc w:val="right"/>
              <w:ind w:right="460"/>
              <w:spacing w:after="0" w:line="172"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center"/>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7"/>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5"/>
                <w:szCs w:val="15"/>
                <w:color w:val="auto"/>
              </w:rPr>
            </w:pPr>
          </w:p>
        </w:tc>
        <w:tc>
          <w:tcPr>
            <w:tcW w:w="100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Gain/(Loss)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gridSpan w:val="3"/>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33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Derivative Financial Instruments in</w:t>
            </w: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340" w:type="dxa"/>
            <w:vAlign w:val="bottom"/>
            <w:vMerge w:val="continue"/>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340" w:type="dxa"/>
            <w:vAlign w:val="bottom"/>
          </w:tcPr>
          <w:p>
            <w:pPr>
              <w:spacing w:after="0" w:line="251" w:lineRule="exact"/>
              <w:rPr>
                <w:sz w:val="20"/>
                <w:szCs w:val="20"/>
                <w:color w:val="auto"/>
              </w:rPr>
            </w:pPr>
            <w:r>
              <w:rPr>
                <w:rFonts w:ascii="Times New Roman" w:cs="Times New Roman" w:eastAsia="Times New Roman" w:hAnsi="Times New Roman"/>
                <w:sz w:val="19"/>
                <w:szCs w:val="19"/>
                <w:b w:val="1"/>
                <w:bCs w:val="1"/>
                <w:color w:val="auto"/>
              </w:rPr>
              <w:t xml:space="preserve">Fair Value Hedge Relationships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9"/>
                <w:szCs w:val="19"/>
                <w:b w:val="1"/>
                <w:bCs w:val="1"/>
                <w:color w:val="auto"/>
              </w:rPr>
              <w:t xml:space="preserve"> :</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Interest rate swaps . . . . . . . . . . . . . . . . . . .</w:t>
            </w:r>
          </w:p>
        </w:tc>
        <w:tc>
          <w:tcPr>
            <w:tcW w:w="2000" w:type="dxa"/>
            <w:vAlign w:val="bottom"/>
            <w:gridSpan w:val="2"/>
          </w:tcPr>
          <w:p>
            <w:pPr>
              <w:spacing w:after="0" w:line="230" w:lineRule="exact"/>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24"/>
                <w:szCs w:val="24"/>
                <w:color w:val="auto"/>
                <w:vertAlign w:val="superscript"/>
              </w:rPr>
              <w:t>(3)</w:t>
            </w:r>
          </w:p>
        </w:tc>
        <w:tc>
          <w:tcPr>
            <w:tcW w:w="3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98"/>
              </w:rPr>
              <w:t>$—</w:t>
            </w:r>
          </w:p>
        </w:tc>
        <w:tc>
          <w:tcPr>
            <w:tcW w:w="120" w:type="dxa"/>
            <w:vAlign w:val="bottom"/>
          </w:tcPr>
          <w:p>
            <w:pPr>
              <w:spacing w:after="0"/>
              <w:rPr>
                <w:sz w:val="20"/>
                <w:szCs w:val="20"/>
                <w:color w:val="auto"/>
              </w:rPr>
            </w:pPr>
          </w:p>
        </w:tc>
        <w:tc>
          <w:tcPr>
            <w:tcW w:w="56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19"/>
                <w:szCs w:val="19"/>
                <w:color w:val="auto"/>
              </w:rPr>
              <w:t>$—  $</w:t>
            </w:r>
          </w:p>
        </w:tc>
        <w:tc>
          <w:tcPr>
            <w:tcW w:w="5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22.1</w:t>
            </w:r>
          </w:p>
        </w:tc>
        <w:tc>
          <w:tcPr>
            <w:tcW w:w="120" w:type="dxa"/>
            <w:vAlign w:val="bottom"/>
          </w:tcPr>
          <w:p>
            <w:pPr>
              <w:spacing w:after="0"/>
              <w:rPr>
                <w:sz w:val="20"/>
                <w:szCs w:val="20"/>
                <w:color w:val="auto"/>
              </w:rPr>
            </w:pPr>
          </w:p>
        </w:tc>
        <w:tc>
          <w:tcPr>
            <w:tcW w:w="5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60"/>
              <w:spacing w:after="0" w:line="209" w:lineRule="exact"/>
              <w:rPr>
                <w:sz w:val="20"/>
                <w:szCs w:val="20"/>
                <w:color w:val="auto"/>
              </w:rPr>
            </w:pPr>
            <w:r>
              <w:rPr>
                <w:rFonts w:ascii="Times New Roman" w:cs="Times New Roman" w:eastAsia="Times New Roman" w:hAnsi="Times New Roman"/>
                <w:sz w:val="19"/>
                <w:szCs w:val="19"/>
                <w:color w:val="auto"/>
              </w:rPr>
              <w:t>$  —</w:t>
            </w:r>
          </w:p>
        </w:tc>
        <w:tc>
          <w:tcPr>
            <w:tcW w:w="5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  —</w:t>
            </w:r>
          </w:p>
        </w:tc>
        <w:tc>
          <w:tcPr>
            <w:tcW w:w="0" w:type="dxa"/>
            <w:vAlign w:val="bottom"/>
          </w:tcPr>
          <w:p>
            <w:pPr>
              <w:spacing w:after="0"/>
              <w:rPr>
                <w:sz w:val="1"/>
                <w:szCs w:val="1"/>
                <w:color w:val="auto"/>
              </w:rPr>
            </w:pPr>
          </w:p>
        </w:tc>
      </w:tr>
      <w:tr>
        <w:trPr>
          <w:trHeight w:val="277"/>
        </w:trPr>
        <w:tc>
          <w:tcPr>
            <w:tcW w:w="3340" w:type="dxa"/>
            <w:vAlign w:val="bottom"/>
          </w:tcPr>
          <w:p>
            <w:pPr>
              <w:ind w:left="200"/>
              <w:spacing w:after="0" w:line="209" w:lineRule="exact"/>
              <w:rPr>
                <w:sz w:val="20"/>
                <w:szCs w:val="20"/>
                <w:color w:val="auto"/>
              </w:rPr>
            </w:pPr>
            <w:r>
              <w:rPr>
                <w:rFonts w:ascii="Times New Roman" w:cs="Times New Roman" w:eastAsia="Times New Roman" w:hAnsi="Times New Roman"/>
                <w:sz w:val="19"/>
                <w:szCs w:val="19"/>
                <w:color w:val="auto"/>
              </w:rPr>
              <w:t>2023 Senior Notes (3.125% coupon) . .</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24"/>
                <w:szCs w:val="24"/>
                <w:color w:val="auto"/>
                <w:vertAlign w:val="superscript"/>
              </w:rPr>
              <w:t>(3)</w:t>
            </w:r>
          </w:p>
        </w:tc>
        <w:tc>
          <w:tcPr>
            <w:tcW w:w="3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560" w:type="dxa"/>
            <w:vAlign w:val="bottom"/>
            <w:gridSpan w:val="3"/>
          </w:tcPr>
          <w:p>
            <w:pPr>
              <w:jc w:val="right"/>
              <w:ind w:right="260"/>
              <w:spacing w:after="0" w:line="209"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19"/>
                <w:szCs w:val="19"/>
                <w:color w:val="auto"/>
              </w:rPr>
              <w:t>(22.1)</w:t>
            </w:r>
          </w:p>
        </w:tc>
        <w:tc>
          <w:tcPr>
            <w:tcW w:w="5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60"/>
              <w:spacing w:after="0" w:line="209"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120"/>
          </w:cols>
          <w:pgMar w:left="1380" w:top="1312" w:right="1380" w:bottom="654"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Excluded</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Amount of Gains/(Losses)</w:t>
            </w:r>
          </w:p>
        </w:tc>
        <w:tc>
          <w:tcPr>
            <w:tcW w:w="216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from the Assessment of Hedge</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Recognized in Earnings</w:t>
            </w:r>
          </w:p>
        </w:tc>
        <w:tc>
          <w:tcPr>
            <w:tcW w:w="640" w:type="dxa"/>
            <w:vAlign w:val="bottom"/>
          </w:tcPr>
          <w:p>
            <w:pPr>
              <w:spacing w:after="0"/>
              <w:rPr>
                <w:sz w:val="15"/>
                <w:szCs w:val="15"/>
                <w:color w:val="auto"/>
              </w:rPr>
            </w:pPr>
          </w:p>
        </w:tc>
        <w:tc>
          <w:tcPr>
            <w:tcW w:w="940" w:type="dxa"/>
            <w:vAlign w:val="bottom"/>
            <w:gridSpan w:val="3"/>
          </w:tcPr>
          <w:p>
            <w:pPr>
              <w:jc w:val="center"/>
              <w:ind w:right="60"/>
              <w:spacing w:after="0" w:line="182" w:lineRule="exact"/>
              <w:rPr>
                <w:sz w:val="20"/>
                <w:szCs w:val="20"/>
                <w:color w:val="auto"/>
              </w:rPr>
            </w:pPr>
            <w:r>
              <w:rPr>
                <w:rFonts w:ascii="Times New Roman" w:cs="Times New Roman" w:eastAsia="Times New Roman" w:hAnsi="Times New Roman"/>
                <w:sz w:val="16"/>
                <w:szCs w:val="16"/>
                <w:b w:val="1"/>
                <w:bCs w:val="1"/>
                <w:color w:val="auto"/>
                <w:w w:val="98"/>
              </w:rPr>
              <w:t>Effectiveness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Gain/(Loss)</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6"/>
                <w:szCs w:val="16"/>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29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Derivative Financial Instruments</w:t>
            </w: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960" w:type="dxa"/>
            <w:vAlign w:val="bottom"/>
            <w:vMerge w:val="continue"/>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 Cash Flow Hedging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Relationships :</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Foreign currency forward</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contracts . . . . . . . . . . . . . . . . . . . .</w:t>
            </w:r>
          </w:p>
        </w:tc>
        <w:tc>
          <w:tcPr>
            <w:tcW w:w="2000" w:type="dxa"/>
            <w:vAlign w:val="bottom"/>
            <w:gridSpan w:val="2"/>
          </w:tcPr>
          <w:p>
            <w:pPr>
              <w:spacing w:after="0" w:line="243" w:lineRule="exact"/>
              <w:rPr>
                <w:sz w:val="20"/>
                <w:szCs w:val="20"/>
                <w:color w:val="auto"/>
              </w:rPr>
            </w:pPr>
            <w:r>
              <w:rPr>
                <w:rFonts w:ascii="Times New Roman" w:cs="Times New Roman" w:eastAsia="Times New Roman" w:hAnsi="Times New Roman"/>
                <w:sz w:val="19"/>
                <w:szCs w:val="19"/>
                <w:color w:val="auto"/>
              </w:rPr>
              <w:t xml:space="preserve">net </w:t>
            </w:r>
            <w:r>
              <w:rPr>
                <w:rFonts w:ascii="Times New Roman" w:cs="Times New Roman" w:eastAsia="Times New Roman" w:hAnsi="Times New Roman"/>
                <w:sz w:val="24"/>
                <w:szCs w:val="24"/>
                <w:color w:val="auto"/>
                <w:vertAlign w:val="superscript"/>
              </w:rPr>
              <w:t>(4)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217"/>
        </w:trPr>
        <w:tc>
          <w:tcPr>
            <w:tcW w:w="2960" w:type="dxa"/>
            <w:vAlign w:val="bottom"/>
          </w:tcPr>
          <w:p>
            <w:pPr>
              <w:spacing w:after="0" w:line="217" w:lineRule="exact"/>
              <w:rPr>
                <w:sz w:val="20"/>
                <w:szCs w:val="20"/>
                <w:color w:val="auto"/>
              </w:rPr>
            </w:pPr>
            <w:r>
              <w:rPr>
                <w:rFonts w:ascii="Times New Roman" w:cs="Times New Roman" w:eastAsia="Times New Roman" w:hAnsi="Times New Roman"/>
                <w:sz w:val="19"/>
                <w:szCs w:val="19"/>
                <w:b w:val="1"/>
                <w:bCs w:val="1"/>
                <w:color w:val="auto"/>
              </w:rPr>
              <w:t>Derivative Financial Instruments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Not Designated as Hedging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Instruments: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Foreign currency option and</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forward contracts  . . . . . . . . . . . . .</w:t>
            </w:r>
          </w:p>
        </w:tc>
        <w:tc>
          <w:tcPr>
            <w:tcW w:w="2000" w:type="dxa"/>
            <w:vAlign w:val="bottom"/>
            <w:gridSpan w:val="2"/>
          </w:tcPr>
          <w:p>
            <w:pPr>
              <w:spacing w:after="0" w:line="260" w:lineRule="exact"/>
              <w:rPr>
                <w:sz w:val="20"/>
                <w:szCs w:val="20"/>
                <w:color w:val="auto"/>
              </w:rPr>
            </w:pPr>
            <w:r>
              <w:rPr>
                <w:rFonts w:ascii="Times New Roman" w:cs="Times New Roman" w:eastAsia="Times New Roman" w:hAnsi="Times New Roman"/>
                <w:sz w:val="19"/>
                <w:szCs w:val="19"/>
                <w:color w:val="auto"/>
              </w:rPr>
              <w:t xml:space="preserve">net </w:t>
            </w:r>
            <w:r>
              <w:rPr>
                <w:rFonts w:ascii="Times New Roman" w:cs="Times New Roman" w:eastAsia="Times New Roman" w:hAnsi="Times New Roman"/>
                <w:sz w:val="24"/>
                <w:szCs w:val="24"/>
                <w:color w:val="auto"/>
                <w:vertAlign w:val="superscript"/>
              </w:rPr>
              <w:t>(3)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(82.1)</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(10.1)</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Total </w:t>
            </w:r>
            <w:r>
              <w:rPr>
                <w:rFonts w:ascii="Times New Roman" w:cs="Times New Roman" w:eastAsia="Times New Roman" w:hAnsi="Times New Roman"/>
                <w:sz w:val="19"/>
                <w:szCs w:val="19"/>
                <w:color w:val="auto"/>
              </w:rPr>
              <w:t>. . . . . . . . . . . . . . . . . . . . . . . .</w:t>
            </w: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960" w:type="dxa"/>
            <w:vAlign w:val="bottom"/>
            <w:vMerge w:val="continue"/>
          </w:tcPr>
          <w:p>
            <w:pPr>
              <w:spacing w:after="0"/>
              <w:rPr>
                <w:sz w:val="22"/>
                <w:szCs w:val="22"/>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8"/>
              </w:rPr>
              <w:t>. . . . . . . . . . . . . . . . . . . .</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w w:val="96"/>
              </w:rPr>
              <w:t>$ (82.1)</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$ 39.3</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 (10.1)</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9"/>
                <w:szCs w:val="19"/>
                <w:color w:val="auto"/>
              </w:rPr>
              <w:t>$  —</w:t>
            </w: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  —</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$ 7.1</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48" w:right="1380" w:bottom="654" w:gutter="0" w:footer="0" w:header="0"/>
        </w:sectPr>
      </w:pPr>
    </w:p>
    <w:p>
      <w:pPr>
        <w:spacing w:after="0" w:line="50"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6"/>
          <w:szCs w:val="16"/>
          <w:b w:val="1"/>
          <w:bCs w:val="1"/>
          <w:color w:val="auto"/>
        </w:rPr>
        <w:t>Amount of Gains/(Losses)</w:t>
      </w:r>
    </w:p>
    <w:p>
      <w:pPr>
        <w:jc w:val="center"/>
        <w:ind w:left="5000"/>
        <w:spacing w:after="0" w:line="208" w:lineRule="auto"/>
        <w:rPr>
          <w:sz w:val="20"/>
          <w:szCs w:val="20"/>
          <w:color w:val="auto"/>
        </w:rPr>
      </w:pPr>
      <w:r>
        <w:rPr>
          <w:rFonts w:ascii="Times New Roman" w:cs="Times New Roman" w:eastAsia="Times New Roman" w:hAnsi="Times New Roman"/>
          <w:sz w:val="16"/>
          <w:szCs w:val="16"/>
          <w:b w:val="1"/>
          <w:bCs w:val="1"/>
          <w:color w:val="auto"/>
        </w:rPr>
        <w:t>Recognized in AOCE (Net</w:t>
      </w:r>
    </w:p>
    <w:p>
      <w:pPr>
        <w:jc w:val="center"/>
        <w:ind w:left="5000"/>
        <w:spacing w:after="0" w:line="209" w:lineRule="auto"/>
        <w:rPr>
          <w:sz w:val="20"/>
          <w:szCs w:val="20"/>
          <w:color w:val="auto"/>
        </w:rPr>
      </w:pPr>
      <w:r>
        <w:rPr>
          <w:rFonts w:ascii="Times New Roman" w:cs="Times New Roman" w:eastAsia="Times New Roman" w:hAnsi="Times New Roman"/>
          <w:sz w:val="16"/>
          <w:szCs w:val="16"/>
          <w:b w:val="1"/>
          <w:bCs w:val="1"/>
          <w:color w:val="auto"/>
        </w:rPr>
        <w:t>of Tax) on Derivatives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3154680</wp:posOffset>
                </wp:positionH>
                <wp:positionV relativeFrom="paragraph">
                  <wp:posOffset>22860</wp:posOffset>
                </wp:positionV>
                <wp:extent cx="118872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4pt,1.8pt" to="342pt,1.8pt" o:allowincell="f" strokecolor="#000000" strokeweight="1pt"/>
            </w:pict>
          </mc:Fallback>
        </mc:AlternateContent>
      </w:r>
    </w:p>
    <w:p>
      <w:pPr>
        <w:spacing w:after="0" w:line="3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3154680</wp:posOffset>
                </wp:positionH>
                <wp:positionV relativeFrom="paragraph">
                  <wp:posOffset>22225</wp:posOffset>
                </wp:positionV>
                <wp:extent cx="118872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4pt,1.75pt" to="342pt,1.7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80"/>
        <w:spacing w:after="0" w:line="218" w:lineRule="auto"/>
        <w:rPr>
          <w:sz w:val="20"/>
          <w:szCs w:val="20"/>
          <w:color w:val="auto"/>
        </w:rPr>
      </w:pPr>
      <w:r>
        <w:rPr>
          <w:rFonts w:ascii="Times New Roman" w:cs="Times New Roman" w:eastAsia="Times New Roman" w:hAnsi="Times New Roman"/>
          <w:sz w:val="16"/>
          <w:szCs w:val="16"/>
          <w:b w:val="1"/>
          <w:bCs w:val="1"/>
          <w:color w:val="auto"/>
        </w:rPr>
        <w:t>Amount of Gains/(Losses) Reclassified from AOCE into Earnings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22860</wp:posOffset>
                </wp:positionV>
                <wp:extent cx="13716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8pt" to="104pt,1.8pt" o:allowincell="f" strokecolor="#000000" strokeweight="1pt"/>
            </w:pict>
          </mc:Fallback>
        </mc:AlternateConten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22225</wp:posOffset>
                </wp:positionV>
                <wp:extent cx="13716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75pt" to="104pt,1.75pt" o:allowincell="f" strokecolor="#000000" strokeweight="1pt"/>
            </w:pict>
          </mc:Fallback>
        </mc:AlternateContent>
      </w:r>
    </w:p>
    <w:p>
      <w:pPr>
        <w:spacing w:after="0" w:line="56" w:lineRule="exact"/>
        <w:rPr>
          <w:sz w:val="20"/>
          <w:szCs w:val="20"/>
          <w:color w:val="auto"/>
        </w:rPr>
      </w:pPr>
    </w:p>
    <w:p>
      <w:pPr>
        <w:sectPr>
          <w:pgSz w:w="11880" w:h="15480" w:orient="portrait"/>
          <w:cols w:equalWidth="0" w:num="2">
            <w:col w:w="6800" w:space="240"/>
            <w:col w:w="2080"/>
          </w:cols>
          <w:pgMar w:left="1380" w:top="1248" w:right="1380" w:bottom="654"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Gain/(Loss)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Derivative Financial Instruments</w:t>
            </w: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960" w:type="dxa"/>
            <w:vAlign w:val="bottom"/>
            <w:gridSpan w:val="2"/>
            <w:vMerge w:val="continue"/>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in Cash Flow Hedging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ind w:left="200"/>
              <w:spacing w:after="0" w:line="251" w:lineRule="exact"/>
              <w:rPr>
                <w:sz w:val="20"/>
                <w:szCs w:val="20"/>
                <w:color w:val="auto"/>
              </w:rPr>
            </w:pPr>
            <w:r>
              <w:rPr>
                <w:rFonts w:ascii="Times New Roman" w:cs="Times New Roman" w:eastAsia="Times New Roman" w:hAnsi="Times New Roman"/>
                <w:sz w:val="19"/>
                <w:szCs w:val="19"/>
                <w:b w:val="1"/>
                <w:bCs w:val="1"/>
                <w:color w:val="auto"/>
              </w:rPr>
              <w:t xml:space="preserve">Relationships </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9"/>
                <w:szCs w:val="19"/>
                <w:b w:val="1"/>
                <w:bCs w:val="1"/>
                <w:color w:val="auto"/>
              </w:rPr>
              <w:t xml:space="preserve"> :</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ind w:left="200"/>
              <w:spacing w:after="0" w:line="209" w:lineRule="exact"/>
              <w:rPr>
                <w:sz w:val="20"/>
                <w:szCs w:val="20"/>
                <w:color w:val="auto"/>
              </w:rPr>
            </w:pPr>
            <w:r>
              <w:rPr>
                <w:rFonts w:ascii="Times New Roman" w:cs="Times New Roman" w:eastAsia="Times New Roman" w:hAnsi="Times New Roman"/>
                <w:sz w:val="19"/>
                <w:szCs w:val="19"/>
                <w:color w:val="auto"/>
              </w:rPr>
              <w:t>Foreign currency forward</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contracts . . . . . . . . . . . . . . . . . . . .</w:t>
            </w:r>
          </w:p>
        </w:tc>
        <w:tc>
          <w:tcPr>
            <w:tcW w:w="1880" w:type="dxa"/>
            <w:vAlign w:val="bottom"/>
          </w:tcPr>
          <w:p>
            <w:pPr>
              <w:spacing w:after="0" w:line="251" w:lineRule="exact"/>
              <w:rPr>
                <w:sz w:val="20"/>
                <w:szCs w:val="20"/>
                <w:color w:val="auto"/>
              </w:rPr>
            </w:pPr>
            <w:r>
              <w:rPr>
                <w:rFonts w:ascii="Times New Roman" w:cs="Times New Roman" w:eastAsia="Times New Roman" w:hAnsi="Times New Roman"/>
                <w:sz w:val="19"/>
                <w:szCs w:val="19"/>
                <w:color w:val="auto"/>
              </w:rPr>
              <w:t xml:space="preserve">Net sales </w:t>
            </w:r>
            <w:r>
              <w:rPr>
                <w:rFonts w:ascii="Times New Roman" w:cs="Times New Roman" w:eastAsia="Times New Roman" w:hAnsi="Times New Roman"/>
                <w:sz w:val="24"/>
                <w:szCs w:val="24"/>
                <w:color w:val="auto"/>
                <w:vertAlign w:val="superscript"/>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12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$89.2</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auto"/>
              </w:rPr>
              <w:t>$30.9</w:t>
            </w:r>
          </w:p>
        </w:tc>
        <w:tc>
          <w:tcPr>
            <w:tcW w:w="760" w:type="dxa"/>
            <w:vAlign w:val="bottom"/>
            <w:gridSpan w:val="2"/>
          </w:tcPr>
          <w:p>
            <w:pPr>
              <w:jc w:val="right"/>
              <w:ind w:right="25"/>
              <w:spacing w:after="0"/>
              <w:rPr>
                <w:sz w:val="20"/>
                <w:szCs w:val="20"/>
                <w:color w:val="auto"/>
              </w:rPr>
            </w:pPr>
            <w:r>
              <w:rPr>
                <w:rFonts w:ascii="Times New Roman" w:cs="Times New Roman" w:eastAsia="Times New Roman" w:hAnsi="Times New Roman"/>
                <w:sz w:val="19"/>
                <w:szCs w:val="19"/>
                <w:color w:val="auto"/>
              </w:rPr>
              <w:t>$ 4.8</w:t>
            </w:r>
          </w:p>
        </w:tc>
        <w:tc>
          <w:tcPr>
            <w:tcW w:w="0" w:type="dxa"/>
            <w:vAlign w:val="bottom"/>
          </w:tcPr>
          <w:p>
            <w:pPr>
              <w:spacing w:after="0"/>
              <w:rPr>
                <w:sz w:val="1"/>
                <w:szCs w:val="1"/>
                <w:color w:val="auto"/>
              </w:rPr>
            </w:pPr>
          </w:p>
        </w:tc>
      </w:tr>
      <w:tr>
        <w:trPr>
          <w:trHeight w:val="222"/>
        </w:trPr>
        <w:tc>
          <w:tcPr>
            <w:tcW w:w="2960" w:type="dxa"/>
            <w:vAlign w:val="bottom"/>
            <w:gridSpan w:val="2"/>
          </w:tcPr>
          <w:p>
            <w:pPr>
              <w:ind w:left="200"/>
              <w:spacing w:after="0" w:line="209" w:lineRule="exact"/>
              <w:rPr>
                <w:sz w:val="20"/>
                <w:szCs w:val="20"/>
                <w:color w:val="auto"/>
              </w:rPr>
            </w:pPr>
            <w:r>
              <w:rPr>
                <w:rFonts w:ascii="Times New Roman" w:cs="Times New Roman" w:eastAsia="Times New Roman" w:hAnsi="Times New Roman"/>
                <w:sz w:val="19"/>
                <w:szCs w:val="19"/>
                <w:color w:val="auto"/>
              </w:rPr>
              <w:t>Interest rate swaps . . . . . . . . . . . . .</w:t>
            </w:r>
          </w:p>
        </w:tc>
        <w:tc>
          <w:tcPr>
            <w:tcW w:w="1880" w:type="dxa"/>
            <w:vAlign w:val="bottom"/>
          </w:tcPr>
          <w:p>
            <w:pPr>
              <w:spacing w:after="0" w:line="222" w:lineRule="exact"/>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19"/>
                <w:szCs w:val="19"/>
                <w:color w:val="auto"/>
              </w:rPr>
              <w:t>(3.5)</w:t>
            </w:r>
          </w:p>
        </w:tc>
        <w:tc>
          <w:tcPr>
            <w:tcW w:w="80" w:type="dxa"/>
            <w:vAlign w:val="bottom"/>
          </w:tcPr>
          <w:p>
            <w:pPr>
              <w:spacing w:after="0"/>
              <w:rPr>
                <w:sz w:val="19"/>
                <w:szCs w:val="19"/>
                <w:color w:val="auto"/>
              </w:rPr>
            </w:pPr>
          </w:p>
        </w:tc>
        <w:tc>
          <w:tcPr>
            <w:tcW w:w="56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19"/>
                <w:szCs w:val="19"/>
                <w:color w:val="auto"/>
              </w:rPr>
              <w:t>(3.4)</w:t>
            </w:r>
          </w:p>
        </w:tc>
        <w:tc>
          <w:tcPr>
            <w:tcW w:w="80" w:type="dxa"/>
            <w:vAlign w:val="bottom"/>
          </w:tcPr>
          <w:p>
            <w:pPr>
              <w:spacing w:after="0"/>
              <w:rPr>
                <w:sz w:val="19"/>
                <w:szCs w:val="19"/>
                <w:color w:val="auto"/>
              </w:rPr>
            </w:pPr>
          </w:p>
        </w:tc>
        <w:tc>
          <w:tcPr>
            <w:tcW w:w="620" w:type="dxa"/>
            <w:vAlign w:val="bottom"/>
            <w:gridSpan w:val="2"/>
          </w:tcPr>
          <w:p>
            <w:pPr>
              <w:jc w:val="right"/>
              <w:ind w:right="120"/>
              <w:spacing w:after="0" w:line="209"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(4.5)</w:t>
            </w:r>
          </w:p>
        </w:tc>
        <w:tc>
          <w:tcPr>
            <w:tcW w:w="7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(4.3)</w:t>
            </w:r>
          </w:p>
        </w:tc>
        <w:tc>
          <w:tcPr>
            <w:tcW w:w="7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(4.5)</w:t>
            </w:r>
          </w:p>
        </w:tc>
        <w:tc>
          <w:tcPr>
            <w:tcW w:w="0" w:type="dxa"/>
            <w:vAlign w:val="bottom"/>
          </w:tcPr>
          <w:p>
            <w:pPr>
              <w:spacing w:after="0"/>
              <w:rPr>
                <w:sz w:val="1"/>
                <w:szCs w:val="1"/>
                <w:color w:val="auto"/>
              </w:rPr>
            </w:pPr>
          </w:p>
        </w:tc>
      </w:tr>
      <w:tr>
        <w:trPr>
          <w:trHeight w:val="217"/>
        </w:trPr>
        <w:tc>
          <w:tcPr>
            <w:tcW w:w="296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b w:val="1"/>
                <w:bCs w:val="1"/>
                <w:color w:val="auto"/>
              </w:rPr>
              <w:t>Non-derivative Financial</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Instruments in Net Investment</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Hedging Relationships: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Foreign currency borrowings . . . .</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360.1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436.6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w w:val="97"/>
              </w:rPr>
              <w:t>(346.4)</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0"/>
        </w:trPr>
        <w:tc>
          <w:tcPr>
            <w:tcW w:w="2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Total </w:t>
            </w:r>
            <w:r>
              <w:rPr>
                <w:rFonts w:ascii="Times New Roman" w:cs="Times New Roman" w:eastAsia="Times New Roman" w:hAnsi="Times New Roman"/>
                <w:sz w:val="19"/>
                <w:szCs w:val="19"/>
                <w:color w:val="auto"/>
              </w:rPr>
              <w:t>. . .</w:t>
            </w: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960" w:type="dxa"/>
            <w:vAlign w:val="bottom"/>
            <w:gridSpan w:val="2"/>
            <w:vMerge w:val="continue"/>
          </w:tcPr>
          <w:p>
            <w:pPr>
              <w:ind w:left="1000"/>
              <w:spacing w:after="0"/>
              <w:rPr>
                <w:sz w:val="20"/>
                <w:szCs w:val="20"/>
                <w:color w:val="auto"/>
              </w:rPr>
            </w:pPr>
            <w:r>
              <w:rPr>
                <w:rFonts w:ascii="Times New Roman" w:cs="Times New Roman" w:eastAsia="Times New Roman" w:hAnsi="Times New Roman"/>
                <w:sz w:val="19"/>
                <w:szCs w:val="19"/>
                <w:color w:val="auto"/>
                <w:w w:val="99"/>
              </w:rPr>
              <w:t>. . . . . . . . . . . . . . . . . . . . .</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390.8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479.0</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w w:val="97"/>
              </w:rPr>
              <w:t>(325.8)</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$84.7</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auto"/>
              </w:rPr>
              <w:t>$26.6</w:t>
            </w:r>
          </w:p>
        </w:tc>
        <w:tc>
          <w:tcPr>
            <w:tcW w:w="760" w:type="dxa"/>
            <w:vAlign w:val="bottom"/>
            <w:gridSpan w:val="2"/>
          </w:tcPr>
          <w:p>
            <w:pPr>
              <w:jc w:val="right"/>
              <w:ind w:right="25"/>
              <w:spacing w:after="0"/>
              <w:rPr>
                <w:sz w:val="20"/>
                <w:szCs w:val="20"/>
                <w:color w:val="auto"/>
              </w:rPr>
            </w:pPr>
            <w:r>
              <w:rPr>
                <w:rFonts w:ascii="Times New Roman" w:cs="Times New Roman" w:eastAsia="Times New Roman" w:hAnsi="Times New Roman"/>
                <w:sz w:val="19"/>
                <w:szCs w:val="19"/>
                <w:color w:val="auto"/>
              </w:rPr>
              <w:t>$ 0.3</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400" w:hanging="400"/>
        <w:spacing w:after="0" w:line="221" w:lineRule="auto"/>
        <w:tabs>
          <w:tab w:leader="none" w:pos="4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21" w:lineRule="exact"/>
        <w:rPr>
          <w:rFonts w:ascii="Times New Roman" w:cs="Times New Roman" w:eastAsia="Times New Roman" w:hAnsi="Times New Roman"/>
          <w:sz w:val="26"/>
          <w:szCs w:val="26"/>
          <w:color w:val="auto"/>
          <w:vertAlign w:val="superscript"/>
        </w:rPr>
      </w:pPr>
    </w:p>
    <w:p>
      <w:pPr>
        <w:ind w:left="400" w:hanging="400"/>
        <w:spacing w:after="0" w:line="208" w:lineRule="auto"/>
        <w:tabs>
          <w:tab w:leader="none" w:pos="4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At December 31, 2022, the Company expects that approximately $8.0 million of pre-tax net losses on cash flow hedges will be reclassified from AOCE into earnings during the next twelve months.</w:t>
      </w:r>
    </w:p>
    <w:p>
      <w:pPr>
        <w:spacing w:after="0" w:line="1" w:lineRule="exact"/>
        <w:rPr>
          <w:rFonts w:ascii="Times New Roman" w:cs="Times New Roman" w:eastAsia="Times New Roman" w:hAnsi="Times New Roman"/>
          <w:sz w:val="26"/>
          <w:szCs w:val="26"/>
          <w:color w:val="auto"/>
          <w:vertAlign w:val="superscript"/>
        </w:rPr>
      </w:pPr>
    </w:p>
    <w:p>
      <w:pPr>
        <w:ind w:left="400" w:hanging="400"/>
        <w:spacing w:after="0" w:line="192" w:lineRule="auto"/>
        <w:tabs>
          <w:tab w:leader="none" w:pos="4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location of the gain/(loss) recognized in earnings on derivatives.</w:t>
      </w:r>
    </w:p>
    <w:p>
      <w:pPr>
        <w:spacing w:after="0" w:line="59" w:lineRule="exact"/>
        <w:rPr>
          <w:rFonts w:ascii="Times New Roman" w:cs="Times New Roman" w:eastAsia="Times New Roman" w:hAnsi="Times New Roman"/>
          <w:sz w:val="26"/>
          <w:szCs w:val="26"/>
          <w:color w:val="auto"/>
          <w:vertAlign w:val="superscript"/>
        </w:rPr>
      </w:pPr>
    </w:p>
    <w:p>
      <w:pPr>
        <w:ind w:left="400" w:hanging="400"/>
        <w:spacing w:after="0" w:line="180" w:lineRule="auto"/>
        <w:tabs>
          <w:tab w:leader="none" w:pos="400"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location of the gain excluded from the assessment of hedge effectiveness.</w:t>
      </w:r>
    </w:p>
    <w:p>
      <w:pPr>
        <w:spacing w:after="0" w:line="58" w:lineRule="exact"/>
        <w:rPr>
          <w:rFonts w:ascii="Times New Roman" w:cs="Times New Roman" w:eastAsia="Times New Roman" w:hAnsi="Times New Roman"/>
          <w:sz w:val="21"/>
          <w:szCs w:val="21"/>
          <w:color w:val="auto"/>
          <w:vertAlign w:val="superscript"/>
        </w:rPr>
      </w:pPr>
    </w:p>
    <w:p>
      <w:pPr>
        <w:ind w:left="400" w:hanging="400"/>
        <w:spacing w:after="0" w:line="180" w:lineRule="auto"/>
        <w:tabs>
          <w:tab w:leader="none" w:pos="400"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location of the gain/(loss) reclassified from AOCE into earnings.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w:t>
      </w:r>
    </w:p>
    <w:p>
      <w:pPr>
        <w:spacing w:after="0" w:line="15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156" w:lineRule="exact"/>
        <w:rPr>
          <w:sz w:val="20"/>
          <w:szCs w:val="20"/>
          <w:color w:val="auto"/>
        </w:rPr>
      </w:pPr>
    </w:p>
    <w:p>
      <w:pPr>
        <w:ind w:left="400"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Quoted prices (unadjusted) in active markets that are accessible at the measurement date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identical assets or liabilities. The fair value hierarchy gives the highest priority to Level 1 inputs.</w:t>
      </w:r>
    </w:p>
    <w:p>
      <w:pPr>
        <w:sectPr>
          <w:pgSz w:w="11880" w:h="15480" w:orient="portrait"/>
          <w:cols w:equalWidth="0" w:num="1">
            <w:col w:w="9120"/>
          </w:cols>
          <w:pgMar w:left="1380" w:top="1248" w:right="1380" w:bottom="654"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9120"/>
          </w:cols>
          <w:pgMar w:left="1380" w:top="1248" w:right="1380" w:bottom="654" w:gutter="0" w:footer="0" w:header="0"/>
          <w:type w:val="continuous"/>
        </w:sectPr>
      </w:pPr>
    </w:p>
    <w:bookmarkStart w:id="135" w:name="page136"/>
    <w:bookmarkEnd w:id="135"/>
    <w:p>
      <w:pPr>
        <w:ind w:left="400"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Observable market-based inputs other than quoted prices in active markets for identical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or liabilities.</w:t>
      </w:r>
    </w:p>
    <w:p>
      <w:pPr>
        <w:spacing w:after="0" w:line="142" w:lineRule="exact"/>
        <w:rPr>
          <w:sz w:val="20"/>
          <w:szCs w:val="20"/>
          <w:color w:val="auto"/>
        </w:rPr>
      </w:pPr>
    </w:p>
    <w:p>
      <w:pPr>
        <w:ind w:left="400"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Unobservable inputs are used when little or no market data is available. The fair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hierarchy gives the lowest priority to Level 3 inputs.</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5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Financial assets and liabilities carried at fair value are classified in the tables below in one of the three categories described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6"/>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Money market funds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cash equivalents . . . . . . . . . . . . . . . .</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Equity securities: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Exchange traded funds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Marketable securities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equity securities . . . . . . . . . . . . . . . .</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CCPS in Biocon Biologics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fixed income investments: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Corporate bonds  . . . .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Treasuries  . . . . .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Agency mortgage-backed securities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Asset backed securities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Other . . . . . . . . . . . . .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vMerge w:val="restart"/>
          </w:tcPr>
          <w:p>
            <w:pPr>
              <w:jc w:val="right"/>
              <w:ind w:right="541"/>
              <w:spacing w:after="0"/>
              <w:rPr>
                <w:sz w:val="20"/>
                <w:szCs w:val="20"/>
                <w:color w:val="auto"/>
              </w:rPr>
            </w:pPr>
            <w:r>
              <w:rPr>
                <w:rFonts w:ascii="Times New Roman" w:cs="Times New Roman" w:eastAsia="Times New Roman" w:hAnsi="Times New Roman"/>
                <w:sz w:val="20"/>
                <w:szCs w:val="20"/>
                <w:color w:val="auto"/>
              </w:rPr>
              <w:t>Total available-for-sale fixed income</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investments . . . . . .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exchange derivative assets . . . . . . . . . .</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assets at recurring fair value</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measurement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2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exchange derivative liabilities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Contingent consideration . . . .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28"/>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liabilities at recurring fair value</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measurement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For financial assets and liabilities that utilize Level 2 inputs, the Company utilizes both direct and indirect observable price quotes, including the LIBOR yield curve, foreign exchange forward prices, and bank price quotes. For the years ended December 31, 2022 and 2021, there were no transfers between Level 1 and 2 of the fair value hierarchy. Below is a summary of valuation techniques for Level 1 and Level 2 financial assets and liabilities: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Cash equivalents</w:t>
      </w:r>
      <w:r>
        <w:rPr>
          <w:rFonts w:ascii="Times New Roman" w:cs="Times New Roman" w:eastAsia="Times New Roman" w:hAnsi="Times New Roman"/>
          <w:sz w:val="20"/>
          <w:szCs w:val="20"/>
          <w:color w:val="auto"/>
        </w:rPr>
        <w:t xml:space="preserve"> — valued at observable net asset value prices.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9120"/>
          </w:cols>
          <w:pgMar w:left="1380" w:top="1322" w:right="1380" w:bottom="654" w:gutter="0" w:footer="0" w:header="0"/>
          <w:type w:val="continuous"/>
        </w:sectPr>
      </w:pPr>
    </w:p>
    <w:bookmarkStart w:id="136" w:name="page137"/>
    <w:bookmarkEnd w:id="136"/>
    <w:p>
      <w:pPr>
        <w:jc w:val="both"/>
        <w:ind w:left="600" w:hanging="200"/>
        <w:spacing w:after="0" w:line="246" w:lineRule="auto"/>
        <w:tabs>
          <w:tab w:leader="none" w:pos="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Equity securities, exchange traded funds </w:t>
      </w:r>
      <w:r>
        <w:rPr>
          <w:rFonts w:ascii="Times New Roman" w:cs="Times New Roman" w:eastAsia="Times New Roman" w:hAnsi="Times New Roman"/>
          <w:sz w:val="20"/>
          <w:szCs w:val="20"/>
          <w:color w:val="auto"/>
        </w:rPr>
        <w:t>— valued at the active quoted market prices from broker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dealer quotations or transparent pricing sources at the reporting date. Unrealized gains and losses attributable to changes in fair value are included in </w:t>
      </w: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in the consolidated statements of operations.</w:t>
      </w:r>
    </w:p>
    <w:p>
      <w:pPr>
        <w:spacing w:after="0" w:line="137" w:lineRule="exact"/>
        <w:rPr>
          <w:rFonts w:ascii="Times New Roman" w:cs="Times New Roman" w:eastAsia="Times New Roman" w:hAnsi="Times New Roman"/>
          <w:sz w:val="20"/>
          <w:szCs w:val="20"/>
          <w:color w:val="auto"/>
        </w:rPr>
      </w:pPr>
    </w:p>
    <w:p>
      <w:pPr>
        <w:jc w:val="both"/>
        <w:ind w:left="600" w:hanging="200"/>
        <w:spacing w:after="0" w:line="245" w:lineRule="auto"/>
        <w:tabs>
          <w:tab w:leader="none" w:pos="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Equity securities, marketable securities </w:t>
      </w:r>
      <w:r>
        <w:rPr>
          <w:rFonts w:ascii="Times New Roman" w:cs="Times New Roman" w:eastAsia="Times New Roman" w:hAnsi="Times New Roman"/>
          <w:sz w:val="20"/>
          <w:szCs w:val="20"/>
          <w:color w:val="auto"/>
        </w:rPr>
        <w:t>— valued using quoted stock prices from public exchanges 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reporting date. Unrealized gains and losses attributable to changes in fair value are included in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 expense, net</w:t>
      </w:r>
      <w:r>
        <w:rPr>
          <w:rFonts w:ascii="Times New Roman" w:cs="Times New Roman" w:eastAsia="Times New Roman" w:hAnsi="Times New Roman"/>
          <w:sz w:val="20"/>
          <w:szCs w:val="20"/>
          <w:color w:val="auto"/>
        </w:rPr>
        <w:t>, in the consolidated statements of operations.</w:t>
      </w:r>
    </w:p>
    <w:p>
      <w:pPr>
        <w:spacing w:after="0" w:line="135" w:lineRule="exact"/>
        <w:rPr>
          <w:rFonts w:ascii="Times New Roman" w:cs="Times New Roman" w:eastAsia="Times New Roman" w:hAnsi="Times New Roman"/>
          <w:sz w:val="20"/>
          <w:szCs w:val="20"/>
          <w:color w:val="auto"/>
        </w:rPr>
      </w:pPr>
    </w:p>
    <w:p>
      <w:pPr>
        <w:jc w:val="both"/>
        <w:ind w:left="600" w:hanging="200"/>
        <w:spacing w:after="0" w:line="247" w:lineRule="auto"/>
        <w:tabs>
          <w:tab w:leader="none" w:pos="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CCPS in Biocon Biologics </w:t>
      </w:r>
      <w:r>
        <w:rPr>
          <w:rFonts w:ascii="Times New Roman" w:cs="Times New Roman" w:eastAsia="Times New Roman" w:hAnsi="Times New Roman"/>
          <w:sz w:val="20"/>
          <w:szCs w:val="20"/>
          <w:color w:val="auto"/>
        </w:rPr>
        <w:t>— valued using a Monte Carlo simulation model using Level 3 inputs.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value of the CCPS is sensitive to changes in the forecasts of operating metrics and changes in volatility and discount rates. The Company elected the fair value option for the CCPS under </w:t>
      </w:r>
      <w:r>
        <w:rPr>
          <w:rFonts w:ascii="Times New Roman" w:cs="Times New Roman" w:eastAsia="Times New Roman" w:hAnsi="Times New Roman"/>
          <w:sz w:val="20"/>
          <w:szCs w:val="20"/>
          <w:i w:val="1"/>
          <w:iCs w:val="1"/>
          <w:color w:val="auto"/>
        </w:rPr>
        <w:t>ASC 825.</w:t>
      </w:r>
      <w:r>
        <w:rPr>
          <w:rFonts w:ascii="Times New Roman" w:cs="Times New Roman" w:eastAsia="Times New Roman" w:hAnsi="Times New Roman"/>
          <w:sz w:val="20"/>
          <w:szCs w:val="20"/>
          <w:color w:val="auto"/>
        </w:rPr>
        <w:t xml:space="preserve"> The fair value is reassessed quarterly and any change in the fair value estimate is recorded in </w:t>
      </w:r>
      <w:r>
        <w:rPr>
          <w:rFonts w:ascii="Times New Roman" w:cs="Times New Roman" w:eastAsia="Times New Roman" w:hAnsi="Times New Roman"/>
          <w:sz w:val="20"/>
          <w:szCs w:val="20"/>
          <w:i w:val="1"/>
          <w:iCs w:val="1"/>
          <w:color w:val="auto"/>
        </w:rPr>
        <w:t>Other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net</w:t>
      </w:r>
      <w:r>
        <w:rPr>
          <w:rFonts w:ascii="Times New Roman" w:cs="Times New Roman" w:eastAsia="Times New Roman" w:hAnsi="Times New Roman"/>
          <w:sz w:val="20"/>
          <w:szCs w:val="20"/>
          <w:color w:val="auto"/>
        </w:rPr>
        <w:t>, in the consolidated statements of operations for that period.</w:t>
      </w:r>
    </w:p>
    <w:p>
      <w:pPr>
        <w:spacing w:after="0" w:line="136" w:lineRule="exact"/>
        <w:rPr>
          <w:rFonts w:ascii="Times New Roman" w:cs="Times New Roman" w:eastAsia="Times New Roman" w:hAnsi="Times New Roman"/>
          <w:sz w:val="20"/>
          <w:szCs w:val="20"/>
          <w:color w:val="auto"/>
        </w:rPr>
      </w:pPr>
    </w:p>
    <w:p>
      <w:pPr>
        <w:jc w:val="both"/>
        <w:ind w:left="600" w:hanging="200"/>
        <w:spacing w:after="0" w:line="246" w:lineRule="auto"/>
        <w:tabs>
          <w:tab w:leader="none" w:pos="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Available-for-sale fixed income investments </w:t>
      </w:r>
      <w:r>
        <w:rPr>
          <w:rFonts w:ascii="Times New Roman" w:cs="Times New Roman" w:eastAsia="Times New Roman" w:hAnsi="Times New Roman"/>
          <w:sz w:val="20"/>
          <w:szCs w:val="20"/>
          <w:color w:val="auto"/>
        </w:rPr>
        <w:t>— valued at the quoted market prices from broker or dealer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quotations or transparent pricing sources at the reporting date. Unrealized gains and losses attributable to changes in fair value, net of income taxes, are included in accumulated other comprehensive loss as a component of shareholders’ equity.</w:t>
      </w:r>
    </w:p>
    <w:p>
      <w:pPr>
        <w:spacing w:after="0" w:line="137" w:lineRule="exact"/>
        <w:rPr>
          <w:rFonts w:ascii="Times New Roman" w:cs="Times New Roman" w:eastAsia="Times New Roman" w:hAnsi="Times New Roman"/>
          <w:sz w:val="20"/>
          <w:szCs w:val="20"/>
          <w:color w:val="auto"/>
        </w:rPr>
      </w:pPr>
    </w:p>
    <w:p>
      <w:pPr>
        <w:jc w:val="both"/>
        <w:ind w:left="600" w:hanging="200"/>
        <w:spacing w:after="0" w:line="245" w:lineRule="auto"/>
        <w:tabs>
          <w:tab w:leader="none" w:pos="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Foreign exchange derivative assets and liabilities </w:t>
      </w:r>
      <w:r>
        <w:rPr>
          <w:rFonts w:ascii="Times New Roman" w:cs="Times New Roman" w:eastAsia="Times New Roman" w:hAnsi="Times New Roman"/>
          <w:sz w:val="20"/>
          <w:szCs w:val="20"/>
          <w:color w:val="auto"/>
        </w:rPr>
        <w:t>— valued using quoted forward foreign 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prices and spot rates at the reporting date. Counterparties to these contracts are highly rated financial institutions.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Consideration</w:t>
      </w:r>
    </w:p>
    <w:p>
      <w:pPr>
        <w:spacing w:after="0" w:line="140" w:lineRule="exact"/>
        <w:rPr>
          <w:sz w:val="20"/>
          <w:szCs w:val="20"/>
          <w:color w:val="auto"/>
        </w:rPr>
      </w:pPr>
    </w:p>
    <w:p>
      <w:pPr>
        <w:jc w:val="both"/>
        <w:ind w:firstLine="400"/>
        <w:spacing w:after="0" w:line="211" w:lineRule="auto"/>
        <w:rPr>
          <w:sz w:val="20"/>
          <w:szCs w:val="20"/>
          <w:color w:val="auto"/>
        </w:rPr>
      </w:pPr>
      <w:r>
        <w:rPr>
          <w:rFonts w:ascii="Times New Roman" w:cs="Times New Roman" w:eastAsia="Times New Roman" w:hAnsi="Times New Roman"/>
          <w:sz w:val="20"/>
          <w:szCs w:val="20"/>
          <w:color w:val="auto"/>
        </w:rPr>
        <w:t>In December 2011, the Company completed the acquisition of the exclusive worldwide rights to develop, manufacture and commercialize a generic equivalent to GlaxoSmithKline’s Advair Diskus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incorporating Pfizer’s Respiratory Delivery Platform. The Company accounted for this transaction as a purchase of a business and utilized the acquisition method of accounting. On January 30, 2019, the Company received FDA approval of Wixela Inhub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(fluticasone propionate and salmeterol inhalation powder, USP), the first generic of GlaxoSmithKline’s Advair Diskus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The commercial launch of the Wixela Inhub</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occurred in February 2019.</w:t>
      </w:r>
    </w:p>
    <w:p>
      <w:pPr>
        <w:spacing w:after="0" w:line="16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As of December 31, 2022, the Company has a contingent consideration liability of $132.0 million related to the Respiratory Delivery Platform and $221.2 million related to the Biocon Biologics Transaction. The contingent consideration liability related to the Biocon Biologics Transaction represents the amount of the closing working capital target to which the parties have agreed that may become payable to Biocon Biologics in connection with certain events in the future, depending on the valuations attributable to such events.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December 31, 2022 and 2021, discount rates ranging from 6.4% to 9.0% were utilized in the valuations. Significant changes in unobservable inputs could result in material changes to the contingent consideration liabilities.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9120"/>
          </w:cols>
          <w:pgMar w:left="1380" w:top="1322" w:right="1380" w:bottom="654" w:gutter="0" w:footer="0" w:header="0"/>
          <w:type w:val="continuous"/>
        </w:sectPr>
      </w:pPr>
    </w:p>
    <w:bookmarkStart w:id="137" w:name="page138"/>
    <w:bookmarkEnd w:id="137"/>
    <w:p>
      <w:pPr>
        <w:ind w:firstLine="400"/>
        <w:spacing w:after="0" w:line="239" w:lineRule="auto"/>
        <w:rPr>
          <w:sz w:val="20"/>
          <w:szCs w:val="20"/>
          <w:color w:val="auto"/>
        </w:rPr>
      </w:pPr>
      <w:r>
        <w:rPr>
          <w:rFonts w:ascii="Times New Roman" w:cs="Times New Roman" w:eastAsia="Times New Roman" w:hAnsi="Times New Roman"/>
          <w:sz w:val="20"/>
          <w:szCs w:val="20"/>
          <w:color w:val="auto"/>
        </w:rPr>
        <w:t>A rollforward of the activity in the Company’s fair value of contingent consideration from December 31, 2020 to December 31, 2022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94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8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Contingent</w:t>
            </w:r>
          </w:p>
        </w:tc>
        <w:tc>
          <w:tcPr>
            <w:tcW w:w="0" w:type="dxa"/>
            <w:vAlign w:val="bottom"/>
          </w:tcPr>
          <w:p>
            <w:pPr>
              <w:spacing w:after="0"/>
              <w:rPr>
                <w:sz w:val="1"/>
                <w:szCs w:val="1"/>
                <w:color w:val="auto"/>
              </w:rPr>
            </w:pPr>
          </w:p>
        </w:tc>
      </w:tr>
      <w:tr>
        <w:trPr>
          <w:trHeight w:val="208"/>
        </w:trPr>
        <w:tc>
          <w:tcPr>
            <w:tcW w:w="6160" w:type="dxa"/>
            <w:vAlign w:val="bottom"/>
            <w:gridSpan w:val="2"/>
          </w:tcPr>
          <w:p>
            <w:pPr>
              <w:jc w:val="right"/>
              <w:ind w:right="532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740" w:type="dxa"/>
            <w:vAlign w:val="bottom"/>
            <w:tcBorders>
              <w:bottom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w w:val="95"/>
              </w:rPr>
              <w:t xml:space="preserve">Portion </w:t>
            </w:r>
            <w:r>
              <w:rPr>
                <w:rFonts w:ascii="Times New Roman" w:cs="Times New Roman" w:eastAsia="Times New Roman" w:hAnsi="Times New Roman"/>
                <w:sz w:val="20"/>
                <w:szCs w:val="20"/>
                <w:b w:val="1"/>
                <w:bCs w:val="1"/>
                <w:color w:val="auto"/>
                <w:w w:val="95"/>
                <w:vertAlign w:val="superscript"/>
              </w:rPr>
              <w:t>(1)</w:t>
            </w:r>
          </w:p>
        </w:tc>
        <w:tc>
          <w:tcPr>
            <w:tcW w:w="20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Portion </w:t>
            </w:r>
            <w:r>
              <w:rPr>
                <w:rFonts w:ascii="Times New Roman" w:cs="Times New Roman" w:eastAsia="Times New Roman" w:hAnsi="Times New Roman"/>
                <w:sz w:val="20"/>
                <w:szCs w:val="20"/>
                <w:b w:val="1"/>
                <w:bCs w:val="1"/>
                <w:color w:val="auto"/>
                <w:vertAlign w:val="superscript"/>
              </w:rPr>
              <w:t>(2)</w:t>
            </w:r>
          </w:p>
        </w:tc>
        <w:tc>
          <w:tcPr>
            <w:tcW w:w="20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Consideration</w:t>
            </w:r>
          </w:p>
        </w:tc>
        <w:tc>
          <w:tcPr>
            <w:tcW w:w="0" w:type="dxa"/>
            <w:vAlign w:val="bottom"/>
          </w:tcPr>
          <w:p>
            <w:pPr>
              <w:spacing w:after="0"/>
              <w:rPr>
                <w:sz w:val="1"/>
                <w:szCs w:val="1"/>
                <w:color w:val="auto"/>
              </w:rPr>
            </w:pPr>
          </w:p>
        </w:tc>
      </w:tr>
      <w:tr>
        <w:trPr>
          <w:trHeight w:val="282"/>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w:t>
            </w:r>
            <w:r>
              <w:rPr>
                <w:rFonts w:ascii="Times New Roman" w:cs="Times New Roman" w:eastAsia="Times New Roman" w:hAnsi="Times New Roman"/>
                <w:sz w:val="20"/>
                <w:szCs w:val="20"/>
                <w:b w:val="1"/>
                <w:bCs w:val="1"/>
                <w:color w:val="auto"/>
              </w:rPr>
              <w:t>BalanceatDecember31,2020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2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Payments . . . . . . . . . . . . . . . . . . . . . . . . . . . . . . . . . . . . . . . . . . . . . . . . . . .</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Reclassifications  . . . . . . . . . . . . . . . . . . . . . . . . . . . . . . . . . . . . . . . . . . . . .</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Accretion . . . . . . . . . . . . . . . . . . . . . . . . . . . . . . . . . . . . . . . . . . . . . . . . . . .</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68"/>
        </w:trPr>
        <w:tc>
          <w:tcPr>
            <w:tcW w:w="6160" w:type="dxa"/>
            <w:vAlign w:val="bottom"/>
            <w:gridSpan w:val="2"/>
          </w:tcPr>
          <w:p>
            <w:pPr>
              <w:jc w:val="right"/>
              <w:ind w:right="200"/>
              <w:spacing w:after="0" w:line="268" w:lineRule="exact"/>
              <w:rPr>
                <w:sz w:val="20"/>
                <w:szCs w:val="20"/>
                <w:color w:val="auto"/>
              </w:rPr>
            </w:pPr>
            <w:r>
              <w:rPr>
                <w:rFonts w:ascii="Times New Roman" w:cs="Times New Roman" w:eastAsia="Times New Roman" w:hAnsi="Times New Roman"/>
                <w:sz w:val="20"/>
                <w:szCs w:val="20"/>
                <w:color w:val="auto"/>
                <w:w w:val="99"/>
              </w:rPr>
              <w:t xml:space="preserve">Fair value loss </w:t>
            </w:r>
            <w:r>
              <w:rPr>
                <w:rFonts w:ascii="Times New Roman" w:cs="Times New Roman" w:eastAsia="Times New Roman" w:hAnsi="Times New Roman"/>
                <w:sz w:val="26"/>
                <w:szCs w:val="26"/>
                <w:color w:val="auto"/>
                <w:w w:val="99"/>
                <w:vertAlign w:val="superscript"/>
              </w:rPr>
              <w:t>(3)</w:t>
            </w:r>
            <w:r>
              <w:rPr>
                <w:rFonts w:ascii="Times New Roman" w:cs="Times New Roman" w:eastAsia="Times New Roman" w:hAnsi="Times New Roman"/>
                <w:sz w:val="20"/>
                <w:szCs w:val="20"/>
                <w:color w:val="auto"/>
                <w:w w:val="99"/>
              </w:rPr>
              <w:t xml:space="preserve">  . . . . . . . . . . . . . . . . . . . . . . . . . . . . . . . . . . . . . . . . . . . . .</w:t>
            </w:r>
          </w:p>
        </w:tc>
        <w:tc>
          <w:tcPr>
            <w:tcW w:w="18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0" w:type="dxa"/>
            <w:vAlign w:val="bottom"/>
          </w:tcPr>
          <w:p>
            <w:pPr>
              <w:spacing w:after="0"/>
              <w:rPr>
                <w:sz w:val="1"/>
                <w:szCs w:val="1"/>
                <w:color w:val="auto"/>
              </w:rPr>
            </w:pPr>
          </w:p>
        </w:tc>
      </w:tr>
      <w:tr>
        <w:trPr>
          <w:trHeight w:val="272"/>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Balance at December 31, 2021  . . . . . . . . . . . . . . . . . . . . . . . . . . . . . . . . .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00" w:type="dxa"/>
            <w:vAlign w:val="bottom"/>
          </w:tcPr>
          <w:p>
            <w:pPr>
              <w:spacing w:after="0"/>
              <w:rPr>
                <w:sz w:val="23"/>
                <w:szCs w:val="23"/>
                <w:color w:val="auto"/>
              </w:rPr>
            </w:pPr>
          </w:p>
        </w:tc>
        <w:tc>
          <w:tcPr>
            <w:tcW w:w="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200" w:type="dxa"/>
            <w:vAlign w:val="bottom"/>
          </w:tcPr>
          <w:p>
            <w:pPr>
              <w:spacing w:after="0"/>
              <w:rPr>
                <w:sz w:val="23"/>
                <w:szCs w:val="2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Payments . . . . . . . . . . . . . . . . . . . . . . . . . . . . . . . . . . . . . . . . . . . . . . . . . . .</w:t>
            </w:r>
          </w:p>
        </w:tc>
        <w:tc>
          <w:tcPr>
            <w:tcW w:w="18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(64.1)</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Biocon Biologics Transaction . . . . . . . . . . . . . . . . . . . . . . . . . . . . . . . . . . .</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Reclassifications  . . . . . . . . . . . . . . . . . . . . . . . . . . . . . . . . . . . . . . . . . . . . .</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Accretion . . . . . . . . . . . . . . . . . . . . . . . . . . . . . . . . . . . . . . . . . . . . . . . . . . .</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68"/>
        </w:trPr>
        <w:tc>
          <w:tcPr>
            <w:tcW w:w="6160" w:type="dxa"/>
            <w:vAlign w:val="bottom"/>
            <w:gridSpan w:val="2"/>
          </w:tcPr>
          <w:p>
            <w:pPr>
              <w:jc w:val="right"/>
              <w:ind w:right="200"/>
              <w:spacing w:after="0" w:line="268" w:lineRule="exact"/>
              <w:rPr>
                <w:sz w:val="20"/>
                <w:szCs w:val="20"/>
                <w:color w:val="auto"/>
              </w:rPr>
            </w:pPr>
            <w:r>
              <w:rPr>
                <w:rFonts w:ascii="Times New Roman" w:cs="Times New Roman" w:eastAsia="Times New Roman" w:hAnsi="Times New Roman"/>
                <w:sz w:val="20"/>
                <w:szCs w:val="20"/>
                <w:color w:val="auto"/>
                <w:w w:val="99"/>
              </w:rPr>
              <w:t xml:space="preserve">Fair value loss </w:t>
            </w:r>
            <w:r>
              <w:rPr>
                <w:rFonts w:ascii="Times New Roman" w:cs="Times New Roman" w:eastAsia="Times New Roman" w:hAnsi="Times New Roman"/>
                <w:sz w:val="26"/>
                <w:szCs w:val="26"/>
                <w:color w:val="auto"/>
                <w:w w:val="99"/>
                <w:vertAlign w:val="superscript"/>
              </w:rPr>
              <w:t>(3)</w:t>
            </w:r>
            <w:r>
              <w:rPr>
                <w:rFonts w:ascii="Times New Roman" w:cs="Times New Roman" w:eastAsia="Times New Roman" w:hAnsi="Times New Roman"/>
                <w:sz w:val="20"/>
                <w:szCs w:val="20"/>
                <w:color w:val="auto"/>
                <w:w w:val="99"/>
              </w:rPr>
              <w:t xml:space="preserve">  . . . . . . . . . . . . . . . . . . . . . . . . . . . . . . . . . . . . . . . . . . . . .</w:t>
            </w:r>
          </w:p>
        </w:tc>
        <w:tc>
          <w:tcPr>
            <w:tcW w:w="18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72"/>
        </w:trPr>
        <w:tc>
          <w:tcPr>
            <w:tcW w:w="6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Balance at December 31, 2022  . . . . . . . . . . . . . . . . . . . . . . . . . . . . . . . . .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200" w:type="dxa"/>
            <w:vAlign w:val="bottom"/>
          </w:tcPr>
          <w:p>
            <w:pPr>
              <w:spacing w:after="0"/>
              <w:rPr>
                <w:sz w:val="23"/>
                <w:szCs w:val="23"/>
                <w:color w:val="auto"/>
              </w:rPr>
            </w:pPr>
          </w:p>
        </w:tc>
        <w:tc>
          <w:tcPr>
            <w:tcW w:w="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w:t>
            </w:r>
          </w:p>
        </w:tc>
        <w:tc>
          <w:tcPr>
            <w:tcW w:w="200" w:type="dxa"/>
            <w:vAlign w:val="bottom"/>
          </w:tcPr>
          <w:p>
            <w:pPr>
              <w:spacing w:after="0"/>
              <w:rPr>
                <w:sz w:val="23"/>
                <w:szCs w:val="2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375.0</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0" w:hanging="400"/>
        <w:spacing w:after="0" w:line="226" w:lineRule="auto"/>
        <w:tabs>
          <w:tab w:leader="none" w:pos="4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Included in other current liabilities in the consolidated balance sheets.</w:t>
      </w:r>
    </w:p>
    <w:p>
      <w:pPr>
        <w:spacing w:after="0" w:line="58" w:lineRule="exact"/>
        <w:rPr>
          <w:rFonts w:ascii="Times New Roman" w:cs="Times New Roman" w:eastAsia="Times New Roman" w:hAnsi="Times New Roman"/>
          <w:sz w:val="26"/>
          <w:szCs w:val="26"/>
          <w:color w:val="auto"/>
          <w:vertAlign w:val="superscript"/>
        </w:rPr>
      </w:pPr>
    </w:p>
    <w:p>
      <w:pPr>
        <w:ind w:left="400" w:hanging="400"/>
        <w:spacing w:after="0" w:line="180" w:lineRule="auto"/>
        <w:tabs>
          <w:tab w:leader="none" w:pos="40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obligations in the consolidated balance sheets.</w:t>
      </w:r>
    </w:p>
    <w:p>
      <w:pPr>
        <w:spacing w:after="0" w:line="58" w:lineRule="exact"/>
        <w:rPr>
          <w:rFonts w:ascii="Times New Roman" w:cs="Times New Roman" w:eastAsia="Times New Roman" w:hAnsi="Times New Roman"/>
          <w:sz w:val="21"/>
          <w:szCs w:val="21"/>
          <w:color w:val="auto"/>
          <w:vertAlign w:val="superscript"/>
        </w:rPr>
      </w:pPr>
    </w:p>
    <w:p>
      <w:pPr>
        <w:ind w:left="400" w:hanging="400"/>
        <w:spacing w:after="0" w:line="180" w:lineRule="auto"/>
        <w:tabs>
          <w:tab w:leader="none" w:pos="40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litigation settlements and other contingencies, net in the consolidated statements of operations.</w:t>
      </w:r>
    </w:p>
    <w:p>
      <w:pPr>
        <w:spacing w:after="0" w:line="19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Although the Company has not elected the fair value option for financial assets and liabilities other than the CCPS, any future transacted financial asset or liability will be evaluated for the fair value election.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Available-for-Sale Securities</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amortized cost and estimated fair value of available-for-sale securities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3"/>
                <w:szCs w:val="13"/>
                <w:color w:val="auto"/>
              </w:rPr>
            </w:pPr>
          </w:p>
        </w:tc>
        <w:tc>
          <w:tcPr>
            <w:tcW w:w="96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3"/>
                <w:szCs w:val="13"/>
                <w:color w:val="auto"/>
              </w:rPr>
            </w:pPr>
          </w:p>
        </w:tc>
        <w:tc>
          <w:tcPr>
            <w:tcW w:w="680" w:type="dxa"/>
            <w:vAlign w:val="bottom"/>
          </w:tcPr>
          <w:p>
            <w:pPr>
              <w:jc w:val="right"/>
              <w:ind w:right="187"/>
              <w:spacing w:after="0" w:line="160"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82"/>
        </w:trPr>
        <w:tc>
          <w:tcPr>
            <w:tcW w:w="35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80" w:type="dxa"/>
            <w:vAlign w:val="bottom"/>
          </w:tcPr>
          <w:p>
            <w:pPr>
              <w:spacing w:after="0"/>
              <w:rPr>
                <w:sz w:val="15"/>
                <w:szCs w:val="15"/>
                <w:color w:val="auto"/>
              </w:rPr>
            </w:pPr>
          </w:p>
        </w:tc>
        <w:tc>
          <w:tcPr>
            <w:tcW w:w="680" w:type="dxa"/>
            <w:vAlign w:val="bottom"/>
          </w:tcPr>
          <w:p>
            <w:pPr>
              <w:jc w:val="right"/>
              <w:ind w:right="184"/>
              <w:spacing w:after="0" w:line="182" w:lineRule="exact"/>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87"/>
              <w:spacing w:after="0" w:line="182" w:lineRule="exact"/>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82"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5"/>
                <w:szCs w:val="15"/>
                <w:color w:val="auto"/>
              </w:rPr>
            </w:pPr>
          </w:p>
        </w:tc>
        <w:tc>
          <w:tcPr>
            <w:tcW w:w="680" w:type="dxa"/>
            <w:vAlign w:val="bottom"/>
          </w:tcPr>
          <w:p>
            <w:pPr>
              <w:jc w:val="right"/>
              <w:ind w:right="127"/>
              <w:spacing w:after="0" w:line="182" w:lineRule="exact"/>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6"/>
        </w:trPr>
        <w:tc>
          <w:tcPr>
            <w:tcW w:w="3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fixed income</w:t>
            </w: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 . . . . . . . . . . . . . . . . . . . . . .</w:t>
            </w: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other current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0" w:type="dxa"/>
            <w:vAlign w:val="bottom"/>
          </w:tcPr>
          <w:p>
            <w:pPr>
              <w:spacing w:after="0"/>
              <w:rPr>
                <w:sz w:val="1"/>
                <w:szCs w:val="1"/>
                <w:color w:val="auto"/>
              </w:rPr>
            </w:pPr>
          </w:p>
        </w:tc>
      </w:tr>
      <w:tr>
        <w:trPr>
          <w:trHeight w:val="28"/>
        </w:trPr>
        <w:tc>
          <w:tcPr>
            <w:tcW w:w="3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520" w:type="dxa"/>
            <w:vAlign w:val="bottom"/>
            <w:vMerge w:val="continue"/>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fixed income</w:t>
            </w: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 . . . . . . . . . . . . . . . . . . . . . .</w:t>
            </w: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other current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Maturities of available-for-sale fixed income investments at fair value as of December 31, 2022, were as follows:</w:t>
      </w:r>
    </w:p>
    <w:p>
      <w:pPr>
        <w:sectPr>
          <w:pgSz w:w="11880" w:h="15480" w:orient="portrait"/>
          <w:cols w:equalWidth="0" w:num="1">
            <w:col w:w="9120"/>
          </w:cols>
          <w:pgMar w:left="1380" w:top="1322" w:right="1380" w:bottom="654" w:gutter="0" w:footer="0" w:header="0"/>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Mature within one year  . . . . . . . . . . . . . . . . . . . .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Mature in one to five years . . . . . . . . . . . . . . . . . .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Mature in five years and later . . . . . . . . . . . . . . . . . . . . . . . . . . . . . . . . . . . . . . . . . . . . . . . . . . . . . . . . . .</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510" w:hanging="510"/>
        <w:spacing w:after="0"/>
        <w:tabs>
          <w:tab w:leader="none" w:pos="51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w:t>
      </w:r>
    </w:p>
    <w:p>
      <w:pPr>
        <w:spacing w:after="0" w:line="21" w:lineRule="exact"/>
        <w:rPr>
          <w:rFonts w:ascii="Times New Roman" w:cs="Times New Roman" w:eastAsia="Times New Roman" w:hAnsi="Times New Roman"/>
          <w:sz w:val="19"/>
          <w:szCs w:val="19"/>
          <w:color w:val="auto"/>
        </w:rPr>
      </w:pPr>
    </w:p>
    <w:p>
      <w:pPr>
        <w:ind w:left="41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18.4</w:t>
      </w:r>
    </w:p>
    <w:p>
      <w:pPr>
        <w:spacing w:after="0" w:line="21" w:lineRule="exact"/>
        <w:rPr>
          <w:rFonts w:ascii="Times New Roman" w:cs="Times New Roman" w:eastAsia="Times New Roman" w:hAnsi="Times New Roman"/>
          <w:sz w:val="19"/>
          <w:szCs w:val="19"/>
          <w:color w:val="auto"/>
        </w:rPr>
      </w:pPr>
    </w:p>
    <w:p>
      <w:pPr>
        <w:ind w:left="41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47625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37.5pt,1.7pt" o:allowincell="f" strokecolor="#000000" strokeweight="0.5pt"/>
            </w:pict>
          </mc:Fallback>
        </mc:AlternateContent>
      </w:r>
    </w:p>
    <w:p>
      <w:pPr>
        <w:spacing w:after="0" w:line="82" w:lineRule="exact"/>
        <w:rPr>
          <w:sz w:val="20"/>
          <w:szCs w:val="20"/>
          <w:color w:val="auto"/>
        </w:rPr>
      </w:pPr>
    </w:p>
    <w:p>
      <w:pPr>
        <w:ind w:left="410" w:hanging="410"/>
        <w:spacing w:after="0"/>
        <w:tabs>
          <w:tab w:leader="none" w:pos="41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47625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37.5pt,1.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46990</wp:posOffset>
                </wp:positionV>
                <wp:extent cx="4762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37.5pt,3.7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8180" w:space="190"/>
            <w:col w:w="750"/>
          </w:cols>
          <w:pgMar w:left="1380" w:top="1322" w:right="1380" w:bottom="654"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9120"/>
          </w:cols>
          <w:pgMar w:left="1380" w:top="1322" w:right="1380" w:bottom="654"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11.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did not have any short-term borrowings as of December 31, 2022 and had $1.49 billion of short-term borrowings as of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880" w:type="dxa"/>
            <w:vAlign w:val="bottom"/>
          </w:tcPr>
          <w:p>
            <w:pPr>
              <w:jc w:val="right"/>
              <w:ind w:right="5944"/>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20" w:type="dxa"/>
            <w:vAlign w:val="bottom"/>
          </w:tcPr>
          <w:p>
            <w:pPr>
              <w:spacing w:after="0"/>
              <w:rPr>
                <w:sz w:val="15"/>
                <w:szCs w:val="15"/>
                <w:color w:val="auto"/>
              </w:rPr>
            </w:pPr>
          </w:p>
        </w:tc>
        <w:tc>
          <w:tcPr>
            <w:tcW w:w="72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4"/>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8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Commercial paper notes . . . . . . . . . . . . . . . . . . . . . . . . . . . . . . . . . . . . . . . . . . . . . . .</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1,173.4</w:t>
            </w:r>
          </w:p>
        </w:tc>
        <w:tc>
          <w:tcPr>
            <w:tcW w:w="0" w:type="dxa"/>
            <w:vAlign w:val="bottom"/>
          </w:tcPr>
          <w:p>
            <w:pPr>
              <w:spacing w:after="0"/>
              <w:rPr>
                <w:sz w:val="1"/>
                <w:szCs w:val="1"/>
                <w:color w:val="auto"/>
              </w:rPr>
            </w:pPr>
          </w:p>
        </w:tc>
      </w:tr>
      <w:tr>
        <w:trPr>
          <w:trHeight w:val="240"/>
        </w:trPr>
        <w:tc>
          <w:tcPr>
            <w:tcW w:w="68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Receivables Facility . . . . . . . . . . . . . . . . . . . . . . . . . . . . . . . . . . . . . . . . . . . . . . . . . .</w:t>
            </w:r>
          </w:p>
        </w:tc>
        <w:tc>
          <w:tcPr>
            <w:tcW w:w="220" w:type="dxa"/>
            <w:vAlign w:val="bottom"/>
          </w:tcPr>
          <w:p>
            <w:pPr>
              <w:spacing w:after="0"/>
              <w:rPr>
                <w:sz w:val="20"/>
                <w:szCs w:val="20"/>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w:t>
            </w:r>
          </w:p>
        </w:tc>
        <w:tc>
          <w:tcPr>
            <w:tcW w:w="0" w:type="dxa"/>
            <w:vAlign w:val="bottom"/>
          </w:tcPr>
          <w:p>
            <w:pPr>
              <w:spacing w:after="0"/>
              <w:rPr>
                <w:sz w:val="1"/>
                <w:szCs w:val="1"/>
                <w:color w:val="auto"/>
              </w:rPr>
            </w:pPr>
          </w:p>
        </w:tc>
      </w:tr>
      <w:tr>
        <w:trPr>
          <w:trHeight w:val="240"/>
        </w:trPr>
        <w:tc>
          <w:tcPr>
            <w:tcW w:w="68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w:t>
            </w:r>
          </w:p>
        </w:tc>
        <w:tc>
          <w:tcPr>
            <w:tcW w:w="220" w:type="dxa"/>
            <w:vAlign w:val="bottom"/>
          </w:tcPr>
          <w:p>
            <w:pPr>
              <w:spacing w:after="0"/>
              <w:rPr>
                <w:sz w:val="20"/>
                <w:szCs w:val="20"/>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8"/>
        </w:trPr>
        <w:tc>
          <w:tcPr>
            <w:tcW w:w="6880" w:type="dxa"/>
            <w:vAlign w:val="bottom"/>
            <w:vMerge w:val="restart"/>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 xml:space="preserve">Short-term borrowings </w:t>
            </w:r>
            <w:r>
              <w:rPr>
                <w:rFonts w:ascii="Times New Roman" w:cs="Times New Roman" w:eastAsia="Times New Roman" w:hAnsi="Times New Roman"/>
                <w:sz w:val="20"/>
                <w:szCs w:val="20"/>
                <w:color w:val="auto"/>
              </w:rPr>
              <w:t>. . . . . . . . . . . . . . . . . . . . . . . . . . . . . . . . . . . . . . . . . . . . .</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80" w:type="dxa"/>
            <w:vAlign w:val="bottom"/>
            <w:vMerge w:val="continue"/>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1,493.0</w:t>
            </w:r>
          </w:p>
        </w:tc>
        <w:tc>
          <w:tcPr>
            <w:tcW w:w="0" w:type="dxa"/>
            <w:vAlign w:val="bottom"/>
          </w:tcPr>
          <w:p>
            <w:pPr>
              <w:spacing w:after="0"/>
              <w:rPr>
                <w:sz w:val="1"/>
                <w:szCs w:val="1"/>
                <w:color w:val="auto"/>
              </w:rPr>
            </w:pPr>
          </w:p>
        </w:tc>
      </w:tr>
      <w:tr>
        <w:trPr>
          <w:trHeight w:val="28"/>
        </w:trPr>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provides an overview of the Company’s short-term credit facilities.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Receivables Facility and Note Securitization Facility</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a $400 million Receivables Facility which expires in April 2025 and a $200 million Note Securitization Facility which expires in August 2023.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 with which the Company was compliant as of December 31, 2022. As of December 31, 2022 and 2021, the Company had $474.9 million and $388.9 million, respectively, of accounts receivable balances sold to its subsidiary Mylan Securitization under the Receivables Facility.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summary of long-term debt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as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0"/>
        </w:trPr>
        <w:tc>
          <w:tcPr>
            <w:tcW w:w="574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20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5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1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Current portion of long-term debt:</w:t>
      </w:r>
    </w:p>
    <w:tbl>
      <w:tblPr>
        <w:tblLayout w:type="fixed"/>
        <w:tblInd w:w="0" w:type="dxa"/>
        <w:tblCellMar>
          <w:top w:w="0" w:type="dxa"/>
          <w:left w:w="0" w:type="dxa"/>
          <w:bottom w:w="0" w:type="dxa"/>
          <w:right w:w="0" w:type="dxa"/>
        </w:tblCellMar>
      </w:tblPr>
      <w:tr>
        <w:trPr>
          <w:trHeight w:val="26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2022</w:t>
            </w:r>
          </w:p>
        </w:tc>
        <w:tc>
          <w:tcPr>
            <w:tcW w:w="5460" w:type="dxa"/>
            <w:vAlign w:val="bottom"/>
          </w:tcPr>
          <w:p>
            <w:pPr>
              <w:jc w:val="right"/>
              <w:ind w:right="240"/>
              <w:spacing w:after="0" w:line="260" w:lineRule="exact"/>
              <w:rPr>
                <w:sz w:val="20"/>
                <w:szCs w:val="20"/>
                <w:color w:val="auto"/>
              </w:rPr>
            </w:pPr>
            <w:r>
              <w:rPr>
                <w:rFonts w:ascii="Times New Roman" w:cs="Times New Roman" w:eastAsia="Times New Roman" w:hAnsi="Times New Roman"/>
                <w:sz w:val="20"/>
                <w:szCs w:val="20"/>
                <w:color w:val="auto"/>
              </w:rPr>
              <w:t xml:space="preserve">Euro Senior Notes </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w:t>
            </w: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0.816%</w:t>
            </w:r>
          </w:p>
        </w:tc>
        <w:tc>
          <w:tcPr>
            <w:tcW w:w="22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856.6</w:t>
            </w:r>
          </w:p>
        </w:tc>
      </w:tr>
      <w:tr>
        <w:trPr>
          <w:trHeight w:val="240"/>
        </w:trPr>
        <w:tc>
          <w:tcPr>
            <w:tcW w:w="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2022</w:t>
            </w:r>
          </w:p>
        </w:tc>
        <w:tc>
          <w:tcPr>
            <w:tcW w:w="5460" w:type="dxa"/>
            <w:vAlign w:val="bottom"/>
          </w:tcPr>
          <w:p>
            <w:pPr>
              <w:jc w:val="right"/>
              <w:ind w:right="240"/>
              <w:spacing w:after="0" w:line="240" w:lineRule="exact"/>
              <w:rPr>
                <w:sz w:val="20"/>
                <w:szCs w:val="20"/>
                <w:color w:val="auto"/>
              </w:rPr>
            </w:pPr>
            <w:r>
              <w:rPr>
                <w:rFonts w:ascii="Times New Roman" w:cs="Times New Roman" w:eastAsia="Times New Roman" w:hAnsi="Times New Roman"/>
                <w:sz w:val="20"/>
                <w:szCs w:val="20"/>
                <w:color w:val="auto"/>
                <w:w w:val="99"/>
              </w:rPr>
              <w:t xml:space="preserve">Senior Notes </w:t>
            </w:r>
            <w:r>
              <w:rPr>
                <w:rFonts w:ascii="Times New Roman" w:cs="Times New Roman" w:eastAsia="Times New Roman" w:hAnsi="Times New Roman"/>
                <w:sz w:val="26"/>
                <w:szCs w:val="26"/>
                <w:color w:val="auto"/>
                <w:w w:val="99"/>
                <w:vertAlign w:val="superscript"/>
              </w:rPr>
              <w:t>(b)</w:t>
            </w:r>
            <w:r>
              <w:rPr>
                <w:rFonts w:ascii="Times New Roman" w:cs="Times New Roman" w:eastAsia="Times New Roman" w:hAnsi="Times New Roman"/>
                <w:sz w:val="20"/>
                <w:szCs w:val="20"/>
                <w:color w:val="auto"/>
                <w:w w:val="99"/>
              </w:rPr>
              <w:t xml:space="preserve"> *** . . . . . . . . . . . . . . . . . . . . . . . . . . . . . . . . . . .</w:t>
            </w:r>
          </w:p>
        </w:tc>
        <w:tc>
          <w:tcPr>
            <w:tcW w:w="118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1.125%</w:t>
            </w:r>
          </w:p>
        </w:tc>
        <w:tc>
          <w:tcPr>
            <w:tcW w:w="220" w:type="dxa"/>
            <w:vAlign w:val="bottom"/>
          </w:tcPr>
          <w:p>
            <w:pPr>
              <w:spacing w:after="0"/>
              <w:rPr>
                <w:sz w:val="20"/>
                <w:szCs w:val="20"/>
                <w:color w:val="auto"/>
              </w:rPr>
            </w:pPr>
          </w:p>
        </w:tc>
        <w:tc>
          <w:tcPr>
            <w:tcW w:w="90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1,002.9</w:t>
            </w:r>
          </w:p>
        </w:tc>
      </w:tr>
      <w:tr>
        <w:trPr>
          <w:trHeight w:val="240"/>
        </w:trPr>
        <w:tc>
          <w:tcPr>
            <w:tcW w:w="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5460" w:type="dxa"/>
            <w:vAlign w:val="bottom"/>
          </w:tcPr>
          <w:p>
            <w:pPr>
              <w:jc w:val="right"/>
              <w:ind w:right="240"/>
              <w:spacing w:after="0" w:line="240" w:lineRule="exact"/>
              <w:rPr>
                <w:sz w:val="20"/>
                <w:szCs w:val="20"/>
                <w:color w:val="auto"/>
              </w:rPr>
            </w:pPr>
            <w:r>
              <w:rPr>
                <w:rFonts w:ascii="Times New Roman" w:cs="Times New Roman" w:eastAsia="Times New Roman" w:hAnsi="Times New Roman"/>
                <w:sz w:val="20"/>
                <w:szCs w:val="20"/>
                <w:color w:val="auto"/>
                <w:w w:val="99"/>
              </w:rPr>
              <w:t xml:space="preserve">Senior Notes </w:t>
            </w:r>
            <w:r>
              <w:rPr>
                <w:rFonts w:ascii="Times New Roman" w:cs="Times New Roman" w:eastAsia="Times New Roman" w:hAnsi="Times New Roman"/>
                <w:sz w:val="26"/>
                <w:szCs w:val="26"/>
                <w:color w:val="auto"/>
                <w:w w:val="99"/>
                <w:vertAlign w:val="superscript"/>
              </w:rPr>
              <w:t>(c)</w:t>
            </w:r>
            <w:r>
              <w:rPr>
                <w:rFonts w:ascii="Times New Roman" w:cs="Times New Roman" w:eastAsia="Times New Roman" w:hAnsi="Times New Roman"/>
                <w:sz w:val="20"/>
                <w:szCs w:val="20"/>
                <w:color w:val="auto"/>
                <w:w w:val="99"/>
              </w:rPr>
              <w:t xml:space="preserve"> * . . . . . . . . . . . . . . . . . . . . . . . . . . . . . . . . . . . . .</w:t>
            </w:r>
          </w:p>
        </w:tc>
        <w:tc>
          <w:tcPr>
            <w:tcW w:w="118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3.125%</w:t>
            </w:r>
          </w:p>
        </w:tc>
        <w:tc>
          <w:tcPr>
            <w:tcW w:w="220" w:type="dxa"/>
            <w:vAlign w:val="bottom"/>
          </w:tcPr>
          <w:p>
            <w:pPr>
              <w:spacing w:after="0"/>
              <w:rPr>
                <w:sz w:val="20"/>
                <w:szCs w:val="20"/>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750.6</w:t>
            </w:r>
          </w:p>
        </w:tc>
        <w:tc>
          <w:tcPr>
            <w:tcW w:w="200" w:type="dxa"/>
            <w:vAlign w:val="bottom"/>
          </w:tcPr>
          <w:p>
            <w:pPr>
              <w:spacing w:after="0"/>
              <w:rPr>
                <w:sz w:val="20"/>
                <w:szCs w:val="20"/>
                <w:color w:val="auto"/>
              </w:rPr>
            </w:pP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5460" w:type="dxa"/>
            <w:vAlign w:val="bottom"/>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Senior Notes * . . . . . . . . . . . . . . . . . . . . . . . . . . . . . . . . . . . . . . .</w:t>
            </w:r>
          </w:p>
        </w:tc>
        <w:tc>
          <w:tcPr>
            <w:tcW w:w="118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4.200%</w:t>
            </w:r>
          </w:p>
        </w:tc>
        <w:tc>
          <w:tcPr>
            <w:tcW w:w="22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499.8</w:t>
            </w:r>
          </w:p>
        </w:tc>
        <w:tc>
          <w:tcPr>
            <w:tcW w:w="200" w:type="dxa"/>
            <w:vAlign w:val="bottom"/>
          </w:tcPr>
          <w:p>
            <w:pPr>
              <w:spacing w:after="0"/>
              <w:rPr>
                <w:sz w:val="19"/>
                <w:szCs w:val="19"/>
                <w:color w:val="auto"/>
              </w:rPr>
            </w:pP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4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4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financing fees . . . . . . . . . . . . . . . . . . . . . . . . . . . . . . . . . . . .</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
        </w:trPr>
        <w:tc>
          <w:tcPr>
            <w:tcW w:w="58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5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1,250.5</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$ 1,860.3</w:t>
            </w:r>
          </w:p>
        </w:tc>
      </w:tr>
      <w:tr>
        <w:trPr>
          <w:trHeight w:val="28"/>
        </w:trPr>
        <w:tc>
          <w:tcPr>
            <w:tcW w:w="4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9120"/>
          </w:cols>
          <w:pgMar w:left="1380" w:top="1312" w:right="1380" w:bottom="654"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as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0"/>
        </w:trPr>
        <w:tc>
          <w:tcPr>
            <w:tcW w:w="574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20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5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1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Non-current portion of long-term debt: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2023</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(c)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3.125%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766.1</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2023</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4.200%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499.6</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2024</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1,135.8</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2024</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1.023%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871.6</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2.125%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567.8</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1.650%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2,241.4</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1.362%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1,013.0</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2.300%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780.8</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3.125%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847.4</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4.550%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748.7</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2.700%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1,520.5</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2032</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Euro Senior Notes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1.908%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1,546.6</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2040</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3.850%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1,657.1</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2043</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5.400%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497.3</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2046</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5.250%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999.9</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2048</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5.200%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747.8</w:t>
            </w:r>
          </w:p>
        </w:tc>
      </w:tr>
      <w:tr>
        <w:trPr>
          <w:trHeight w:val="2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2050</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Senior Notes *** . . . . . . . . . . . . . . . . . . . . . . . . . . . . . . . . . . . . .</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4.000%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2,205.1</w:t>
            </w:r>
          </w:p>
        </w:tc>
      </w:tr>
      <w:tr>
        <w:trPr>
          <w:trHeight w:val="240"/>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YEN Term Loan Facility . . . . . . . . . . . . . . . . . . . . . . . . . . . . . . . . . . .</w:t>
            </w:r>
          </w:p>
        </w:tc>
        <w:tc>
          <w:tcPr>
            <w:tcW w:w="13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Variable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347.6</w:t>
            </w:r>
          </w:p>
        </w:tc>
      </w:tr>
      <w:tr>
        <w:trPr>
          <w:trHeight w:val="240"/>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40"/>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financing fees . . . . . . . . . . . . . . . . . . . . . . . . . . . . . . . . . . . .</w:t>
            </w:r>
          </w:p>
        </w:tc>
        <w:tc>
          <w:tcPr>
            <w:tcW w:w="1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(35.1)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r>
      <w:tr>
        <w:trPr>
          <w:trHeight w:val="28"/>
        </w:trPr>
        <w:tc>
          <w:tcPr>
            <w:tcW w:w="960" w:type="dxa"/>
            <w:vAlign w:val="bottom"/>
            <w:gridSpan w:val="2"/>
          </w:tcPr>
          <w:p>
            <w:pPr>
              <w:spacing w:after="0"/>
              <w:rPr>
                <w:sz w:val="2"/>
                <w:szCs w:val="2"/>
                <w:color w:val="auto"/>
              </w:rPr>
            </w:pPr>
          </w:p>
        </w:tc>
        <w:tc>
          <w:tcPr>
            <w:tcW w:w="4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57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Long-term debt  . . . . . . . . . . . . . . . . . . . . . . . . . . . . . . . . . . . . . . . .</w:t>
            </w:r>
          </w:p>
        </w:tc>
        <w:tc>
          <w:tcPr>
            <w:tcW w:w="1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$18,015.2</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$19,717.1</w:t>
            </w:r>
          </w:p>
        </w:tc>
      </w:tr>
      <w:tr>
        <w:trPr>
          <w:trHeight w:val="28"/>
        </w:trPr>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400" w:hanging="400"/>
        <w:spacing w:after="0" w:line="226" w:lineRule="auto"/>
        <w:tabs>
          <w:tab w:leader="none" w:pos="4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2022 Euro Senior Notes were repaid at maturity in the second quarter of 2022.</w:t>
      </w:r>
    </w:p>
    <w:p>
      <w:pPr>
        <w:spacing w:after="0" w:line="58" w:lineRule="exact"/>
        <w:rPr>
          <w:rFonts w:ascii="Times New Roman" w:cs="Times New Roman" w:eastAsia="Times New Roman" w:hAnsi="Times New Roman"/>
          <w:sz w:val="26"/>
          <w:szCs w:val="26"/>
          <w:color w:val="auto"/>
          <w:vertAlign w:val="superscript"/>
        </w:rPr>
      </w:pPr>
    </w:p>
    <w:p>
      <w:pPr>
        <w:ind w:left="400" w:hanging="400"/>
        <w:spacing w:after="0" w:line="180" w:lineRule="auto"/>
        <w:tabs>
          <w:tab w:leader="none" w:pos="400" w:val="left"/>
        </w:tabs>
        <w:numPr>
          <w:ilvl w:val="0"/>
          <w:numId w:val="7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2022 Senior Notes were repaid at maturity in the second quarter of 2022.</w:t>
      </w:r>
    </w:p>
    <w:p>
      <w:pPr>
        <w:spacing w:after="0" w:line="58" w:lineRule="exact"/>
        <w:rPr>
          <w:rFonts w:ascii="Times New Roman" w:cs="Times New Roman" w:eastAsia="Times New Roman" w:hAnsi="Times New Roman"/>
          <w:sz w:val="21"/>
          <w:szCs w:val="21"/>
          <w:color w:val="auto"/>
          <w:vertAlign w:val="superscript"/>
        </w:rPr>
      </w:pPr>
    </w:p>
    <w:p>
      <w:pPr>
        <w:jc w:val="both"/>
        <w:ind w:left="400" w:hanging="400"/>
        <w:spacing w:after="0" w:line="209" w:lineRule="auto"/>
        <w:tabs>
          <w:tab w:leader="none" w:pos="4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ind w:left="400" w:hanging="400"/>
        <w:spacing w:after="0" w:line="193" w:lineRule="auto"/>
        <w:tabs>
          <w:tab w:leader="none" w:pos="4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Instrument was issued by Mylan Inc.</w:t>
      </w:r>
    </w:p>
    <w:p>
      <w:pPr>
        <w:ind w:left="400" w:hanging="400"/>
        <w:spacing w:after="0" w:line="193" w:lineRule="auto"/>
        <w:tabs>
          <w:tab w:leader="none" w:pos="40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Instrument was originally issued by Mylan N.V.; now held by Utah Acquisition Sub Inc.</w:t>
      </w:r>
    </w:p>
    <w:p>
      <w:pPr>
        <w:spacing w:after="0" w:line="58" w:lineRule="exact"/>
        <w:rPr>
          <w:rFonts w:ascii="Times New Roman" w:cs="Times New Roman" w:eastAsia="Times New Roman" w:hAnsi="Times New Roman"/>
          <w:sz w:val="26"/>
          <w:szCs w:val="26"/>
          <w:color w:val="auto"/>
          <w:vertAlign w:val="superscript"/>
        </w:rPr>
      </w:pPr>
    </w:p>
    <w:p>
      <w:pPr>
        <w:ind w:left="400" w:hanging="400"/>
        <w:spacing w:after="0" w:line="180" w:lineRule="auto"/>
        <w:tabs>
          <w:tab w:leader="none" w:pos="40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Instrument was issued by Viatris Inc.</w:t>
      </w:r>
    </w:p>
    <w:p>
      <w:pPr>
        <w:spacing w:after="0" w:line="58" w:lineRule="exact"/>
        <w:rPr>
          <w:rFonts w:ascii="Times New Roman" w:cs="Times New Roman" w:eastAsia="Times New Roman" w:hAnsi="Times New Roman"/>
          <w:sz w:val="21"/>
          <w:szCs w:val="21"/>
          <w:color w:val="auto"/>
          <w:vertAlign w:val="superscript"/>
        </w:rPr>
      </w:pPr>
    </w:p>
    <w:p>
      <w:pPr>
        <w:ind w:left="400" w:hanging="400"/>
        <w:spacing w:after="0" w:line="180" w:lineRule="auto"/>
        <w:tabs>
          <w:tab w:leader="none" w:pos="400"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Instrument was issued by Upjohn Finance B.V.</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Notes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Upjohn Senior Notes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connection with the Combination, in June 2020, Viatris and Upjohn Finance B.V. completed privately placed debt offerings of $7.45 billion aggregate principal amount of the Unregistered Upjohn U.S. Dollar Notes and €3.60 billion aggregate principal amount of the Upjohn Euro Notes, respectively.</w:t>
      </w:r>
    </w:p>
    <w:p>
      <w:pPr>
        <w:spacing w:after="0" w:line="25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Unregistered Upjohn U.S. Dollar Notes were issued pursuant to an indenture dated June 22, 2020 in a private offering exempt from the registration requirements of the Securities. In October 2021, substantially all of the then-outstanding $7.45 billion aggregate principal amount of Unregistered Upjohn U.S. Dollar Notes were exchanged for Registered Upjohn Notes registered under the Securities Act in the same aggregate principal amount and with terms substantially identical in all material respects with the corresponding series of Unregistered Upjohn U.S. Dollar Notes.</w:t>
      </w:r>
    </w:p>
    <w:p>
      <w:pPr>
        <w:sectPr>
          <w:pgSz w:w="11880" w:h="15480" w:orient="portrait"/>
          <w:cols w:equalWidth="0" w:num="1">
            <w:col w:w="9120"/>
          </w:cols>
          <w:pgMar w:left="1380" w:top="1248"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9120"/>
          </w:cols>
          <w:pgMar w:left="1380" w:top="1248" w:right="1380" w:bottom="654" w:gutter="0" w:footer="0" w:header="0"/>
          <w:type w:val="continuous"/>
        </w:sectPr>
      </w:pPr>
    </w:p>
    <w:bookmarkStart w:id="140" w:name="page141"/>
    <w:bookmarkEnd w:id="140"/>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Upjohn Euro Notes were issued pursuant to an indenture dated June 23, 2020 in a private offering exempt from the registration requirements of the Securities Act. Viatris and Upjohn Finance B.V. are U.S. dollar functional entities.</w:t>
      </w:r>
    </w:p>
    <w:p>
      <w:pPr>
        <w:spacing w:after="0" w:line="25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net proceeds from the offerings of the Upjohn Senior Notes, together with the proceeds from the $600 million USD Term Loan Facility, were utilized to fund the $12 billion cash payment by Viatris to Pfizer as partial consideration for Pfizer’s contribution of the Upjohn Business to Viatris and related transaction fees and expenses.</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Assumptions and Guarantees of Senior Unsecured Notes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Viatris Inc. is the issuer of the Upjohn U.S. Dollar Notes, which are fully and unconditionally guaranteed on a senior unsecured basis by Mylan Inc., Mylan II B.V. and Utah Acquisition Sub Inc.</w:t>
      </w:r>
    </w:p>
    <w:p>
      <w:pPr>
        <w:spacing w:after="0" w:line="26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Upjohn Finance B.V. is the issuer of the Upjohn Euro Notes, which are fully and unconditionally guaranteed on a senior unsecured basis by Viatris Inc., Mylan Inc., Mylan II B.V. and Utah Acquisition Sub Inc.</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Following the Combination, Utah Acquisition Sub Inc. is the issuer of the Utah U.S. Dollar Notes and the Utah Euro Notes, which are each fully and unconditionally guaranteed on a senior unsecured basis by Mylan Inc., Viatris Inc. and Mylan II B.V.</w:t>
      </w:r>
    </w:p>
    <w:p>
      <w:pPr>
        <w:spacing w:after="0" w:line="25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Mylan Inc. is the issuer of the Mylan Inc. U.S. Dollar Notes and the Mylan Inc. Euro Notes, which are each fully and unconditionally guaranteed on a senior unsecured basis by Mylan II B.V., Viatris Inc. and Utah Acquisition Sub Inc.</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YEN Term Loan Facility and 2021 Revolving Facility</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July 2021, Viatris entered into (i) the ¥40 billion YEN Term Loan Facility and (ii) the $4.0 billion 2021 Revolving Facility with various syndicates of banks. The YEN Term Loan Facility and the 2021 Revolving Facility will mature in July 2026 and contain customary affirmative covenants for facilities of this type, including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4.25 to 1.00 for each quarter ending after June 30, 2021 through and including June 30, 2022, 4.0 to 1.00 for each quarter ending after June 30, 2022 through and including December 31, 2022 and 3.75 to 1.00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 Up to $1.65 billion of the 2021 Revolving Facility will be available to repay outstanding borrowings under our Commercial Paper Program if necessary.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At December 31, 2022 and 2021, the aggregate fair value of the Company’s outstanding notes was approximately $15.36 billion and $22.01 billion, respectively. The fair values of the outstanding notes were valued at quoted market prices from broker or dealer quotations and were classified as Level 2 in the fair value hierarchy.</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9120"/>
          </w:cols>
          <w:pgMar w:left="1380" w:top="1322" w:right="1380" w:bottom="654" w:gutter="0" w:footer="0" w:header="0"/>
          <w:type w:val="continuous"/>
        </w:sectPr>
      </w:pPr>
    </w:p>
    <w:bookmarkStart w:id="141" w:name="page142"/>
    <w:bookmarkEnd w:id="141"/>
    <w:p>
      <w:pPr>
        <w:ind w:left="400"/>
        <w:spacing w:after="0"/>
        <w:rPr>
          <w:sz w:val="20"/>
          <w:szCs w:val="20"/>
          <w:color w:val="auto"/>
        </w:rPr>
      </w:pPr>
      <w:r>
        <w:rPr>
          <w:rFonts w:ascii="Times New Roman" w:cs="Times New Roman" w:eastAsia="Times New Roman" w:hAnsi="Times New Roman"/>
          <w:sz w:val="20"/>
          <w:szCs w:val="20"/>
          <w:color w:val="auto"/>
        </w:rPr>
        <w:t>Mandatory minimum repayments remaining on the notional amount of outstanding long-term debt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were as follows for each of the periods ending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jc w:val="right"/>
              <w:ind w:right="7343"/>
              <w:spacing w:after="0"/>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160" w:type="dxa"/>
            <w:vAlign w:val="bottom"/>
          </w:tcPr>
          <w:p>
            <w:pPr>
              <w:spacing w:after="0"/>
              <w:rPr>
                <w:sz w:val="16"/>
                <w:szCs w:val="16"/>
                <w:color w:val="auto"/>
              </w:rPr>
            </w:pPr>
          </w:p>
        </w:tc>
        <w:tc>
          <w:tcPr>
            <w:tcW w:w="68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2"/>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r>
      <w:tr>
        <w:trPr>
          <w:trHeight w:val="240"/>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2024 . . . . . . . . . . . . . . . . . . . . . . . . . . . . . . . . . . . . . . . . . . . . . . . . . . . . . . . . . . . . . . . . . . . . . . . . . . . .</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r>
      <w:tr>
        <w:trPr>
          <w:trHeight w:val="240"/>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2025 . . . . . . . . . . . . . . . . . . . . . . . . . . . . . . . . . . . . . . . . . . . . . . . . . . . . . . . . . . . . . . . . . . . . . . . . . . . .</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r>
      <w:tr>
        <w:trPr>
          <w:trHeight w:val="240"/>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2026 . . . . . . . . . . . . . . . . . . . . . . . . . . . . . . . . . . . . . . . . . . . . . . . . . . . . . . . . . . . . . . . . . . . . . . . . . . . .</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w:t>
            </w:r>
          </w:p>
        </w:tc>
      </w:tr>
      <w:tr>
        <w:trPr>
          <w:trHeight w:val="240"/>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2027 . . . . . . . . . . . . . . . . . . . . . . . . . . . . . . . . . . . . . . . . . . . . . . . . . . . . . . . . . . . . . . . . . . . . . . . . . . . .</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w:t>
            </w:r>
          </w:p>
        </w:tc>
      </w:tr>
      <w:tr>
        <w:trPr>
          <w:trHeight w:val="240"/>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 . .</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10,091</w:t>
            </w:r>
          </w:p>
        </w:tc>
      </w:tr>
      <w:tr>
        <w:trPr>
          <w:trHeight w:val="28"/>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82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18,714</w:t>
            </w:r>
          </w:p>
        </w:tc>
      </w:tr>
      <w:tr>
        <w:trPr>
          <w:trHeight w:val="28"/>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Comprehensive (Loss) Earnings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Accumulated other comprehensive loss, as reflected in the consolidated balance sheets, is comprised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6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Pr>
          <w:p>
            <w:pPr>
              <w:spacing w:after="0"/>
              <w:rPr>
                <w:sz w:val="15"/>
                <w:szCs w:val="15"/>
                <w:color w:val="auto"/>
              </w:rPr>
            </w:pPr>
          </w:p>
        </w:tc>
        <w:tc>
          <w:tcPr>
            <w:tcW w:w="820" w:type="dxa"/>
            <w:vAlign w:val="bottom"/>
          </w:tcPr>
          <w:p>
            <w:pPr>
              <w:jc w:val="right"/>
              <w:ind w:right="30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03"/>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unrealized (loss) on marketable securities, net of tax . . . . . . . . . . . . . . . . .</w:t>
            </w: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unrecognized gain and prior service cost related to defined benefit plans,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of tax  . . . . . . . . . . . . . . . . . . . . . . . . . . . . . . . . . . . . . . . . . . . . . . . . . . . . .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Net unrecognized (loss)/gain on derivatives in cash flow hedging relationships, net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of tax . . . . . . . . . . . . . . . . . . . . . . . . . . . . . . . . . . . . . . . . . . . . . . . . . . . . . . . . .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unrecognized gain on derivatives in net investment hedging relationships,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of tax  . . . . . . . . . . . . . . . . . . . . . . . . . . . . . . . . . . . . . . . . . . . . . . . . . . . . .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 . . . . . . . . . . . . . . . . . . . . . . . . . . . . .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(3,385.9)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(1,802.4)</w:t>
            </w:r>
          </w:p>
        </w:tc>
        <w:tc>
          <w:tcPr>
            <w:tcW w:w="0" w:type="dxa"/>
            <w:vAlign w:val="bottom"/>
          </w:tcPr>
          <w:p>
            <w:pPr>
              <w:spacing w:after="0"/>
              <w:rPr>
                <w:sz w:val="1"/>
                <w:szCs w:val="1"/>
                <w:color w:val="auto"/>
              </w:rPr>
            </w:pPr>
          </w:p>
        </w:tc>
      </w:tr>
      <w:tr>
        <w:trPr>
          <w:trHeight w:val="28"/>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60" w:type="dxa"/>
            <w:vAlign w:val="bottom"/>
          </w:tcPr>
          <w:p>
            <w:pPr>
              <w:spacing w:after="0"/>
              <w:rPr>
                <w:sz w:val="23"/>
                <w:szCs w:val="23"/>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(2,761.2)</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(1,744.3)</w:t>
            </w:r>
          </w:p>
        </w:tc>
        <w:tc>
          <w:tcPr>
            <w:tcW w:w="0" w:type="dxa"/>
            <w:vAlign w:val="bottom"/>
          </w:tcPr>
          <w:p>
            <w:pPr>
              <w:spacing w:after="0"/>
              <w:rPr>
                <w:sz w:val="1"/>
                <w:szCs w:val="1"/>
                <w:color w:val="auto"/>
              </w:rPr>
            </w:pPr>
          </w:p>
        </w:tc>
      </w:tr>
      <w:tr>
        <w:trPr>
          <w:trHeight w:val="28"/>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9120"/>
          </w:cols>
          <w:pgMar w:left="1380" w:top="1312" w:right="1380" w:bottom="654" w:gutter="0" w:footer="0" w:header="0"/>
          <w:type w:val="continuous"/>
        </w:sectPr>
      </w:pPr>
    </w:p>
    <w:bookmarkStart w:id="142" w:name="page143"/>
    <w:bookmarkEnd w:id="142"/>
    <w:p>
      <w:pPr>
        <w:ind w:left="400"/>
        <w:spacing w:after="0"/>
        <w:rPr>
          <w:sz w:val="20"/>
          <w:szCs w:val="20"/>
          <w:color w:val="auto"/>
        </w:rPr>
      </w:pPr>
      <w:r>
        <w:rPr>
          <w:rFonts w:ascii="Times New Roman" w:cs="Times New Roman" w:eastAsia="Times New Roman" w:hAnsi="Times New Roman"/>
          <w:sz w:val="20"/>
          <w:szCs w:val="20"/>
          <w:color w:val="auto"/>
        </w:rPr>
        <w:t>Components of accumulated other comprehensive (loss) earnings, before tax,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9"/>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40" w:type="dxa"/>
            <w:vAlign w:val="bottom"/>
          </w:tcPr>
          <w:p>
            <w:pPr>
              <w:spacing w:after="0"/>
              <w:rPr>
                <w:sz w:val="13"/>
                <w:szCs w:val="13"/>
                <w:color w:val="auto"/>
              </w:rPr>
            </w:pPr>
          </w:p>
        </w:tc>
        <w:tc>
          <w:tcPr>
            <w:tcW w:w="840" w:type="dxa"/>
            <w:vAlign w:val="bottom"/>
            <w:gridSpan w:val="5"/>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9"/>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208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Gains and Losses 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40" w:type="dxa"/>
            <w:vAlign w:val="bottom"/>
          </w:tcPr>
          <w:p>
            <w:pPr>
              <w:spacing w:after="0"/>
              <w:rPr>
                <w:sz w:val="13"/>
                <w:szCs w:val="13"/>
                <w:color w:val="auto"/>
              </w:rPr>
            </w:pPr>
          </w:p>
        </w:tc>
        <w:tc>
          <w:tcPr>
            <w:tcW w:w="840" w:type="dxa"/>
            <w:vAlign w:val="bottom"/>
            <w:gridSpan w:val="5"/>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00" w:type="dxa"/>
            <w:vAlign w:val="bottom"/>
          </w:tcPr>
          <w:p>
            <w:pPr>
              <w:spacing w:after="0"/>
              <w:rPr>
                <w:sz w:val="13"/>
                <w:szCs w:val="13"/>
                <w:color w:val="auto"/>
              </w:rPr>
            </w:pPr>
          </w:p>
        </w:tc>
        <w:tc>
          <w:tcPr>
            <w:tcW w:w="70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b w:val="1"/>
                <w:bCs w:val="1"/>
                <w:color w:val="auto"/>
              </w:rPr>
              <w:t>Defined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9"/>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208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Derivatives in Cash Flow</w:t>
            </w:r>
          </w:p>
        </w:tc>
        <w:tc>
          <w:tcPr>
            <w:tcW w:w="40" w:type="dxa"/>
            <w:vAlign w:val="bottom"/>
          </w:tcPr>
          <w:p>
            <w:pPr>
              <w:spacing w:after="0"/>
              <w:rPr>
                <w:sz w:val="13"/>
                <w:szCs w:val="13"/>
                <w:color w:val="auto"/>
              </w:rPr>
            </w:pPr>
          </w:p>
        </w:tc>
        <w:tc>
          <w:tcPr>
            <w:tcW w:w="1680" w:type="dxa"/>
            <w:vAlign w:val="bottom"/>
            <w:gridSpan w:val="8"/>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Investment Marketable</w:t>
            </w:r>
          </w:p>
        </w:tc>
        <w:tc>
          <w:tcPr>
            <w:tcW w:w="100" w:type="dxa"/>
            <w:vAlign w:val="bottom"/>
          </w:tcPr>
          <w:p>
            <w:pPr>
              <w:spacing w:after="0"/>
              <w:rPr>
                <w:sz w:val="13"/>
                <w:szCs w:val="13"/>
                <w:color w:val="auto"/>
              </w:rPr>
            </w:pPr>
          </w:p>
        </w:tc>
        <w:tc>
          <w:tcPr>
            <w:tcW w:w="70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b w:val="1"/>
                <w:bCs w:val="1"/>
                <w:color w:val="auto"/>
              </w:rPr>
              <w:t>Pension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9"/>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2080" w:type="dxa"/>
            <w:vAlign w:val="bottom"/>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Hedging Relationships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8"/>
              <w:spacing w:after="0" w:line="182" w:lineRule="exact"/>
              <w:rPr>
                <w:sz w:val="20"/>
                <w:szCs w:val="20"/>
                <w:color w:val="auto"/>
              </w:rPr>
            </w:pPr>
            <w:r>
              <w:rPr>
                <w:rFonts w:ascii="Times New Roman" w:cs="Times New Roman" w:eastAsia="Times New Roman" w:hAnsi="Times New Roman"/>
                <w:sz w:val="16"/>
                <w:szCs w:val="16"/>
                <w:b w:val="1"/>
                <w:bCs w:val="1"/>
                <w:color w:val="auto"/>
              </w:rPr>
              <w:t>Hedges</w:t>
            </w:r>
          </w:p>
        </w:tc>
        <w:tc>
          <w:tcPr>
            <w:tcW w:w="40" w:type="dxa"/>
            <w:vAlign w:val="bottom"/>
          </w:tcPr>
          <w:p>
            <w:pPr>
              <w:spacing w:after="0"/>
              <w:rPr>
                <w:sz w:val="15"/>
                <w:szCs w:val="15"/>
                <w:color w:val="auto"/>
              </w:rPr>
            </w:pPr>
          </w:p>
        </w:tc>
        <w:tc>
          <w:tcPr>
            <w:tcW w:w="840" w:type="dxa"/>
            <w:vAlign w:val="bottom"/>
            <w:gridSpan w:val="5"/>
          </w:tcPr>
          <w:p>
            <w:pPr>
              <w:jc w:val="center"/>
              <w:ind w:right="60"/>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8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Plan Items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9"/>
              <w:spacing w:after="0" w:line="18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02"/>
              <w:spacing w:after="0" w:line="182" w:lineRule="exact"/>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720" w:type="dxa"/>
            <w:vAlign w:val="bottom"/>
            <w:gridSpan w:val="2"/>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1440" w:type="dxa"/>
            <w:vAlign w:val="bottom"/>
            <w:gridSpan w:val="5"/>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Currency Interest</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72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Rate</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20" w:type="dxa"/>
            <w:vAlign w:val="bottom"/>
            <w:gridSpan w:val="2"/>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Contracts</w:t>
            </w:r>
          </w:p>
        </w:tc>
        <w:tc>
          <w:tcPr>
            <w:tcW w:w="720" w:type="dxa"/>
            <w:vAlign w:val="bottom"/>
            <w:gridSpan w:val="3"/>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Swaps</w:t>
            </w:r>
          </w:p>
        </w:tc>
        <w:tc>
          <w:tcPr>
            <w:tcW w:w="640" w:type="dxa"/>
            <w:vAlign w:val="bottom"/>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w:t>
            </w: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38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2021, net of tax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9.2</w:t>
            </w:r>
          </w:p>
        </w:tc>
        <w:tc>
          <w:tcPr>
            <w:tcW w:w="16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16.7</w:t>
            </w:r>
          </w:p>
        </w:tc>
        <w:tc>
          <w:tcPr>
            <w:tcW w:w="26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3"/>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32.2</w:t>
            </w: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(1,802.4)</w:t>
            </w:r>
          </w:p>
        </w:tc>
        <w:tc>
          <w:tcPr>
            <w:tcW w:w="24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(1,744.3)</w:t>
            </w:r>
          </w:p>
        </w:tc>
        <w:tc>
          <w:tcPr>
            <w:tcW w:w="0" w:type="dxa"/>
            <w:vAlign w:val="bottom"/>
          </w:tcPr>
          <w:p>
            <w:pPr>
              <w:spacing w:after="0"/>
              <w:rPr>
                <w:sz w:val="1"/>
                <w:szCs w:val="1"/>
                <w:color w:val="auto"/>
              </w:rPr>
            </w:pPr>
          </w:p>
        </w:tc>
      </w:tr>
      <w:tr>
        <w:trPr>
          <w:trHeight w:val="28"/>
        </w:trPr>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Other comprehensive</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earnings (loss) before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reclassifications, before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tax .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460.1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(1,583.5)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(802.1)</w:t>
            </w: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Amounts reclassified from</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accumulated other</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comprehensive earnings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(loss), before tax:</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Gain on foreign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exchange forward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contracts classified as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cash flow hedges,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included in net sales . . .</w:t>
            </w:r>
          </w:p>
        </w:tc>
        <w:tc>
          <w:tcPr>
            <w:tcW w:w="68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(89.2)</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(89.2)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(89.2)</w:t>
            </w: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Loss on interest rate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swaps classified as cash</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flow hedges, included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in interest expense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ind w:right="68"/>
              <w:spacing w:after="0" w:line="221" w:lineRule="exact"/>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Amortization of prior</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service costs included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in SG&amp;A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Amortization of</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actuarial loss included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in SG&amp;A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8"/>
        </w:trPr>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Net other comprehensive</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earnings (loss), before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tax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(36.9)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460.1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279.1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(1,583.5)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20"/>
        </w:trPr>
        <w:tc>
          <w:tcPr>
            <w:tcW w:w="2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Income tax provision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99.8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132.9</w:t>
            </w: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2022, net of tax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(18.5)</w:t>
            </w:r>
          </w:p>
        </w:tc>
        <w:tc>
          <w:tcPr>
            <w:tcW w:w="16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377.0</w:t>
            </w:r>
          </w:p>
        </w:tc>
        <w:tc>
          <w:tcPr>
            <w:tcW w:w="26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(2.3)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268.5</w:t>
            </w: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(3,385.9)</w:t>
            </w:r>
          </w:p>
        </w:tc>
        <w:tc>
          <w:tcPr>
            <w:tcW w:w="24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(2,761.2)</w:t>
            </w: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9120"/>
          </w:cols>
          <w:pgMar w:left="1380" w:top="1312" w:right="1380" w:bottom="654"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40" w:type="dxa"/>
            <w:vAlign w:val="bottom"/>
          </w:tcPr>
          <w:p>
            <w:pPr>
              <w:spacing w:after="0"/>
              <w:rPr>
                <w:sz w:val="13"/>
                <w:szCs w:val="13"/>
                <w:color w:val="auto"/>
              </w:rPr>
            </w:pPr>
          </w:p>
        </w:tc>
        <w:tc>
          <w:tcPr>
            <w:tcW w:w="84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7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Defined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43"/>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190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Gains and Losses 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40" w:type="dxa"/>
            <w:vAlign w:val="bottom"/>
          </w:tcPr>
          <w:p>
            <w:pPr>
              <w:spacing w:after="0"/>
              <w:rPr>
                <w:sz w:val="13"/>
                <w:szCs w:val="13"/>
                <w:color w:val="auto"/>
              </w:rPr>
            </w:pPr>
          </w:p>
        </w:tc>
        <w:tc>
          <w:tcPr>
            <w:tcW w:w="840" w:type="dxa"/>
            <w:vAlign w:val="bottom"/>
            <w:gridSpan w:val="5"/>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7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Pension</w:t>
            </w:r>
          </w:p>
        </w:tc>
        <w:tc>
          <w:tcPr>
            <w:tcW w:w="40" w:type="dxa"/>
            <w:vAlign w:val="bottom"/>
          </w:tcPr>
          <w:p>
            <w:pPr>
              <w:spacing w:after="0"/>
              <w:rPr>
                <w:sz w:val="13"/>
                <w:szCs w:val="13"/>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190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Derivatives in Cash Flow</w:t>
            </w:r>
          </w:p>
        </w:tc>
        <w:tc>
          <w:tcPr>
            <w:tcW w:w="40" w:type="dxa"/>
            <w:vAlign w:val="bottom"/>
          </w:tcPr>
          <w:p>
            <w:pPr>
              <w:spacing w:after="0"/>
              <w:rPr>
                <w:sz w:val="13"/>
                <w:szCs w:val="13"/>
                <w:color w:val="auto"/>
              </w:rPr>
            </w:pPr>
          </w:p>
        </w:tc>
        <w:tc>
          <w:tcPr>
            <w:tcW w:w="1640" w:type="dxa"/>
            <w:vAlign w:val="bottom"/>
            <w:gridSpan w:val="10"/>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Investment Marketable</w:t>
            </w:r>
          </w:p>
        </w:tc>
        <w:tc>
          <w:tcPr>
            <w:tcW w:w="120" w:type="dxa"/>
            <w:vAlign w:val="bottom"/>
          </w:tcPr>
          <w:p>
            <w:pPr>
              <w:spacing w:after="0"/>
              <w:rPr>
                <w:sz w:val="13"/>
                <w:szCs w:val="13"/>
                <w:color w:val="auto"/>
              </w:rPr>
            </w:pPr>
          </w:p>
        </w:tc>
        <w:tc>
          <w:tcPr>
            <w:tcW w:w="58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6"/>
                <w:szCs w:val="16"/>
                <w:b w:val="1"/>
                <w:bCs w:val="1"/>
                <w:color w:val="auto"/>
              </w:rPr>
              <w:t>Plan</w:t>
            </w:r>
          </w:p>
        </w:tc>
        <w:tc>
          <w:tcPr>
            <w:tcW w:w="40" w:type="dxa"/>
            <w:vAlign w:val="bottom"/>
          </w:tcPr>
          <w:p>
            <w:pPr>
              <w:spacing w:after="0"/>
              <w:rPr>
                <w:sz w:val="13"/>
                <w:szCs w:val="13"/>
                <w:color w:val="auto"/>
              </w:rPr>
            </w:pPr>
          </w:p>
        </w:tc>
        <w:tc>
          <w:tcPr>
            <w:tcW w:w="82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900" w:type="dxa"/>
            <w:vAlign w:val="bottom"/>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Hedging Relationships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Hedges</w:t>
            </w:r>
          </w:p>
        </w:tc>
        <w:tc>
          <w:tcPr>
            <w:tcW w:w="40" w:type="dxa"/>
            <w:vAlign w:val="bottom"/>
          </w:tcPr>
          <w:p>
            <w:pPr>
              <w:spacing w:after="0"/>
              <w:rPr>
                <w:sz w:val="15"/>
                <w:szCs w:val="15"/>
                <w:color w:val="auto"/>
              </w:rPr>
            </w:pPr>
          </w:p>
        </w:tc>
        <w:tc>
          <w:tcPr>
            <w:tcW w:w="840" w:type="dxa"/>
            <w:vAlign w:val="bottom"/>
            <w:gridSpan w:val="5"/>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5"/>
                <w:szCs w:val="15"/>
                <w:color w:val="auto"/>
              </w:rPr>
            </w:pPr>
          </w:p>
        </w:tc>
        <w:tc>
          <w:tcPr>
            <w:tcW w:w="580" w:type="dxa"/>
            <w:vAlign w:val="bottom"/>
          </w:tcPr>
          <w:p>
            <w:pPr>
              <w:jc w:val="center"/>
              <w:ind w:right="24"/>
              <w:spacing w:after="0" w:line="182" w:lineRule="exact"/>
              <w:rPr>
                <w:sz w:val="20"/>
                <w:szCs w:val="20"/>
                <w:color w:val="auto"/>
              </w:rPr>
            </w:pPr>
            <w:r>
              <w:rPr>
                <w:rFonts w:ascii="Times New Roman" w:cs="Times New Roman" w:eastAsia="Times New Roman" w:hAnsi="Times New Roman"/>
                <w:sz w:val="16"/>
                <w:szCs w:val="16"/>
                <w:b w:val="1"/>
                <w:bCs w:val="1"/>
                <w:color w:val="auto"/>
                <w:w w:val="99"/>
              </w:rPr>
              <w:t>Items</w:t>
            </w:r>
          </w:p>
        </w:tc>
        <w:tc>
          <w:tcPr>
            <w:tcW w:w="40" w:type="dxa"/>
            <w:vAlign w:val="bottom"/>
          </w:tcPr>
          <w:p>
            <w:pPr>
              <w:spacing w:after="0"/>
              <w:rPr>
                <w:sz w:val="15"/>
                <w:szCs w:val="15"/>
                <w:color w:val="auto"/>
              </w:rPr>
            </w:pPr>
          </w:p>
        </w:tc>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Adjustment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02"/>
              <w:spacing w:after="0" w:line="182" w:lineRule="exact"/>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720" w:type="dxa"/>
            <w:vAlign w:val="bottom"/>
            <w:gridSpan w:val="2"/>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1400" w:type="dxa"/>
            <w:vAlign w:val="bottom"/>
            <w:gridSpan w:val="5"/>
          </w:tcPr>
          <w:p>
            <w:pPr>
              <w:jc w:val="right"/>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Currency Interest</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6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20" w:type="dxa"/>
            <w:vAlign w:val="bottom"/>
            <w:gridSpan w:val="2"/>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Contracts</w:t>
            </w:r>
          </w:p>
        </w:tc>
        <w:tc>
          <w:tcPr>
            <w:tcW w:w="680" w:type="dxa"/>
            <w:vAlign w:val="bottom"/>
            <w:gridSpan w:val="3"/>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Swaps</w:t>
            </w:r>
          </w:p>
        </w:tc>
        <w:tc>
          <w:tcPr>
            <w:tcW w:w="5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2020, net of</w:t>
            </w: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310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tax . . . . . . . . . .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w w:val="99"/>
              </w:rPr>
              <w:t>(18.0)</w:t>
            </w:r>
          </w:p>
        </w:tc>
        <w:tc>
          <w:tcPr>
            <w:tcW w:w="160" w:type="dxa"/>
            <w:vAlign w:val="bottom"/>
            <w:gridSpan w:val="3"/>
          </w:tcPr>
          <w:p>
            <w:pPr>
              <w:ind w:left="6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9"/>
              </w:rPr>
              <w:t>(353.6)</w:t>
            </w:r>
          </w:p>
        </w:tc>
        <w:tc>
          <w:tcPr>
            <w:tcW w:w="40" w:type="dxa"/>
            <w:vAlign w:val="bottom"/>
          </w:tcPr>
          <w:p>
            <w:pPr>
              <w:spacing w:after="0"/>
              <w:rPr>
                <w:sz w:val="19"/>
                <w:szCs w:val="19"/>
                <w:color w:val="auto"/>
              </w:rPr>
            </w:pPr>
          </w:p>
        </w:tc>
        <w:tc>
          <w:tcPr>
            <w:tcW w:w="3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(26.1)</w:t>
            </w:r>
          </w:p>
        </w:tc>
        <w:tc>
          <w:tcPr>
            <w:tcW w:w="14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(461.5)</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(858.0)</w:t>
            </w:r>
          </w:p>
        </w:tc>
        <w:tc>
          <w:tcPr>
            <w:tcW w:w="0" w:type="dxa"/>
            <w:vAlign w:val="bottom"/>
          </w:tcPr>
          <w:p>
            <w:pPr>
              <w:spacing w:after="0"/>
              <w:rPr>
                <w:sz w:val="1"/>
                <w:szCs w:val="1"/>
                <w:color w:val="auto"/>
              </w:rPr>
            </w:pPr>
          </w:p>
        </w:tc>
      </w:tr>
      <w:tr>
        <w:trPr>
          <w:trHeight w:val="28"/>
        </w:trPr>
        <w:tc>
          <w:tcPr>
            <w:tcW w:w="31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Other comprehensive earnings</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(loss) before reclassifications,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before tax . .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62.7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3"/>
              </w:rPr>
              <w:t>(1.1)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67.0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rPr>
              <w:t>(1,340.9)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(755.5)</w:t>
            </w: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Amounts reclassified from</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accumulated other comprehensive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earnings (loss), before tax:</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Gain on foreign exchange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forward contracts classified as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cash flow hedges, included in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net sales . . . . . . . . . . . . . . . . . . .</w:t>
            </w:r>
          </w:p>
        </w:tc>
        <w:tc>
          <w:tcPr>
            <w:tcW w:w="6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(30.9)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w w:val="99"/>
              </w:rPr>
              <w:t>(30.9)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(30.9)</w:t>
            </w: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Loss on interest rate swaps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classified as cash flow hedges,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included in interest expense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5"/>
              </w:rPr>
              <w:t>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Amortization of prior service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costs included in SG&amp;A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Amortization of actuarial loss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included in SG&amp;A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8"/>
        </w:trPr>
        <w:tc>
          <w:tcPr>
            <w:tcW w:w="31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Net other comprehensive earnings</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(loss), before tax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3"/>
              </w:rPr>
              <w:t>(1.1)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rPr>
              <w:t>(1,340.9)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(775.2)</w:t>
            </w: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Income tax provision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8"/>
        </w:trPr>
        <w:tc>
          <w:tcPr>
            <w:tcW w:w="3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2021, net of</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tax . . . . . . . . . .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9.2</w:t>
            </w:r>
          </w:p>
        </w:tc>
        <w:tc>
          <w:tcPr>
            <w:tcW w:w="160" w:type="dxa"/>
            <w:vAlign w:val="bottom"/>
            <w:gridSpan w:val="3"/>
          </w:tcPr>
          <w:p>
            <w:pPr>
              <w:ind w:left="6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16.7</w:t>
            </w:r>
          </w:p>
        </w:tc>
        <w:tc>
          <w:tcPr>
            <w:tcW w:w="40" w:type="dxa"/>
            <w:vAlign w:val="bottom"/>
          </w:tcPr>
          <w:p>
            <w:pPr>
              <w:spacing w:after="0"/>
              <w:rPr>
                <w:sz w:val="19"/>
                <w:szCs w:val="19"/>
                <w:color w:val="auto"/>
              </w:rPr>
            </w:pPr>
          </w:p>
        </w:tc>
        <w:tc>
          <w:tcPr>
            <w:tcW w:w="3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3"/>
          </w:tcPr>
          <w:p>
            <w:pPr>
              <w:jc w:val="right"/>
              <w:ind w:right="26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32.2</w:t>
            </w:r>
          </w:p>
        </w:tc>
        <w:tc>
          <w:tcPr>
            <w:tcW w:w="14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rPr>
              <w:t>(1,802.4)</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8"/>
              </w:rPr>
              <w:t>(1,744.3)</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70"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9120"/>
          </w:cols>
          <w:pgMar w:left="1380" w:top="1270" w:right="1380" w:bottom="654"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60" w:type="dxa"/>
            <w:vAlign w:val="bottom"/>
            <w:gridSpan w:val="10"/>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40" w:type="dxa"/>
            <w:vAlign w:val="bottom"/>
          </w:tcPr>
          <w:p>
            <w:pPr>
              <w:spacing w:after="0"/>
              <w:rPr>
                <w:sz w:val="13"/>
                <w:szCs w:val="13"/>
                <w:color w:val="auto"/>
              </w:rPr>
            </w:pPr>
          </w:p>
        </w:tc>
        <w:tc>
          <w:tcPr>
            <w:tcW w:w="840" w:type="dxa"/>
            <w:vAlign w:val="bottom"/>
            <w:gridSpan w:val="5"/>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Gains and</w:t>
            </w:r>
          </w:p>
        </w:tc>
        <w:tc>
          <w:tcPr>
            <w:tcW w:w="100" w:type="dxa"/>
            <w:vAlign w:val="bottom"/>
          </w:tcPr>
          <w:p>
            <w:pPr>
              <w:spacing w:after="0"/>
              <w:rPr>
                <w:sz w:val="13"/>
                <w:szCs w:val="13"/>
                <w:color w:val="auto"/>
              </w:rPr>
            </w:pPr>
          </w:p>
        </w:tc>
        <w:tc>
          <w:tcPr>
            <w:tcW w:w="680" w:type="dxa"/>
            <w:vAlign w:val="bottom"/>
          </w:tcPr>
          <w:p>
            <w:pPr>
              <w:jc w:val="center"/>
              <w:ind w:right="7"/>
              <w:spacing w:after="0" w:line="160" w:lineRule="exact"/>
              <w:rPr>
                <w:sz w:val="20"/>
                <w:szCs w:val="20"/>
                <w:color w:val="auto"/>
              </w:rPr>
            </w:pPr>
            <w:r>
              <w:rPr>
                <w:rFonts w:ascii="Times New Roman" w:cs="Times New Roman" w:eastAsia="Times New Roman" w:hAnsi="Times New Roman"/>
                <w:sz w:val="16"/>
                <w:szCs w:val="16"/>
                <w:b w:val="1"/>
                <w:bCs w:val="1"/>
                <w:color w:val="auto"/>
              </w:rPr>
              <w:t>Defined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6"/>
              <w:spacing w:after="0" w:line="160"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206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Gains and Losses 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40" w:type="dxa"/>
            <w:vAlign w:val="bottom"/>
          </w:tcPr>
          <w:p>
            <w:pPr>
              <w:spacing w:after="0"/>
              <w:rPr>
                <w:sz w:val="13"/>
                <w:szCs w:val="13"/>
                <w:color w:val="auto"/>
              </w:rPr>
            </w:pPr>
          </w:p>
        </w:tc>
        <w:tc>
          <w:tcPr>
            <w:tcW w:w="840" w:type="dxa"/>
            <w:vAlign w:val="bottom"/>
            <w:gridSpan w:val="5"/>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00" w:type="dxa"/>
            <w:vAlign w:val="bottom"/>
          </w:tcPr>
          <w:p>
            <w:pPr>
              <w:spacing w:after="0"/>
              <w:rPr>
                <w:sz w:val="13"/>
                <w:szCs w:val="13"/>
                <w:color w:val="auto"/>
              </w:rPr>
            </w:pPr>
          </w:p>
        </w:tc>
        <w:tc>
          <w:tcPr>
            <w:tcW w:w="680" w:type="dxa"/>
            <w:vAlign w:val="bottom"/>
          </w:tcPr>
          <w:p>
            <w:pPr>
              <w:jc w:val="center"/>
              <w:ind w:right="7"/>
              <w:spacing w:after="0" w:line="160" w:lineRule="exact"/>
              <w:rPr>
                <w:sz w:val="20"/>
                <w:szCs w:val="20"/>
                <w:color w:val="auto"/>
              </w:rPr>
            </w:pPr>
            <w:r>
              <w:rPr>
                <w:rFonts w:ascii="Times New Roman" w:cs="Times New Roman" w:eastAsia="Times New Roman" w:hAnsi="Times New Roman"/>
                <w:sz w:val="16"/>
                <w:szCs w:val="16"/>
                <w:b w:val="1"/>
                <w:bCs w:val="1"/>
                <w:color w:val="auto"/>
              </w:rPr>
              <w:t>Pension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6"/>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206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Derivatives in Cash Flow</w:t>
            </w:r>
          </w:p>
        </w:tc>
        <w:tc>
          <w:tcPr>
            <w:tcW w:w="40" w:type="dxa"/>
            <w:vAlign w:val="bottom"/>
          </w:tcPr>
          <w:p>
            <w:pPr>
              <w:spacing w:after="0"/>
              <w:rPr>
                <w:sz w:val="13"/>
                <w:szCs w:val="13"/>
                <w:color w:val="auto"/>
              </w:rPr>
            </w:pPr>
          </w:p>
        </w:tc>
        <w:tc>
          <w:tcPr>
            <w:tcW w:w="9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40" w:type="dxa"/>
            <w:vAlign w:val="bottom"/>
          </w:tcPr>
          <w:p>
            <w:pPr>
              <w:spacing w:after="0"/>
              <w:rPr>
                <w:sz w:val="13"/>
                <w:szCs w:val="13"/>
                <w:color w:val="auto"/>
              </w:rPr>
            </w:pPr>
          </w:p>
        </w:tc>
        <w:tc>
          <w:tcPr>
            <w:tcW w:w="840" w:type="dxa"/>
            <w:vAlign w:val="bottom"/>
            <w:gridSpan w:val="5"/>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Marketable</w:t>
            </w:r>
          </w:p>
        </w:tc>
        <w:tc>
          <w:tcPr>
            <w:tcW w:w="100" w:type="dxa"/>
            <w:vAlign w:val="bottom"/>
          </w:tcPr>
          <w:p>
            <w:pPr>
              <w:spacing w:after="0"/>
              <w:rPr>
                <w:sz w:val="13"/>
                <w:szCs w:val="13"/>
                <w:color w:val="auto"/>
              </w:rPr>
            </w:pPr>
          </w:p>
        </w:tc>
        <w:tc>
          <w:tcPr>
            <w:tcW w:w="680" w:type="dxa"/>
            <w:vAlign w:val="bottom"/>
          </w:tcPr>
          <w:p>
            <w:pPr>
              <w:jc w:val="center"/>
              <w:ind w:right="27"/>
              <w:spacing w:after="0" w:line="160" w:lineRule="exact"/>
              <w:rPr>
                <w:sz w:val="20"/>
                <w:szCs w:val="20"/>
                <w:color w:val="auto"/>
              </w:rPr>
            </w:pPr>
            <w:r>
              <w:rPr>
                <w:rFonts w:ascii="Times New Roman" w:cs="Times New Roman" w:eastAsia="Times New Roman" w:hAnsi="Times New Roman"/>
                <w:sz w:val="16"/>
                <w:szCs w:val="16"/>
                <w:b w:val="1"/>
                <w:bCs w:val="1"/>
                <w:color w:val="auto"/>
              </w:rPr>
              <w:t>Plan</w:t>
            </w:r>
          </w:p>
        </w:tc>
        <w:tc>
          <w:tcPr>
            <w:tcW w:w="40" w:type="dxa"/>
            <w:vAlign w:val="bottom"/>
          </w:tcPr>
          <w:p>
            <w:pPr>
              <w:spacing w:after="0"/>
              <w:rPr>
                <w:sz w:val="13"/>
                <w:szCs w:val="13"/>
                <w:color w:val="auto"/>
              </w:rPr>
            </w:pPr>
          </w:p>
        </w:tc>
        <w:tc>
          <w:tcPr>
            <w:tcW w:w="8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2060" w:type="dxa"/>
            <w:vAlign w:val="bottom"/>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Hedging Relationships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8"/>
              <w:spacing w:after="0" w:line="182" w:lineRule="exact"/>
              <w:rPr>
                <w:sz w:val="20"/>
                <w:szCs w:val="20"/>
                <w:color w:val="auto"/>
              </w:rPr>
            </w:pPr>
            <w:r>
              <w:rPr>
                <w:rFonts w:ascii="Times New Roman" w:cs="Times New Roman" w:eastAsia="Times New Roman" w:hAnsi="Times New Roman"/>
                <w:sz w:val="16"/>
                <w:szCs w:val="16"/>
                <w:b w:val="1"/>
                <w:bCs w:val="1"/>
                <w:color w:val="auto"/>
              </w:rPr>
              <w:t>Hedges</w:t>
            </w:r>
          </w:p>
        </w:tc>
        <w:tc>
          <w:tcPr>
            <w:tcW w:w="40" w:type="dxa"/>
            <w:vAlign w:val="bottom"/>
          </w:tcPr>
          <w:p>
            <w:pPr>
              <w:spacing w:after="0"/>
              <w:rPr>
                <w:sz w:val="15"/>
                <w:szCs w:val="15"/>
                <w:color w:val="auto"/>
              </w:rPr>
            </w:pPr>
          </w:p>
        </w:tc>
        <w:tc>
          <w:tcPr>
            <w:tcW w:w="840" w:type="dxa"/>
            <w:vAlign w:val="bottom"/>
            <w:gridSpan w:val="5"/>
          </w:tcPr>
          <w:p>
            <w:pPr>
              <w:jc w:val="center"/>
              <w:ind w:right="60"/>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5"/>
                <w:szCs w:val="15"/>
                <w:color w:val="auto"/>
              </w:rPr>
            </w:pPr>
          </w:p>
        </w:tc>
        <w:tc>
          <w:tcPr>
            <w:tcW w:w="680" w:type="dxa"/>
            <w:vAlign w:val="bottom"/>
          </w:tcPr>
          <w:p>
            <w:pPr>
              <w:jc w:val="center"/>
              <w:ind w:right="7"/>
              <w:spacing w:after="0" w:line="182" w:lineRule="exact"/>
              <w:rPr>
                <w:sz w:val="20"/>
                <w:szCs w:val="20"/>
                <w:color w:val="auto"/>
              </w:rPr>
            </w:pPr>
            <w:r>
              <w:rPr>
                <w:rFonts w:ascii="Times New Roman" w:cs="Times New Roman" w:eastAsia="Times New Roman" w:hAnsi="Times New Roman"/>
                <w:sz w:val="16"/>
                <w:szCs w:val="16"/>
                <w:b w:val="1"/>
                <w:bCs w:val="1"/>
                <w:color w:val="auto"/>
                <w:w w:val="99"/>
              </w:rPr>
              <w:t>Items</w:t>
            </w:r>
          </w:p>
        </w:tc>
        <w:tc>
          <w:tcPr>
            <w:tcW w:w="40" w:type="dxa"/>
            <w:vAlign w:val="bottom"/>
          </w:tcPr>
          <w:p>
            <w:pPr>
              <w:spacing w:after="0"/>
              <w:rPr>
                <w:sz w:val="15"/>
                <w:szCs w:val="15"/>
                <w:color w:val="auto"/>
              </w:rPr>
            </w:pPr>
          </w:p>
        </w:tc>
        <w:tc>
          <w:tcPr>
            <w:tcW w:w="8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Adjustment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42"/>
              <w:spacing w:after="0" w:line="182" w:lineRule="exact"/>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720" w:type="dxa"/>
            <w:vAlign w:val="bottom"/>
            <w:gridSpan w:val="2"/>
          </w:tcPr>
          <w:p>
            <w:pPr>
              <w:jc w:val="center"/>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Foreign</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440" w:type="dxa"/>
            <w:vAlign w:val="bottom"/>
            <w:gridSpan w:val="5"/>
          </w:tcPr>
          <w:p>
            <w:pPr>
              <w:jc w:val="right"/>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Currency Interest</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7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20" w:type="dxa"/>
            <w:vAlign w:val="bottom"/>
            <w:gridSpan w:val="2"/>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Contracts</w:t>
            </w:r>
          </w:p>
        </w:tc>
        <w:tc>
          <w:tcPr>
            <w:tcW w:w="72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Swaps</w:t>
            </w:r>
          </w:p>
        </w:tc>
        <w:tc>
          <w:tcPr>
            <w:tcW w:w="620" w:type="dxa"/>
            <w:vAlign w:val="bottom"/>
          </w:tcPr>
          <w:p>
            <w:pPr>
              <w:jc w:val="right"/>
              <w:ind w:right="103"/>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2019,</w:t>
            </w: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60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net of tax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line="224"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(31.6)</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(74.3)</w:t>
            </w:r>
          </w:p>
        </w:tc>
        <w:tc>
          <w:tcPr>
            <w:tcW w:w="360" w:type="dxa"/>
            <w:vAlign w:val="bottom"/>
            <w:gridSpan w:val="3"/>
          </w:tcPr>
          <w:p>
            <w:pPr>
              <w:jc w:val="right"/>
              <w:ind w:right="100"/>
              <w:spacing w:after="0" w:line="22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(17.4)</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(1,674.5)</w:t>
            </w:r>
          </w:p>
        </w:tc>
        <w:tc>
          <w:tcPr>
            <w:tcW w:w="180" w:type="dxa"/>
            <w:vAlign w:val="bottom"/>
            <w:gridSpan w:val="2"/>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(1,797.2)</w:t>
            </w:r>
          </w:p>
        </w:tc>
        <w:tc>
          <w:tcPr>
            <w:tcW w:w="0" w:type="dxa"/>
            <w:vAlign w:val="bottom"/>
          </w:tcPr>
          <w:p>
            <w:pPr>
              <w:spacing w:after="0"/>
              <w:rPr>
                <w:sz w:val="1"/>
                <w:szCs w:val="1"/>
                <w:color w:val="auto"/>
              </w:rPr>
            </w:pPr>
          </w:p>
        </w:tc>
      </w:tr>
      <w:tr>
        <w:trPr>
          <w:trHeight w:val="28"/>
        </w:trPr>
        <w:tc>
          <w:tcPr>
            <w:tcW w:w="2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Other comprehensive (loss)</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6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earnings before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reclassifications, before tax</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(305.2)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1,213.0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914.8</w:t>
            </w: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Amounts reclassified from</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accumulated other</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comprehensive (loss)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earnings, before tax:</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Gain on foreign exchange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forward contracts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classified as cash flow</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hedges, included in net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sales . . . . . . . . . . . . . . . . .</w:t>
            </w:r>
          </w:p>
        </w:tc>
        <w:tc>
          <w:tcPr>
            <w:tcW w:w="6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(4.8)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Loss on interest rate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swaps classified as cash</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flow hedges, included in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interest expense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5"/>
              </w:rPr>
              <w:t>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Amortization of prior</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service costs included in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SG&amp;A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Amortization of actuarial</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loss included in SG&amp;A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8"/>
        </w:trPr>
        <w:tc>
          <w:tcPr>
            <w:tcW w:w="2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Net other comprehensive</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6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(loss) earnings, before tax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(305.2)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1,213.0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912.6</w:t>
            </w: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Income tax provision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(benefit)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jc w:val="right"/>
              <w:ind w:right="18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8"/>
        </w:trPr>
        <w:tc>
          <w:tcPr>
            <w:tcW w:w="2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60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net of tax . . . . . . . . . . . . . . . . . .</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line="224"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(18.0)</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(353.6)</w:t>
            </w:r>
          </w:p>
        </w:tc>
        <w:tc>
          <w:tcPr>
            <w:tcW w:w="360" w:type="dxa"/>
            <w:vAlign w:val="bottom"/>
            <w:gridSpan w:val="3"/>
          </w:tcPr>
          <w:p>
            <w:pPr>
              <w:jc w:val="right"/>
              <w:ind w:right="100"/>
              <w:spacing w:after="0" w:line="22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(26.1)</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(461.5)</w:t>
            </w:r>
          </w:p>
        </w:tc>
        <w:tc>
          <w:tcPr>
            <w:tcW w:w="180" w:type="dxa"/>
            <w:vAlign w:val="bottom"/>
            <w:gridSpan w:val="2"/>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(858.0)</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70"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880" w:h="15480" w:orient="portrait"/>
          <w:cols w:equalWidth="0" w:num="1">
            <w:col w:w="9120"/>
          </w:cols>
          <w:pgMar w:left="1380" w:top="1270" w:right="1380" w:bottom="654"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income tax provision (benefit) consisted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6"/>
                <w:szCs w:val="16"/>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Current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Deferred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(182.7)</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(277.0)</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(170.1)</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(283.4)</w:t>
            </w:r>
          </w:p>
        </w:tc>
        <w:tc>
          <w:tcPr>
            <w:tcW w:w="0" w:type="dxa"/>
            <w:vAlign w:val="bottom"/>
          </w:tcPr>
          <w:p>
            <w:pPr>
              <w:spacing w:after="0"/>
              <w:rPr>
                <w:sz w:val="1"/>
                <w:szCs w:val="1"/>
                <w:color w:val="auto"/>
              </w:rPr>
            </w:pPr>
          </w:p>
        </w:tc>
      </w:tr>
      <w:tr>
        <w:trPr>
          <w:trHeight w:val="28"/>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State:</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Current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Deferred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Non-U.S.:</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Current . . . . .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(91.3)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Deferred . . . . . . . . . . . . . . . . . . . . . . . . . . . . . . . . . . . . . . . . . . . . . . . . . . . . . . .</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(309.9)</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Income tax provision (benefit)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8"/>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before income taxes:</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(1,982.5)</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(945.5)</w:t>
            </w:r>
          </w:p>
        </w:tc>
        <w:tc>
          <w:tcPr>
            <w:tcW w:w="0" w:type="dxa"/>
            <w:vAlign w:val="bottom"/>
          </w:tcPr>
          <w:p>
            <w:pPr>
              <w:spacing w:after="0"/>
              <w:rPr>
                <w:sz w:val="1"/>
                <w:szCs w:val="1"/>
                <w:color w:val="auto"/>
              </w:rPr>
            </w:pPr>
          </w:p>
        </w:tc>
      </w:tr>
      <w:tr>
        <w:trPr>
          <w:trHeight w:val="240"/>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 Other . .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2,018.4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earnings (loss) before income taxes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2,813.2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(664.4)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(721.2)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auto"/>
        </w:rPr>
        <w:t>For all periods presented, the allocation of earnings before income taxes between U.S. and non-U.S. operations includes intercompany interest allocations between certain domestic and foreign subsidiaries. These amounts are eliminated on a consolidated basis.</w:t>
      </w:r>
    </w:p>
    <w:p>
      <w:pPr>
        <w:sectPr>
          <w:pgSz w:w="11880" w:h="15480" w:orient="portrait"/>
          <w:cols w:equalWidth="0" w:num="1">
            <w:col w:w="9180"/>
          </w:cols>
          <w:pgMar w:left="1380" w:top="1312" w:right="132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138</w:t>
      </w:r>
    </w:p>
    <w:p>
      <w:pPr>
        <w:sectPr>
          <w:pgSz w:w="11880" w:h="15480" w:orient="portrait"/>
          <w:cols w:equalWidth="0" w:num="1">
            <w:col w:w="9180"/>
          </w:cols>
          <w:pgMar w:left="1380" w:top="1312" w:right="1320" w:bottom="654" w:gutter="0" w:footer="0" w:header="0"/>
          <w:type w:val="continuous"/>
        </w:sectPr>
      </w:pPr>
    </w:p>
    <w:bookmarkStart w:id="146" w:name="page147"/>
    <w:bookmarkEnd w:id="146"/>
    <w:p>
      <w:pPr>
        <w:ind w:left="400"/>
        <w:spacing w:after="0"/>
        <w:rPr>
          <w:sz w:val="20"/>
          <w:szCs w:val="20"/>
          <w:color w:val="auto"/>
        </w:rPr>
      </w:pPr>
      <w:r>
        <w:rPr>
          <w:rFonts w:ascii="Times New Roman" w:cs="Times New Roman" w:eastAsia="Times New Roman" w:hAnsi="Times New Roman"/>
          <w:sz w:val="20"/>
          <w:szCs w:val="20"/>
          <w:color w:val="auto"/>
        </w:rPr>
        <w:t>Temporary differences and carry-forwards that result in deferred tax assets and liabilities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70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 w:type="dxa"/>
            <w:vAlign w:val="bottom"/>
          </w:tcPr>
          <w:p>
            <w:pPr>
              <w:spacing w:after="0"/>
              <w:rPr>
                <w:sz w:val="15"/>
                <w:szCs w:val="15"/>
                <w:color w:val="auto"/>
              </w:rPr>
            </w:pPr>
          </w:p>
        </w:tc>
        <w:tc>
          <w:tcPr>
            <w:tcW w:w="740" w:type="dxa"/>
            <w:vAlign w:val="bottom"/>
          </w:tcPr>
          <w:p>
            <w:pPr>
              <w:jc w:val="right"/>
              <w:ind w:right="201"/>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01"/>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Employee benefits . . . . . . . .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271.3</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Litigation reserves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Accounts receivable allowances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425.9</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Tax credit and loss carry-forwards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1,256.0</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Operating lease assets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2,889.5</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Less: Valuation allowance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(780.4)</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 .</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2,109.1</w:t>
            </w:r>
          </w:p>
        </w:tc>
        <w:tc>
          <w:tcPr>
            <w:tcW w:w="0" w:type="dxa"/>
            <w:vAlign w:val="bottom"/>
          </w:tcPr>
          <w:p>
            <w:pPr>
              <w:spacing w:after="0"/>
              <w:rPr>
                <w:sz w:val="1"/>
                <w:szCs w:val="1"/>
                <w:color w:val="auto"/>
              </w:rPr>
            </w:pPr>
          </w:p>
        </w:tc>
      </w:tr>
      <w:tr>
        <w:trPr>
          <w:trHeight w:val="28"/>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Plant and equipment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Intangible assets and goodwill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3,468.3</w:t>
            </w:r>
          </w:p>
        </w:tc>
        <w:tc>
          <w:tcPr>
            <w:tcW w:w="0" w:type="dxa"/>
            <w:vAlign w:val="bottom"/>
          </w:tcPr>
          <w:p>
            <w:pPr>
              <w:spacing w:after="0"/>
              <w:rPr>
                <w:sz w:val="1"/>
                <w:szCs w:val="1"/>
                <w:color w:val="auto"/>
              </w:rPr>
            </w:pPr>
          </w:p>
        </w:tc>
      </w:tr>
      <w:tr>
        <w:trPr>
          <w:trHeight w:val="240"/>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 .</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3,591.4</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Deferred tax liabilities, net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(1,506.1)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(1,482.3)</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$2.6 billion at December 31, 2022.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880" w:h="15480" w:orient="portrait"/>
          <w:cols w:equalWidth="0" w:num="1">
            <w:col w:w="9120"/>
          </w:cols>
          <w:pgMar w:left="1380" w:top="1312" w:right="1380" w:bottom="654" w:gutter="0" w:footer="0" w:header="0"/>
          <w:type w:val="continuous"/>
        </w:sectPr>
      </w:pPr>
    </w:p>
    <w:bookmarkStart w:id="147" w:name="page148"/>
    <w:bookmarkEnd w:id="147"/>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Our effective tax rate from continuing operations differs from the applicable United States statutory federal income tax rate of 21.0%, due to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4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6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4"/>
        </w:trPr>
        <w:tc>
          <w:tcPr>
            <w:tcW w:w="666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6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Statutory tax rate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Clean energy and research credits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rate differential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Expiration of attributes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Goodwill impairment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State income taxes and credits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Tax settlements and resolution of certain tax positions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Impact of the Combination and divestitures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Incremental U.S. tax on foreign earnings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Deferred tax impact of tax law changes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Withholding taxes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Waived deductions under IRC § 59A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40"/>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items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8"/>
        </w:trPr>
        <w:tc>
          <w:tcPr>
            <w:tcW w:w="6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2"/>
        </w:trPr>
        <w:tc>
          <w:tcPr>
            <w:tcW w:w="6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Effective tax rate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8"/>
        </w:trPr>
        <w:tc>
          <w:tcPr>
            <w:tcW w:w="6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all years, our effective tax rate is impacted by the jurisdictional location of earnings and the corresponding tax rates in those jurisdictions. Subsequent to the Combination, the Company realizes benefits from lower tax rates in Singapore and Puerto Rico due to manufacturing and other incentives.</w:t>
      </w:r>
    </w:p>
    <w:p>
      <w:pPr>
        <w:spacing w:after="0" w:line="19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Prior to the Combination, Mylan was a U.K. tax resident, with its Corporate seat in the Netherlands. As of the date of the Combination, Viatris is domiciled in the U.S., and the applicable income tax rate to Viatris is the U.S. statutory federal income tax rate of 21.0%. The effective tax rate reconciliations of the years ended December 31, 2021 and December 31, 2020 have been recast to reflect this change.</w:t>
      </w:r>
    </w:p>
    <w:p>
      <w:pPr>
        <w:spacing w:after="0" w:line="198"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a Puerto Rico net operating loss, which was recorded in conjunction with the Combination, expired unutilized resulting in a $274.4 million write-off of deferred tax asset and corresponding valuation allowance. The expiration and valuation allowance impacts are reflected in the above table.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Allowance</w:t>
      </w:r>
    </w:p>
    <w:p>
      <w:pPr>
        <w:spacing w:after="0" w:line="11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 valuation allowance is provided when it is more likely than not that some portion or all of the deferred tax assets will not be realized. At December 31, 2022, a valuation allowance has been applied to certain deferred tax assets in the amount of $387.0 million.</w:t>
      </w:r>
    </w:p>
    <w:p>
      <w:pPr>
        <w:spacing w:after="0" w:line="19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Operating Losses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2022, the Company had the following carryforwards and attributes:</w:t>
      </w:r>
    </w:p>
    <w:p>
      <w:pPr>
        <w:spacing w:after="0" w:line="100" w:lineRule="exact"/>
        <w:rPr>
          <w:sz w:val="20"/>
          <w:szCs w:val="20"/>
          <w:color w:val="auto"/>
        </w:rPr>
      </w:pPr>
    </w:p>
    <w:p>
      <w:pPr>
        <w:ind w:left="800" w:hanging="300"/>
        <w:spacing w:after="0"/>
        <w:tabs>
          <w:tab w:leader="none" w:pos="8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federal net operating loss carryforwards of $4.6 million.</w:t>
      </w:r>
    </w:p>
    <w:p>
      <w:pPr>
        <w:sectPr>
          <w:pgSz w:w="11880" w:h="15480" w:orient="portrait"/>
          <w:cols w:equalWidth="0" w:num="1">
            <w:col w:w="9120"/>
          </w:cols>
          <w:pgMar w:left="1380" w:top="1322" w:right="1380" w:bottom="654"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1880" w:h="15480" w:orient="portrait"/>
          <w:cols w:equalWidth="0" w:num="1">
            <w:col w:w="9120"/>
          </w:cols>
          <w:pgMar w:left="1380" w:top="1322" w:right="1380" w:bottom="654" w:gutter="0" w:footer="0" w:header="0"/>
          <w:type w:val="continuous"/>
        </w:sectPr>
      </w:pPr>
    </w:p>
    <w:bookmarkStart w:id="148" w:name="page149"/>
    <w:bookmarkEnd w:id="148"/>
    <w:p>
      <w:pPr>
        <w:ind w:left="800" w:hanging="300"/>
        <w:spacing w:after="0" w:line="239" w:lineRule="auto"/>
        <w:tabs>
          <w:tab w:leader="none" w:pos="8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state income tax loss carryforwards of approximately $2.90 billion, which are largely offset by a valuation allowance.</w:t>
      </w:r>
    </w:p>
    <w:p>
      <w:pPr>
        <w:spacing w:after="0" w:line="119" w:lineRule="exact"/>
        <w:rPr>
          <w:rFonts w:ascii="Times New Roman" w:cs="Times New Roman" w:eastAsia="Times New Roman" w:hAnsi="Times New Roman"/>
          <w:sz w:val="20"/>
          <w:szCs w:val="20"/>
          <w:color w:val="auto"/>
        </w:rPr>
      </w:pPr>
    </w:p>
    <w:p>
      <w:pPr>
        <w:jc w:val="both"/>
        <w:ind w:left="800" w:hanging="300"/>
        <w:spacing w:after="0" w:line="239" w:lineRule="auto"/>
        <w:tabs>
          <w:tab w:leader="none" w:pos="8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Non-U.S. net operating loss carryforwards of approximately $1.01 billion, of which $810.8 million can be carried forward indefinitely, with the remaining $195.1 million expiring in years 2023 through 2042.</w:t>
      </w:r>
    </w:p>
    <w:p>
      <w:pPr>
        <w:spacing w:after="0" w:line="119" w:lineRule="exact"/>
        <w:rPr>
          <w:rFonts w:ascii="Times New Roman" w:cs="Times New Roman" w:eastAsia="Times New Roman" w:hAnsi="Times New Roman"/>
          <w:sz w:val="20"/>
          <w:szCs w:val="20"/>
          <w:color w:val="auto"/>
        </w:rPr>
      </w:pPr>
    </w:p>
    <w:p>
      <w:pPr>
        <w:ind w:left="800" w:hanging="300"/>
        <w:spacing w:after="0" w:line="239" w:lineRule="auto"/>
        <w:tabs>
          <w:tab w:leader="none" w:pos="8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deductible attributes of $37.3 million that can be carried forward indefinitely, which are offset by a full valuation allowance.</w:t>
      </w:r>
    </w:p>
    <w:p>
      <w:pPr>
        <w:spacing w:after="0" w:line="109"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and foreign credit carryovers of $213.3 million, expiring in various amounts through 2042.</w:t>
      </w:r>
    </w:p>
    <w:p>
      <w:pPr>
        <w:spacing w:after="0" w:line="118" w:lineRule="exact"/>
        <w:rPr>
          <w:rFonts w:ascii="Times New Roman" w:cs="Times New Roman" w:eastAsia="Times New Roman" w:hAnsi="Times New Roman"/>
          <w:sz w:val="20"/>
          <w:szCs w:val="20"/>
          <w:color w:val="auto"/>
        </w:rPr>
      </w:pPr>
    </w:p>
    <w:p>
      <w:pPr>
        <w:jc w:val="both"/>
        <w:ind w:left="800" w:hanging="300"/>
        <w:spacing w:after="0" w:line="245" w:lineRule="auto"/>
        <w:tabs>
          <w:tab w:leader="none" w:pos="8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Anticipatory foreign tax credits of $196.1 million which will generate from the reversal of future taxable income in certain non-U.S. jurisdictions which are taxed both in their local jurisdictions and in the U.S.</w:t>
      </w:r>
    </w:p>
    <w:p>
      <w:pPr>
        <w:spacing w:after="0" w:line="21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CARES Act</w:t>
      </w:r>
    </w:p>
    <w:p>
      <w:pPr>
        <w:spacing w:after="0" w:line="11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March 27, 2020, the CARES Act was enacted and signed into law. The CARES Act includes several provisions, including increasing the amount of deductible interest, allowing companies to carryback certain NOLs, and increasing the amount of NOLs that corporations can use to offset income. During the year ended December 31, 2020, the CARES Act reduced the Company’s 2020 income tax expense by $22.1 million resulting from additional deductible interest.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 Examinations</w:t>
      </w:r>
    </w:p>
    <w:p>
      <w:pPr>
        <w:spacing w:after="0" w:line="118"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21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2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2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2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ectPr>
          <w:pgSz w:w="11880" w:h="15480" w:orient="portrait"/>
          <w:cols w:equalWidth="0" w:num="1">
            <w:col w:w="9120"/>
          </w:cols>
          <w:pgMar w:left="1380" w:top="1322"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1880" w:h="15480" w:orient="portrait"/>
          <w:cols w:equalWidth="0" w:num="1">
            <w:col w:w="9120"/>
          </w:cols>
          <w:pgMar w:left="1380" w:top="1322" w:right="1380" w:bottom="654" w:gutter="0" w:footer="0" w:header="0"/>
          <w:type w:val="continuous"/>
        </w:sectPr>
      </w:pPr>
    </w:p>
    <w:bookmarkStart w:id="149" w:name="page150"/>
    <w:bookmarkEnd w:id="149"/>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The Company made a partial payment of $56.0 million in 2021 and $5.2 million in 2022 in order to stay potential interest and penalties resulting from this litigation.</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25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has recorded a net reserve for uncertain tax positions of $298.1 million and $315.6 million, including interest and penalties, in connection with its international audits at December 31, 2022 and 2021, respectively. In connection with our international tax audits, it is possible that we will incur material losses above the amounts reserved.</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major U.S. state taxing jurisdictions remain open from fiscal year 2013 through 2021, with several state audits currently in progress. The Company’s major international taxing jurisdictions remain open from 2012 through 2021.</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 Court Proceedings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for Uncertainty in Income Taxes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2022 and 2021, the Company’s consolidated balance sheets reflect net liabilities for unrecognized tax benefits of $296.7 million and $322.9 million, respectively, of which $210.7 million as of December 31, 2022 would affect the Company’s effective tax rate if recognized, with the remainder being offset by potential correlative adjustments. Related accrued interest and penalties included in the consolidated balance sheets were $106.4 million and $96.8 million as of December 31, 2022 and 2021, respectively. For the years ended December 31, 2022, 2021 and 2020, the Company recognized $21.1 million of tax expense, $18.5 million of tax expense, and $6.0 million of tax benefits, respectively, related to interest and penalties on uncertain tax positions. Interest and penalties related to income taxes are included in the tax provision.</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1880" w:h="15480" w:orient="portrait"/>
          <w:cols w:equalWidth="0" w:num="1">
            <w:col w:w="9120"/>
          </w:cols>
          <w:pgMar w:left="1380" w:top="1322" w:right="1380" w:bottom="654" w:gutter="0" w:footer="0" w:header="0"/>
          <w:type w:val="continuous"/>
        </w:sectPr>
      </w:pPr>
    </w:p>
    <w:bookmarkStart w:id="150" w:name="page151"/>
    <w:bookmarkEnd w:id="150"/>
    <w:p>
      <w:pPr>
        <w:ind w:left="400"/>
        <w:spacing w:after="0"/>
        <w:rPr>
          <w:sz w:val="20"/>
          <w:szCs w:val="20"/>
          <w:color w:val="auto"/>
        </w:rPr>
      </w:pPr>
      <w:r>
        <w:rPr>
          <w:rFonts w:ascii="Times New Roman" w:cs="Times New Roman" w:eastAsia="Times New Roman" w:hAnsi="Times New Roman"/>
          <w:sz w:val="20"/>
          <w:szCs w:val="20"/>
          <w:color w:val="auto"/>
        </w:rPr>
        <w:t>A reconciliation of the unrecognized tax benefits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80" w:type="dxa"/>
            <w:vAlign w:val="bottom"/>
            <w:gridSpan w:val="6"/>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70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4"/>
        </w:trPr>
        <w:tc>
          <w:tcPr>
            <w:tcW w:w="7040" w:type="dxa"/>
            <w:vAlign w:val="bottom"/>
          </w:tcPr>
          <w:p>
            <w:pPr>
              <w:jc w:val="right"/>
              <w:ind w:right="6102"/>
              <w:spacing w:after="0"/>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26"/>
        </w:trPr>
        <w:tc>
          <w:tcPr>
            <w:tcW w:w="70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2"/>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Unrecognized tax benefit — beginning of year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$322.9</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$ 391.1</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Additions for current year tax positions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Additions for prior year tax positions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Reductions for prior year tax positions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9"/>
              </w:rPr>
              <w:t>Settlements . . . . . . . . .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Reductions due to expirations of statute of limitations . . . . . . . . . . . . . . . . . . . . . . . .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(Reduction) addition due to acquisition  . . . . . . . . . . . . . . . . . . . . . . . . . . . . . . . . . . .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(27.3)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264.0</w:t>
            </w:r>
          </w:p>
        </w:tc>
      </w:tr>
      <w:tr>
        <w:trPr>
          <w:trHeight w:val="28"/>
        </w:trPr>
        <w:tc>
          <w:tcPr>
            <w:tcW w:w="70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2"/>
        </w:trPr>
        <w:tc>
          <w:tcPr>
            <w:tcW w:w="7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Unrecognized tax benefit — end of year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$296.7</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$ 322.9</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391.1</w:t>
            </w:r>
          </w:p>
        </w:tc>
      </w:tr>
      <w:tr>
        <w:trPr>
          <w:trHeight w:val="28"/>
        </w:trPr>
        <w:tc>
          <w:tcPr>
            <w:tcW w:w="70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believes that it is reasonably possible that the amount of unrecognized tax benefits will decrease in the next twelve months by approximately $55.0 million, involving international and state audits and settlements and expiring statutes of limitations. The Company does not anticipate significant increases to the reserve within the next twelve months.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Share-Based Incentive Plan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20"/>
          <w:szCs w:val="20"/>
          <w:i w:val="1"/>
          <w:iCs w:val="1"/>
          <w:color w:val="auto"/>
        </w:rPr>
        <w:t>Viatris Inc. 2020 Stock Incentive Plan</w:t>
      </w:r>
      <w:r>
        <w:rPr>
          <w:rFonts w:ascii="Times New Roman" w:cs="Times New Roman" w:eastAsia="Times New Roman" w:hAnsi="Times New Roman"/>
          <w:sz w:val="20"/>
          <w:szCs w:val="20"/>
          <w:color w:val="auto"/>
        </w:rPr>
        <w:t>) which became effective as of the Distribution. In connection with the Combination, as of November 16, 2020, the Company assumed the 2003 LTIP (</w:t>
      </w:r>
      <w:r>
        <w:rPr>
          <w:rFonts w:ascii="Times New Roman" w:cs="Times New Roman" w:eastAsia="Times New Roman" w:hAnsi="Times New Roman"/>
          <w:sz w:val="20"/>
          <w:szCs w:val="20"/>
          <w:i w:val="1"/>
          <w:iCs w:val="1"/>
          <w:color w:val="auto"/>
        </w:rPr>
        <w:t>Mylan N.V. Amended and Restated 2003 Long-Term Incentive Plan)</w:t>
      </w:r>
      <w:r>
        <w:rPr>
          <w:rFonts w:ascii="Times New Roman" w:cs="Times New Roman" w:eastAsia="Times New Roman" w:hAnsi="Times New Roman"/>
          <w:sz w:val="20"/>
          <w:szCs w:val="20"/>
          <w:color w:val="auto"/>
        </w:rPr>
        <w:t>, which had previously been approved by Mylan shareholders. The 2020 Incentive Plan and 2003 LTIP include (i) 72,500,000 shares of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2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ectPr>
          <w:pgSz w:w="11880" w:h="15480" w:orient="portrait"/>
          <w:cols w:equalWidth="0" w:num="1">
            <w:col w:w="9120"/>
          </w:cols>
          <w:pgMar w:left="1380" w:top="1312" w:right="1380" w:bottom="654" w:gutter="0" w:footer="0" w:header="0"/>
          <w:type w:val="continuous"/>
        </w:sectPr>
      </w:pPr>
    </w:p>
    <w:bookmarkStart w:id="151" w:name="page152"/>
    <w:bookmarkEnd w:id="151"/>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stock awards (stock options and SARs) activity under the 2020 Incentive Plan and 2003 LTIP:</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r>
      <w:tr>
        <w:trPr>
          <w:trHeight w:val="160"/>
        </w:trPr>
        <w:tc>
          <w:tcPr>
            <w:tcW w:w="642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rPr>
              <w:t>Under Stock</w:t>
            </w:r>
          </w:p>
        </w:tc>
        <w:tc>
          <w:tcPr>
            <w:tcW w:w="120" w:type="dxa"/>
            <w:vAlign w:val="bottom"/>
          </w:tcPr>
          <w:p>
            <w:pPr>
              <w:spacing w:after="0"/>
              <w:rPr>
                <w:sz w:val="13"/>
                <w:szCs w:val="13"/>
                <w:color w:val="auto"/>
              </w:rPr>
            </w:pPr>
          </w:p>
        </w:tc>
        <w:tc>
          <w:tcPr>
            <w:tcW w:w="1140" w:type="dxa"/>
            <w:vAlign w:val="bottom"/>
          </w:tcPr>
          <w:p>
            <w:pPr>
              <w:jc w:val="right"/>
              <w:ind w:right="43"/>
              <w:spacing w:after="0" w:line="160" w:lineRule="exact"/>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182"/>
        </w:trPr>
        <w:tc>
          <w:tcPr>
            <w:tcW w:w="6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5"/>
                <w:szCs w:val="15"/>
                <w:color w:val="auto"/>
              </w:rPr>
            </w:pPr>
          </w:p>
        </w:tc>
        <w:tc>
          <w:tcPr>
            <w:tcW w:w="1140" w:type="dxa"/>
            <w:vAlign w:val="bottom"/>
          </w:tcPr>
          <w:p>
            <w:pPr>
              <w:jc w:val="right"/>
              <w:ind w:right="203"/>
              <w:spacing w:after="0" w:line="182" w:lineRule="exact"/>
              <w:rPr>
                <w:sz w:val="20"/>
                <w:szCs w:val="20"/>
                <w:color w:val="auto"/>
              </w:rPr>
            </w:pPr>
            <w:r>
              <w:rPr>
                <w:rFonts w:ascii="Times New Roman" w:cs="Times New Roman" w:eastAsia="Times New Roman" w:hAnsi="Times New Roman"/>
                <w:sz w:val="16"/>
                <w:szCs w:val="16"/>
                <w:b w:val="1"/>
                <w:bCs w:val="1"/>
                <w:color w:val="auto"/>
              </w:rPr>
              <w:t>per Share</w:t>
            </w:r>
          </w:p>
        </w:tc>
      </w:tr>
      <w:tr>
        <w:trPr>
          <w:trHeight w:val="26"/>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at December 31, 2019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6,347,709</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814,351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w:t>
            </w:r>
          </w:p>
        </w:tc>
      </w:tr>
      <w:tr>
        <w:trPr>
          <w:trHeight w:val="240"/>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Exercised . . . . . . . . . . . . . . . . . .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w:t>
            </w:r>
          </w:p>
        </w:tc>
      </w:tr>
      <w:tr>
        <w:trPr>
          <w:trHeight w:val="240"/>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(422,714)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at December 31, 2020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6,711,731</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(1,135,241)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at December 31, 2021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5,576,490</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37.19</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(1,126,848)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31.91</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at December 31, 2022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4,449,642</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w:t>
            </w:r>
          </w:p>
        </w:tc>
      </w:tr>
      <w:tr>
        <w:trPr>
          <w:trHeight w:val="28"/>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2"/>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Vested and expected to vest at December 31, 2022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4,411,052</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w:t>
            </w:r>
          </w:p>
        </w:tc>
      </w:tr>
      <w:tr>
        <w:trPr>
          <w:trHeight w:val="240"/>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Exercisable at December 31, 2022 . . . . . . . . . . . . . . . . . . . . . . . . . . . . . . . . .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4,216,884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39.65</w:t>
            </w:r>
          </w:p>
        </w:tc>
      </w:tr>
    </w:tbl>
    <w:p>
      <w:pPr>
        <w:spacing w:after="0" w:line="26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2022, stock awards outstanding, stock awards vested and expected to vest and stock awards exercisable had average remaining contractual terms of 4.1 years, 4.1 years and 3.9 years, respectively. Also, at December 31, 2022, stock awards outstanding, stock awards vested and expected to vest and stock awards exercisable had no aggregate intrinsic value.</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 rollforward of the changes in the Company’s nonvested Restricted Stock Awards (restricted stock and restricted stock unit awards, including PSUs) from December 31, 2021 to December 31, 2022 is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160"/>
        </w:trPr>
        <w:tc>
          <w:tcPr>
            <w:tcW w:w="5980" w:type="dxa"/>
            <w:vAlign w:val="bottom"/>
          </w:tcPr>
          <w:p>
            <w:pPr>
              <w:spacing w:after="0"/>
              <w:rPr>
                <w:sz w:val="13"/>
                <w:szCs w:val="13"/>
                <w:color w:val="auto"/>
              </w:rPr>
            </w:pPr>
          </w:p>
        </w:tc>
        <w:tc>
          <w:tcPr>
            <w:tcW w:w="16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Number of Restricted</w:t>
            </w:r>
          </w:p>
        </w:tc>
        <w:tc>
          <w:tcPr>
            <w:tcW w:w="220" w:type="dxa"/>
            <w:vAlign w:val="bottom"/>
          </w:tcPr>
          <w:p>
            <w:pPr>
              <w:spacing w:after="0"/>
              <w:rPr>
                <w:sz w:val="13"/>
                <w:szCs w:val="13"/>
                <w:color w:val="auto"/>
              </w:rPr>
            </w:pPr>
          </w:p>
        </w:tc>
        <w:tc>
          <w:tcPr>
            <w:tcW w:w="1240" w:type="dxa"/>
            <w:vAlign w:val="bottom"/>
          </w:tcPr>
          <w:p>
            <w:pPr>
              <w:jc w:val="right"/>
              <w:ind w:right="243"/>
              <w:spacing w:after="0" w:line="160" w:lineRule="exact"/>
              <w:rPr>
                <w:sz w:val="20"/>
                <w:szCs w:val="20"/>
                <w:color w:val="auto"/>
              </w:rPr>
            </w:pPr>
            <w:r>
              <w:rPr>
                <w:rFonts w:ascii="Times New Roman" w:cs="Times New Roman" w:eastAsia="Times New Roman" w:hAnsi="Times New Roman"/>
                <w:sz w:val="16"/>
                <w:szCs w:val="16"/>
                <w:b w:val="1"/>
                <w:bCs w:val="1"/>
                <w:color w:val="auto"/>
              </w:rPr>
              <w:t>Grant-Date</w:t>
            </w:r>
          </w:p>
        </w:tc>
      </w:tr>
      <w:tr>
        <w:trPr>
          <w:trHeight w:val="182"/>
        </w:trPr>
        <w:tc>
          <w:tcPr>
            <w:tcW w:w="5980" w:type="dxa"/>
            <w:vAlign w:val="bottom"/>
          </w:tcPr>
          <w:p>
            <w:pPr>
              <w:spacing w:after="0"/>
              <w:rPr>
                <w:sz w:val="15"/>
                <w:szCs w:val="15"/>
                <w:color w:val="auto"/>
              </w:rPr>
            </w:pPr>
          </w:p>
        </w:tc>
        <w:tc>
          <w:tcPr>
            <w:tcW w:w="168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Stock Awards</w:t>
            </w:r>
          </w:p>
        </w:tc>
        <w:tc>
          <w:tcPr>
            <w:tcW w:w="14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Fair Value Per Share</w:t>
            </w:r>
          </w:p>
        </w:tc>
      </w:tr>
      <w:tr>
        <w:trPr>
          <w:trHeight w:val="26"/>
        </w:trPr>
        <w:tc>
          <w:tcPr>
            <w:tcW w:w="5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2"/>
        </w:trPr>
        <w:tc>
          <w:tcPr>
            <w:tcW w:w="5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Nonvested at December 31, 2021 . . . . . . . . . . . . . . . . . . . . . . . . . . . . .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16,858,128</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w:t>
            </w:r>
          </w:p>
        </w:tc>
      </w:tr>
      <w:tr>
        <w:trPr>
          <w:trHeight w:val="240"/>
        </w:trPr>
        <w:tc>
          <w:tcPr>
            <w:tcW w:w="5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16,880,145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w:t>
            </w:r>
          </w:p>
        </w:tc>
      </w:tr>
      <w:tr>
        <w:trPr>
          <w:trHeight w:val="240"/>
        </w:trPr>
        <w:tc>
          <w:tcPr>
            <w:tcW w:w="5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Released . . . . . . . . . . . . . . . . . . . . . . . . . . . . . . . . . . . . . . . . . . . . . .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(4,790,749)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w:t>
            </w:r>
          </w:p>
        </w:tc>
      </w:tr>
      <w:tr>
        <w:trPr>
          <w:trHeight w:val="240"/>
        </w:trPr>
        <w:tc>
          <w:tcPr>
            <w:tcW w:w="5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(1,675,598)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w:t>
            </w:r>
          </w:p>
        </w:tc>
      </w:tr>
      <w:tr>
        <w:trPr>
          <w:trHeight w:val="28"/>
        </w:trPr>
        <w:tc>
          <w:tcPr>
            <w:tcW w:w="5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2"/>
        </w:trPr>
        <w:tc>
          <w:tcPr>
            <w:tcW w:w="5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Nonvested at December 31, 2022 . . . . . . . . . . . . . . . . . . . . . . . . . . . . .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27,271,926</w:t>
            </w:r>
          </w:p>
        </w:tc>
        <w:tc>
          <w:tcPr>
            <w:tcW w:w="2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w:t>
            </w:r>
          </w:p>
        </w:tc>
      </w:tr>
      <w:tr>
        <w:trPr>
          <w:trHeight w:val="28"/>
        </w:trPr>
        <w:tc>
          <w:tcPr>
            <w:tcW w:w="5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Of the 16,880,145 Restricted Stock Awards granted during the year ended December 31, 2022, 11,471,308 vest ratably in three years or less and are not subject to market or performance conditions. Of the remaining Restricted Stock Awards granted, 290,173 are not subject to market conditions and will cliff vest within a three-year period, and 5,118,664 are subject to market or performance conditions and will cliff vest in three years or less.</w:t>
      </w:r>
    </w:p>
    <w:p>
      <w:pPr>
        <w:spacing w:after="0" w:line="25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2022, the Company had $171.2 million of total unrecognized compensation expense, net of estimated forfeitures, related to all of its stock-based awards, which we expect to recognize over the remaining weighted average vesting period of 1.5 years. The total intrinsic value of Restricted Stock Awards released during the years ended December 31, 2022 and 2021 was $51.8 million and $78.1 million, respectively.</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With respect to options granted under the 2020 Incentive Plan and 2003 LTIP, the fair value of each option grant was estimated at the date of grant using the Black-Scholes option pricing model. Black-Scholes utilizes assumptions related to volatility, the risk-free interest rate, the dividend yield and employee exercise behavior.</w:t>
      </w:r>
    </w:p>
    <w:p>
      <w:pPr>
        <w:sectPr>
          <w:pgSz w:w="11880" w:h="15480" w:orient="portrait"/>
          <w:cols w:equalWidth="0" w:num="1">
            <w:col w:w="9120"/>
          </w:cols>
          <w:pgMar w:left="1380" w:top="1322" w:right="1380" w:bottom="654"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ectPr>
          <w:pgSz w:w="11880" w:h="15480" w:orient="portrait"/>
          <w:cols w:equalWidth="0" w:num="1">
            <w:col w:w="9120"/>
          </w:cols>
          <w:pgMar w:left="1380" w:top="1322" w:right="1380" w:bottom="654" w:gutter="0" w:footer="0" w:header="0"/>
          <w:type w:val="continuous"/>
        </w:sectPr>
      </w:pPr>
    </w:p>
    <w:bookmarkStart w:id="152" w:name="page153"/>
    <w:bookmarkEnd w:id="152"/>
    <w:p>
      <w:pPr>
        <w:jc w:val="both"/>
        <w:spacing w:after="0" w:line="246" w:lineRule="auto"/>
        <w:rPr>
          <w:sz w:val="20"/>
          <w:szCs w:val="20"/>
          <w:color w:val="auto"/>
        </w:rPr>
      </w:pPr>
      <w:r>
        <w:rPr>
          <w:rFonts w:ascii="Times New Roman" w:cs="Times New Roman" w:eastAsia="Times New Roman" w:hAnsi="Times New Roman"/>
          <w:sz w:val="20"/>
          <w:szCs w:val="20"/>
          <w:color w:val="auto"/>
        </w:rPr>
        <w:t>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There were no options granted during the years ended December 31, 2022 or 2021. The assumptions used for options granted under the 2020 Incentive Plan and 2003 LTIP during the year ended December 31, 2020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82"/>
        </w:trPr>
        <w:tc>
          <w:tcPr>
            <w:tcW w:w="818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8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6"/>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Volatility . . . . . . . . . . . . . . . .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r>
      <w:tr>
        <w:trPr>
          <w:trHeight w:val="240"/>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40"/>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 . . . . . . . . . . . . . . . . . . . . . . . . . . . . . .</w:t>
            </w: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rPr>
              <w:t>6.5</w:t>
            </w:r>
          </w:p>
        </w:tc>
      </w:tr>
      <w:tr>
        <w:trPr>
          <w:trHeight w:val="240"/>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Forfeiture rate . . . . . . . . . . . .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40"/>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per option . . . . . . . . . . . . . . . . . . . . . . . . . . . . . . . . . . . . . . . .</w:t>
            </w: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rPr>
              <w:t>$  8.07</w:t>
            </w:r>
          </w:p>
        </w:tc>
      </w:tr>
      <w:tr>
        <w:trPr>
          <w:trHeight w:val="240"/>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  . . . . . . . . . . .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Employee Benefit Plans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Benefit Plans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25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for Defined Benefit Pension and Other Postretirement Plans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Included in accumulated other comprehensive loss as of December 31, 2022 and 2021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Other Postretirement Benefits</w:t>
            </w:r>
          </w:p>
        </w:tc>
      </w:tr>
      <w:tr>
        <w:trPr>
          <w:trHeight w:val="26"/>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4160" w:type="dxa"/>
            <w:vAlign w:val="bottom"/>
          </w:tcPr>
          <w:p>
            <w:pPr>
              <w:jc w:val="right"/>
              <w:ind w:right="3225"/>
              <w:spacing w:after="0"/>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00" w:type="dxa"/>
            <w:vAlign w:val="bottom"/>
          </w:tcPr>
          <w:p>
            <w:pPr>
              <w:spacing w:after="0"/>
              <w:rPr>
                <w:sz w:val="16"/>
                <w:szCs w:val="16"/>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2"/>
        </w:trPr>
        <w:tc>
          <w:tcPr>
            <w:tcW w:w="41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Unrecognized actuarial (gain) loss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40"/>
        </w:trPr>
        <w:tc>
          <w:tcPr>
            <w:tcW w:w="41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Unrecognized prior service cost (credit) . . . . . . .</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416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Total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28"/>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unrecognized net actuarial (gains)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w:t>
      </w:r>
    </w:p>
    <w:p>
      <w:pPr>
        <w:sectPr>
          <w:pgSz w:w="11880" w:h="15480" w:orient="portrait"/>
          <w:cols w:equalWidth="0" w:num="1">
            <w:col w:w="9120"/>
          </w:cols>
          <w:pgMar w:left="1380" w:top="1322" w:right="1380" w:bottom="654"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1880" w:h="15480" w:orient="portrait"/>
          <w:cols w:equalWidth="0" w:num="1">
            <w:col w:w="9120"/>
          </w:cols>
          <w:pgMar w:left="1380" w:top="1322" w:right="1380" w:bottom="654" w:gutter="0" w:footer="0" w:header="0"/>
          <w:type w:val="continuous"/>
        </w:sectPr>
      </w:pPr>
    </w:p>
    <w:bookmarkStart w:id="153" w:name="page154"/>
    <w:bookmarkEnd w:id="153"/>
    <w:p>
      <w:pPr>
        <w:jc w:val="both"/>
        <w:spacing w:after="0" w:line="248" w:lineRule="auto"/>
        <w:rPr>
          <w:sz w:val="20"/>
          <w:szCs w:val="20"/>
          <w:color w:val="auto"/>
        </w:rPr>
      </w:pPr>
      <w:r>
        <w:rPr>
          <w:rFonts w:ascii="Times New Roman" w:cs="Times New Roman" w:eastAsia="Times New Roman" w:hAnsi="Times New Roman"/>
          <w:sz w:val="20"/>
          <w:szCs w:val="20"/>
          <w:color w:val="auto"/>
        </w:rPr>
        <w:t>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w:t>
      </w:r>
    </w:p>
    <w:p>
      <w:pPr>
        <w:spacing w:after="0" w:line="25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change in accumulated other comprehensive loss in 2022 relating to pension benefits and other postretirement benefits consists 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160"/>
        </w:trPr>
        <w:tc>
          <w:tcPr>
            <w:tcW w:w="6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r>
      <w:tr>
        <w:trPr>
          <w:trHeight w:val="182"/>
        </w:trPr>
        <w:tc>
          <w:tcPr>
            <w:tcW w:w="6720" w:type="dxa"/>
            <w:vAlign w:val="bottom"/>
          </w:tcPr>
          <w:p>
            <w:pPr>
              <w:jc w:val="right"/>
              <w:ind w:right="5783"/>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138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Pension Benefits</w:t>
            </w:r>
          </w:p>
        </w:tc>
        <w:tc>
          <w:tcPr>
            <w:tcW w:w="10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Benefits</w:t>
            </w: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2"/>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Unrecognized actuarial (gain) loss . . . . . . . . . . . . . . . . . . . . . . . . . . . . . . . . . . . . .</w:t>
            </w:r>
          </w:p>
        </w:tc>
        <w:tc>
          <w:tcPr>
            <w:tcW w:w="3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(43.4)</w:t>
            </w:r>
          </w:p>
        </w:tc>
      </w:tr>
      <w:tr>
        <w:trPr>
          <w:trHeight w:val="240"/>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Amortization of actuarial gain/(loss)  . . . . . . . . . . . . . . . . . . . . . . . . . . . . . . . . . .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(0.3)</w:t>
            </w:r>
          </w:p>
        </w:tc>
      </w:tr>
      <w:tr>
        <w:trPr>
          <w:trHeight w:val="240"/>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Unrecognized prior service credit (cost) . . . . . . . . . . . . . . . . . . . . . . . . . . . . . . . .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(0.5)</w:t>
            </w:r>
          </w:p>
        </w:tc>
      </w:tr>
      <w:tr>
        <w:trPr>
          <w:trHeight w:val="240"/>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Amortization of prior service costs . . . . . . . . . . . . . . . . . . . . . . . . . . . . . . . . . . . .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0.5</w:t>
            </w:r>
          </w:p>
        </w:tc>
      </w:tr>
      <w:tr>
        <w:trPr>
          <w:trHeight w:val="240"/>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Impact of foreign currency translation . . . . . . . . . . . . . . . . . . . . . . . . . . . . . . . . .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2"/>
        </w:trPr>
        <w:tc>
          <w:tcPr>
            <w:tcW w:w="67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Net change . . . . . . . . . . . . . . . . . . . . . . . . . . . . . . . . . . . . . . . . . . . . . . . . . . . . . .</w:t>
            </w:r>
          </w:p>
        </w:tc>
        <w:tc>
          <w:tcPr>
            <w:tcW w:w="3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(236.3)</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(43.7)</w:t>
            </w:r>
          </w:p>
        </w:tc>
      </w:tr>
      <w:tr>
        <w:trPr>
          <w:trHeight w:val="28"/>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Periodic Benefit Cost</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Components of net periodic benefit cost for the years ended December 31, 2022, 2021 and 2020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9"/>
              </w:rPr>
              <w:t>Other Postretirement Benefits</w:t>
            </w:r>
          </w:p>
        </w:tc>
      </w:tr>
      <w:tr>
        <w:trPr>
          <w:trHeight w:val="26"/>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4"/>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6"/>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4"/>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60" w:type="dxa"/>
            <w:vAlign w:val="bottom"/>
          </w:tcPr>
          <w:p>
            <w:pPr>
              <w:spacing w:after="0"/>
              <w:rPr>
                <w:sz w:val="16"/>
                <w:szCs w:val="16"/>
                <w:color w:val="auto"/>
              </w:rPr>
            </w:pPr>
          </w:p>
        </w:tc>
        <w:tc>
          <w:tcPr>
            <w:tcW w:w="6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Service cost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8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 . . . . . . . . . . . . . . . . . . . . . . . . . .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  . . . . . . . . . . .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Plan curtailment, settlement and</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termination  . . . . . . . . . . . . . . . . . . . . . . . . . .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prior service costs . . . . . . . .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(0.6)</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Recognized net actuarial losses (gains) . . . . . .</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benefit cost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2021, the Company recognized a settlement gain as a result of cash payments from lump sum elections related to the U.S. and Puerto Rico pension plans.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ectPr>
          <w:pgSz w:w="11880" w:h="15480" w:orient="portrait"/>
          <w:cols w:equalWidth="0" w:num="1">
            <w:col w:w="9120"/>
          </w:cols>
          <w:pgMar w:left="1380" w:top="1322" w:right="1380" w:bottom="654"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i w:val="1"/>
          <w:iCs w:val="1"/>
          <w:color w:val="auto"/>
        </w:rPr>
        <w:t>Change in Projected Benefit Obligation, Change in Plan Assets and Funded Status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table below presents components of the change in projected benefit obligation, change in plan assets and funded status at December 31,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Other Postretirement Benefits</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Change in Projected Benefit Obligation</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Projected benefit obligation, beginning of year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2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Service cost .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 .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contributions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Plan settlements and terminations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(gains) losses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Impact of foreign currency translation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Projected benefit obligation, end of year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1,379.0</w:t>
            </w:r>
          </w:p>
        </w:tc>
        <w:tc>
          <w:tcPr>
            <w:tcW w:w="20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20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w:t>
            </w:r>
          </w:p>
        </w:tc>
        <w:tc>
          <w:tcPr>
            <w:tcW w:w="0" w:type="dxa"/>
            <w:vAlign w:val="bottom"/>
          </w:tcPr>
          <w:p>
            <w:pPr>
              <w:spacing w:after="0"/>
              <w:rPr>
                <w:sz w:val="1"/>
                <w:szCs w:val="1"/>
                <w:color w:val="auto"/>
              </w:rPr>
            </w:pPr>
          </w:p>
        </w:tc>
      </w:tr>
      <w:tr>
        <w:trPr>
          <w:trHeight w:val="360"/>
        </w:trPr>
        <w:tc>
          <w:tcPr>
            <w:tcW w:w="4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beginning of year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w:t>
            </w:r>
          </w:p>
        </w:tc>
        <w:tc>
          <w:tcPr>
            <w:tcW w:w="2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Actual return on plan assets  . . . . . . . . . . . . . . . . . . .</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(138.1)</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Company contributions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contributions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Plan settlements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 . . . . . . . . . . . . . . . . . . . .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Impact of foreign currency translation . . . . . .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(45.1)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end of year  . . . . . . . . . . . .</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Funded status of plans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(311.9)</w:t>
            </w:r>
          </w:p>
        </w:tc>
        <w:tc>
          <w:tcPr>
            <w:tcW w:w="20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(580.2)</w:t>
            </w:r>
          </w:p>
        </w:tc>
        <w:tc>
          <w:tcPr>
            <w:tcW w:w="20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Net accrued benefit costs for pension plans and other postretirement benefits are reported in the following components of the Company’s consolidated balance sheets at December 31,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w w:val="99"/>
              </w:rPr>
              <w:t>Other Postretirement Benefits</w:t>
            </w:r>
          </w:p>
        </w:tc>
      </w:tr>
      <w:tr>
        <w:trPr>
          <w:trHeight w:val="26"/>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4"/>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7"/>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4"/>
        </w:trPr>
        <w:tc>
          <w:tcPr>
            <w:tcW w:w="4300" w:type="dxa"/>
            <w:vAlign w:val="bottom"/>
          </w:tcPr>
          <w:p>
            <w:pPr>
              <w:jc w:val="right"/>
              <w:ind w:right="3364"/>
              <w:spacing w:after="0"/>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60" w:type="dxa"/>
            <w:vAlign w:val="bottom"/>
          </w:tcPr>
          <w:p>
            <w:pPr>
              <w:spacing w:after="0"/>
              <w:rPr>
                <w:sz w:val="16"/>
                <w:szCs w:val="16"/>
                <w:color w:val="auto"/>
              </w:rPr>
            </w:pPr>
          </w:p>
        </w:tc>
        <w:tc>
          <w:tcPr>
            <w:tcW w:w="900" w:type="dxa"/>
            <w:vAlign w:val="bottom"/>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6"/>
                <w:szCs w:val="16"/>
                <w:color w:val="auto"/>
              </w:rPr>
            </w:pPr>
          </w:p>
        </w:tc>
      </w:tr>
      <w:tr>
        <w:trPr>
          <w:trHeight w:val="26"/>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2"/>
        </w:trPr>
        <w:tc>
          <w:tcPr>
            <w:tcW w:w="43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Noncurrent assets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43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Current liabilities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0" w:type="dxa"/>
            <w:vAlign w:val="bottom"/>
          </w:tcPr>
          <w:p>
            <w:pPr>
              <w:spacing w:after="0"/>
              <w:rPr>
                <w:sz w:val="20"/>
                <w:szCs w:val="20"/>
                <w:color w:val="auto"/>
              </w:rPr>
            </w:pPr>
          </w:p>
        </w:tc>
      </w:tr>
      <w:tr>
        <w:trPr>
          <w:trHeight w:val="240"/>
        </w:trPr>
        <w:tc>
          <w:tcPr>
            <w:tcW w:w="43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Noncurrent liabilities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20" w:type="dxa"/>
            <w:vAlign w:val="bottom"/>
          </w:tcPr>
          <w:p>
            <w:pPr>
              <w:spacing w:after="0"/>
              <w:rPr>
                <w:sz w:val="20"/>
                <w:szCs w:val="20"/>
                <w:color w:val="auto"/>
              </w:rPr>
            </w:pPr>
          </w:p>
        </w:tc>
      </w:tr>
      <w:tr>
        <w:trPr>
          <w:trHeight w:val="28"/>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43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Net accrued benefit costs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(580.2)</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2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w:t>
            </w:r>
          </w:p>
        </w:tc>
        <w:tc>
          <w:tcPr>
            <w:tcW w:w="20" w:type="dxa"/>
            <w:vAlign w:val="bottom"/>
          </w:tcPr>
          <w:p>
            <w:pPr>
              <w:spacing w:after="0"/>
              <w:rPr>
                <w:sz w:val="23"/>
                <w:szCs w:val="23"/>
                <w:color w:val="auto"/>
              </w:rPr>
            </w:pPr>
          </w:p>
        </w:tc>
      </w:tr>
      <w:tr>
        <w:trPr>
          <w:trHeight w:val="28"/>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$1.31 billion and $1.86 billion at December 31, 2022 and 2021, respectively.</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ectPr>
          <w:pgSz w:w="11880" w:h="15480" w:orient="portrait"/>
          <w:cols w:equalWidth="0" w:num="1">
            <w:col w:w="9120"/>
          </w:cols>
          <w:pgMar w:left="1380" w:top="1312" w:right="1380" w:bottom="654" w:gutter="0" w:footer="0" w:header="0"/>
          <w:type w:val="continuous"/>
        </w:sectPr>
      </w:pPr>
    </w:p>
    <w:bookmarkStart w:id="155" w:name="page156"/>
    <w:bookmarkEnd w:id="155"/>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projected benefit obligation, accumulated benefit obligation and fair value of plan assets for pension plans with an accumulated benefit obligation in excess of the fair value of plan assets at December 31, 2022 and 2021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Plans with accumulated benefit obligation in excess of plan assets:</w:t>
            </w: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1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Projected benefit obligation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1,026.5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1,591.8</w:t>
            </w:r>
          </w:p>
        </w:tc>
        <w:tc>
          <w:tcPr>
            <w:tcW w:w="0" w:type="dxa"/>
            <w:vAlign w:val="bottom"/>
          </w:tcPr>
          <w:p>
            <w:pPr>
              <w:spacing w:after="0"/>
              <w:rPr>
                <w:sz w:val="1"/>
                <w:szCs w:val="1"/>
                <w:color w:val="auto"/>
              </w:rPr>
            </w:pPr>
          </w:p>
        </w:tc>
      </w:tr>
      <w:tr>
        <w:trPr>
          <w:trHeight w:val="240"/>
        </w:trPr>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benefit obligation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1,546.4</w:t>
            </w:r>
          </w:p>
        </w:tc>
        <w:tc>
          <w:tcPr>
            <w:tcW w:w="0" w:type="dxa"/>
            <w:vAlign w:val="bottom"/>
          </w:tcPr>
          <w:p>
            <w:pPr>
              <w:spacing w:after="0"/>
              <w:rPr>
                <w:sz w:val="1"/>
                <w:szCs w:val="1"/>
                <w:color w:val="auto"/>
              </w:rPr>
            </w:pPr>
          </w:p>
        </w:tc>
      </w:tr>
      <w:tr>
        <w:trPr>
          <w:trHeight w:val="240"/>
        </w:trPr>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Fair value of plan assets  . . .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904.1</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Plan Assets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10 </w:t>
      </w:r>
      <w:r>
        <w:rPr>
          <w:rFonts w:ascii="Times New Roman" w:cs="Times New Roman" w:eastAsia="Times New Roman" w:hAnsi="Times New Roman"/>
          <w:sz w:val="20"/>
          <w:szCs w:val="20"/>
          <w:i w:val="1"/>
          <w:iCs w:val="1"/>
          <w:color w:val="auto"/>
        </w:rPr>
        <w:t>Financial Instruments and 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Management</w:t>
      </w:r>
      <w:r>
        <w:rPr>
          <w:rFonts w:ascii="Times New Roman" w:cs="Times New Roman" w:eastAsia="Times New Roman" w:hAnsi="Times New Roman"/>
          <w:sz w:val="20"/>
          <w:szCs w:val="20"/>
          <w:color w:val="auto"/>
        </w:rPr>
        <w:t>. The table below presents total plan assets by investment category as of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and 2021 and the classification of each investment category within the fair value hierarchy with respect to the inputs used to measure fair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6"/>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4"/>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396.3</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Fixed income securities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453.1</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Assets held by insurance companies and other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w:t>
            </w:r>
          </w:p>
        </w:tc>
      </w:tr>
      <w:tr>
        <w:trPr>
          <w:trHeight w:val="28"/>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1,067.1</w:t>
            </w:r>
          </w:p>
        </w:tc>
      </w:tr>
      <w:tr>
        <w:trPr>
          <w:trHeight w:val="28"/>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4"/>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4"/>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551.1</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Fixed income securities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616.9</w:t>
            </w: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Assets held by insurance companies and other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w:t>
            </w:r>
          </w:p>
        </w:tc>
      </w:tr>
      <w:tr>
        <w:trPr>
          <w:trHeight w:val="28"/>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338.6</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w:t>
            </w:r>
          </w:p>
        </w:tc>
      </w:tr>
      <w:tr>
        <w:trPr>
          <w:trHeight w:val="28"/>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1880" w:h="15480" w:orient="portrait"/>
          <w:cols w:equalWidth="0" w:num="1">
            <w:col w:w="9120"/>
          </w:cols>
          <w:pgMar w:left="1380" w:top="1322" w:right="1380" w:bottom="654"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i w:val="1"/>
          <w:iCs w:val="1"/>
          <w:color w:val="auto"/>
        </w:rPr>
        <w:t>Assumptions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weighted average assumptions were used to determine the benefit obligations for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defined benefit pension and other postretirement plans as of December 31,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Other Postretirement Benefits</w:t>
            </w:r>
          </w:p>
        </w:tc>
      </w:tr>
      <w:tr>
        <w:trPr>
          <w:trHeight w:val="26"/>
        </w:trPr>
        <w:tc>
          <w:tcPr>
            <w:tcW w:w="5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2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20" w:type="dxa"/>
            <w:vAlign w:val="bottom"/>
            <w:gridSpan w:val="2"/>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 . . . . . . . . . . . . . . . . . . . . . . . . . . . . . . .</w:t>
            </w: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1220" w:type="dxa"/>
            <w:vAlign w:val="bottom"/>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5.4%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w:t>
            </w:r>
          </w:p>
        </w:tc>
      </w:tr>
      <w:tr>
        <w:trPr>
          <w:trHeight w:val="24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  . . . . . . . . . . . . . . . . . . . . . . . . .</w:t>
            </w: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0"/>
                <w:szCs w:val="20"/>
                <w:color w:val="auto"/>
              </w:rPr>
            </w:pPr>
          </w:p>
        </w:tc>
        <w:tc>
          <w:tcPr>
            <w:tcW w:w="102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Rate of compensation increase . . . . . . . . . . . . . . . . . . . . . . . . .</w:t>
            </w: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0"/>
                <w:szCs w:val="20"/>
                <w:color w:val="auto"/>
              </w:rPr>
            </w:pPr>
          </w:p>
        </w:tc>
        <w:tc>
          <w:tcPr>
            <w:tcW w:w="102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bl>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weighted average assumptions were used to determine the net periodic benefit cost for the Company’s defined benefit pension and other postretirement benefit plans for the three years in the period ended December 31,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Other Postretirement Benefits</w:t>
            </w:r>
          </w:p>
        </w:tc>
      </w:tr>
      <w:tr>
        <w:trPr>
          <w:trHeight w:val="26"/>
        </w:trPr>
        <w:tc>
          <w:tcPr>
            <w:tcW w:w="4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4"/>
        </w:trPr>
        <w:tc>
          <w:tcPr>
            <w:tcW w:w="42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4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 . . . . . .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20"/>
                <w:szCs w:val="20"/>
                <w:color w:val="auto"/>
                <w:w w:val="95"/>
              </w:rPr>
              <w:t>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1.6%</w:t>
            </w:r>
          </w:p>
        </w:tc>
        <w:tc>
          <w:tcPr>
            <w:tcW w:w="840" w:type="dxa"/>
            <w:vAlign w:val="bottom"/>
            <w:gridSpan w:val="2"/>
          </w:tcPr>
          <w:p>
            <w:pPr>
              <w:jc w:val="right"/>
              <w:ind w:right="27"/>
              <w:spacing w:after="0"/>
              <w:rPr>
                <w:sz w:val="20"/>
                <w:szCs w:val="20"/>
                <w:color w:val="auto"/>
              </w:rPr>
            </w:pPr>
            <w:r>
              <w:rPr>
                <w:rFonts w:ascii="Times New Roman" w:cs="Times New Roman" w:eastAsia="Times New Roman" w:hAnsi="Times New Roman"/>
                <w:sz w:val="20"/>
                <w:szCs w:val="20"/>
                <w:color w:val="auto"/>
              </w:rPr>
              <w:t>2.5%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5.0%</w:t>
            </w: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20"/>
                <w:szCs w:val="20"/>
                <w:color w:val="auto"/>
                <w:w w:val="95"/>
              </w:rPr>
              <w:t>5.1%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200" w:type="dxa"/>
            <w:vAlign w:val="bottom"/>
          </w:tcPr>
          <w:p>
            <w:pPr>
              <w:spacing w:after="0"/>
              <w:rPr>
                <w:sz w:val="20"/>
                <w:szCs w:val="20"/>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Rate of compensation increase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20"/>
                <w:szCs w:val="20"/>
                <w:color w:val="auto"/>
                <w:w w:val="95"/>
              </w:rPr>
              <w:t>2.9%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2.7%</w:t>
            </w:r>
          </w:p>
        </w:tc>
        <w:tc>
          <w:tcPr>
            <w:tcW w:w="200" w:type="dxa"/>
            <w:vAlign w:val="bottom"/>
          </w:tcPr>
          <w:p>
            <w:pPr>
              <w:spacing w:after="0"/>
              <w:rPr>
                <w:sz w:val="20"/>
                <w:szCs w:val="20"/>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bl>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weighted-average healthcare cost trend rate used for 2022 was 6.3% declining to a projected 4.0% in the year 2045. For 2023, the assumed weighted-average healthcare cost trend rate used will be 6.9% declining to a projected 4.0% in the year 2046.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Estimated Future Benefit Payments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1880" w:h="15480" w:orient="portrait"/>
          <w:cols w:equalWidth="0" w:num="1">
            <w:col w:w="9120"/>
          </w:cols>
          <w:pgMar w:left="1380" w:top="1312" w:right="1380" w:bottom="654" w:gutter="0" w:footer="0" w:header="0"/>
          <w:type w:val="continuous"/>
        </w:sectPr>
      </w:pPr>
    </w:p>
    <w:bookmarkStart w:id="157" w:name="page158"/>
    <w:bookmarkEnd w:id="157"/>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Estimated benefit payments over the next ten years for the Company’s pension plans and retiree health plan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160"/>
        </w:trPr>
        <w:tc>
          <w:tcPr>
            <w:tcW w:w="6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44"/>
              <w:spacing w:after="0" w:line="160"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00" w:type="dxa"/>
            <w:vAlign w:val="bottom"/>
          </w:tcPr>
          <w:p>
            <w:pPr>
              <w:spacing w:after="0"/>
              <w:rPr>
                <w:sz w:val="13"/>
                <w:szCs w:val="13"/>
                <w:color w:val="auto"/>
              </w:rPr>
            </w:pPr>
          </w:p>
        </w:tc>
        <w:tc>
          <w:tcPr>
            <w:tcW w:w="10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r>
      <w:tr>
        <w:trPr>
          <w:trHeight w:val="182"/>
        </w:trPr>
        <w:tc>
          <w:tcPr>
            <w:tcW w:w="6680" w:type="dxa"/>
            <w:vAlign w:val="bottom"/>
          </w:tcPr>
          <w:p>
            <w:pPr>
              <w:jc w:val="right"/>
              <w:ind w:right="5743"/>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(In millions)</w:t>
            </w:r>
          </w:p>
        </w:tc>
        <w:tc>
          <w:tcPr>
            <w:tcW w:w="200" w:type="dxa"/>
            <w:vAlign w:val="bottom"/>
          </w:tcPr>
          <w:p>
            <w:pPr>
              <w:spacing w:after="0"/>
              <w:rPr>
                <w:sz w:val="15"/>
                <w:szCs w:val="15"/>
                <w:color w:val="auto"/>
              </w:rPr>
            </w:pPr>
          </w:p>
        </w:tc>
        <w:tc>
          <w:tcPr>
            <w:tcW w:w="1000" w:type="dxa"/>
            <w:vAlign w:val="bottom"/>
          </w:tcPr>
          <w:p>
            <w:pPr>
              <w:jc w:val="right"/>
              <w:ind w:right="244"/>
              <w:spacing w:after="0" w:line="182" w:lineRule="exact"/>
              <w:rPr>
                <w:sz w:val="20"/>
                <w:szCs w:val="20"/>
                <w:color w:val="auto"/>
              </w:rPr>
            </w:pPr>
            <w:r>
              <w:rPr>
                <w:rFonts w:ascii="Times New Roman" w:cs="Times New Roman" w:eastAsia="Times New Roman" w:hAnsi="Times New Roman"/>
                <w:sz w:val="16"/>
                <w:szCs w:val="16"/>
                <w:b w:val="1"/>
                <w:bCs w:val="1"/>
                <w:color w:val="auto"/>
              </w:rPr>
              <w:t>Benefits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44"/>
              <w:spacing w:after="0" w:line="182" w:lineRule="exact"/>
              <w:rPr>
                <w:sz w:val="20"/>
                <w:szCs w:val="20"/>
                <w:color w:val="auto"/>
              </w:rPr>
            </w:pPr>
            <w:r>
              <w:rPr>
                <w:rFonts w:ascii="Times New Roman" w:cs="Times New Roman" w:eastAsia="Times New Roman" w:hAnsi="Times New Roman"/>
                <w:sz w:val="16"/>
                <w:szCs w:val="16"/>
                <w:b w:val="1"/>
                <w:bCs w:val="1"/>
                <w:color w:val="auto"/>
              </w:rPr>
              <w:t>Benefits</w:t>
            </w:r>
          </w:p>
        </w:tc>
      </w:tr>
      <w:tr>
        <w:trPr>
          <w:trHeight w:val="26"/>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2"/>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40"/>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40"/>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40"/>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240"/>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0"/>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r>
      <w:tr>
        <w:trPr>
          <w:trHeight w:val="28"/>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66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1,005.5</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w:t>
            </w:r>
          </w:p>
        </w:tc>
      </w:tr>
      <w:tr>
        <w:trPr>
          <w:trHeight w:val="28"/>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Contribution Plans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sponsors defined contribution plans covering its employees in the U.S. and Puerto Rico, as well as certain employees in a number of countries outside the U.S. The Company’s domestic defined contribution plans consist primarily of a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maintains a Restoration Plan, which permits employees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spacing w:after="0" w:line="25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25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Total employer contributions to defined contribution plans were approximately $111.5 million, $107.4 million and $115.5 million for the years ended December 31, 2022, 2021 and 2020, respectively.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Segment Information</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w:t>
      </w:r>
    </w:p>
    <w:p>
      <w:pPr>
        <w:sectPr>
          <w:pgSz w:w="11880" w:h="15480" w:orient="portrait"/>
          <w:cols w:equalWidth="0" w:num="1">
            <w:col w:w="9120"/>
          </w:cols>
          <w:pgMar w:left="1380" w:top="1322" w:right="1380" w:bottom="654"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1880" w:h="15480" w:orient="portrait"/>
          <w:cols w:equalWidth="0" w:num="1">
            <w:col w:w="9120"/>
          </w:cols>
          <w:pgMar w:left="1380" w:top="1322" w:right="1380" w:bottom="654" w:gutter="0" w:footer="0" w:header="0"/>
          <w:type w:val="continuous"/>
        </w:sectPr>
      </w:pPr>
    </w:p>
    <w:bookmarkStart w:id="158" w:name="page159"/>
    <w:bookmarkEnd w:id="158"/>
    <w:p>
      <w:pPr>
        <w:jc w:val="both"/>
        <w:spacing w:after="0" w:line="245" w:lineRule="auto"/>
        <w:rPr>
          <w:sz w:val="20"/>
          <w:szCs w:val="20"/>
          <w:color w:val="auto"/>
        </w:rPr>
      </w:pPr>
      <w:r>
        <w:rPr>
          <w:rFonts w:ascii="Times New Roman" w:cs="Times New Roman" w:eastAsia="Times New Roman" w:hAnsi="Times New Roman"/>
          <w:sz w:val="20"/>
          <w:szCs w:val="20"/>
          <w:color w:val="auto"/>
        </w:rPr>
        <w:t>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25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Company’s chief operating decision maker is the Chief Executive Officer, who evaluates the performance of its segments based on total revenues and segment profitability.</w:t>
      </w:r>
    </w:p>
    <w:p>
      <w:pPr>
        <w:spacing w:after="0" w:line="26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Certain costs are not included in the measurement of segment profitability, such as costs, if any, associated with the following:</w:t>
      </w:r>
    </w:p>
    <w:p>
      <w:pPr>
        <w:spacing w:after="0" w:line="132" w:lineRule="exact"/>
        <w:rPr>
          <w:sz w:val="20"/>
          <w:szCs w:val="20"/>
          <w:color w:val="auto"/>
        </w:rPr>
      </w:pPr>
    </w:p>
    <w:p>
      <w:pPr>
        <w:ind w:left="800" w:hanging="300"/>
        <w:spacing w:after="0"/>
        <w:tabs>
          <w:tab w:leader="none" w:pos="800" w:val="left"/>
        </w:tabs>
        <w:numPr>
          <w:ilvl w:val="0"/>
          <w:numId w:val="86"/>
        </w:numPr>
        <w:rPr>
          <w:rFonts w:ascii="Arial" w:cs="Arial" w:eastAsia="Arial" w:hAnsi="Arial"/>
          <w:sz w:val="12"/>
          <w:szCs w:val="12"/>
          <w:color w:val="auto"/>
        </w:rPr>
      </w:pPr>
      <w:r>
        <w:rPr>
          <w:rFonts w:ascii="Times New Roman" w:cs="Times New Roman" w:eastAsia="Times New Roman" w:hAnsi="Times New Roman"/>
          <w:sz w:val="20"/>
          <w:szCs w:val="20"/>
          <w:color w:val="auto"/>
        </w:rPr>
        <w:t>Intangible asset amortization expense and impairments of goodwill and long-lived assets;</w:t>
      </w:r>
    </w:p>
    <w:p>
      <w:pPr>
        <w:spacing w:after="0" w:line="130" w:lineRule="exact"/>
        <w:rPr>
          <w:sz w:val="20"/>
          <w:szCs w:val="20"/>
          <w:color w:val="auto"/>
        </w:rPr>
      </w:pPr>
    </w:p>
    <w:p>
      <w:pPr>
        <w:ind w:left="800" w:hanging="300"/>
        <w:spacing w:after="0"/>
        <w:tabs>
          <w:tab w:leader="none" w:pos="800" w:val="left"/>
        </w:tabs>
        <w:numPr>
          <w:ilvl w:val="0"/>
          <w:numId w:val="87"/>
        </w:numPr>
        <w:rPr>
          <w:rFonts w:ascii="Arial" w:cs="Arial" w:eastAsia="Arial" w:hAnsi="Arial"/>
          <w:sz w:val="12"/>
          <w:szCs w:val="12"/>
          <w:color w:val="auto"/>
        </w:rPr>
      </w:pPr>
      <w:r>
        <w:rPr>
          <w:rFonts w:ascii="Times New Roman" w:cs="Times New Roman" w:eastAsia="Times New Roman" w:hAnsi="Times New Roman"/>
          <w:sz w:val="20"/>
          <w:szCs w:val="20"/>
          <w:color w:val="auto"/>
        </w:rPr>
        <w:t>R&amp;D expense;</w:t>
      </w:r>
    </w:p>
    <w:p>
      <w:pPr>
        <w:spacing w:after="0" w:line="130" w:lineRule="exact"/>
        <w:rPr>
          <w:sz w:val="20"/>
          <w:szCs w:val="20"/>
          <w:color w:val="auto"/>
        </w:rPr>
      </w:pPr>
    </w:p>
    <w:p>
      <w:pPr>
        <w:ind w:left="800" w:hanging="300"/>
        <w:spacing w:after="0"/>
        <w:tabs>
          <w:tab w:leader="none" w:pos="800" w:val="left"/>
        </w:tabs>
        <w:numPr>
          <w:ilvl w:val="0"/>
          <w:numId w:val="88"/>
        </w:numPr>
        <w:rPr>
          <w:rFonts w:ascii="Arial" w:cs="Arial" w:eastAsia="Arial" w:hAnsi="Arial"/>
          <w:sz w:val="12"/>
          <w:szCs w:val="12"/>
          <w:color w:val="auto"/>
        </w:rPr>
      </w:pPr>
      <w:r>
        <w:rPr>
          <w:rFonts w:ascii="Times New Roman" w:cs="Times New Roman" w:eastAsia="Times New Roman" w:hAnsi="Times New Roman"/>
          <w:sz w:val="20"/>
          <w:szCs w:val="20"/>
          <w:color w:val="auto"/>
        </w:rPr>
        <w:t>Net charges or net gains for litigation settlements and other contingencies;</w:t>
      </w:r>
    </w:p>
    <w:p>
      <w:pPr>
        <w:spacing w:after="0" w:line="140" w:lineRule="exact"/>
        <w:rPr>
          <w:sz w:val="20"/>
          <w:szCs w:val="20"/>
          <w:color w:val="auto"/>
        </w:rPr>
      </w:pPr>
    </w:p>
    <w:p>
      <w:pPr>
        <w:jc w:val="both"/>
        <w:ind w:left="800" w:hanging="300"/>
        <w:spacing w:after="0" w:line="249" w:lineRule="auto"/>
        <w:tabs>
          <w:tab w:leader="none" w:pos="800" w:val="left"/>
        </w:tabs>
        <w:numPr>
          <w:ilvl w:val="0"/>
          <w:numId w:val="89"/>
        </w:numPr>
        <w:rPr>
          <w:rFonts w:ascii="Arial" w:cs="Arial" w:eastAsia="Arial" w:hAnsi="Arial"/>
          <w:sz w:val="12"/>
          <w:szCs w:val="12"/>
          <w:color w:val="auto"/>
        </w:rPr>
      </w:pPr>
      <w:r>
        <w:rPr>
          <w:rFonts w:ascii="Times New Roman" w:cs="Times New Roman" w:eastAsia="Times New Roman" w:hAnsi="Times New Roman"/>
          <w:sz w:val="20"/>
          <w:szCs w:val="20"/>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our planned divestitures and the Biocon Biologics Transaction, and, as applicable, any associated transition activities.</w:t>
      </w:r>
    </w:p>
    <w:p>
      <w:pPr>
        <w:spacing w:after="0" w:line="135" w:lineRule="exact"/>
        <w:rPr>
          <w:sz w:val="20"/>
          <w:szCs w:val="20"/>
          <w:color w:val="auto"/>
        </w:rPr>
      </w:pPr>
    </w:p>
    <w:p>
      <w:pPr>
        <w:jc w:val="both"/>
        <w:ind w:left="800" w:hanging="300"/>
        <w:spacing w:after="0" w:line="248" w:lineRule="auto"/>
        <w:tabs>
          <w:tab w:leader="none" w:pos="800" w:val="left"/>
        </w:tabs>
        <w:numPr>
          <w:ilvl w:val="0"/>
          <w:numId w:val="90"/>
        </w:numPr>
        <w:rPr>
          <w:rFonts w:ascii="Arial" w:cs="Arial" w:eastAsia="Arial" w:hAnsi="Arial"/>
          <w:sz w:val="12"/>
          <w:szCs w:val="12"/>
          <w:color w:val="auto"/>
        </w:rPr>
      </w:pPr>
      <w:r>
        <w:rPr>
          <w:rFonts w:ascii="Times New Roman" w:cs="Times New Roman" w:eastAsia="Times New Roman" w:hAnsi="Times New Roman"/>
          <w:sz w:val="20"/>
          <w:szCs w:val="20"/>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254"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Company does not report depreciation expense, total assets and capital expenditures by segment, as such information is not used by the chief operating decision maker.</w:t>
      </w:r>
    </w:p>
    <w:p>
      <w:pPr>
        <w:spacing w:after="0" w:line="26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 xml:space="preserve">The accounting policies of the segments are the same as those described in Note 2 </w:t>
      </w:r>
      <w:r>
        <w:rPr>
          <w:rFonts w:ascii="Times New Roman" w:cs="Times New Roman" w:eastAsia="Times New Roman" w:hAnsi="Times New Roman"/>
          <w:sz w:val="20"/>
          <w:szCs w:val="20"/>
          <w:i w:val="1"/>
          <w:iCs w:val="1"/>
          <w:color w:val="auto"/>
        </w:rPr>
        <w:t>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1880" w:h="15480" w:orient="portrait"/>
          <w:cols w:equalWidth="0" w:num="1">
            <w:col w:w="9120"/>
          </w:cols>
          <w:pgMar w:left="1380" w:top="1322" w:right="1380" w:bottom="654" w:gutter="0" w:footer="0" w:header="0"/>
          <w:type w:val="continuous"/>
        </w:sectPr>
      </w:pPr>
    </w:p>
    <w:bookmarkStart w:id="159" w:name="page160"/>
    <w:bookmarkEnd w:id="159"/>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Presented in the table below is segment information for the periods identified and a reconciliation of segment information to total consolidated information.</w:t>
      </w:r>
    </w:p>
    <w:p>
      <w:pPr>
        <w:sectPr>
          <w:pgSz w:w="11880" w:h="15480" w:orient="portrait"/>
          <w:cols w:equalWidth="0" w:num="1">
            <w:col w:w="9180"/>
          </w:cols>
          <w:pgMar w:left="1380" w:top="1322" w:right="1320" w:bottom="654" w:gutter="0" w:footer="0" w:header="0"/>
        </w:sectPr>
      </w:pPr>
    </w:p>
    <w:p>
      <w:pPr>
        <w:spacing w:after="0" w:line="210"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2487930</wp:posOffset>
                </wp:positionH>
                <wp:positionV relativeFrom="paragraph">
                  <wp:posOffset>22225</wp:posOffset>
                </wp:positionV>
                <wp:extent cx="16002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9pt,1.75pt" to="321.9pt,1.75pt" o:allowincell="f" strokecolor="#000000" strokeweight="1pt"/>
            </w:pict>
          </mc:Fallback>
        </mc:AlternateContent>
      </w:r>
    </w:p>
    <w:p>
      <w:pPr>
        <w:spacing w:after="0" w:line="36"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2487930</wp:posOffset>
                </wp:positionH>
                <wp:positionV relativeFrom="paragraph">
                  <wp:posOffset>22225</wp:posOffset>
                </wp:positionV>
                <wp:extent cx="16002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9pt,1.75pt" to="321.9pt,1.7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Segment Profitability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-242570</wp:posOffset>
                </wp:positionH>
                <wp:positionV relativeFrom="paragraph">
                  <wp:posOffset>22225</wp:posOffset>
                </wp:positionV>
                <wp:extent cx="166497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49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999pt,1.75pt" to="112pt,1.75pt" o:allowincell="f" strokecolor="#000000" strokeweight="1pt"/>
            </w:pict>
          </mc:Fallback>
        </mc:AlternateContent>
      </w:r>
    </w:p>
    <w:p>
      <w:pPr>
        <w:spacing w:after="0" w:line="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-242570</wp:posOffset>
                </wp:positionH>
                <wp:positionV relativeFrom="paragraph">
                  <wp:posOffset>22225</wp:posOffset>
                </wp:positionV>
                <wp:extent cx="166497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49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999pt,1.75pt" to="112pt,1.75pt" o:allowincell="f" strokecolor="#000000" strokeweight="1pt"/>
            </w:pict>
          </mc:Fallback>
        </mc:AlternateContent>
      </w:r>
    </w:p>
    <w:p>
      <w:pPr>
        <w:spacing w:after="0" w:line="56" w:lineRule="exact"/>
        <w:rPr>
          <w:sz w:val="20"/>
          <w:szCs w:val="20"/>
          <w:color w:val="auto"/>
        </w:rPr>
      </w:pPr>
    </w:p>
    <w:p>
      <w:pPr>
        <w:sectPr>
          <w:pgSz w:w="11880" w:h="15480" w:orient="portrait"/>
          <w:cols w:equalWidth="0" w:num="2">
            <w:col w:w="6160" w:space="720"/>
            <w:col w:w="2300"/>
          </w:cols>
          <w:pgMar w:left="1380" w:top="1322" w:right="1320" w:bottom="654"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Developed Markets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$10,428.7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Greater China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2,212.8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JANZ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Emerging Markets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9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reportable segments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16,218.1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$17,813.6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Reconciling items: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 amortization expense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(2,504.6)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(2,702.2)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(1,605.8)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 disposal &amp; impairment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charges . . . . . . . . . . . . .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goodwill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Globally managed research and development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 . . . . . . . . . . . . . .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Acquired IPR&amp;D . . . . .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Litigation settlements &amp; other</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contingencies . . . . . . . .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Transaction related and other special</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items . . . . . . . . . . . . . . . . . . . . . .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(1,026.9)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(2,832.2)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(1,739.7)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other unallocated  . . . . . . . . .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(2,123.3)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(1,391.6)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Earnings (loss) from operations . . . . . . . . . . . . .</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(210.8)</w:t>
            </w: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represents the percentage of consolidated net sales to Viatris’ major customers during the years ended December 31, 2022,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Percentage of Consolidated Net Sales</w:t>
            </w:r>
          </w:p>
        </w:tc>
      </w:tr>
      <w:tr>
        <w:trPr>
          <w:trHeight w:val="26"/>
        </w:trPr>
        <w:tc>
          <w:tcPr>
            <w:tcW w:w="6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6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6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McKesson Corporation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w:t>
            </w:r>
          </w:p>
        </w:tc>
      </w:tr>
      <w:tr>
        <w:trPr>
          <w:trHeight w:val="24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AmerisourceBergen Corporation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r>
      <w:tr>
        <w:trPr>
          <w:trHeight w:val="24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Cardinal Health, Inc. . .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by Country Information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sales by country are presented on the basis of geographic location of our subsidiaries: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5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9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2"/>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$3,946.6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$3,746.1</w:t>
            </w:r>
          </w:p>
        </w:tc>
      </w:tr>
      <w:tr>
        <w:trPr>
          <w:trHeight w:val="240"/>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China . . . . . . . . . . . . . .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216.1</w:t>
            </w:r>
          </w:p>
        </w:tc>
      </w:tr>
      <w:tr>
        <w:trPr>
          <w:trHeight w:val="108"/>
        </w:trPr>
        <w:tc>
          <w:tcPr>
            <w:tcW w:w="960" w:type="dxa"/>
            <w:vAlign w:val="bottom"/>
            <w:tcBorders>
              <w:bottom w:val="single" w:sz="8" w:color="auto"/>
            </w:tcBorders>
          </w:tcPr>
          <w:p>
            <w:pPr>
              <w:spacing w:after="0"/>
              <w:rPr>
                <w:sz w:val="9"/>
                <w:szCs w:val="9"/>
                <w:color w:val="auto"/>
              </w:rPr>
            </w:pPr>
          </w:p>
        </w:tc>
        <w:tc>
          <w:tcPr>
            <w:tcW w:w="5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 other country’s net sales represents more than 10% of consolidated net sales.</w:t>
      </w:r>
    </w:p>
    <w:p>
      <w:pPr>
        <w:sectPr>
          <w:pgSz w:w="11880" w:h="15480" w:orient="portrait"/>
          <w:cols w:equalWidth="0" w:num="1">
            <w:col w:w="9180"/>
          </w:cols>
          <w:pgMar w:left="1380" w:top="1322" w:right="1320" w:bottom="6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152</w:t>
      </w:r>
    </w:p>
    <w:p>
      <w:pPr>
        <w:sectPr>
          <w:pgSz w:w="11880" w:h="15480" w:orient="portrait"/>
          <w:cols w:equalWidth="0" w:num="1">
            <w:col w:w="9180"/>
          </w:cols>
          <w:pgMar w:left="1380" w:top="1322" w:right="1320" w:bottom="654"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17. Commitments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conjunction with the Combination, Viatris entered into a TSA with Pfizer pursuant to which each party provides certain limited transition services to the other party generally for an initial period of 24 months from the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2022 and 2021, the Company incurred $54.5 million and $30.4 million, respectively, related to this provision of the TSA, and approximately $138.0 million during the period beginning on the closing date of the Combination and ended December 31, 2022. We expect to incur future costs related to the completion of the services. As of December 31, 2022, the Company has exited substantially all transition services with Pfizer.</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conjunction with the Combination, during the year ended December 31, 2020, the Company accrued approximately $26.9 million due to change in control clauses in employment arrangements for certain former Mylan employees, which was paid during 2021. In addition, the Company entered into retention agreements with certain key employees, whereby they agreed to continue to provide service to the Company for a period of time after the Combination. The Company is recording the expense for these agreements over the applicable service periods.</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Restructuring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2020 Restructuring Program</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25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w:t>
      </w:r>
    </w:p>
    <w:p>
      <w:pPr>
        <w:sectPr>
          <w:pgSz w:w="11880" w:h="15480" w:orient="portrait"/>
          <w:cols w:equalWidth="0" w:num="1">
            <w:col w:w="9120"/>
          </w:cols>
          <w:pgMar w:left="1380" w:top="1312" w:right="1380" w:bottom="654"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ectPr>
          <w:pgSz w:w="11880" w:h="15480" w:orient="portrait"/>
          <w:cols w:equalWidth="0" w:num="1">
            <w:col w:w="9120"/>
          </w:cols>
          <w:pgMar w:left="1380" w:top="1312" w:right="1380" w:bottom="654" w:gutter="0" w:footer="0" w:header="0"/>
          <w:type w:val="continuous"/>
        </w:sectPr>
      </w:pPr>
    </w:p>
    <w:bookmarkStart w:id="161" w:name="page162"/>
    <w:bookmarkEnd w:id="161"/>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256"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restructuring charges and the reserve activity for the 2020 restructuring program: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Related</w:t>
            </w:r>
          </w:p>
        </w:tc>
        <w:tc>
          <w:tcPr>
            <w:tcW w:w="100" w:type="dxa"/>
            <w:vAlign w:val="bottom"/>
          </w:tcPr>
          <w:p>
            <w:pPr>
              <w:spacing w:after="0"/>
              <w:rPr>
                <w:sz w:val="13"/>
                <w:szCs w:val="13"/>
                <w:color w:val="auto"/>
              </w:rPr>
            </w:pPr>
          </w:p>
        </w:tc>
        <w:tc>
          <w:tcPr>
            <w:tcW w:w="9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rPr>
              <w:t>Other Exit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2"/>
        </w:trPr>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6"/>
                <w:szCs w:val="16"/>
                <w:b w:val="1"/>
                <w:bCs w:val="1"/>
                <w:color w:val="auto"/>
              </w:rPr>
              <w:t>Costs</w:t>
            </w:r>
          </w:p>
        </w:tc>
        <w:tc>
          <w:tcPr>
            <w:tcW w:w="160" w:type="dxa"/>
            <w:vAlign w:val="bottom"/>
          </w:tcPr>
          <w:p>
            <w:pPr>
              <w:spacing w:after="0"/>
              <w:rPr>
                <w:sz w:val="15"/>
                <w:szCs w:val="15"/>
                <w:color w:val="auto"/>
              </w:rPr>
            </w:pPr>
          </w:p>
        </w:tc>
        <w:tc>
          <w:tcPr>
            <w:tcW w:w="74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0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Charges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271.3</w:t>
            </w:r>
          </w:p>
        </w:tc>
        <w:tc>
          <w:tcPr>
            <w:tcW w:w="60" w:type="dxa"/>
            <w:vAlign w:val="bottom"/>
          </w:tcPr>
          <w:p>
            <w:pPr>
              <w:spacing w:after="0"/>
              <w:rPr>
                <w:sz w:val="24"/>
                <w:szCs w:val="24"/>
                <w:color w:val="auto"/>
              </w:rPr>
            </w:pPr>
          </w:p>
        </w:tc>
      </w:tr>
      <w:tr>
        <w:trPr>
          <w:trHeight w:val="220"/>
        </w:trPr>
        <w:tc>
          <w:tcPr>
            <w:tcW w:w="6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Acquired in the Combination . . . . . . . . . . . . . . . . . . . . . . . . . . . . . . . . . . . . .</w:t>
            </w:r>
          </w:p>
        </w:tc>
        <w:tc>
          <w:tcPr>
            <w:tcW w:w="1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92.0</w:t>
            </w:r>
          </w:p>
        </w:tc>
        <w:tc>
          <w:tcPr>
            <w:tcW w:w="60" w:type="dxa"/>
            <w:vAlign w:val="bottom"/>
          </w:tcPr>
          <w:p>
            <w:pPr>
              <w:spacing w:after="0"/>
              <w:rPr>
                <w:sz w:val="19"/>
                <w:szCs w:val="19"/>
                <w:color w:val="auto"/>
              </w:rPr>
            </w:pP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Cash payment . . . . . . . . . . . .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(0.4)</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Utilization . . . . . . . . . . . . . . .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(70.8)</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(70.8)</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 .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0"/>
                <w:szCs w:val="20"/>
                <w:color w:val="auto"/>
              </w:rPr>
            </w:pPr>
          </w:p>
        </w:tc>
      </w:tr>
      <w:tr>
        <w:trPr>
          <w:trHeight w:val="28"/>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2020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262.6</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w:t>
            </w:r>
          </w:p>
        </w:tc>
        <w:tc>
          <w:tcPr>
            <w:tcW w:w="60" w:type="dxa"/>
            <w:vAlign w:val="bottom"/>
          </w:tcPr>
          <w:p>
            <w:pPr>
              <w:spacing w:after="0"/>
              <w:rPr>
                <w:sz w:val="23"/>
                <w:szCs w:val="23"/>
                <w:color w:val="auto"/>
              </w:rPr>
            </w:pPr>
          </w:p>
        </w:tc>
      </w:tr>
      <w:tr>
        <w:trPr>
          <w:trHeight w:val="260"/>
        </w:trPr>
        <w:tc>
          <w:tcPr>
            <w:tcW w:w="6280" w:type="dxa"/>
            <w:vAlign w:val="bottom"/>
          </w:tcPr>
          <w:p>
            <w:pPr>
              <w:spacing w:after="0" w:line="260" w:lineRule="exact"/>
              <w:rPr>
                <w:sz w:val="20"/>
                <w:szCs w:val="20"/>
                <w:color w:val="auto"/>
              </w:rPr>
            </w:pPr>
            <w:r>
              <w:rPr>
                <w:rFonts w:ascii="Times New Roman" w:cs="Times New Roman" w:eastAsia="Times New Roman" w:hAnsi="Times New Roman"/>
                <w:sz w:val="20"/>
                <w:szCs w:val="20"/>
                <w:color w:val="auto"/>
              </w:rPr>
              <w:t xml:space="preserve">Charges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 . . . . . . . . . . . . . . . . . . . .</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w:t>
            </w:r>
          </w:p>
        </w:tc>
        <w:tc>
          <w:tcPr>
            <w:tcW w:w="60" w:type="dxa"/>
            <w:vAlign w:val="bottom"/>
          </w:tcPr>
          <w:p>
            <w:pPr>
              <w:spacing w:after="0"/>
              <w:rPr>
                <w:sz w:val="22"/>
                <w:szCs w:val="22"/>
                <w:color w:val="auto"/>
              </w:rPr>
            </w:pPr>
          </w:p>
        </w:tc>
      </w:tr>
      <w:tr>
        <w:trPr>
          <w:trHeight w:val="220"/>
        </w:trPr>
        <w:tc>
          <w:tcPr>
            <w:tcW w:w="6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Reimbursable restructuring charges . . . . . . . . . . . . . . . . . . . . . . . . . . . . . . . .</w:t>
            </w:r>
          </w:p>
        </w:tc>
        <w:tc>
          <w:tcPr>
            <w:tcW w:w="1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26.4</w:t>
            </w:r>
          </w:p>
        </w:tc>
        <w:tc>
          <w:tcPr>
            <w:tcW w:w="60" w:type="dxa"/>
            <w:vAlign w:val="bottom"/>
          </w:tcPr>
          <w:p>
            <w:pPr>
              <w:spacing w:after="0"/>
              <w:rPr>
                <w:sz w:val="19"/>
                <w:szCs w:val="19"/>
                <w:color w:val="auto"/>
              </w:rPr>
            </w:pP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Cash payment . . . . . . . . . . . .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(151.7)</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(537.2)</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Utilization . . . . . . . . . . . . . . .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(345.0)</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(345.0)</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8"/>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2021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296.7</w:t>
            </w:r>
          </w:p>
        </w:tc>
        <w:tc>
          <w:tcPr>
            <w:tcW w:w="60" w:type="dxa"/>
            <w:vAlign w:val="bottom"/>
          </w:tcPr>
          <w:p>
            <w:pPr>
              <w:spacing w:after="0"/>
              <w:rPr>
                <w:sz w:val="23"/>
                <w:szCs w:val="23"/>
                <w:color w:val="auto"/>
              </w:rPr>
            </w:pPr>
          </w:p>
        </w:tc>
      </w:tr>
      <w:tr>
        <w:trPr>
          <w:trHeight w:val="260"/>
        </w:trPr>
        <w:tc>
          <w:tcPr>
            <w:tcW w:w="6280" w:type="dxa"/>
            <w:vAlign w:val="bottom"/>
          </w:tcPr>
          <w:p>
            <w:pPr>
              <w:spacing w:after="0" w:line="260" w:lineRule="exact"/>
              <w:rPr>
                <w:sz w:val="20"/>
                <w:szCs w:val="20"/>
                <w:color w:val="auto"/>
              </w:rPr>
            </w:pPr>
            <w:r>
              <w:rPr>
                <w:rFonts w:ascii="Times New Roman" w:cs="Times New Roman" w:eastAsia="Times New Roman" w:hAnsi="Times New Roman"/>
                <w:sz w:val="20"/>
                <w:szCs w:val="20"/>
                <w:color w:val="auto"/>
              </w:rPr>
              <w:t xml:space="preserve">Charges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 . . . . . . . . . . . . . . . . . . .</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60" w:type="dxa"/>
            <w:vAlign w:val="bottom"/>
          </w:tcPr>
          <w:p>
            <w:pPr>
              <w:spacing w:after="0"/>
              <w:rPr>
                <w:sz w:val="22"/>
                <w:szCs w:val="22"/>
                <w:color w:val="auto"/>
              </w:rPr>
            </w:pPr>
          </w:p>
        </w:tc>
      </w:tr>
      <w:tr>
        <w:trPr>
          <w:trHeight w:val="220"/>
        </w:trPr>
        <w:tc>
          <w:tcPr>
            <w:tcW w:w="6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payment . . . . . . . . . . . . . . . . . . . . . . . . . . . . . . . . . . . . . . . . . . . . . . . .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(170.1)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(15.3)</w:t>
            </w:r>
          </w:p>
        </w:tc>
        <w:tc>
          <w:tcPr>
            <w:tcW w:w="160" w:type="dxa"/>
            <w:vAlign w:val="bottom"/>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(185.4)</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Utilization . . . . . . . . . . . . . . .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(34.9)</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w:t>
            </w: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 . . . . .</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(0.3)</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w:t>
            </w:r>
          </w:p>
        </w:tc>
        <w:tc>
          <w:tcPr>
            <w:tcW w:w="60" w:type="dxa"/>
            <w:vAlign w:val="bottom"/>
          </w:tcPr>
          <w:p>
            <w:pPr>
              <w:spacing w:after="0"/>
              <w:rPr>
                <w:sz w:val="23"/>
                <w:szCs w:val="23"/>
                <w:color w:val="auto"/>
              </w:rPr>
            </w:pPr>
          </w:p>
        </w:tc>
      </w:tr>
      <w:tr>
        <w:trPr>
          <w:trHeight w:val="28"/>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2016 Restructuring Program</w:t>
      </w:r>
    </w:p>
    <w:p>
      <w:pPr>
        <w:spacing w:after="0" w:line="140" w:lineRule="exact"/>
        <w:rPr>
          <w:sz w:val="20"/>
          <w:szCs w:val="20"/>
          <w:color w:val="auto"/>
        </w:rPr>
      </w:pPr>
    </w:p>
    <w:p>
      <w:pPr>
        <w:jc w:val="both"/>
        <w:ind w:right="60" w:firstLine="400"/>
        <w:spacing w:after="0" w:line="246" w:lineRule="auto"/>
        <w:rPr>
          <w:sz w:val="20"/>
          <w:szCs w:val="20"/>
          <w:color w:val="auto"/>
        </w:rPr>
      </w:pPr>
      <w:r>
        <w:rPr>
          <w:rFonts w:ascii="Times New Roman" w:cs="Times New Roman" w:eastAsia="Times New Roman" w:hAnsi="Times New Roman"/>
          <w:sz w:val="20"/>
          <w:szCs w:val="20"/>
          <w:color w:val="auto"/>
        </w:rPr>
        <w:t>Mylan previously announced a restructuring program representing a series of actions in certain locations to further streamline its operations globally. We incurred total restructuring related costs of approximately $733.0 million through December 31, 2020. The 2016 Restructuring Program was substantially completed at December 31, 2020.</w:t>
      </w:r>
    </w:p>
    <w:p>
      <w:pPr>
        <w:spacing w:after="0" w:line="257" w:lineRule="exact"/>
        <w:rPr>
          <w:sz w:val="20"/>
          <w:szCs w:val="20"/>
          <w:color w:val="auto"/>
        </w:rPr>
      </w:pPr>
    </w:p>
    <w:p>
      <w:pPr>
        <w:jc w:val="both"/>
        <w:ind w:right="60" w:firstLine="400"/>
        <w:spacing w:after="0" w:line="248" w:lineRule="auto"/>
        <w:rPr>
          <w:sz w:val="20"/>
          <w:szCs w:val="20"/>
          <w:color w:val="auto"/>
        </w:rPr>
      </w:pPr>
      <w:r>
        <w:rPr>
          <w:rFonts w:ascii="Times New Roman" w:cs="Times New Roman" w:eastAsia="Times New Roman" w:hAnsi="Times New Roman"/>
          <w:sz w:val="20"/>
          <w:szCs w:val="20"/>
          <w:color w:val="auto"/>
        </w:rPr>
        <w:t>In April 2018, the FDA completed an inspection at Mylan’s plant in Morgantown, West Virginia and made observations through a Form 483. In the fourth quarter of 2018, Mylan received a warning letter related to the previously disclosed observations at the plant. The issues raised in the warning letter were addressed within the context of the Mylan’s comprehensive restructuring and remediation activities. On May 11, 2020, Mylan received the close-out of the warning letter. On December 11, 2020, the Company announced that the Morgantown plant will be closed or divested as part of the 2020 Restructuring Program. The Morgantown plant was closed during the third quarter of 2021.</w:t>
      </w:r>
    </w:p>
    <w:p>
      <w:pPr>
        <w:sectPr>
          <w:pgSz w:w="11880" w:h="15480" w:orient="portrait"/>
          <w:cols w:equalWidth="0" w:num="1">
            <w:col w:w="9180"/>
          </w:cols>
          <w:pgMar w:left="1380" w:top="1322" w:right="132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154</w:t>
      </w:r>
    </w:p>
    <w:p>
      <w:pPr>
        <w:sectPr>
          <w:pgSz w:w="11880" w:h="15480" w:orient="portrait"/>
          <w:cols w:equalWidth="0" w:num="1">
            <w:col w:w="9180"/>
          </w:cols>
          <w:pgMar w:left="1380" w:top="1322" w:right="1320" w:bottom="654" w:gutter="0" w:footer="0" w:header="0"/>
          <w:type w:val="continuous"/>
        </w:sectPr>
      </w:pPr>
    </w:p>
    <w:bookmarkStart w:id="162" w:name="page163"/>
    <w:bookmarkEnd w:id="162"/>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restructuring charges and the reserve activity for the 2016 restructuring program from December 31, 2019 to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Other Exit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Related</w:t>
            </w:r>
          </w:p>
        </w:tc>
        <w:tc>
          <w:tcPr>
            <w:tcW w:w="9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 w:type="dxa"/>
            <w:vAlign w:val="bottom"/>
          </w:tcPr>
          <w:p>
            <w:pPr>
              <w:spacing w:after="0"/>
              <w:rPr>
                <w:sz w:val="15"/>
                <w:szCs w:val="15"/>
                <w:color w:val="auto"/>
              </w:rPr>
            </w:pPr>
          </w:p>
        </w:tc>
        <w:tc>
          <w:tcPr>
            <w:tcW w:w="84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6"/>
              </w:rPr>
              <w:t>Costs</w:t>
            </w:r>
          </w:p>
        </w:tc>
        <w:tc>
          <w:tcPr>
            <w:tcW w:w="160" w:type="dxa"/>
            <w:vAlign w:val="bottom"/>
          </w:tcPr>
          <w:p>
            <w:pPr>
              <w:spacing w:after="0"/>
              <w:rPr>
                <w:sz w:val="15"/>
                <w:szCs w:val="15"/>
                <w:color w:val="auto"/>
              </w:rPr>
            </w:pPr>
          </w:p>
        </w:tc>
        <w:tc>
          <w:tcPr>
            <w:tcW w:w="780" w:type="dxa"/>
            <w:vAlign w:val="bottom"/>
            <w:gridSpan w:val="2"/>
          </w:tcPr>
          <w:p>
            <w:pPr>
              <w:jc w:val="right"/>
              <w:ind w:right="380"/>
              <w:spacing w:after="0" w:line="182" w:lineRule="exact"/>
              <w:rPr>
                <w:sz w:val="20"/>
                <w:szCs w:val="20"/>
                <w:color w:val="auto"/>
              </w:rPr>
            </w:pPr>
            <w:r>
              <w:rPr>
                <w:rFonts w:ascii="Times New Roman" w:cs="Times New Roman" w:eastAsia="Times New Roman" w:hAnsi="Times New Roman"/>
                <w:sz w:val="16"/>
                <w:szCs w:val="16"/>
                <w:b w:val="1"/>
                <w:bCs w:val="1"/>
                <w:color w:val="auto"/>
              </w:rPr>
              <w:t>Costs</w:t>
            </w:r>
          </w:p>
        </w:tc>
        <w:tc>
          <w:tcPr>
            <w:tcW w:w="140" w:type="dxa"/>
            <w:vAlign w:val="bottom"/>
          </w:tcPr>
          <w:p>
            <w:pPr>
              <w:spacing w:after="0"/>
              <w:rPr>
                <w:sz w:val="15"/>
                <w:szCs w:val="15"/>
                <w:color w:val="auto"/>
              </w:rPr>
            </w:pPr>
          </w:p>
        </w:tc>
        <w:tc>
          <w:tcPr>
            <w:tcW w:w="66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2019: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600" w:type="dxa"/>
            <w:vAlign w:val="bottom"/>
            <w:gridSpan w:val="3"/>
          </w:tcPr>
          <w:p>
            <w:pPr>
              <w:spacing w:after="0" w:line="260" w:lineRule="exact"/>
              <w:rPr>
                <w:sz w:val="20"/>
                <w:szCs w:val="20"/>
                <w:color w:val="auto"/>
              </w:rPr>
            </w:pPr>
            <w:r>
              <w:rPr>
                <w:rFonts w:ascii="Times New Roman" w:cs="Times New Roman" w:eastAsia="Times New Roman" w:hAnsi="Times New Roman"/>
                <w:sz w:val="20"/>
                <w:szCs w:val="20"/>
                <w:color w:val="auto"/>
              </w:rPr>
              <w:t xml:space="preserve">Charges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Cash payment . . . . . . . . . . . . . . . . . . . . . . . . . . . . . . . . . . . . . . . . . . . . . . . . . . .</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(18.1)</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(7.6)</w:t>
            </w:r>
          </w:p>
        </w:tc>
        <w:tc>
          <w:tcPr>
            <w:tcW w:w="140" w:type="dxa"/>
            <w:vAlign w:val="bottom"/>
          </w:tcPr>
          <w:p>
            <w:pPr>
              <w:spacing w:after="0"/>
              <w:rPr>
                <w:sz w:val="19"/>
                <w:szCs w:val="19"/>
                <w:color w:val="auto"/>
              </w:rPr>
            </w:pP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40"/>
        </w:trPr>
        <w:tc>
          <w:tcPr>
            <w:tcW w:w="6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Utilization . . . . . . . . . . . . . . . . . . . . . . . . . . . . . . . . . . . . . . . . . . . . . . . . . . . . . .</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(32.9)</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2020: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400" w:right="60" w:hanging="400"/>
        <w:spacing w:after="0" w:line="221" w:lineRule="auto"/>
        <w:tabs>
          <w:tab w:leader="none" w:pos="40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2022, total restructuring charges for the 2020 restructuring program, in Developed Markets, Greater China, JANZ, Emerging Markets, and Corporate/Other were approximately $74.6 million, $2.5 million, $0.9 million, $8.2 million, and $0.3 million, respectively.</w:t>
      </w:r>
    </w:p>
    <w:p>
      <w:pPr>
        <w:spacing w:after="0" w:line="21" w:lineRule="exact"/>
        <w:rPr>
          <w:rFonts w:ascii="Times New Roman" w:cs="Times New Roman" w:eastAsia="Times New Roman" w:hAnsi="Times New Roman"/>
          <w:sz w:val="26"/>
          <w:szCs w:val="26"/>
          <w:color w:val="auto"/>
          <w:vertAlign w:val="superscript"/>
        </w:rPr>
      </w:pPr>
    </w:p>
    <w:p>
      <w:pPr>
        <w:jc w:val="both"/>
        <w:ind w:left="400" w:right="60" w:hanging="400"/>
        <w:spacing w:after="0" w:line="221" w:lineRule="auto"/>
        <w:tabs>
          <w:tab w:leader="none" w:pos="40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2021, total restructuring charges, for the 2020 restructuring program, in Developed Markets, Greater China, JANZ, Emerging Markets, and Corporate/Other were approximately $623.8 million, $5.8 million, $138.1 million, $94.1 million, and $30.4 million, respectively.</w:t>
      </w:r>
    </w:p>
    <w:p>
      <w:pPr>
        <w:spacing w:after="0" w:line="21" w:lineRule="exact"/>
        <w:rPr>
          <w:rFonts w:ascii="Times New Roman" w:cs="Times New Roman" w:eastAsia="Times New Roman" w:hAnsi="Times New Roman"/>
          <w:sz w:val="26"/>
          <w:szCs w:val="26"/>
          <w:color w:val="auto"/>
          <w:vertAlign w:val="superscript"/>
        </w:rPr>
      </w:pPr>
    </w:p>
    <w:p>
      <w:pPr>
        <w:jc w:val="both"/>
        <w:ind w:left="400" w:right="60" w:hanging="400"/>
        <w:spacing w:after="0" w:line="221" w:lineRule="auto"/>
        <w:tabs>
          <w:tab w:leader="none" w:pos="40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2020, total restructuring charges for both programs, in Developed Markets, Greater China, JANZ, and Emerging Markets were approximately $292.1 million, $18.4 million, $2.9 million, and $8.4 million, respectively.</w:t>
      </w:r>
    </w:p>
    <w:p>
      <w:pPr>
        <w:spacing w:after="0" w:line="267"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At December 31, 2022 and 2021, accrued liabilities for restructuring and other cost reduction programs were primarily included in other current liabilities and other long-term obligations in the consolidated balance sheets.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Licensing and Other Partner Agreements</w:t>
      </w:r>
    </w:p>
    <w:p>
      <w:pPr>
        <w:spacing w:after="0" w:line="143" w:lineRule="exact"/>
        <w:rPr>
          <w:sz w:val="20"/>
          <w:szCs w:val="20"/>
          <w:color w:val="auto"/>
        </w:rPr>
      </w:pPr>
    </w:p>
    <w:p>
      <w:pPr>
        <w:jc w:val="both"/>
        <w:ind w:right="60" w:firstLine="400"/>
        <w:spacing w:after="0" w:line="249" w:lineRule="auto"/>
        <w:rPr>
          <w:sz w:val="20"/>
          <w:szCs w:val="20"/>
          <w:color w:val="auto"/>
        </w:rPr>
      </w:pPr>
      <w:r>
        <w:rPr>
          <w:rFonts w:ascii="Times New Roman" w:cs="Times New Roman" w:eastAsia="Times New Roman" w:hAnsi="Times New Roman"/>
          <w:sz w:val="20"/>
          <w:szCs w:val="20"/>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Refer to Note 10 </w:t>
      </w:r>
      <w:r>
        <w:rPr>
          <w:rFonts w:ascii="Times New Roman" w:cs="Times New Roman" w:eastAsia="Times New Roman" w:hAnsi="Times New Roman"/>
          <w:sz w:val="20"/>
          <w:szCs w:val="20"/>
          <w:i w:val="1"/>
          <w:iCs w:val="1"/>
          <w:color w:val="auto"/>
        </w:rPr>
        <w:t>Financial Instruments and Risk Management</w:t>
      </w:r>
      <w:r>
        <w:rPr>
          <w:rFonts w:ascii="Times New Roman" w:cs="Times New Roman" w:eastAsia="Times New Roman" w:hAnsi="Times New Roman"/>
          <w:sz w:val="20"/>
          <w:szCs w:val="20"/>
          <w:color w:val="auto"/>
        </w:rPr>
        <w:t xml:space="preserve"> for further discussion of contingent consideration. Our potential maximum development milestones not accrued for at December 31, 2022 totaled approximately $347 million. We estimate that the amounts that may be paid during the next twelve months to be approximately $38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3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Revance</w:t>
      </w:r>
    </w:p>
    <w:p>
      <w:pPr>
        <w:spacing w:after="0" w:line="143"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On February 28, 2018, the Company and Revance entered into an agreement with Revance pursuant to which the Company and Revance are collaborating exclusively, on a world-wide basis (excluding Japan), to</w:t>
      </w:r>
    </w:p>
    <w:p>
      <w:pPr>
        <w:sectPr>
          <w:pgSz w:w="11880" w:h="15480" w:orient="portrait"/>
          <w:cols w:equalWidth="0" w:num="1">
            <w:col w:w="9180"/>
          </w:cols>
          <w:pgMar w:left="1380" w:top="1322" w:right="1320" w:bottom="654" w:gutter="0" w:footer="0" w:header="0"/>
        </w:sect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155</w:t>
      </w:r>
    </w:p>
    <w:p>
      <w:pPr>
        <w:sectPr>
          <w:pgSz w:w="11880" w:h="15480" w:orient="portrait"/>
          <w:cols w:equalWidth="0" w:num="1">
            <w:col w:w="9180"/>
          </w:cols>
          <w:pgMar w:left="1380" w:top="1322" w:right="1320" w:bottom="654" w:gutter="0" w:footer="0" w:header="0"/>
          <w:type w:val="continuous"/>
        </w:sectPr>
      </w:pPr>
    </w:p>
    <w:bookmarkStart w:id="163" w:name="page164"/>
    <w:bookmarkEnd w:id="163"/>
    <w:p>
      <w:pPr>
        <w:jc w:val="both"/>
        <w:spacing w:after="0" w:line="237" w:lineRule="auto"/>
        <w:rPr>
          <w:sz w:val="20"/>
          <w:szCs w:val="20"/>
          <w:color w:val="auto"/>
        </w:rPr>
      </w:pPr>
      <w:r>
        <w:rPr>
          <w:rFonts w:ascii="Times New Roman" w:cs="Times New Roman" w:eastAsia="Times New Roman" w:hAnsi="Times New Roman"/>
          <w:sz w:val="20"/>
          <w:szCs w:val="20"/>
          <w:color w:val="auto"/>
        </w:rPr>
        <w:t>develop, manufacture and commercialize a biosimilar to the branded biologic product (onabotulinumtoxinA) marketed as BOTOX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Under the agreement, the Company is primarily 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During the year ended December 31, 2020, the Company recorded $30 million of Acquired IPR&amp;D expense for a milestone payment that was due upon the decision to continue the development program.</w:t>
      </w: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Momenta</w:t>
      </w:r>
    </w:p>
    <w:p>
      <w:pPr>
        <w:spacing w:after="0" w:line="126" w:lineRule="exact"/>
        <w:rPr>
          <w:sz w:val="20"/>
          <w:szCs w:val="20"/>
          <w:color w:val="auto"/>
        </w:rPr>
      </w:pPr>
    </w:p>
    <w:p>
      <w:pPr>
        <w:jc w:val="both"/>
        <w:ind w:firstLine="400"/>
        <w:spacing w:after="0" w:line="230" w:lineRule="auto"/>
        <w:rPr>
          <w:sz w:val="20"/>
          <w:szCs w:val="20"/>
          <w:color w:val="auto"/>
        </w:rPr>
      </w:pPr>
      <w:r>
        <w:rPr>
          <w:rFonts w:ascii="Times New Roman" w:cs="Times New Roman" w:eastAsia="Times New Roman" w:hAnsi="Times New Roman"/>
          <w:sz w:val="20"/>
          <w:szCs w:val="20"/>
          <w:color w:val="auto"/>
        </w:rPr>
        <w:t>On January 8, 2016, the Company entered into an agreement with Momenta to develop, manufacture and commercialize up to six of Momenta’s biosimilar candidates. Under the terms of the agreement, the Company and Momenta were jointly responsible for product development and equally shared in the costs and profits of the products with Viatris leading the worldwide commercialization efforts. In January 2019, the parties agreed to the termination of all collaboration activities, except for the continued development of M710, a proposed biosimilar to EYLEA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 October 2020, Momenta was acquired by Johnson &amp; Johnson. M710 was divested as part of the Biocon Biologics Transaction.</w:t>
      </w: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Theravance Biopharma</w:t>
      </w:r>
    </w:p>
    <w:p>
      <w:pPr>
        <w:spacing w:after="0" w:line="126" w:lineRule="exact"/>
        <w:rPr>
          <w:sz w:val="20"/>
          <w:szCs w:val="20"/>
          <w:color w:val="auto"/>
        </w:rPr>
      </w:pPr>
    </w:p>
    <w:p>
      <w:pPr>
        <w:jc w:val="both"/>
        <w:ind w:firstLine="400"/>
        <w:spacing w:after="0" w:line="211" w:lineRule="auto"/>
        <w:rPr>
          <w:sz w:val="20"/>
          <w:szCs w:val="20"/>
          <w:color w:val="auto"/>
        </w:rPr>
      </w:pPr>
      <w:r>
        <w:rPr>
          <w:rFonts w:ascii="Times New Roman" w:cs="Times New Roman" w:eastAsia="Times New Roman" w:hAnsi="Times New Roman"/>
          <w:sz w:val="20"/>
          <w:szCs w:val="20"/>
          <w:color w:val="auto"/>
        </w:rPr>
        <w:t>On January 30, 2015, the Company entered into a development and commercialization collaboration with Theravance Biopharma, for revefenacin. On November 9, 2018, the Company announced that the FDA approved the NDA for YUPELRI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(revefenacin) inhalation solution for the maintenance treatment of patients with COPD. YUPELRI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 LAMA,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spacing w:after="0" w:line="2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2019, the Company acquired exclusive development and commercialization rights to nebulized revefenacin in China and adjacent territories, which include Hong Kong SAR, the Macau SAR and Taiwan. Theravance Biopharma received an upfront payment of $18.5 million and will be eligible to receive additional potential development and sales milestones together with tiered royalties on net sales of nebulized revefenacin, if approved. Viatris is responsible for all aspects of development and commercialization in the partnered regions, including pre- and post-launch activities and product registration and all associated costs.</w:t>
      </w:r>
    </w:p>
    <w:p>
      <w:pPr>
        <w:spacing w:after="0" w:line="22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Under the terms of the agreements, Theravance Biopharma is eligible to receive potential development and sales milestone payments totaling approximately $293 million in the aggregate. As of December 31, 2022, the Company has paid a total of $50.0 million in milestone payments to Theravance Biopharma.</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FKB</w:t>
      </w:r>
    </w:p>
    <w:p>
      <w:pPr>
        <w:spacing w:after="0" w:line="126" w:lineRule="exact"/>
        <w:rPr>
          <w:sz w:val="20"/>
          <w:szCs w:val="20"/>
          <w:color w:val="auto"/>
        </w:rPr>
      </w:pPr>
    </w:p>
    <w:p>
      <w:pPr>
        <w:jc w:val="both"/>
        <w:ind w:firstLine="400"/>
        <w:spacing w:after="0" w:line="217" w:lineRule="auto"/>
        <w:rPr>
          <w:sz w:val="20"/>
          <w:szCs w:val="20"/>
          <w:color w:val="auto"/>
        </w:rPr>
      </w:pPr>
      <w:r>
        <w:rPr>
          <w:rFonts w:ascii="Times New Roman" w:cs="Times New Roman" w:eastAsia="Times New Roman" w:hAnsi="Times New Roman"/>
          <w:sz w:val="20"/>
          <w:szCs w:val="20"/>
          <w:color w:val="auto"/>
        </w:rPr>
        <w:t>On February 22, 2018, the Company entered into a collaboration license and distribution agreement with FKB for the distribution of Hulio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 biosimilar to AbbVie’s Humira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(adalimumab). Under the agreement, the Company has exclusive commercialization rights for the product in the EU and the European Economic Area countries and FKB is responsible for development, manufacturing and supply of the product.</w:t>
      </w:r>
    </w:p>
    <w:p>
      <w:pPr>
        <w:spacing w:after="0" w:line="237" w:lineRule="exact"/>
        <w:rPr>
          <w:sz w:val="20"/>
          <w:szCs w:val="20"/>
          <w:color w:val="auto"/>
        </w:rPr>
      </w:pPr>
    </w:p>
    <w:p>
      <w:pPr>
        <w:jc w:val="both"/>
        <w:ind w:firstLine="400"/>
        <w:spacing w:after="0" w:line="196" w:lineRule="auto"/>
        <w:rPr>
          <w:sz w:val="20"/>
          <w:szCs w:val="20"/>
          <w:color w:val="auto"/>
        </w:rPr>
      </w:pPr>
      <w:r>
        <w:rPr>
          <w:rFonts w:ascii="Times New Roman" w:cs="Times New Roman" w:eastAsia="Times New Roman" w:hAnsi="Times New Roman"/>
          <w:sz w:val="20"/>
          <w:szCs w:val="20"/>
          <w:color w:val="auto"/>
        </w:rPr>
        <w:t>On February 27, 2019, the Company amended its agreements with FKB for the commercialization of Hulio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Under the amended agreements, the Company received the exclusive global commercialization rights for Hulio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 addition, FKB is eligible to receive additional commercial milestones and royalty payments under the amended agreements.</w:t>
      </w:r>
    </w:p>
    <w:p>
      <w:pPr>
        <w:sectPr>
          <w:pgSz w:w="11880" w:h="15480" w:orient="portrait"/>
          <w:cols w:equalWidth="0" w:num="1">
            <w:col w:w="9120"/>
          </w:cols>
          <w:pgMar w:left="1380" w:top="1322" w:right="1380" w:bottom="654"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ectPr>
          <w:pgSz w:w="11880" w:h="15480" w:orient="portrait"/>
          <w:cols w:equalWidth="0" w:num="1">
            <w:col w:w="9120"/>
          </w:cols>
          <w:pgMar w:left="1380" w:top="1322" w:right="1380" w:bottom="654" w:gutter="0" w:footer="0" w:header="0"/>
          <w:type w:val="continuous"/>
        </w:sectPr>
      </w:pPr>
    </w:p>
    <w:bookmarkStart w:id="164" w:name="page165"/>
    <w:bookmarkEnd w:id="164"/>
    <w:p>
      <w:pPr>
        <w:jc w:val="both"/>
        <w:ind w:firstLine="400"/>
        <w:spacing w:after="0" w:line="190" w:lineRule="auto"/>
        <w:rPr>
          <w:sz w:val="20"/>
          <w:szCs w:val="20"/>
          <w:color w:val="auto"/>
        </w:rPr>
      </w:pPr>
      <w:r>
        <w:rPr>
          <w:rFonts w:ascii="Times New Roman" w:cs="Times New Roman" w:eastAsia="Times New Roman" w:hAnsi="Times New Roman"/>
          <w:sz w:val="20"/>
          <w:szCs w:val="20"/>
          <w:color w:val="auto"/>
        </w:rPr>
        <w:t>On July 9, 2020, the Company announced that the FDA approved Hulio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(adalimumab-fkjp), a biosimilar to AbbVie’s Humira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(adalimumab), for the treatment of rheumatoid arthritis, juvenile idiopathic arthritis (4 years and older), psoriatic arthritis, ankylosing spondylitis, adult Crohn’s disease, ulcerative colitis and plaque psoriasis, in both prefilled syringe and auto-injector presentations. Hulio</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was divested as part of the Biocon Biologics Transaction.</w:t>
      </w:r>
    </w:p>
    <w:p>
      <w:pPr>
        <w:spacing w:after="0" w:line="3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Biocon</w:t>
      </w:r>
    </w:p>
    <w:p>
      <w:pPr>
        <w:spacing w:after="0" w:line="12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Other Development Agreements</w:t>
      </w:r>
    </w:p>
    <w:p>
      <w:pPr>
        <w:spacing w:after="0" w:line="12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Acquired IPR&amp;D expense.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Litigation</w:t>
      </w:r>
    </w:p>
    <w:p>
      <w:pPr>
        <w:spacing w:after="0" w:line="12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23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22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22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ectPr>
          <w:pgSz w:w="11880" w:h="15480" w:orient="portrait"/>
          <w:cols w:equalWidth="0" w:num="1">
            <w:col w:w="9120"/>
          </w:cols>
          <w:pgMar w:left="1380" w:top="1317" w:right="1380" w:bottom="654"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ectPr>
          <w:pgSz w:w="11880" w:h="15480" w:orient="portrait"/>
          <w:cols w:equalWidth="0" w:num="1">
            <w:col w:w="9120"/>
          </w:cols>
          <w:pgMar w:left="1380" w:top="1317" w:right="1380" w:bottom="654" w:gutter="0" w:footer="0" w:header="0"/>
          <w:type w:val="continuous"/>
        </w:sectPr>
      </w:pPr>
    </w:p>
    <w:bookmarkStart w:id="165" w:name="page166"/>
    <w:bookmarkEnd w:id="165"/>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Legal costs are recorded as incurred and are classified in SG&amp;A in the Company’s consolidated statements of operations.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EpiPen</w:t>
      </w:r>
      <w:r>
        <w:rPr>
          <w:rFonts w:ascii="Times New Roman" w:cs="Times New Roman" w:eastAsia="Times New Roman" w:hAnsi="Times New Roman"/>
          <w:sz w:val="30"/>
          <w:szCs w:val="30"/>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Auto-Injector Litigation</w:t>
      </w:r>
    </w:p>
    <w:p>
      <w:pPr>
        <w:spacing w:after="0" w:line="43" w:lineRule="exact"/>
        <w:rPr>
          <w:sz w:val="20"/>
          <w:szCs w:val="20"/>
          <w:color w:val="auto"/>
        </w:rPr>
      </w:pPr>
    </w:p>
    <w:p>
      <w:pPr>
        <w:jc w:val="both"/>
        <w:ind w:firstLine="400"/>
        <w:spacing w:after="0"/>
        <w:rPr>
          <w:sz w:val="20"/>
          <w:szCs w:val="20"/>
          <w:color w:val="auto"/>
        </w:rPr>
      </w:pPr>
      <w:r>
        <w:rPr>
          <w:rFonts w:ascii="Times New Roman" w:cs="Times New Roman" w:eastAsia="Times New Roman" w:hAnsi="Times New Roman"/>
          <w:sz w:val="20"/>
          <w:szCs w:val="20"/>
          <w:color w:val="auto"/>
        </w:rPr>
        <w:t>The Company and a former Mylan N.V. officer (collectively the “Mylan Defendants”) were named as defendants in indirect purchaser class actions relating to the pricing and/or marketing of the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The plaintiffs in these cases asserted violations of various federal and state antitrust and consumer protection laws, RICO as well as common law claims. Plaintiffs’ sought monetary damages, attorneys’ fees and costs. These lawsuits were filed in various federal and state courts and were either dismissed or transferred into a MDL in the U.S. District Court for the District of Kansas and were consolidated or centralized. An antitrust class consisting of certain states was ultimately certified. On June 23, 2021, the Court granted – in substantial part – the Mylan Defendants’ motion for summary judgment by dismissing certain antitrust claims and the RICO claims, which included RICO claims asserted against the former Mylan N.V. officer. In February 2022, the parties reached an agreement to fully resolve this matter for $264 million, which was accrued for during the year ended December 31, 2021. During the first quarter of 2022, $5.0 million of the settlement was paid and the remaining amount of the settlement was paid in July 2022. The settlement was approved by the Court on July 11, 2022 and contains an express provision disclaiming and denying any wrongdoing or liability by the Mylan Defendants. This matter is resolved.</w:t>
      </w:r>
    </w:p>
    <w:p>
      <w:pPr>
        <w:spacing w:after="0" w:line="265" w:lineRule="exact"/>
        <w:rPr>
          <w:sz w:val="20"/>
          <w:szCs w:val="20"/>
          <w:color w:val="auto"/>
        </w:rPr>
      </w:pPr>
    </w:p>
    <w:p>
      <w:pPr>
        <w:jc w:val="both"/>
        <w:ind w:firstLine="400"/>
        <w:spacing w:after="0" w:line="230" w:lineRule="auto"/>
        <w:rPr>
          <w:sz w:val="20"/>
          <w:szCs w:val="20"/>
          <w:color w:val="auto"/>
        </w:rPr>
      </w:pPr>
      <w:r>
        <w:rPr>
          <w:rFonts w:ascii="Times New Roman" w:cs="Times New Roman" w:eastAsia="Times New Roman" w:hAnsi="Times New Roman"/>
          <w:sz w:val="20"/>
          <w:szCs w:val="20"/>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w:t>
      </w:r>
    </w:p>
    <w:p>
      <w:pPr>
        <w:spacing w:after="0" w:line="267"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266" w:lineRule="exact"/>
        <w:rPr>
          <w:sz w:val="20"/>
          <w:szCs w:val="20"/>
          <w:color w:val="auto"/>
        </w:rPr>
      </w:pPr>
    </w:p>
    <w:p>
      <w:pPr>
        <w:jc w:val="both"/>
        <w:ind w:firstLine="400"/>
        <w:spacing w:after="0" w:line="230" w:lineRule="auto"/>
        <w:rPr>
          <w:sz w:val="20"/>
          <w:szCs w:val="20"/>
          <w:color w:val="auto"/>
        </w:rPr>
      </w:pPr>
      <w:r>
        <w:rPr>
          <w:rFonts w:ascii="Times New Roman" w:cs="Times New Roman" w:eastAsia="Times New Roman" w:hAnsi="Times New Roman"/>
          <w:sz w:val="20"/>
          <w:szCs w:val="20"/>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Sanofi seeks monetary damages, declaratory relief, attorneys’ fees and costs. The Court granted the Company’s motion for summary judgment and dismissed Sanofi’s claims. Sanofi’s appeal was denied. Sanofi has filed a petition seeking review by the U.S. Supreme Court.</w:t>
      </w:r>
    </w:p>
    <w:p>
      <w:pPr>
        <w:spacing w:after="0" w:line="26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a total accrual of approximately $5.5 million related to these matters at December 31, 2022,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158</w:t>
      </w:r>
    </w:p>
    <w:p>
      <w:pPr>
        <w:sectPr>
          <w:pgSz w:w="11880" w:h="15480" w:orient="portrait"/>
          <w:cols w:equalWidth="0" w:num="1">
            <w:col w:w="9120"/>
          </w:cols>
          <w:pgMar w:left="1380" w:top="1322" w:right="1380" w:bottom="654"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i w:val="1"/>
          <w:iCs w:val="1"/>
          <w:color w:val="auto"/>
        </w:rPr>
        <w:t>Drug Pricing Matters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Department of Justice</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25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On May 10, 2018, the Company received a civil investigative demand from the Civil Division of the DOJ seeking information relating to the pricing and sale of its generic drug products.</w:t>
      </w:r>
    </w:p>
    <w:p>
      <w:pPr>
        <w:spacing w:after="0" w:line="26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are fully cooperating with these investigations, which we believe are related to a broader industry-wide investigation of the generic pharmaceutical industry.</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Civil Litigation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Attorneys General Litigation</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6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On May 10, 2019, certain attorneys general filed a new complaint in the United States District Court for the District of Connecticut against various drug manufacturers and individuals, including the Company and one of its</w:t>
      </w:r>
    </w:p>
    <w:p>
      <w:pPr>
        <w:sectPr>
          <w:pgSz w:w="11880" w:h="15480" w:orient="portrait"/>
          <w:cols w:equalWidth="0" w:num="1">
            <w:col w:w="9120"/>
          </w:cols>
          <w:pgMar w:left="1380" w:top="1312" w:right="1380" w:bottom="65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159</w:t>
      </w:r>
    </w:p>
    <w:p>
      <w:pPr>
        <w:sectPr>
          <w:pgSz w:w="11880" w:h="15480" w:orient="portrait"/>
          <w:cols w:equalWidth="0" w:num="1">
            <w:col w:w="9120"/>
          </w:cols>
          <w:pgMar w:left="1380" w:top="1312" w:right="1380" w:bottom="654" w:gutter="0" w:footer="0" w:header="0"/>
          <w:type w:val="continuous"/>
        </w:sectPr>
      </w:pPr>
    </w:p>
    <w:bookmarkStart w:id="167" w:name="page168"/>
    <w:bookmarkEnd w:id="167"/>
    <w:p>
      <w:pPr>
        <w:jc w:val="both"/>
        <w:spacing w:after="0" w:line="248" w:lineRule="auto"/>
        <w:rPr>
          <w:sz w:val="20"/>
          <w:szCs w:val="20"/>
          <w:color w:val="auto"/>
        </w:rPr>
      </w:pPr>
      <w:r>
        <w:rPr>
          <w:rFonts w:ascii="Times New Roman" w:cs="Times New Roman" w:eastAsia="Times New Roman" w:hAnsi="Times New Roman"/>
          <w:sz w:val="20"/>
          <w:szCs w:val="20"/>
          <w:color w:val="auto"/>
        </w:rPr>
        <w:t>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2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Securities Related Litigation</w:t>
      </w:r>
    </w:p>
    <w:p>
      <w:pPr>
        <w:spacing w:after="0" w:line="122"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and certain generic drugs.</w:t>
      </w:r>
    </w:p>
    <w:p>
      <w:pPr>
        <w:spacing w:after="0" w:line="23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w:t>
      </w:r>
    </w:p>
    <w:p>
      <w:pPr>
        <w:spacing w:after="0" w:line="21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On April 30, 2017, a similar lawsuit was filed in the Tel Aviv District Court (Economic Division) in Israel, which has been stayed pending a decision in the SDNY class action litigation.</w:t>
      </w:r>
    </w:p>
    <w:p>
      <w:pPr>
        <w:spacing w:after="0" w:line="227" w:lineRule="exact"/>
        <w:rPr>
          <w:sz w:val="20"/>
          <w:szCs w:val="20"/>
          <w:color w:val="auto"/>
        </w:rPr>
      </w:pPr>
    </w:p>
    <w:p>
      <w:pPr>
        <w:jc w:val="both"/>
        <w:ind w:firstLine="400"/>
        <w:spacing w:after="0" w:line="217" w:lineRule="auto"/>
        <w:rPr>
          <w:sz w:val="20"/>
          <w:szCs w:val="20"/>
          <w:color w:val="auto"/>
        </w:rPr>
      </w:pPr>
      <w:r>
        <w:rPr>
          <w:rFonts w:ascii="Times New Roman" w:cs="Times New Roman" w:eastAsia="Times New Roman" w:hAnsi="Times New Roman"/>
          <w:sz w:val="20"/>
          <w:szCs w:val="20"/>
          <w:color w:val="auto"/>
        </w:rPr>
        <w:t>On February 14, 2020, the Abu Dhabi Investment Authority filed a complaint against Mylan in the SDNY asserting allegations pertaining to EpiPen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22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On June 26, 2020, a putative class action complaint was filed by the Public Employees Retirement System of Mississippi, which was subsequently amended on November 13, 2020, against Mylan N.V., certain of Mylan</w:t>
      </w:r>
    </w:p>
    <w:p>
      <w:pPr>
        <w:sectPr>
          <w:pgSz w:w="11880" w:h="15480" w:orient="portrait"/>
          <w:cols w:equalWidth="0" w:num="1">
            <w:col w:w="9120"/>
          </w:cols>
          <w:pgMar w:left="1380" w:top="1322" w:right="1380" w:bottom="654"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160</w:t>
      </w:r>
    </w:p>
    <w:p>
      <w:pPr>
        <w:sectPr>
          <w:pgSz w:w="11880" w:h="15480" w:orient="portrait"/>
          <w:cols w:equalWidth="0" w:num="1">
            <w:col w:w="9120"/>
          </w:cols>
          <w:pgMar w:left="1380" w:top="1322" w:right="1380" w:bottom="654" w:gutter="0" w:footer="0" w:header="0"/>
          <w:type w:val="continuous"/>
        </w:sectPr>
      </w:pPr>
    </w:p>
    <w:bookmarkStart w:id="168" w:name="page169"/>
    <w:bookmarkEnd w:id="168"/>
    <w:p>
      <w:pPr>
        <w:jc w:val="both"/>
        <w:spacing w:after="0" w:line="248" w:lineRule="auto"/>
        <w:rPr>
          <w:sz w:val="20"/>
          <w:szCs w:val="20"/>
          <w:color w:val="auto"/>
        </w:rPr>
      </w:pPr>
      <w:r>
        <w:rPr>
          <w:rFonts w:ascii="Times New Roman" w:cs="Times New Roman" w:eastAsia="Times New Roman" w:hAnsi="Times New Roman"/>
          <w:sz w:val="20"/>
          <w:szCs w:val="20"/>
          <w:color w:val="auto"/>
        </w:rPr>
        <w:t>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25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25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Opioids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25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January 13, 2023, the Company received a civil subpoena from the Attorney General of the State of New York seeking information relating to opioids manufactured, marketed, or sold by the Company and related subject matter. The Company is fully cooperating with this subpoena request.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Meda Sweden Commercial Dispute</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August 30, 2021, Ocular AS and other related entities (“Claimants”) initiated an arbitration in Sweden against Meda OTC AB and Meda AB (collectively, “Meda” or the “Company”) alleging breach of a 2013 sale and purchase agreement between Claimants and Meda concerning commercialization of a dental hygiene product. Claimants are seeking approximately $155 million in purported damages, plus interest and costs. The Company believes that it acted lawfully and vigorously contested all aspects of Claimants’ case – including their asserted damages – at an arbitration hearing that took place in February 2023.</w:t>
      </w:r>
    </w:p>
    <w:p>
      <w:pPr>
        <w:sectPr>
          <w:pgSz w:w="11880" w:h="15480" w:orient="portrait"/>
          <w:cols w:equalWidth="0" w:num="1">
            <w:col w:w="9120"/>
          </w:cols>
          <w:pgMar w:left="1380" w:top="1322" w:right="1380" w:bottom="654"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161</w:t>
      </w:r>
    </w:p>
    <w:p>
      <w:pPr>
        <w:sectPr>
          <w:pgSz w:w="11880" w:h="15480" w:orient="portrait"/>
          <w:cols w:equalWidth="0" w:num="1">
            <w:col w:w="9120"/>
          </w:cols>
          <w:pgMar w:left="1380" w:top="1322" w:right="1380" w:bottom="654"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Liability</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accrued approximately $65.3 million as of December 31, 2022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Nitrosamines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is pending. The Company has also received claims and inquiries related to these products, as well as requests to indemnify purchasers of the Company’s API and/ or finished dose forms of these products. The original master complaints concerning ranitidine were dismissed on December 31, 2020. The end-payor plaintiff immediately appealed to the U.S. Court of 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Lipitor</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162</w:t>
      </w:r>
    </w:p>
    <w:p>
      <w:pPr>
        <w:sectPr>
          <w:pgSz w:w="11880" w:h="15480" w:orient="portrait"/>
          <w:cols w:equalWidth="0" w:num="1">
            <w:col w:w="9120"/>
          </w:cols>
          <w:pgMar w:left="1380" w:top="1312" w:right="1380" w:bottom="654" w:gutter="0" w:footer="0" w:header="0"/>
          <w:type w:val="continuous"/>
        </w:sectPr>
      </w:pPr>
    </w:p>
    <w:bookmarkStart w:id="170" w:name="page171"/>
    <w:bookmarkEnd w:id="170"/>
    <w:p>
      <w:pPr>
        <w:ind w:left="200"/>
        <w:spacing w:after="0"/>
        <w:rPr>
          <w:sz w:val="20"/>
          <w:szCs w:val="20"/>
          <w:color w:val="auto"/>
        </w:rPr>
      </w:pPr>
      <w:r>
        <w:rPr>
          <w:rFonts w:ascii="Times New Roman" w:cs="Times New Roman" w:eastAsia="Times New Roman" w:hAnsi="Times New Roman"/>
          <w:sz w:val="20"/>
          <w:szCs w:val="20"/>
          <w:i w:val="1"/>
          <w:iCs w:val="1"/>
          <w:color w:val="auto"/>
        </w:rPr>
        <w:t>Viagra</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Since April 2016, an MDL has been pending in the U.S. District Court for the Northern District of California</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color w:val="auto"/>
        </w:rPr>
        <w:t xml:space="preserve">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The parties have settled this matter.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 or stock price.</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accrued approximately $107.9 million as of December 31, 2022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Dimethyl Fumarate</w:t>
      </w:r>
    </w:p>
    <w:p>
      <w:pPr>
        <w:spacing w:after="0" w:line="140" w:lineRule="exact"/>
        <w:rPr>
          <w:sz w:val="20"/>
          <w:szCs w:val="20"/>
          <w:color w:val="auto"/>
        </w:rPr>
      </w:pPr>
    </w:p>
    <w:p>
      <w:pPr>
        <w:jc w:val="both"/>
        <w:ind w:firstLine="400"/>
        <w:spacing w:after="0" w:line="227" w:lineRule="auto"/>
        <w:rPr>
          <w:sz w:val="20"/>
          <w:szCs w:val="20"/>
          <w:color w:val="auto"/>
        </w:rPr>
      </w:pPr>
      <w:r>
        <w:rPr>
          <w:rFonts w:ascii="Times New Roman" w:cs="Times New Roman" w:eastAsia="Times New Roman" w:hAnsi="Times New Roman"/>
          <w:sz w:val="20"/>
          <w:szCs w:val="20"/>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infringed six U.S. patents that Biogen had listed in the Orange Book: 6,509,376, 7,320,999, 7,619,001, 7,803,840, 8,759,393, and 8,399,514. All patents except for the ‘514 expired during the litigation and were dismissed from the case.</w:t>
      </w:r>
    </w:p>
    <w:p>
      <w:pPr>
        <w:spacing w:after="0" w:line="26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After a trial involving only the ’514 patent on June 18, 2020, the District Court issued a judgment finding all claims of the ’514 patent invalid for lack of adequate written description. On appeal, the Federal Circuit affirmed the District Court’s judgment. Biogen’s petition for rehearing was denied. Biogen’s petition seeking review by the U.S. Supreme Court was also denied.</w:t>
      </w:r>
    </w:p>
    <w:p>
      <w:pPr>
        <w:spacing w:after="0" w:line="25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On July 13, 2018, MPI filed an IPR petition challenging the ’514 patent based only on obviousness. On February 5, 2020, the PTAB issued a final written decision finding the claims not obvious. MPI’s appeal of the PTAB decision is moot in light of the U.S. Supreme Court denying review of the Federal Circuit’s affirmance of the District Court’s invalidity judgment.</w:t>
      </w:r>
    </w:p>
    <w:p>
      <w:pPr>
        <w:sectPr>
          <w:pgSz w:w="11880" w:h="15480" w:orient="portrait"/>
          <w:cols w:equalWidth="0" w:num="1">
            <w:col w:w="9120"/>
          </w:cols>
          <w:pgMar w:left="1380" w:top="1312" w:right="1380" w:bottom="654"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163</w:t>
      </w:r>
    </w:p>
    <w:p>
      <w:pPr>
        <w:sectPr>
          <w:pgSz w:w="11880" w:h="15480" w:orient="portrait"/>
          <w:cols w:equalWidth="0" w:num="1">
            <w:col w:w="9120"/>
          </w:cols>
          <w:pgMar w:left="1380" w:top="1312" w:right="1380" w:bottom="654" w:gutter="0" w:footer="0" w:header="0"/>
          <w:type w:val="continuous"/>
        </w:sectPr>
      </w:pPr>
    </w:p>
    <w:bookmarkStart w:id="171" w:name="page172"/>
    <w:bookmarkEnd w:id="171"/>
    <w:p>
      <w:pPr>
        <w:ind w:left="400"/>
        <w:spacing w:after="0"/>
        <w:rPr>
          <w:sz w:val="20"/>
          <w:szCs w:val="20"/>
          <w:color w:val="auto"/>
        </w:rPr>
      </w:pPr>
      <w:r>
        <w:rPr>
          <w:rFonts w:ascii="Times New Roman" w:cs="Times New Roman" w:eastAsia="Times New Roman" w:hAnsi="Times New Roman"/>
          <w:sz w:val="20"/>
          <w:szCs w:val="20"/>
          <w:color w:val="auto"/>
        </w:rPr>
        <w:t>These matters are resolved.</w:t>
      </w:r>
    </w:p>
    <w:p>
      <w:pPr>
        <w:spacing w:after="0" w:line="26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On August 17, 2020, the FDA approved MPI’s dimethyl fumarate delayed-release capsules, which MPI began selling on August 18, 2020.</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Lyrica - United Kingdom</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 All of the claims except for those filed by Dr. Reddy’s Laboratories and NHS Scotland have been resolved. A trial on the remaining claims has been set for November 2023.</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Yupelri</w:t>
      </w:r>
    </w:p>
    <w:p>
      <w:pPr>
        <w:spacing w:after="0" w:line="140" w:lineRule="exact"/>
        <w:rPr>
          <w:sz w:val="20"/>
          <w:szCs w:val="20"/>
          <w:color w:val="auto"/>
        </w:rPr>
      </w:pPr>
    </w:p>
    <w:p>
      <w:pPr>
        <w:jc w:val="both"/>
        <w:ind w:firstLine="400"/>
        <w:spacing w:after="0" w:line="235" w:lineRule="auto"/>
        <w:rPr>
          <w:sz w:val="20"/>
          <w:szCs w:val="20"/>
          <w:color w:val="auto"/>
        </w:rPr>
      </w:pPr>
      <w:r>
        <w:rPr>
          <w:rFonts w:ascii="Times New Roman" w:cs="Times New Roman" w:eastAsia="Times New Roman" w:hAnsi="Times New Roman"/>
          <w:sz w:val="20"/>
          <w:szCs w:val="20"/>
          <w:color w:val="auto"/>
        </w:rPr>
        <w:t>Beginning in January 2023, certain generic companies notified us that they had filed ANDAs with the FDA seeking approval to market generic versions of Yupelri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Litigation</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involved in various other legal proceedings including commercial, contractual, employment, or other similar matters that are considered normal to its business. The Company has approximately $24.5 million accrued related to these various other legal proceedings at December 31, 2022.</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164</w:t>
      </w:r>
    </w:p>
    <w:p>
      <w:pPr>
        <w:sectPr>
          <w:pgSz w:w="11880" w:h="15480" w:orient="portrait"/>
          <w:cols w:equalWidth="0" w:num="1">
            <w:col w:w="9120"/>
          </w:cols>
          <w:pgMar w:left="1380" w:top="1312" w:right="1380" w:bottom="654" w:gutter="0" w:footer="0" w:header="0"/>
          <w:type w:val="continuous"/>
        </w:sectPr>
      </w:pPr>
    </w:p>
    <w:bookmarkStart w:id="172" w:name="page173"/>
    <w:bookmarkEnd w:id="172"/>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2022. Based upon that evaluation, the Principal Executive Officer and the Principal Financial Officer concluded that the Company’s disclosure controls and procedures were effective.</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December 31, 2022, the Company substantially completed its transition of certain support services from Pfizer, as well as certain subsidiaries, to a new ERP system. The Company has modified and implemented new controls and procedures relating to its business and financial processes throughout the transition period. While the Company believes that this new system and the related changes to internal controls will ultimately strengthen its ICFR, there are inherent risks in implementing any new ERP system and the Company will continue to evaluate and monitor the effectiveness of the related controls in subsequent periods.</w:t>
      </w:r>
    </w:p>
    <w:p>
      <w:pPr>
        <w:spacing w:after="0" w:line="25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Management’s Report on Internal Control over Financial Reporting is on page 91, which is incorporated herein by reference. The effectiveness of the Company’s internal control over financial reporting as of December 31, 2022 has been audited by Deloitte &amp; Touche LLP (PCAOB ID No. 34), an independent registered public accounting firm, as stated in their report on page 95, which is incorporated herein by reference.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165</w:t>
      </w:r>
    </w:p>
    <w:p>
      <w:pPr>
        <w:sectPr>
          <w:pgSz w:w="11880" w:h="15480" w:orient="portrait"/>
          <w:cols w:equalWidth="0" w:num="1">
            <w:col w:w="9120"/>
          </w:cols>
          <w:pgMar w:left="1380" w:top="1312" w:right="1380" w:bottom="654"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Certain information required by this Item will be provided in an amendment to this Annual Report on Form 10-K in accordance with General Instruction G(3) to Form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Code of Ethics</w:t>
      </w:r>
    </w:p>
    <w:p>
      <w:pPr>
        <w:spacing w:after="0" w:line="1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an amendment to this Annual Report on Form 10-K in accordance with General Instruction G(3) to Form 10-K.</w:t>
      </w:r>
    </w:p>
    <w:p>
      <w:pPr>
        <w:spacing w:after="0" w:line="317" w:lineRule="exact"/>
        <w:rPr>
          <w:sz w:val="20"/>
          <w:szCs w:val="20"/>
          <w:color w:val="auto"/>
        </w:rPr>
      </w:pPr>
    </w:p>
    <w:p>
      <w:pPr>
        <w:ind w:left="900" w:right="280" w:hanging="899"/>
        <w:spacing w:after="0" w:line="248"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4"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additional information required by this Item will be provided in an amendment to this Form 10-K in accordance with General Instruction G(3) to Form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21"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shows information about the securities authorized for issuance under Viatris’ equity compensation plans as of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160"/>
        </w:trPr>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ind w:right="413"/>
              <w:spacing w:after="0" w:line="160"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Remaining Available for</w:t>
            </w:r>
          </w:p>
        </w:tc>
      </w:tr>
      <w:tr>
        <w:trPr>
          <w:trHeight w:val="160"/>
        </w:trPr>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20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Future Issuance Under</w:t>
            </w:r>
          </w:p>
        </w:tc>
      </w:tr>
      <w:tr>
        <w:trPr>
          <w:trHeight w:val="160"/>
        </w:trPr>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w w:val="99"/>
              </w:rPr>
              <w:t>Price of Outstanding</w:t>
            </w:r>
          </w:p>
        </w:tc>
        <w:tc>
          <w:tcPr>
            <w:tcW w:w="20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Equity Compensation Plans</w:t>
            </w:r>
          </w:p>
        </w:tc>
      </w:tr>
      <w:tr>
        <w:trPr>
          <w:trHeight w:val="160"/>
        </w:trPr>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0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 Warrants and</w:t>
            </w:r>
          </w:p>
        </w:tc>
        <w:tc>
          <w:tcPr>
            <w:tcW w:w="20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(excluding securities reflected</w:t>
            </w:r>
          </w:p>
        </w:tc>
      </w:tr>
      <w:tr>
        <w:trPr>
          <w:trHeight w:val="160"/>
        </w:trPr>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8"/>
              </w:rPr>
              <w:t>Rights</w:t>
            </w:r>
          </w:p>
        </w:tc>
        <w:tc>
          <w:tcPr>
            <w:tcW w:w="20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in column (a))</w:t>
            </w:r>
          </w:p>
        </w:tc>
      </w:tr>
      <w:tr>
        <w:trPr>
          <w:trHeight w:val="182"/>
        </w:trPr>
        <w:tc>
          <w:tcPr>
            <w:tcW w:w="30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1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53"/>
              <w:spacing w:after="0" w:line="182" w:lineRule="exact"/>
              <w:rPr>
                <w:sz w:val="20"/>
                <w:szCs w:val="20"/>
                <w:color w:val="auto"/>
              </w:rPr>
            </w:pPr>
            <w:r>
              <w:rPr>
                <w:rFonts w:ascii="Times New Roman" w:cs="Times New Roman" w:eastAsia="Times New Roman" w:hAnsi="Times New Roman"/>
                <w:sz w:val="16"/>
                <w:szCs w:val="16"/>
                <w:b w:val="1"/>
                <w:bCs w:val="1"/>
                <w:color w:val="auto"/>
              </w:rPr>
              <w:t>(b)</w:t>
            </w:r>
          </w:p>
        </w:tc>
        <w:tc>
          <w:tcPr>
            <w:tcW w:w="200" w:type="dxa"/>
            <w:vAlign w:val="bottom"/>
          </w:tcPr>
          <w:p>
            <w:pPr>
              <w:spacing w:after="0"/>
              <w:rPr>
                <w:sz w:val="15"/>
                <w:szCs w:val="15"/>
                <w:color w:val="auto"/>
              </w:rPr>
            </w:pPr>
          </w:p>
        </w:tc>
        <w:tc>
          <w:tcPr>
            <w:tcW w:w="21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w:t>
            </w:r>
          </w:p>
        </w:tc>
      </w:tr>
      <w:tr>
        <w:trPr>
          <w:trHeight w:val="26"/>
        </w:trPr>
        <w:tc>
          <w:tcPr>
            <w:tcW w:w="9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2"/>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approved by security holders . . . .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31,721,568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43,297,637</w:t>
            </w:r>
          </w:p>
        </w:tc>
      </w:tr>
      <w:tr>
        <w:trPr>
          <w:trHeight w:val="24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4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approved by security holders . . . .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3060" w:type="dxa"/>
            <w:vAlign w:val="bottom"/>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72"/>
        </w:trPr>
        <w:tc>
          <w:tcPr>
            <w:tcW w:w="30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 . . . . . . . . . . . . . . . . . . . .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31,721,568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43,297,637</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an amendment to this Annual Report on Form 10-K in accordance with General Instruction G(3) to Form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an amendment to this Annual Report on Form 10-K in accordance with General Instruction G(3) to Form 10-K.</w:t>
      </w:r>
    </w:p>
    <w:p>
      <w:pPr>
        <w:sectPr>
          <w:pgSz w:w="11880" w:h="15480" w:orient="portrait"/>
          <w:cols w:equalWidth="0" w:num="1">
            <w:col w:w="9120"/>
          </w:cols>
          <w:pgMar w:left="1380" w:top="1312" w:right="1380" w:bottom="654"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166</w:t>
      </w:r>
    </w:p>
    <w:p>
      <w:pPr>
        <w:sectPr>
          <w:pgSz w:w="11880" w:h="15480" w:orient="portrait"/>
          <w:cols w:equalWidth="0" w:num="1">
            <w:col w:w="9120"/>
          </w:cols>
          <w:pgMar w:left="1380" w:top="1312" w:right="1380" w:bottom="654"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Consolidated Financial Statement Schedules</w:t>
      </w:r>
    </w:p>
    <w:p>
      <w:pPr>
        <w:spacing w:after="0" w:line="135" w:lineRule="exact"/>
        <w:rPr>
          <w:sz w:val="20"/>
          <w:szCs w:val="20"/>
          <w:color w:val="auto"/>
        </w:rPr>
      </w:pPr>
    </w:p>
    <w:p>
      <w:pPr>
        <w:ind w:left="200" w:hanging="200"/>
        <w:spacing w:after="0"/>
        <w:tabs>
          <w:tab w:leader="none" w:pos="2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Consolidated Financial Statements</w:t>
      </w:r>
    </w:p>
    <w:p>
      <w:pPr>
        <w:spacing w:after="0" w:line="145"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Consolidated Financial Statements listed in the Index to Consolidated Financial Statements are filed as part of this Form.</w:t>
      </w:r>
    </w:p>
    <w:p>
      <w:pPr>
        <w:spacing w:after="0" w:line="388" w:lineRule="exact"/>
        <w:rPr>
          <w:sz w:val="20"/>
          <w:szCs w:val="20"/>
          <w:color w:val="auto"/>
        </w:rPr>
      </w:pPr>
    </w:p>
    <w:p>
      <w:pPr>
        <w:ind w:left="200" w:hanging="200"/>
        <w:spacing w:after="0"/>
        <w:tabs>
          <w:tab w:leader="none" w:pos="2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Consolidated Financial Statement Schedules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VIATRIS INC. AND SUBSIDIARIES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60"/>
        </w:trPr>
        <w:tc>
          <w:tcPr>
            <w:tcW w:w="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Charged to</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0"/>
        </w:trPr>
        <w:tc>
          <w:tcPr>
            <w:tcW w:w="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20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Ending</w:t>
            </w:r>
          </w:p>
        </w:tc>
      </w:tr>
      <w:tr>
        <w:trPr>
          <w:trHeight w:val="208"/>
        </w:trPr>
        <w:tc>
          <w:tcPr>
            <w:tcW w:w="8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Description</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Expenses</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4"/>
              </w:rPr>
              <w:t xml:space="preserve">Accounts </w:t>
            </w:r>
            <w:r>
              <w:rPr>
                <w:rFonts w:ascii="Times New Roman" w:cs="Times New Roman" w:eastAsia="Times New Roman" w:hAnsi="Times New Roman"/>
                <w:sz w:val="20"/>
                <w:szCs w:val="20"/>
                <w:b w:val="1"/>
                <w:bCs w:val="1"/>
                <w:color w:val="auto"/>
                <w:w w:val="94"/>
                <w:vertAlign w:val="superscript"/>
              </w:rPr>
              <w:t>(1)</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Deductions</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5"/>
              </w:rPr>
              <w:t>Balance</w:t>
            </w: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2022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21.5</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(61.3)</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$114.7</w:t>
            </w: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2021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16.0</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(21.4)</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$154.5</w:t>
            </w: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2020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16.9</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77.3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$159.9</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2022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780.4</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42.7</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(436.1)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$387.0</w:t>
            </w: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2021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443.6</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82.2</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260.8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$780.4</w:t>
            </w: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Year ended December 31, 2020 . . . . . . . . . . . . . . . . .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603.5</w:t>
            </w:r>
          </w:p>
        </w:tc>
        <w:tc>
          <w:tcPr>
            <w:tcW w:w="98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39.0</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(198.9)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4"/>
              </w:rPr>
              <w:t>$443.6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wp:posOffset>
                </wp:positionV>
                <wp:extent cx="6096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pt" to="48pt,5.6pt" o:allowincell="f" strokecolor="#000000" strokeweight="0.5pt"/>
            </w:pict>
          </mc:Fallback>
        </mc:AlternateContent>
      </w:r>
    </w:p>
    <w:p>
      <w:pPr>
        <w:spacing w:after="0" w:line="81" w:lineRule="exact"/>
        <w:rPr>
          <w:sz w:val="20"/>
          <w:szCs w:val="20"/>
          <w:color w:val="auto"/>
        </w:rPr>
      </w:pPr>
    </w:p>
    <w:p>
      <w:pPr>
        <w:ind w:left="400" w:hanging="400"/>
        <w:spacing w:after="0"/>
        <w:tabs>
          <w:tab w:leader="none" w:pos="400" w:val="left"/>
        </w:tabs>
        <w:numPr>
          <w:ilvl w:val="0"/>
          <w:numId w:val="9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These amounts include opening balances of the Upjohn Business acquired in the Combination.</w:t>
      </w:r>
    </w:p>
    <w:p>
      <w:pPr>
        <w:spacing w:after="0" w:line="386" w:lineRule="exact"/>
        <w:rPr>
          <w:sz w:val="20"/>
          <w:szCs w:val="20"/>
          <w:color w:val="auto"/>
        </w:rPr>
      </w:pPr>
    </w:p>
    <w:p>
      <w:pPr>
        <w:ind w:left="200" w:hanging="200"/>
        <w:spacing w:after="0"/>
        <w:tabs>
          <w:tab w:leader="none" w:pos="2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70" w:lineRule="exact"/>
        <w:rPr>
          <w:sz w:val="20"/>
          <w:szCs w:val="20"/>
          <w:color w:val="auto"/>
        </w:rPr>
      </w:pPr>
    </w:p>
    <w:p>
      <w:pPr>
        <w:jc w:val="both"/>
        <w:ind w:left="880" w:right="120" w:hanging="764"/>
        <w:spacing w:after="0" w:line="246" w:lineRule="auto"/>
        <w:tabs>
          <w:tab w:leader="none" w:pos="860" w:val="left"/>
        </w:tabs>
        <w:rPr>
          <w:sz w:val="20"/>
          <w:szCs w:val="20"/>
          <w:color w:val="auto"/>
        </w:rPr>
      </w:pPr>
      <w:r>
        <w:rPr>
          <w:rFonts w:ascii="Times New Roman" w:cs="Times New Roman" w:eastAsia="Times New Roman" w:hAnsi="Times New Roman"/>
          <w:sz w:val="20"/>
          <w:szCs w:val="20"/>
          <w:color w:val="auto"/>
        </w:rPr>
        <w:t>2.1(a)</w:t>
        <w:tab/>
        <w:t>Business Combination Agreement, dated as of July 29, 2019, by and among Pfizer Inc., Upjohn Inc., Utah Acquisition Sub Inc., Mylan N.V., Mylan I B.V. and Mylan II B.V., included as Annex A to the Information Statement included as Exhibit 99.1 to the Report on Form 8-K filed by Upjohn Inc. with the SEC on August 6, 2020, and incorporated herein by reference.^</w:t>
      </w:r>
    </w:p>
    <w:p>
      <w:pPr>
        <w:spacing w:after="0" w:line="142" w:lineRule="exact"/>
        <w:rPr>
          <w:sz w:val="20"/>
          <w:szCs w:val="20"/>
          <w:color w:val="auto"/>
        </w:rPr>
      </w:pPr>
    </w:p>
    <w:p>
      <w:pPr>
        <w:ind w:left="880" w:right="100" w:hanging="764"/>
        <w:spacing w:after="0" w:line="247" w:lineRule="auto"/>
        <w:tabs>
          <w:tab w:leader="none" w:pos="860" w:val="left"/>
        </w:tabs>
        <w:rPr>
          <w:sz w:val="20"/>
          <w:szCs w:val="20"/>
          <w:color w:val="auto"/>
        </w:rPr>
      </w:pPr>
      <w:r>
        <w:rPr>
          <w:rFonts w:ascii="Times New Roman" w:cs="Times New Roman" w:eastAsia="Times New Roman" w:hAnsi="Times New Roman"/>
          <w:sz w:val="20"/>
          <w:szCs w:val="20"/>
          <w:color w:val="auto"/>
        </w:rPr>
        <w:t>2.1(b)</w:t>
        <w:tab/>
        <w:t>Amendment No. 1, dated as of May 29, 2020, to the Business Combination Agreement, dated as of July 29, 2019, by and among Pfizer Inc., Upjohn Inc., Utah Acquisition Sub Inc., Mylan N.V., Mylan I B.V. and Mylan II B.V., included as Annex B to the Information Statement included as Exhibit 99.1 to the Report on Form 8-K filed by Upjohn Inc. with the SEC on August 6, 2020, and incorporated herein by reference.^</w:t>
      </w:r>
    </w:p>
    <w:p>
      <w:pPr>
        <w:spacing w:after="0" w:line="142" w:lineRule="exact"/>
        <w:rPr>
          <w:sz w:val="20"/>
          <w:szCs w:val="20"/>
          <w:color w:val="auto"/>
        </w:rPr>
      </w:pPr>
    </w:p>
    <w:p>
      <w:pPr>
        <w:jc w:val="both"/>
        <w:ind w:left="880" w:right="400" w:hanging="764"/>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auto"/>
        </w:rPr>
        <w:t>2.2(a)</w:t>
        <w:tab/>
        <w:t>Separation and Distribution Agreement, dated as of July 29, 2019, by and between Pfizer Inc. and Upjohn Inc., filed as Exhibit 2.2 to the Report on Form 8-K filed by Mylan N.V. with the SEC on July 29, 2019, and incorporated herein by reference.^</w:t>
      </w:r>
    </w:p>
    <w:p>
      <w:pPr>
        <w:spacing w:after="0" w:line="141" w:lineRule="exact"/>
        <w:rPr>
          <w:sz w:val="20"/>
          <w:szCs w:val="20"/>
          <w:color w:val="auto"/>
        </w:rPr>
      </w:pPr>
    </w:p>
    <w:p>
      <w:pPr>
        <w:ind w:left="880" w:right="60" w:hanging="764"/>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auto"/>
        </w:rPr>
        <w:t>2.2(b)</w:t>
        <w:tab/>
        <w:t>Amendment No. 1, dated as of February 18, 2020, to the Separation and Distribution Agreement, dated as of July 29, 2019, by and between Pfizer Inc. and Upjohn Inc., filed by Mylan N.V. as Exhibit 2.1 to the Form 10-Q for the quarter ended March 31, 2020, and incorporated herein by reference.</w:t>
      </w:r>
    </w:p>
    <w:p>
      <w:pPr>
        <w:spacing w:after="0" w:line="141" w:lineRule="exact"/>
        <w:rPr>
          <w:sz w:val="20"/>
          <w:szCs w:val="20"/>
          <w:color w:val="auto"/>
        </w:rPr>
      </w:pPr>
    </w:p>
    <w:p>
      <w:pPr>
        <w:ind w:left="880" w:right="100" w:hanging="764"/>
        <w:spacing w:after="0" w:line="264" w:lineRule="auto"/>
        <w:tabs>
          <w:tab w:leader="none" w:pos="860" w:val="left"/>
        </w:tabs>
        <w:rPr>
          <w:sz w:val="20"/>
          <w:szCs w:val="20"/>
          <w:color w:val="auto"/>
        </w:rPr>
      </w:pPr>
      <w:r>
        <w:rPr>
          <w:rFonts w:ascii="Times New Roman" w:cs="Times New Roman" w:eastAsia="Times New Roman" w:hAnsi="Times New Roman"/>
          <w:sz w:val="20"/>
          <w:szCs w:val="20"/>
          <w:color w:val="auto"/>
        </w:rPr>
        <w:t>2.2(c)</w:t>
      </w:r>
      <w:r>
        <w:rPr>
          <w:sz w:val="20"/>
          <w:szCs w:val="20"/>
          <w:color w:val="auto"/>
        </w:rPr>
        <w:tab/>
      </w:r>
      <w:r>
        <w:rPr>
          <w:rFonts w:ascii="Times New Roman" w:cs="Times New Roman" w:eastAsia="Times New Roman" w:hAnsi="Times New Roman"/>
          <w:sz w:val="19"/>
          <w:szCs w:val="19"/>
          <w:color w:val="auto"/>
        </w:rPr>
        <w:t>Amendment No. 2, dated as of May 29, 2020, to the Separation and Distribution Agreement, dated as of July 29, 2019, by and between Pfizer Inc. and Upjohn Inc., filed as Exhibit 2.2 to the Report on Form 8-K filed by Mylan N.V. with the SEC on June 1, 2020, and incorporated herein by reference. ^</w:t>
      </w:r>
    </w:p>
    <w:p>
      <w:pPr>
        <w:sectPr>
          <w:pgSz w:w="11880" w:h="15480" w:orient="portrait"/>
          <w:cols w:equalWidth="0" w:num="1">
            <w:col w:w="9120"/>
          </w:cols>
          <w:pgMar w:left="1380" w:top="1312" w:right="1380" w:bottom="654"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167</w:t>
      </w:r>
    </w:p>
    <w:p>
      <w:pPr>
        <w:sectPr>
          <w:pgSz w:w="11880" w:h="15480" w:orient="portrait"/>
          <w:cols w:equalWidth="0" w:num="1">
            <w:col w:w="9120"/>
          </w:cols>
          <w:pgMar w:left="1380" w:top="1312" w:right="1380" w:bottom="654" w:gutter="0" w:footer="0" w:header="0"/>
          <w:type w:val="continuous"/>
        </w:sectPr>
      </w:pPr>
    </w:p>
    <w:bookmarkStart w:id="175" w:name="page176"/>
    <w:bookmarkEnd w:id="175"/>
    <w:p>
      <w:pPr>
        <w:ind w:left="820" w:right="30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2.2(d)</w:t>
        <w:tab/>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 ^</w:t>
      </w:r>
    </w:p>
    <w:p>
      <w:pPr>
        <w:spacing w:after="0" w:line="137" w:lineRule="exact"/>
        <w:rPr>
          <w:sz w:val="20"/>
          <w:szCs w:val="20"/>
          <w:color w:val="auto"/>
        </w:rPr>
      </w:pPr>
    </w:p>
    <w:p>
      <w:pPr>
        <w:ind w:left="820" w:right="32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2.2(e)</w:t>
        <w:tab/>
        <w:t>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w:t>
      </w:r>
    </w:p>
    <w:p>
      <w:pPr>
        <w:spacing w:after="0" w:line="137" w:lineRule="exact"/>
        <w:rPr>
          <w:sz w:val="20"/>
          <w:szCs w:val="20"/>
          <w:color w:val="auto"/>
        </w:rPr>
      </w:pPr>
    </w:p>
    <w:p>
      <w:pPr>
        <w:ind w:left="820" w:right="14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2.3(a)</w:t>
        <w:tab/>
        <w:t>Transaction Agreement, dated as of February 27, 2022, by and among Biocon Biologics Limited and Viatris Inc., filed as Exhibit 2.1 to the Report on Form 8-K filed by Viatris Inc. with the SEC on February 28, 2022, and incorporated herein by reference.^</w:t>
      </w:r>
    </w:p>
    <w:p>
      <w:pPr>
        <w:spacing w:after="0" w:line="136" w:lineRule="exact"/>
        <w:rPr>
          <w:sz w:val="20"/>
          <w:szCs w:val="20"/>
          <w:color w:val="auto"/>
        </w:rPr>
      </w:pPr>
    </w:p>
    <w:p>
      <w:pPr>
        <w:jc w:val="both"/>
        <w:ind w:left="82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2.3(b)</w:t>
        <w:tab/>
        <w:t>Amendment No. 1 to Transaction Agreement, dated as of November 28, 2022, by and between Biocon Biologics Limited and Viatris Inc., filed as Exhibit 2.1 to the Report on Form 8-K filed by Viatris Inc. with the SEC on November 29, 2022, and incorporated herein by reference.^</w:t>
      </w:r>
    </w:p>
    <w:p>
      <w:pPr>
        <w:spacing w:after="0" w:line="136" w:lineRule="exact"/>
        <w:rPr>
          <w:sz w:val="20"/>
          <w:szCs w:val="20"/>
          <w:color w:val="auto"/>
        </w:rPr>
      </w:pPr>
    </w:p>
    <w:p>
      <w:pPr>
        <w:ind w:left="820" w:right="46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3.1(a)</w:t>
        <w:tab/>
        <w:t>Amended and Restated Certificate of Incorporation of Upjohn Inc., effective as of November 13, 2020, filed as Exhibit 3.1 to the Report on Form 8-K filed by Viatris Inc. with the SEC on November 19, 2020, and incorporated herein by reference.</w:t>
      </w:r>
    </w:p>
    <w:p>
      <w:pPr>
        <w:spacing w:after="0" w:line="136" w:lineRule="exact"/>
        <w:rPr>
          <w:sz w:val="20"/>
          <w:szCs w:val="20"/>
          <w:color w:val="auto"/>
        </w:rPr>
      </w:pPr>
    </w:p>
    <w:p>
      <w:pPr>
        <w:ind w:left="82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3.1(b)</w:t>
        <w:tab/>
        <w:t>Certificate of Amendment to the Amended and Restated Certificate of Incorporation of Upjohn Inc., effective as of November 16, 2020, filed as Exhibit 3.3 to the Report on Form 8-K filed by Viatris Inc. with the SEC on November 19, 2020, and incorporated herein by reference.</w:t>
      </w:r>
    </w:p>
    <w:p>
      <w:pPr>
        <w:spacing w:after="0" w:line="136" w:lineRule="exact"/>
        <w:rPr>
          <w:sz w:val="20"/>
          <w:szCs w:val="20"/>
          <w:color w:val="auto"/>
        </w:rPr>
      </w:pPr>
    </w:p>
    <w:p>
      <w:pPr>
        <w:jc w:val="both"/>
        <w:ind w:left="820" w:right="40" w:hanging="764"/>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Amended and Restated Bylaws of Viatris Inc., effective as of November 16, 2020, filed as Exhibit 3.2 to Form 10-K for the fiscal year ended December 31, 2020, and incorporated herein by reference.</w:t>
      </w:r>
    </w:p>
    <w:p>
      <w:pPr>
        <w:spacing w:after="0" w:line="142" w:lineRule="exact"/>
        <w:rPr>
          <w:sz w:val="20"/>
          <w:szCs w:val="20"/>
          <w:color w:val="auto"/>
        </w:rPr>
      </w:pPr>
    </w:p>
    <w:p>
      <w:pPr>
        <w:jc w:val="both"/>
        <w:ind w:left="820" w:right="4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4.1(a)</w:t>
        <w:tab/>
        <w:t>Indenture, dated December 21, 2012, between and among Mylan Inc., as issuer, the guarantors named therein, and The Bank of New York Mellon, as trustee, filed as Exhibit 4.1 to the Report on Form 8-K filed by Mylan Inc. with the SEC on December 24, 2012, and incorporated herein by reference.</w:t>
      </w:r>
    </w:p>
    <w:p>
      <w:pPr>
        <w:spacing w:after="0" w:line="136" w:lineRule="exact"/>
        <w:rPr>
          <w:sz w:val="20"/>
          <w:szCs w:val="20"/>
          <w:color w:val="auto"/>
        </w:rPr>
      </w:pPr>
    </w:p>
    <w:p>
      <w:pPr>
        <w:ind w:left="820" w:right="4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4.1(b)</w:t>
        <w:tab/>
        <w:t>First Supplemental Indenture, dated February 27, 2015, between and among Mylan Inc., as issuer, Mylan N.V., as guarantor, and The Bank of New York Mellon, as trustee, to the Indenture, dated December 21, 2012, filed as Exhibit 4.4 to the Report on Form 8-K filed by Mylan N.V. with the SEC on February 27, 2015, and incorporated herein by reference.</w:t>
      </w:r>
    </w:p>
    <w:p>
      <w:pPr>
        <w:spacing w:after="0" w:line="137" w:lineRule="exact"/>
        <w:rPr>
          <w:sz w:val="20"/>
          <w:szCs w:val="20"/>
          <w:color w:val="auto"/>
        </w:rPr>
      </w:pPr>
    </w:p>
    <w:p>
      <w:pPr>
        <w:ind w:left="820" w:right="34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4.1(c)</w:t>
        <w:tab/>
        <w:t>Second Supplemental Indenture, dated March 12, 2015, between and among Mylan Inc., as issuer, Mylan N.V., as parent, and The Bank of New York Mellon, as trustee, to the Indenture, dated December 21, 2012, filed by Mylan N.V. as Exhibit 4.3(b) to Form 10-Q for the quarter ended March 31, 2015, and incorporated herein by reference.</w:t>
      </w:r>
    </w:p>
    <w:p>
      <w:pPr>
        <w:spacing w:after="0" w:line="137" w:lineRule="exact"/>
        <w:rPr>
          <w:sz w:val="20"/>
          <w:szCs w:val="20"/>
          <w:color w:val="auto"/>
        </w:rPr>
      </w:pPr>
    </w:p>
    <w:p>
      <w:pPr>
        <w:ind w:left="820" w:right="20" w:hanging="76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4.1(d)</w:t>
        <w:tab/>
        <w:t>Third Supplemental Indenture dated November 16, 2020, by and among Mylan Inc., Viatris Inc., Utah Acquisition Sub Inc., Mylan II B.V. and the Bank of New York Mellon, as trustee, to the Indenture dated December 21, 2012, by and between Mylan Inc. and the Bank of New York Mellon, as trustee, filed as Exhibit 4.6 to the Report on Form 8-K/A filed by Viatris Inc. with the SEC on November 19, 2020, and incorporated herein by reference.</w:t>
      </w:r>
    </w:p>
    <w:p>
      <w:pPr>
        <w:spacing w:after="0" w:line="137" w:lineRule="exact"/>
        <w:rPr>
          <w:sz w:val="20"/>
          <w:szCs w:val="20"/>
          <w:color w:val="auto"/>
        </w:rPr>
      </w:pPr>
    </w:p>
    <w:p>
      <w:pPr>
        <w:ind w:left="820" w:right="40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4.2(a)</w:t>
        <w:tab/>
        <w:t>Indenture, dated November 29, 2013, between Mylan Inc. and The Bank of New York Mellon, as trustee, filed as Exhibit 4.1 to the Report on Form 8-K filed by Mylan Inc. with the SEC on November 29, 2013, and incorporated herein by reference.</w:t>
      </w:r>
    </w:p>
    <w:p>
      <w:pPr>
        <w:spacing w:after="0" w:line="136" w:lineRule="exact"/>
        <w:rPr>
          <w:sz w:val="20"/>
          <w:szCs w:val="20"/>
          <w:color w:val="auto"/>
        </w:rPr>
      </w:pPr>
    </w:p>
    <w:p>
      <w:pPr>
        <w:jc w:val="both"/>
        <w:ind w:left="820" w:right="20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4.2(b)</w:t>
        <w:tab/>
        <w:t>First Supplemental Indenture, dated November 29, 2013, between Mylan Inc. and The Bank of New York Mellon, as trustee, filed as Exhibit 4.2 to the Report on Form 8-K filed by Mylan Inc. with the SEC on November 29, 2013, and incorporated herein by reference.</w:t>
      </w:r>
    </w:p>
    <w:p>
      <w:pPr>
        <w:sectPr>
          <w:pgSz w:w="11880" w:h="15480" w:orient="portrait"/>
          <w:cols w:equalWidth="0" w:num="1">
            <w:col w:w="9040"/>
          </w:cols>
          <w:pgMar w:left="1440" w:top="1322" w:right="140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168</w:t>
      </w:r>
    </w:p>
    <w:p>
      <w:pPr>
        <w:sectPr>
          <w:pgSz w:w="11880" w:h="15480" w:orient="portrait"/>
          <w:cols w:equalWidth="0" w:num="1">
            <w:col w:w="9040"/>
          </w:cols>
          <w:pgMar w:left="1440" w:top="1322" w:right="1400" w:bottom="654" w:gutter="0" w:footer="0" w:header="0"/>
          <w:type w:val="continuous"/>
        </w:sectPr>
      </w:pPr>
    </w:p>
    <w:bookmarkStart w:id="176" w:name="page177"/>
    <w:bookmarkEnd w:id="176"/>
    <w:p>
      <w:pPr>
        <w:ind w:left="820" w:right="10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4.2(c)</w:t>
        <w:tab/>
        <w:t>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w:t>
      </w:r>
    </w:p>
    <w:p>
      <w:pPr>
        <w:spacing w:after="0" w:line="137" w:lineRule="exact"/>
        <w:rPr>
          <w:sz w:val="20"/>
          <w:szCs w:val="20"/>
          <w:color w:val="auto"/>
        </w:rPr>
      </w:pPr>
    </w:p>
    <w:p>
      <w:pPr>
        <w:ind w:left="820" w:right="44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4.2(d)</w:t>
        <w:tab/>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p>
      <w:pPr>
        <w:spacing w:after="0" w:line="137" w:lineRule="exact"/>
        <w:rPr>
          <w:sz w:val="20"/>
          <w:szCs w:val="20"/>
          <w:color w:val="auto"/>
        </w:rPr>
      </w:pPr>
    </w:p>
    <w:p>
      <w:pPr>
        <w:ind w:left="820" w:right="100" w:hanging="76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4.2(e)</w:t>
        <w:tab/>
        <w:t>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w:t>
      </w:r>
    </w:p>
    <w:p>
      <w:pPr>
        <w:spacing w:after="0" w:line="137" w:lineRule="exact"/>
        <w:rPr>
          <w:sz w:val="20"/>
          <w:szCs w:val="20"/>
          <w:color w:val="auto"/>
        </w:rPr>
      </w:pPr>
    </w:p>
    <w:p>
      <w:pPr>
        <w:jc w:val="both"/>
        <w:ind w:left="820" w:right="12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4.3(a)</w:t>
        <w:tab/>
        <w:t>Indenture, dated as of June 9, 2016, among Mylan N.V., as issuer, Mylan Inc., as guarantor, and The Bank of New York Mellon, as trustee, filed as Exhibit 4.1 to the Report on Form 8-K filed by Mylan N.V. with the SEC on June 15, 2016, and incorporated herein by reference.</w:t>
      </w:r>
    </w:p>
    <w:p>
      <w:pPr>
        <w:spacing w:after="0" w:line="136" w:lineRule="exact"/>
        <w:rPr>
          <w:sz w:val="20"/>
          <w:szCs w:val="20"/>
          <w:color w:val="auto"/>
        </w:rPr>
      </w:pPr>
    </w:p>
    <w:p>
      <w:pPr>
        <w:ind w:left="820" w:right="60" w:hanging="76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4.3(b)</w:t>
        <w:tab/>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p>
      <w:pPr>
        <w:spacing w:after="0" w:line="137" w:lineRule="exact"/>
        <w:rPr>
          <w:sz w:val="20"/>
          <w:szCs w:val="20"/>
          <w:color w:val="auto"/>
        </w:rPr>
      </w:pPr>
    </w:p>
    <w:p>
      <w:pPr>
        <w:ind w:left="820" w:right="4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4.4(a)</w:t>
        <w:tab/>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p>
      <w:pPr>
        <w:spacing w:after="0" w:line="137" w:lineRule="exact"/>
        <w:rPr>
          <w:sz w:val="20"/>
          <w:szCs w:val="20"/>
          <w:color w:val="auto"/>
        </w:rPr>
      </w:pPr>
    </w:p>
    <w:p>
      <w:pPr>
        <w:ind w:left="820" w:right="60" w:hanging="764"/>
        <w:spacing w:after="0" w:line="248" w:lineRule="auto"/>
        <w:tabs>
          <w:tab w:leader="none" w:pos="800" w:val="left"/>
        </w:tabs>
        <w:rPr>
          <w:sz w:val="20"/>
          <w:szCs w:val="20"/>
          <w:color w:val="auto"/>
        </w:rPr>
      </w:pPr>
      <w:r>
        <w:rPr>
          <w:rFonts w:ascii="Times New Roman" w:cs="Times New Roman" w:eastAsia="Times New Roman" w:hAnsi="Times New Roman"/>
          <w:sz w:val="20"/>
          <w:szCs w:val="20"/>
          <w:color w:val="auto"/>
        </w:rPr>
        <w:t>4.4(b)</w:t>
        <w:tab/>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p>
      <w:pPr>
        <w:spacing w:after="0" w:line="134" w:lineRule="exact"/>
        <w:rPr>
          <w:sz w:val="20"/>
          <w:szCs w:val="20"/>
          <w:color w:val="auto"/>
        </w:rPr>
      </w:pPr>
    </w:p>
    <w:p>
      <w:pPr>
        <w:jc w:val="both"/>
        <w:ind w:left="820" w:right="120" w:hanging="7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4.5(a)</w:t>
        <w:tab/>
        <w:t>Indenture, dated as of April 9, 2018, among Mylan Inc., as issuer, Mylan N.V., as guarantor, and the Bank of New York Mellon, as trustee, filed as Exhibit 4.1 to the Report on Form 8-K filed by Mylan N.V. with the SEC on April 9, 2018, and incorporated herein by reference.</w:t>
      </w:r>
    </w:p>
    <w:p>
      <w:pPr>
        <w:spacing w:after="0" w:line="136" w:lineRule="exact"/>
        <w:rPr>
          <w:sz w:val="20"/>
          <w:szCs w:val="20"/>
          <w:color w:val="auto"/>
        </w:rPr>
      </w:pPr>
    </w:p>
    <w:p>
      <w:pPr>
        <w:ind w:left="820" w:right="60" w:hanging="76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4.5(b)</w:t>
        <w:tab/>
        <w:t>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w:t>
      </w:r>
    </w:p>
    <w:p>
      <w:pPr>
        <w:spacing w:after="0" w:line="137" w:lineRule="exact"/>
        <w:rPr>
          <w:sz w:val="20"/>
          <w:szCs w:val="20"/>
          <w:color w:val="auto"/>
        </w:rPr>
      </w:pPr>
    </w:p>
    <w:p>
      <w:pPr>
        <w:ind w:left="820" w:right="80" w:hanging="7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4.6(a)</w:t>
        <w:tab/>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p>
      <w:pPr>
        <w:sectPr>
          <w:pgSz w:w="11880" w:h="15480" w:orient="portrait"/>
          <w:cols w:equalWidth="0" w:num="1">
            <w:col w:w="9000"/>
          </w:cols>
          <w:pgMar w:left="1440" w:top="1322" w:right="144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169</w:t>
      </w:r>
    </w:p>
    <w:p>
      <w:pPr>
        <w:sectPr>
          <w:pgSz w:w="11880" w:h="15480" w:orient="portrait"/>
          <w:cols w:equalWidth="0" w:num="1">
            <w:col w:w="9000"/>
          </w:cols>
          <w:pgMar w:left="1440" w:top="1322" w:right="1440" w:bottom="654" w:gutter="0" w:footer="0" w:header="0"/>
          <w:type w:val="continuous"/>
        </w:sectPr>
      </w:pPr>
    </w:p>
    <w:bookmarkStart w:id="177" w:name="page178"/>
    <w:bookmarkEnd w:id="177"/>
    <w:p>
      <w:pPr>
        <w:ind w:left="820" w:right="40" w:hanging="814"/>
        <w:spacing w:after="0" w:line="248" w:lineRule="auto"/>
        <w:tabs>
          <w:tab w:leader="none" w:pos="800" w:val="left"/>
        </w:tabs>
        <w:rPr>
          <w:sz w:val="20"/>
          <w:szCs w:val="20"/>
          <w:color w:val="auto"/>
        </w:rPr>
      </w:pPr>
      <w:r>
        <w:rPr>
          <w:rFonts w:ascii="Times New Roman" w:cs="Times New Roman" w:eastAsia="Times New Roman" w:hAnsi="Times New Roman"/>
          <w:sz w:val="20"/>
          <w:szCs w:val="20"/>
          <w:color w:val="auto"/>
        </w:rPr>
        <w:t>4.6(b)</w:t>
      </w:r>
      <w:r>
        <w:rPr>
          <w:sz w:val="20"/>
          <w:szCs w:val="20"/>
          <w:color w:val="auto"/>
        </w:rPr>
        <w:tab/>
      </w:r>
      <w:r>
        <w:rPr>
          <w:rFonts w:ascii="Times New Roman" w:cs="Times New Roman" w:eastAsia="Times New Roman" w:hAnsi="Times New Roman"/>
          <w:sz w:val="20"/>
          <w:szCs w:val="20"/>
          <w:color w:val="auto"/>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p>
      <w:pPr>
        <w:spacing w:after="0" w:line="134" w:lineRule="exact"/>
        <w:rPr>
          <w:sz w:val="20"/>
          <w:szCs w:val="20"/>
          <w:color w:val="auto"/>
        </w:rPr>
      </w:pPr>
    </w:p>
    <w:p>
      <w:pPr>
        <w:ind w:left="820" w:right="18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4.7(a)</w:t>
      </w:r>
      <w:r>
        <w:rPr>
          <w:sz w:val="20"/>
          <w:szCs w:val="20"/>
          <w:color w:val="auto"/>
        </w:rPr>
        <w:tab/>
      </w:r>
      <w:r>
        <w:rPr>
          <w:rFonts w:ascii="Times New Roman" w:cs="Times New Roman" w:eastAsia="Times New Roman" w:hAnsi="Times New Roman"/>
          <w:sz w:val="20"/>
          <w:szCs w:val="20"/>
          <w:color w:val="auto"/>
        </w:rPr>
        <w:t>Indenture, dated as of June 22, 2020, between Upjohn Inc., as issuer, and The Bank of New York Mellon, as trustee, filed as Exhibit 4.1 to the Report on Form 8-K filed by Upjohn Inc. with the SEC on June 26, 2020, and incorporated herein by reference.</w:t>
      </w:r>
    </w:p>
    <w:p>
      <w:pPr>
        <w:spacing w:after="0" w:line="136" w:lineRule="exact"/>
        <w:rPr>
          <w:sz w:val="20"/>
          <w:szCs w:val="20"/>
          <w:color w:val="auto"/>
        </w:rPr>
      </w:pPr>
    </w:p>
    <w:p>
      <w:pPr>
        <w:ind w:left="820" w:right="60" w:hanging="81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4.7(b)</w:t>
      </w:r>
      <w:r>
        <w:rPr>
          <w:sz w:val="20"/>
          <w:szCs w:val="20"/>
          <w:color w:val="auto"/>
        </w:rPr>
        <w:tab/>
      </w:r>
      <w:r>
        <w:rPr>
          <w:rFonts w:ascii="Times New Roman" w:cs="Times New Roman" w:eastAsia="Times New Roman" w:hAnsi="Times New Roman"/>
          <w:sz w:val="20"/>
          <w:szCs w:val="20"/>
          <w:color w:val="auto"/>
        </w:rPr>
        <w:t>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w:t>
      </w:r>
    </w:p>
    <w:p>
      <w:pPr>
        <w:spacing w:after="0" w:line="137" w:lineRule="exact"/>
        <w:rPr>
          <w:sz w:val="20"/>
          <w:szCs w:val="20"/>
          <w:color w:val="auto"/>
        </w:rPr>
      </w:pPr>
    </w:p>
    <w:p>
      <w:pPr>
        <w:ind w:left="820" w:right="200" w:hanging="81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4.8(a)</w:t>
      </w:r>
      <w:r>
        <w:rPr>
          <w:sz w:val="20"/>
          <w:szCs w:val="20"/>
          <w:color w:val="auto"/>
        </w:rPr>
        <w:tab/>
      </w:r>
      <w:r>
        <w:rPr>
          <w:rFonts w:ascii="Times New Roman" w:cs="Times New Roman" w:eastAsia="Times New Roman" w:hAnsi="Times New Roman"/>
          <w:sz w:val="20"/>
          <w:szCs w:val="20"/>
          <w:color w:val="auto"/>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p>
      <w:pPr>
        <w:spacing w:after="0" w:line="137" w:lineRule="exact"/>
        <w:rPr>
          <w:sz w:val="20"/>
          <w:szCs w:val="20"/>
          <w:color w:val="auto"/>
        </w:rPr>
      </w:pPr>
    </w:p>
    <w:p>
      <w:pPr>
        <w:ind w:left="820" w:hanging="814"/>
        <w:spacing w:after="0" w:line="248" w:lineRule="auto"/>
        <w:tabs>
          <w:tab w:leader="none" w:pos="800" w:val="left"/>
        </w:tabs>
        <w:rPr>
          <w:sz w:val="20"/>
          <w:szCs w:val="20"/>
          <w:color w:val="auto"/>
        </w:rPr>
      </w:pPr>
      <w:r>
        <w:rPr>
          <w:rFonts w:ascii="Times New Roman" w:cs="Times New Roman" w:eastAsia="Times New Roman" w:hAnsi="Times New Roman"/>
          <w:sz w:val="20"/>
          <w:szCs w:val="20"/>
          <w:color w:val="auto"/>
        </w:rPr>
        <w:t>4.8(b)</w:t>
      </w:r>
      <w:r>
        <w:rPr>
          <w:sz w:val="20"/>
          <w:szCs w:val="20"/>
          <w:color w:val="auto"/>
        </w:rPr>
        <w:tab/>
      </w:r>
      <w:r>
        <w:rPr>
          <w:rFonts w:ascii="Times New Roman" w:cs="Times New Roman" w:eastAsia="Times New Roman" w:hAnsi="Times New Roman"/>
          <w:sz w:val="20"/>
          <w:szCs w:val="20"/>
          <w:color w:val="auto"/>
        </w:rPr>
        <w:t>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w:t>
      </w:r>
    </w:p>
    <w:p>
      <w:pPr>
        <w:spacing w:after="0" w:line="134" w:lineRule="exact"/>
        <w:rPr>
          <w:sz w:val="20"/>
          <w:szCs w:val="20"/>
          <w:color w:val="auto"/>
        </w:rPr>
      </w:pPr>
    </w:p>
    <w:p>
      <w:pPr>
        <w:ind w:left="820" w:right="22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Description of Viatris Inc. Securities Registered Under Section 12 of the Exchange Act, filed as Exhibit 4.10 to Form 10-K for the fiscal year ended December 31, 2020, and incorporated herein by reference.</w:t>
      </w:r>
    </w:p>
    <w:p>
      <w:pPr>
        <w:spacing w:after="0" w:line="136" w:lineRule="exact"/>
        <w:rPr>
          <w:sz w:val="20"/>
          <w:szCs w:val="20"/>
          <w:color w:val="auto"/>
        </w:rPr>
      </w:pPr>
    </w:p>
    <w:p>
      <w:pPr>
        <w:ind w:left="820" w:right="20" w:hanging="814"/>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10.1(a)</w:t>
        <w:tab/>
        <w:t>Viatris Inc. 2020 Stock Incentive Plan, included as Exhibit 10.1 to Amendment No. 1 to Form 10 filed by Upjohn Inc. with the SEC on February 6, 2020, and incorporated herein by reference.*</w:t>
      </w:r>
    </w:p>
    <w:p>
      <w:pPr>
        <w:spacing w:after="0" w:line="142" w:lineRule="exact"/>
        <w:rPr>
          <w:sz w:val="20"/>
          <w:szCs w:val="20"/>
          <w:color w:val="auto"/>
        </w:rPr>
      </w:pPr>
    </w:p>
    <w:p>
      <w:pPr>
        <w:ind w:left="82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10.1(b)</w:t>
        <w:tab/>
        <w:t>Form of Make-Whole Restricted Stock Unit Award Agreement under the Viatris 2020 Stock Incentive Plan, filed as Exhibit 10.1(b) to Form 10-K for the fiscal year ended December 31, 2020, and incorporated herein by reference.*</w:t>
      </w:r>
    </w:p>
    <w:p>
      <w:pPr>
        <w:spacing w:after="0" w:line="136" w:lineRule="exact"/>
        <w:rPr>
          <w:sz w:val="20"/>
          <w:szCs w:val="20"/>
          <w:color w:val="auto"/>
        </w:rPr>
      </w:pPr>
    </w:p>
    <w:p>
      <w:pPr>
        <w:ind w:left="820" w:right="28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10.1(c)</w:t>
        <w:tab/>
        <w:t>Form of Retention Restricted Stock Unit Award Agreement under the Viatris 2020 Stock Incentive Plan, filed as Exhibit 10.1(c) to Form 10-K for the fiscal year ended December 31, 2020, and incorporated herein by reference.*</w:t>
      </w:r>
    </w:p>
    <w:p>
      <w:pPr>
        <w:spacing w:after="0" w:line="136" w:lineRule="exact"/>
        <w:rPr>
          <w:sz w:val="20"/>
          <w:szCs w:val="20"/>
          <w:color w:val="auto"/>
        </w:rPr>
      </w:pPr>
    </w:p>
    <w:p>
      <w:pPr>
        <w:ind w:left="820" w:right="14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10.1(d)</w:t>
        <w:tab/>
        <w:t>Form of Restricted Stock Unit Award Agreement under the Viatris 2020 Stock Incentive Plan for Michael Goettler and Sanjeev Narula, filed as Exhibit 10.1(d) to Form 10-K for the fiscal year ended December 31, 2020, and incorporated herein by reference.*</w:t>
      </w:r>
    </w:p>
    <w:p>
      <w:pPr>
        <w:spacing w:after="0" w:line="136" w:lineRule="exact"/>
        <w:rPr>
          <w:sz w:val="20"/>
          <w:szCs w:val="20"/>
          <w:color w:val="auto"/>
        </w:rPr>
      </w:pPr>
    </w:p>
    <w:p>
      <w:pPr>
        <w:ind w:left="820" w:right="100" w:hanging="81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10.1(e)</w:t>
        <w:tab/>
        <w:t>Value Creation Incentive Award Performance-Based Restricted Stock Unit Award Agreement for Robert J. Coury under the Viatris Inc. 2020 Stock Incentive Plan, effective as of November 23, 2020, filed as Exhibit 10.1(e) to Form 10-K for the fiscal year ended December 31, 2020, and incorporated herein by reference.*</w:t>
      </w:r>
    </w:p>
    <w:p>
      <w:pPr>
        <w:spacing w:after="0" w:line="137" w:lineRule="exact"/>
        <w:rPr>
          <w:sz w:val="20"/>
          <w:szCs w:val="20"/>
          <w:color w:val="auto"/>
        </w:rPr>
      </w:pPr>
    </w:p>
    <w:p>
      <w:pPr>
        <w:ind w:left="820" w:right="60" w:hanging="81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10.1(f)</w:t>
        <w:tab/>
        <w:t>Form of Restricted Stock Unit Award Agreement under the Viatris Inc. 2020 Stock Incentive Plan for awards granted on or after March 2, 2021, included as Exhibit 10.1 to Form 10-Q for the quarter ended March 31, 2021 and incorporated by reference herein.*</w:t>
      </w:r>
    </w:p>
    <w:p>
      <w:pPr>
        <w:sectPr>
          <w:pgSz w:w="11880" w:h="15480" w:orient="portrait"/>
          <w:cols w:equalWidth="0" w:num="1">
            <w:col w:w="9040"/>
          </w:cols>
          <w:pgMar w:left="1440" w:top="1322" w:right="140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170</w:t>
      </w:r>
    </w:p>
    <w:p>
      <w:pPr>
        <w:sectPr>
          <w:pgSz w:w="11880" w:h="15480" w:orient="portrait"/>
          <w:cols w:equalWidth="0" w:num="1">
            <w:col w:w="9040"/>
          </w:cols>
          <w:pgMar w:left="1440" w:top="1322" w:right="1400" w:bottom="654" w:gutter="0" w:footer="0" w:header="0"/>
          <w:type w:val="continuous"/>
        </w:sectPr>
      </w:pPr>
    </w:p>
    <w:bookmarkStart w:id="178" w:name="page179"/>
    <w:bookmarkEnd w:id="178"/>
    <w:p>
      <w:pPr>
        <w:ind w:left="820" w:right="1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10.1(g)</w:t>
        <w:tab/>
        <w:t>Form of Performance-Based Restricted Stock Unit Award Agreement under the Viatris Inc. 2020 Stock Incentive Plan for awards granted on or after March 2, 2021, included as Exhibit 10.2 to Form 10-Q for the quarter ended March 31, 2021 and incorporated by reference herein.*</w:t>
      </w:r>
    </w:p>
    <w:p>
      <w:pPr>
        <w:spacing w:after="0" w:line="136" w:lineRule="exact"/>
        <w:rPr>
          <w:sz w:val="20"/>
          <w:szCs w:val="20"/>
          <w:color w:val="auto"/>
        </w:rPr>
      </w:pPr>
    </w:p>
    <w:p>
      <w:pPr>
        <w:ind w:left="820" w:right="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10.1(h)</w:t>
        <w:tab/>
        <w:t>Form of Director Restricted Stock Unit Award Agreement under the Viatris Inc. 2020 Stock Incentive Plan for non-employee directors for awards granted on or after March 2, 2021, included as Exhibit 10.3 to Form 10-Q for the quarter ended March 31, 2021 and incorporated by reference herein.*</w:t>
      </w:r>
    </w:p>
    <w:p>
      <w:pPr>
        <w:spacing w:after="0" w:line="136" w:lineRule="exact"/>
        <w:rPr>
          <w:sz w:val="20"/>
          <w:szCs w:val="20"/>
          <w:color w:val="auto"/>
        </w:rPr>
      </w:pPr>
    </w:p>
    <w:p>
      <w:pPr>
        <w:ind w:left="820" w:right="2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Letter Agreement entered into on February 6, 2020 by and between Pfizer Inc. and Sanjeev Narula, filed as Exhibit 10.2 to Form 10-K for the fiscal year ended December 31, 2020, and incorporated herein by reference.*</w:t>
      </w:r>
    </w:p>
    <w:p>
      <w:pPr>
        <w:spacing w:after="0" w:line="136" w:lineRule="exact"/>
        <w:rPr>
          <w:sz w:val="20"/>
          <w:szCs w:val="20"/>
          <w:color w:val="auto"/>
        </w:rPr>
      </w:pPr>
    </w:p>
    <w:p>
      <w:pPr>
        <w:ind w:left="8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Letter Agreement entered into on June 25, 2019 by and between Pfizer Inc. and Sanjeev Narula, filed as Exhibit 10.3 to Form 10-K for the fiscal year ended December 31, 2020, and incorporated herein by reference.*</w:t>
      </w:r>
    </w:p>
    <w:p>
      <w:pPr>
        <w:spacing w:after="0" w:line="136" w:lineRule="exact"/>
        <w:rPr>
          <w:sz w:val="20"/>
          <w:szCs w:val="20"/>
          <w:color w:val="auto"/>
        </w:rPr>
      </w:pPr>
    </w:p>
    <w:p>
      <w:pPr>
        <w:jc w:val="both"/>
        <w:ind w:left="820" w:right="3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Letter Agreement entered into on June 26, 2019 by and between Pfizer Inc. and Michael Goettler, filed as Exhibit 10.4 to Form 10-K for the fiscal year ended December 31, 2020, and incorporated herein by reference.*</w:t>
      </w:r>
    </w:p>
    <w:p>
      <w:pPr>
        <w:spacing w:after="0" w:line="136" w:lineRule="exact"/>
        <w:rPr>
          <w:sz w:val="20"/>
          <w:szCs w:val="20"/>
          <w:color w:val="auto"/>
        </w:rPr>
      </w:pPr>
    </w:p>
    <w:p>
      <w:pPr>
        <w:jc w:val="both"/>
        <w:ind w:left="8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Letter Agreement entered into on July 29, 2019 by and between Pfizer Inc. and Michael Goettler, filed as Exhibit 10.5 to Form 10-K for the fiscal year ended December 31, 2020, and incorporated herein by reference.*</w:t>
      </w:r>
    </w:p>
    <w:p>
      <w:pPr>
        <w:spacing w:after="0" w:line="136" w:lineRule="exact"/>
        <w:rPr>
          <w:sz w:val="20"/>
          <w:szCs w:val="20"/>
          <w:color w:val="auto"/>
        </w:rPr>
      </w:pPr>
    </w:p>
    <w:p>
      <w:pPr>
        <w:ind w:left="820" w:right="3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Severance Agreement entered into on December 3, 2020 by and between Viatris Inc. and Michael Goettler, filed as Exhibit 10.6 to Form 10-K for the fiscal year ended December 31, 2020, and incorporated herein by reference.*</w:t>
      </w:r>
    </w:p>
    <w:p>
      <w:pPr>
        <w:spacing w:after="0" w:line="136" w:lineRule="exact"/>
        <w:rPr>
          <w:sz w:val="20"/>
          <w:szCs w:val="20"/>
          <w:color w:val="auto"/>
        </w:rPr>
      </w:pPr>
    </w:p>
    <w:p>
      <w:pPr>
        <w:ind w:left="820" w:right="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Retention Agreement entered into on December 3, 2020, by and between Viatris Inc. and Rajiv Malik, filed as Exhibit 10.7 to Form 10-K for the fiscal year ended December 31, 2020, and incorporated herein by reference.*</w:t>
      </w:r>
    </w:p>
    <w:p>
      <w:pPr>
        <w:spacing w:after="0" w:line="136" w:lineRule="exact"/>
        <w:rPr>
          <w:sz w:val="20"/>
          <w:szCs w:val="20"/>
          <w:color w:val="auto"/>
        </w:rPr>
      </w:pPr>
    </w:p>
    <w:p>
      <w:pPr>
        <w:ind w:left="820" w:right="3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Retention Agreement entered into on December 3, 2020, by and between Viatris Inc. and Anthony Mauro, filed as Exhibit 10.1 to Amendment No. 1 to Form 10-K for the fiscal year ended December 31, 2020, and incorporated herein by reference.*</w:t>
      </w:r>
    </w:p>
    <w:p>
      <w:pPr>
        <w:spacing w:after="0" w:line="136" w:lineRule="exact"/>
        <w:rPr>
          <w:sz w:val="20"/>
          <w:szCs w:val="20"/>
          <w:color w:val="auto"/>
        </w:rPr>
      </w:pPr>
    </w:p>
    <w:p>
      <w:pPr>
        <w:jc w:val="both"/>
        <w:ind w:left="820" w:right="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Executive Employment Agreement, entered into on November 20, 2020, by and between Viatris Inc. and Robert J. Coury, filed as Exhibit 10.9 to Form 10-K for the fiscal year ended December 31, 2020, and incorporated herein by reference.*</w:t>
      </w:r>
    </w:p>
    <w:p>
      <w:pPr>
        <w:spacing w:after="0" w:line="136" w:lineRule="exact"/>
        <w:rPr>
          <w:sz w:val="20"/>
          <w:szCs w:val="20"/>
          <w:color w:val="auto"/>
        </w:rPr>
      </w:pPr>
    </w:p>
    <w:p>
      <w:pPr>
        <w:jc w:val="both"/>
        <w:ind w:left="820" w:right="2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10.10(a)</w:t>
        <w:tab/>
        <w:t>Mylan N.V. Amended and Restated 2003 Long-Term Incentive Plan, filed as Appendix B to Mylan N.V.’s Definitive Proxy Statement on Schedule 14A filed by Mylan N.V. with the SEC on May 25, 2016, and incorporated herein by reference.*</w:t>
      </w:r>
    </w:p>
    <w:p>
      <w:pPr>
        <w:spacing w:after="0" w:line="136" w:lineRule="exact"/>
        <w:rPr>
          <w:sz w:val="20"/>
          <w:szCs w:val="20"/>
          <w:color w:val="auto"/>
        </w:rPr>
      </w:pPr>
    </w:p>
    <w:p>
      <w:pPr>
        <w:ind w:left="820" w:right="2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10.10(b)</w:t>
        <w:tab/>
        <w:t>Amendment to Mylan N.V. Amended and Restated 2003 Long-Term Incentive Plan, filed as Appendix B to Mylan N.V.’s Definitive Proxy Statement on Schedule 14A filed by Mylan N.V. on May 25, 2016, and incorporated herein by reference.*</w:t>
      </w:r>
    </w:p>
    <w:p>
      <w:pPr>
        <w:spacing w:after="0" w:line="136" w:lineRule="exact"/>
        <w:rPr>
          <w:sz w:val="20"/>
          <w:szCs w:val="20"/>
          <w:color w:val="auto"/>
        </w:rPr>
      </w:pPr>
    </w:p>
    <w:p>
      <w:pPr>
        <w:jc w:val="both"/>
        <w:ind w:left="820" w:right="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10.10(c)</w:t>
        <w:tab/>
        <w:t>Amendment to the Mylan N.V. Amended and Restated 2003 Long-Term Incentive Plan, adopted as of February 23, 2017, filed by Mylan N.V. as Exhibit 10.1 to Form 10-Q for the quarter ended March 31, 2017, and incorporated herein by reference.*</w:t>
      </w:r>
    </w:p>
    <w:p>
      <w:pPr>
        <w:spacing w:after="0" w:line="136" w:lineRule="exact"/>
        <w:rPr>
          <w:sz w:val="20"/>
          <w:szCs w:val="20"/>
          <w:color w:val="auto"/>
        </w:rPr>
      </w:pPr>
    </w:p>
    <w:p>
      <w:pPr>
        <w:ind w:left="820" w:right="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10.10(d)</w:t>
        <w:tab/>
        <w:t>Amended and Restated Form of Stock Option Agreement under the Mylan N.V. 2003 Long-Term Incentive Plan for Robert J. Coury and Rajiv Malik, filed by Mylan Inc. as Exhibit 10.2 to Form 10-Q for the quarter ended September 30, 2013, and incorporated herein by reference.*</w:t>
      </w:r>
    </w:p>
    <w:p>
      <w:pPr>
        <w:spacing w:after="0" w:line="136" w:lineRule="exact"/>
        <w:rPr>
          <w:sz w:val="20"/>
          <w:szCs w:val="20"/>
          <w:color w:val="auto"/>
        </w:rPr>
      </w:pPr>
    </w:p>
    <w:p>
      <w:pPr>
        <w:ind w:left="820" w:right="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10.10(e)</w:t>
        <w:tab/>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p>
      <w:pPr>
        <w:sectPr>
          <w:pgSz w:w="11880" w:h="15480" w:orient="portrait"/>
          <w:cols w:equalWidth="0" w:num="1">
            <w:col w:w="9040"/>
          </w:cols>
          <w:pgMar w:left="1440" w:top="1322" w:right="1400" w:bottom="654"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171</w:t>
      </w:r>
    </w:p>
    <w:p>
      <w:pPr>
        <w:sectPr>
          <w:pgSz w:w="11880" w:h="15480" w:orient="portrait"/>
          <w:cols w:equalWidth="0" w:num="1">
            <w:col w:w="9040"/>
          </w:cols>
          <w:pgMar w:left="1440" w:top="1322" w:right="1400" w:bottom="654" w:gutter="0" w:footer="0" w:header="0"/>
          <w:type w:val="continuous"/>
        </w:sectPr>
      </w:pPr>
    </w:p>
    <w:bookmarkStart w:id="179" w:name="page180"/>
    <w:bookmarkEnd w:id="179"/>
    <w:p>
      <w:pPr>
        <w:ind w:left="820" w:right="20" w:hanging="8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10.10(f)</w:t>
        <w:tab/>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p>
      <w:pPr>
        <w:spacing w:after="0" w:line="119" w:lineRule="exact"/>
        <w:rPr>
          <w:sz w:val="20"/>
          <w:szCs w:val="20"/>
          <w:color w:val="auto"/>
        </w:rPr>
      </w:pPr>
    </w:p>
    <w:p>
      <w:pPr>
        <w:ind w:left="820" w:right="1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10.10(g)</w:t>
        <w:tab/>
        <w:t>Form of Stock Option Agreement under the Mylan N.V. 2003 Long-Term Incentive Plan for awards granted after February 27, 2015, filed by Mylan N.V. as Exhibit 10.1(l) to Form 10-K for the fiscal year ended December 31, 2015, and incorporated herein by reference.*</w:t>
      </w:r>
    </w:p>
    <w:p>
      <w:pPr>
        <w:spacing w:after="0" w:line="118" w:lineRule="exact"/>
        <w:rPr>
          <w:sz w:val="20"/>
          <w:szCs w:val="20"/>
          <w:color w:val="auto"/>
        </w:rPr>
      </w:pPr>
    </w:p>
    <w:p>
      <w:pPr>
        <w:ind w:left="820" w:right="10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10.10(h)</w:t>
        <w:tab/>
        <w:t>Form of Stock Option Agreement under the Mylan N.V. 2003 Long-Term Incentive Plan for Rajiv Malik for awards granted on or after February 19, 2019, filed by Mylan N.V. as Exhibit 10.7 to Form 10-Q for the quarter ended March 31, 2019, and incorporated herein by reference.*</w:t>
      </w:r>
    </w:p>
    <w:p>
      <w:pPr>
        <w:spacing w:after="0" w:line="118" w:lineRule="exact"/>
        <w:rPr>
          <w:sz w:val="20"/>
          <w:szCs w:val="20"/>
          <w:color w:val="auto"/>
        </w:rPr>
      </w:pPr>
    </w:p>
    <w:p>
      <w:pPr>
        <w:ind w:left="820" w:right="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10.10(i)</w:t>
        <w:tab/>
        <w:t>Form of Restricted Stock Unit Award Agreement under the Mylan N.V. 2003 Long-Term Incentive Plan for Rajiv Malik for awards granted on or after February 19, 2019, filed by Mylan N.V. as Exhibit 10.8 to Form 10-Q for the quarter ended March 31, 2019, and incorporated herein by reference.*</w:t>
      </w:r>
    </w:p>
    <w:p>
      <w:pPr>
        <w:spacing w:after="0" w:line="118" w:lineRule="exact"/>
        <w:rPr>
          <w:sz w:val="20"/>
          <w:szCs w:val="20"/>
          <w:color w:val="auto"/>
        </w:rPr>
      </w:pPr>
    </w:p>
    <w:p>
      <w:pPr>
        <w:ind w:left="820" w:right="120" w:hanging="8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10.10(j)</w:t>
        <w:tab/>
        <w:t>Form of Performance-Based Restricted Stock Unit Award Agreement under the Mylan N.V. 2003 Long-Term Incentive Plan for Rajiv Malik for awards granted on or after February 19, 2019, filed by Mylan N.V. as Exhibit 10.6 to Form 10-Q for the quarter ended March 31, 2019, and incorporated herein by reference.*</w:t>
      </w:r>
    </w:p>
    <w:p>
      <w:pPr>
        <w:spacing w:after="0" w:line="119" w:lineRule="exact"/>
        <w:rPr>
          <w:sz w:val="20"/>
          <w:szCs w:val="20"/>
          <w:color w:val="auto"/>
        </w:rPr>
      </w:pPr>
    </w:p>
    <w:p>
      <w:pPr>
        <w:ind w:left="820" w:right="2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10.10(k)</w:t>
        <w:tab/>
        <w:t>Form of Stock Option Agreement under the Mylan N.V. 2003 Long-Term Incentive Plan for independent directors for awards granted on or after March 2, 2020, filed by Mylan N.V. as Exhibit 10.2 to Form 10-Q for the quarter ended March 31, 2020, and incorporated herein by reference.*</w:t>
      </w:r>
    </w:p>
    <w:p>
      <w:pPr>
        <w:spacing w:after="0" w:line="118" w:lineRule="exact"/>
        <w:rPr>
          <w:sz w:val="20"/>
          <w:szCs w:val="20"/>
          <w:color w:val="auto"/>
        </w:rPr>
      </w:pPr>
    </w:p>
    <w:p>
      <w:pPr>
        <w:ind w:left="820" w:hanging="864"/>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Mylan N.V. Severance Plan and Global Guidelines, filed by Mylan N.V. as Exhibit 10.1 to Form 10-Q for the quarter ended September 30, 2019, and incorporated herein by reference.*</w:t>
      </w:r>
    </w:p>
    <w:p>
      <w:pPr>
        <w:spacing w:after="0" w:line="124" w:lineRule="exact"/>
        <w:rPr>
          <w:sz w:val="20"/>
          <w:szCs w:val="20"/>
          <w:color w:val="auto"/>
        </w:rPr>
      </w:pPr>
    </w:p>
    <w:p>
      <w:pPr>
        <w:ind w:left="820" w:right="1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Retirement Benefit Agreement, dated August 31, 2009, by and between Mylan Inc. and Rajiv Malik, filed by Mylan Inc. as Exhibit 10.4 to Form 10-Q for the quarter ended September 30, 2009, and incorporated herein by reference.*</w:t>
      </w:r>
    </w:p>
    <w:p>
      <w:pPr>
        <w:spacing w:after="0" w:line="118" w:lineRule="exact"/>
        <w:rPr>
          <w:sz w:val="20"/>
          <w:szCs w:val="20"/>
          <w:color w:val="auto"/>
        </w:rPr>
      </w:pPr>
    </w:p>
    <w:p>
      <w:pPr>
        <w:ind w:left="820" w:right="1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10.13(a)</w:t>
        <w:tab/>
        <w:t>Transition and Succession Agreement, dated January 31, 2007, between Mylan Inc. and Rajiv Malik, filed by Mylan Inc. as Exhibit 10.5 to Form 10-Q for the quarter ended March 31, 2008, and incorporated herein by reference.*</w:t>
      </w:r>
    </w:p>
    <w:p>
      <w:pPr>
        <w:spacing w:after="0" w:line="118" w:lineRule="exact"/>
        <w:rPr>
          <w:sz w:val="20"/>
          <w:szCs w:val="20"/>
          <w:color w:val="auto"/>
        </w:rPr>
      </w:pPr>
    </w:p>
    <w:p>
      <w:pPr>
        <w:ind w:left="820" w:right="1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10.13(b)</w:t>
        <w:tab/>
        <w:t>Amendment No. 1 to Transition and Succession Agreement, dated December 22, 2008, between Mylan Inc. and Rajiv Malik, filed by Mylan Inc. as Exhibit 10.28(b) to Form 10-K for the fiscal year ended December 31, 2008, and incorporated herein by reference.*</w:t>
      </w:r>
    </w:p>
    <w:p>
      <w:pPr>
        <w:spacing w:after="0" w:line="118" w:lineRule="exact"/>
        <w:rPr>
          <w:sz w:val="20"/>
          <w:szCs w:val="20"/>
          <w:color w:val="auto"/>
        </w:rPr>
      </w:pPr>
    </w:p>
    <w:p>
      <w:pPr>
        <w:ind w:left="820" w:right="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10.14(a)</w:t>
        <w:tab/>
        <w:t>Transition and Succession Agreement, dated February 25, 2008, by and between Mylan Inc. and Anthony Mauro, filed by Mylan Inc. as Exhibit 10.5(a) to Form 10-Q for the quarter ended March 31, 2012, and incorporated herein by reference.*</w:t>
      </w:r>
    </w:p>
    <w:p>
      <w:pPr>
        <w:spacing w:after="0" w:line="118" w:lineRule="exact"/>
        <w:rPr>
          <w:sz w:val="20"/>
          <w:szCs w:val="20"/>
          <w:color w:val="auto"/>
        </w:rPr>
      </w:pPr>
    </w:p>
    <w:p>
      <w:pPr>
        <w:ind w:left="820" w:right="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10.14(b)</w:t>
        <w:tab/>
        <w:t>Amendment No. 1 to Transition and Succession Agreement, dated December 15, 2008, by and between Mylan Inc. and Anthony Mauro, filed by Mylan Inc. as Exhibit 10.5(b) to Form 10-Q for the quarter ended March 31, 2012, and incorporated herein by reference.*</w:t>
      </w:r>
    </w:p>
    <w:p>
      <w:pPr>
        <w:spacing w:after="0" w:line="118" w:lineRule="exact"/>
        <w:rPr>
          <w:sz w:val="20"/>
          <w:szCs w:val="20"/>
          <w:color w:val="auto"/>
        </w:rPr>
      </w:pPr>
    </w:p>
    <w:p>
      <w:pPr>
        <w:jc w:val="both"/>
        <w:ind w:left="820" w:right="10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10.14(c)</w:t>
        <w:tab/>
        <w:t>Amendment No. 2 to Transition and Succession Agreement, dated October 15, 2009, by and between Mylan Inc. and Anthony Mauro, filed by Mylan Inc. as Exhibit 10.5(c) to Form 10-Q for the quarter ended March 31, 2012, and incorporated herein by reference.*</w:t>
      </w:r>
    </w:p>
    <w:p>
      <w:pPr>
        <w:spacing w:after="0" w:line="118" w:lineRule="exact"/>
        <w:rPr>
          <w:sz w:val="20"/>
          <w:szCs w:val="20"/>
          <w:color w:val="auto"/>
        </w:rPr>
      </w:pPr>
    </w:p>
    <w:p>
      <w:pPr>
        <w:ind w:left="8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10.15(a)</w:t>
        <w:tab/>
        <w:t>Mylan 401(k) Restoration Plan, dated January 1, 2010, filed by Mylan Inc. as Exhibit 10.1 to the Report on Form 8-K filed by Mylan Inc. with the SEC on December 14, 2009, and incorporated herein by reference.*</w:t>
      </w:r>
    </w:p>
    <w:p>
      <w:pPr>
        <w:spacing w:after="0" w:line="118" w:lineRule="exact"/>
        <w:rPr>
          <w:sz w:val="20"/>
          <w:szCs w:val="20"/>
          <w:color w:val="auto"/>
        </w:rPr>
      </w:pPr>
    </w:p>
    <w:p>
      <w:pPr>
        <w:ind w:left="820" w:right="1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10.15(b)</w:t>
        <w:tab/>
        <w:t>Amendment to Mylan 401(k) Restoration Plan, dated November 4, 2014, filed by Mylan Inc. as Exhibit 10.41(b) to Form 10-K for the fiscal year ended December 31, 2014, and incorporated herein by reference.*</w:t>
      </w:r>
    </w:p>
    <w:p>
      <w:pPr>
        <w:sectPr>
          <w:pgSz w:w="11880" w:h="15480" w:orient="portrait"/>
          <w:cols w:equalWidth="0" w:num="1">
            <w:col w:w="9040"/>
          </w:cols>
          <w:pgMar w:left="1440" w:top="1322" w:right="1400" w:bottom="654"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172</w:t>
      </w:r>
    </w:p>
    <w:p>
      <w:pPr>
        <w:sectPr>
          <w:pgSz w:w="11880" w:h="15480" w:orient="portrait"/>
          <w:cols w:equalWidth="0" w:num="1">
            <w:col w:w="9040"/>
          </w:cols>
          <w:pgMar w:left="1440" w:top="1322" w:right="1400" w:bottom="654" w:gutter="0" w:footer="0" w:header="0"/>
          <w:type w:val="continuous"/>
        </w:sectPr>
      </w:pPr>
    </w:p>
    <w:bookmarkStart w:id="180" w:name="page181"/>
    <w:bookmarkEnd w:id="180"/>
    <w:p>
      <w:pPr>
        <w:spacing w:after="0"/>
        <w:tabs>
          <w:tab w:leader="none" w:pos="840" w:val="left"/>
        </w:tabs>
        <w:rPr>
          <w:sz w:val="20"/>
          <w:szCs w:val="20"/>
          <w:color w:val="auto"/>
        </w:rPr>
      </w:pPr>
      <w:r>
        <w:rPr>
          <w:rFonts w:ascii="Times New Roman" w:cs="Times New Roman" w:eastAsia="Times New Roman" w:hAnsi="Times New Roman"/>
          <w:sz w:val="20"/>
          <w:szCs w:val="20"/>
          <w:color w:val="auto"/>
        </w:rPr>
        <w:t>10.16(a)</w:t>
        <w:tab/>
        <w:t>Mylan Executive Income Deferral Plan, filed by Mylan Inc. as Exhibit 10.2 to the Report on Form</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8-K filed by Mylan Inc. with the SEC on December 14, 2009, and incorporated herein by reference.*</w:t>
      </w:r>
    </w:p>
    <w:p>
      <w:pPr>
        <w:spacing w:after="0" w:line="130" w:lineRule="exact"/>
        <w:rPr>
          <w:sz w:val="20"/>
          <w:szCs w:val="20"/>
          <w:color w:val="auto"/>
        </w:rPr>
      </w:pPr>
    </w:p>
    <w:p>
      <w:pPr>
        <w:ind w:left="860" w:right="10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10.16(b)</w:t>
        <w:tab/>
        <w:t>Amendment to Mylan Executive Income Deferral Plan, dated November 4, 2014, filed by Mylan Inc. as Exhibit 10.42(b) to Form 10-K for the fiscal year ended December 31, 2014, and incorporated herein by reference.*</w:t>
      </w:r>
    </w:p>
    <w:p>
      <w:pPr>
        <w:spacing w:after="0" w:line="126" w:lineRule="exact"/>
        <w:rPr>
          <w:sz w:val="20"/>
          <w:szCs w:val="20"/>
          <w:color w:val="auto"/>
        </w:rPr>
      </w:pPr>
    </w:p>
    <w:p>
      <w:pPr>
        <w:ind w:left="860" w:right="12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p>
      <w:pPr>
        <w:spacing w:after="0" w:line="126" w:lineRule="exact"/>
        <w:rPr>
          <w:sz w:val="20"/>
          <w:szCs w:val="20"/>
          <w:color w:val="auto"/>
        </w:rPr>
      </w:pPr>
    </w:p>
    <w:p>
      <w:pPr>
        <w:ind w:left="860" w:right="22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The Executive Nonqualified Excess Plan, effective as of December 28, 2007, between Mylan International Holdings, Inc. and Rajiv Malik, filed by Mylan Inc. as Exhibit 10.57 to Form 10-K for the fiscal year ended December 31, 2013, and incorporated herein by reference.*</w:t>
      </w:r>
    </w:p>
    <w:p>
      <w:pPr>
        <w:spacing w:after="0" w:line="126" w:lineRule="exact"/>
        <w:rPr>
          <w:sz w:val="20"/>
          <w:szCs w:val="20"/>
          <w:color w:val="auto"/>
        </w:rPr>
      </w:pPr>
    </w:p>
    <w:p>
      <w:pPr>
        <w:ind w:left="860" w:right="40" w:hanging="86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Third Amended and Restated Executive Employment Agreement, entered into on February 25, 2019, and effective as of April 1, 2019, by and between Mylan Inc. and Rajiv Malik, filed by Mylan N.V. as Exhibit 10.20(c) to Form 10-K for the fiscal year ended December 31, 2018, and incorporated herein by reference.*</w:t>
      </w:r>
    </w:p>
    <w:p>
      <w:pPr>
        <w:spacing w:after="0" w:line="127" w:lineRule="exact"/>
        <w:rPr>
          <w:sz w:val="20"/>
          <w:szCs w:val="20"/>
          <w:color w:val="auto"/>
        </w:rPr>
      </w:pPr>
    </w:p>
    <w:p>
      <w:pPr>
        <w:jc w:val="both"/>
        <w:ind w:left="860" w:right="8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Executive Employment Agreement, dated as of February 25, 2019, and effective as of April 1, 2019, by and between Mylan Inc. and Anthony Mauro, filed as Exhibit 10.21(b) to Form 10-K for the fiscal year ended December 31, 2018, and incorporated herein by reference.*</w:t>
      </w:r>
    </w:p>
    <w:p>
      <w:pPr>
        <w:spacing w:after="0" w:line="126" w:lineRule="exact"/>
        <w:rPr>
          <w:sz w:val="20"/>
          <w:szCs w:val="20"/>
          <w:color w:val="auto"/>
        </w:rPr>
      </w:pPr>
    </w:p>
    <w:p>
      <w:pPr>
        <w:ind w:left="860" w:right="14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2007 Supplemental Health Insurance Plan for Certain Key Employees of Mylan Laboratories Inc., adopted as of January 29, 2007, filed by Mylan N.V. as Exhibit 10.29 to the Form 10-K for the fiscal year ended December 31, 2019 and incorporated herein by reference.*</w:t>
      </w:r>
    </w:p>
    <w:p>
      <w:pPr>
        <w:spacing w:after="0" w:line="126" w:lineRule="exact"/>
        <w:rPr>
          <w:sz w:val="20"/>
          <w:szCs w:val="20"/>
          <w:color w:val="auto"/>
        </w:rPr>
      </w:pPr>
    </w:p>
    <w:p>
      <w:pPr>
        <w:ind w:left="860" w:right="26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Form of Indemnification Agreement between Viatris Inc. and each of its directors and its executive officers, filed as Exhibit 10.25 to Form 10-K for the fiscal year ended December 31, 2020, and incorporated herein by reference.*</w:t>
      </w:r>
    </w:p>
    <w:p>
      <w:pPr>
        <w:spacing w:after="0" w:line="126" w:lineRule="exact"/>
        <w:rPr>
          <w:sz w:val="20"/>
          <w:szCs w:val="20"/>
          <w:color w:val="auto"/>
        </w:rPr>
      </w:pPr>
    </w:p>
    <w:p>
      <w:pPr>
        <w:jc w:val="both"/>
        <w:ind w:left="860" w:right="16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Amended and Restated Form of Indemnification Agreement between Mylan Inc. and each Director, filed by Mylan Inc. as Exhibit 10.38 to Form 10-K for the fiscal year ended December 31, 2013, and incorporated herein by reference.*</w:t>
      </w:r>
    </w:p>
    <w:p>
      <w:pPr>
        <w:spacing w:after="0" w:line="126" w:lineRule="exact"/>
        <w:rPr>
          <w:sz w:val="20"/>
          <w:szCs w:val="20"/>
          <w:color w:val="auto"/>
        </w:rPr>
      </w:pPr>
    </w:p>
    <w:p>
      <w:pPr>
        <w:ind w:left="860" w:hanging="864"/>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Form of Indemnification Agreement between Mylan N.V. and directors, filed as Exhibit 10.1 to the Report on Form 8-K filed by Mylan N.V. with the SEC on February 27, 2015, and incorporated herein by reference.*</w:t>
      </w:r>
    </w:p>
    <w:p>
      <w:pPr>
        <w:spacing w:after="0" w:line="126" w:lineRule="exact"/>
        <w:rPr>
          <w:sz w:val="20"/>
          <w:szCs w:val="20"/>
          <w:color w:val="auto"/>
        </w:rPr>
      </w:pPr>
    </w:p>
    <w:p>
      <w:pPr>
        <w:ind w:left="860" w:right="20" w:hanging="86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10.25(a)</w:t>
        <w:tab/>
        <w:t>Revolving Credit Agreement, dated as of June 16, 2020, among Upjohn Inc., the guarantors from time to time party thereto, the lenders and issuing banks from time to time party thereto and Bank of America, N.A., as administrative agent, filed as Exhibit 10.1 to the Report on Form 8-K filed by Upjohn Inc. with the SEC on June 17, 2020, and incorporated herein by reference.</w:t>
      </w:r>
    </w:p>
    <w:p>
      <w:pPr>
        <w:spacing w:after="0" w:line="127" w:lineRule="exact"/>
        <w:rPr>
          <w:sz w:val="20"/>
          <w:szCs w:val="20"/>
          <w:color w:val="auto"/>
        </w:rPr>
      </w:pPr>
    </w:p>
    <w:p>
      <w:pPr>
        <w:ind w:left="860" w:right="160" w:hanging="86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10.25(b)</w:t>
        <w:tab/>
        <w:t>Amended and Restated Revolving Credit Agreement, dated as of July 1, 2021, among Viatris, the guarantors from time to time party thereto, the lenders and issuing banks from time to time party thereto and Bank of America, N.A., as administrative agent, filed as Exhibit 10.1 to the Report on Form 8-K filed by Viatris Inc. with the SEC on July 1, 2021, and incorporated herein by reference. ^</w:t>
      </w:r>
    </w:p>
    <w:p>
      <w:pPr>
        <w:spacing w:after="0" w:line="127" w:lineRule="exact"/>
        <w:rPr>
          <w:sz w:val="20"/>
          <w:szCs w:val="20"/>
          <w:color w:val="auto"/>
        </w:rPr>
      </w:pPr>
    </w:p>
    <w:p>
      <w:pPr>
        <w:ind w:left="860" w:right="180" w:hanging="86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Delayed Draw Term Loan Credit Agreement, dated as of June 16, 2020, among Upjohn Inc., the guarantors from time to time party thereto, the lenders from time to time party thereto and MUFG Bank, Ltd., as administrative agent, filed as Exhibit 10.2 to the Report on Form 8-K filed by Upjohn Inc. with the SEC on June 17, 2020, and incorporated herein by reference.</w:t>
      </w:r>
    </w:p>
    <w:p>
      <w:pPr>
        <w:spacing w:after="0" w:line="127" w:lineRule="exact"/>
        <w:rPr>
          <w:sz w:val="20"/>
          <w:szCs w:val="20"/>
          <w:color w:val="auto"/>
        </w:rPr>
      </w:pPr>
    </w:p>
    <w:p>
      <w:pPr>
        <w:ind w:left="860" w:right="300" w:hanging="86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Term Loan Credit Agreement, dated as of July 1, 2021, among Viatris, the guarantors from time to time party thereto, the lenders from time to time party thereto and Mizuho Bank, Ltd., as administrative agent, filed as Exhibit 10.2 to the Report on Form 8-K filed by Viatris Inc. with the SEC on July 1, 2021, and incorporated herein by reference. ^</w:t>
      </w:r>
    </w:p>
    <w:p>
      <w:pPr>
        <w:sectPr>
          <w:pgSz w:w="11880" w:h="15480" w:orient="portrait"/>
          <w:cols w:equalWidth="0" w:num="1">
            <w:col w:w="9080"/>
          </w:cols>
          <w:pgMar w:left="1400" w:top="1312" w:right="1400" w:bottom="654"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173</w:t>
      </w:r>
    </w:p>
    <w:p>
      <w:pPr>
        <w:sectPr>
          <w:pgSz w:w="11880" w:h="15480" w:orient="portrait"/>
          <w:cols w:equalWidth="0" w:num="1">
            <w:col w:w="9080"/>
          </w:cols>
          <w:pgMar w:left="1400" w:top="1312" w:right="1400" w:bottom="654" w:gutter="0" w:footer="0" w:header="0"/>
          <w:type w:val="continuous"/>
        </w:sectPr>
      </w:pPr>
    </w:p>
    <w:bookmarkStart w:id="181" w:name="page182"/>
    <w:bookmarkEnd w:id="181"/>
    <w:p>
      <w:pPr>
        <w:jc w:val="both"/>
        <w:ind w:left="820" w:right="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Form of Dealer Agreement among Viatris Inc., Utah Acquisition Sub Inc., Mylan II B.V., Mylan Inc. and the dealer thereto, filed as Exhibit 10.1 to the Report on Form 8-K/A filed by Viatris Inc. with the SEC on November 19, 2020, and incorporated herein by reference.</w:t>
      </w:r>
    </w:p>
    <w:p>
      <w:pPr>
        <w:spacing w:after="0" w:line="126" w:lineRule="exact"/>
        <w:rPr>
          <w:sz w:val="20"/>
          <w:szCs w:val="20"/>
          <w:color w:val="auto"/>
        </w:rPr>
      </w:pPr>
    </w:p>
    <w:p>
      <w:pPr>
        <w:jc w:val="both"/>
        <w:ind w:left="820" w:right="20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Settlement Agreement with the U.S. Department of Justice and two relators finalizing the Medicaid drug rebate settlement, dated August 16, 2017, filed as Exhibit 10.1 to the Report on Form 8-K filed by Mylan N.V. with the SEC on August 21, 2017, and incorporated herein by reference.</w:t>
      </w:r>
    </w:p>
    <w:p>
      <w:pPr>
        <w:spacing w:after="0" w:line="126" w:lineRule="exact"/>
        <w:rPr>
          <w:sz w:val="20"/>
          <w:szCs w:val="20"/>
          <w:color w:val="auto"/>
        </w:rPr>
      </w:pPr>
    </w:p>
    <w:p>
      <w:pPr>
        <w:ind w:left="820" w:right="160" w:hanging="8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Corporate Integrity Agreement between the Office of Inspector General of the Department of Health and Human Services and Mylan Inc. and Mylan Specialty L.P., dated August 16, 2017, filed as Exhibit 10.2 to the Report on Form 8-K filed by Mylan N.V. with the SEC on August 21, 2017, and incorporated herein by reference.</w:t>
      </w:r>
    </w:p>
    <w:p>
      <w:pPr>
        <w:spacing w:after="0" w:line="127" w:lineRule="exact"/>
        <w:rPr>
          <w:sz w:val="20"/>
          <w:szCs w:val="20"/>
          <w:color w:val="auto"/>
        </w:rPr>
      </w:pPr>
    </w:p>
    <w:p>
      <w:pPr>
        <w:ind w:left="820" w:right="100" w:hanging="864"/>
        <w:spacing w:after="0" w:line="247" w:lineRule="auto"/>
        <w:tabs>
          <w:tab w:leader="none" w:pos="80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Registration Rights Agreement, dated as of June 22, 2020, by and between Upjohn Inc. and Goldman Sachs &amp; Co. LLC, BofA Securities, Inc., Citigroup Global Markets Inc., Morgan Stanley and Co. LLC, and Mizuho Securities USA LLC, as representatives of the several initial purchasers of the U.S. Dollar Notes, filed as Exhibit 4.8 to the Report on Form 8-K filed by Upjohn Inc. with the SEC on June 26, 2020, and incorporated herein by reference.</w:t>
      </w:r>
    </w:p>
    <w:p>
      <w:pPr>
        <w:spacing w:after="0" w:line="127" w:lineRule="exact"/>
        <w:rPr>
          <w:sz w:val="20"/>
          <w:szCs w:val="20"/>
          <w:color w:val="auto"/>
        </w:rPr>
      </w:pPr>
    </w:p>
    <w:p>
      <w:pPr>
        <w:jc w:val="both"/>
        <w:ind w:left="820" w:right="20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10.32(a)</w:t>
        <w:tab/>
        <w:t>Asset Purchase Agreement, dated as of September 7, 2020, between Aspen Global Incorporated and Mylan Ireland Limited, filed by Mylan N.V. as Exhibit 10.2 to the Form 10-Q for the quarter ended September 30, 2020, and incorporated herein by reference.^</w:t>
      </w:r>
    </w:p>
    <w:p>
      <w:pPr>
        <w:spacing w:after="0" w:line="126" w:lineRule="exact"/>
        <w:rPr>
          <w:sz w:val="20"/>
          <w:szCs w:val="20"/>
          <w:color w:val="auto"/>
        </w:rPr>
      </w:pPr>
    </w:p>
    <w:p>
      <w:pPr>
        <w:ind w:left="820" w:right="180" w:hanging="864"/>
        <w:spacing w:after="0" w:line="246" w:lineRule="auto"/>
        <w:tabs>
          <w:tab w:leader="none" w:pos="800" w:val="left"/>
        </w:tabs>
        <w:rPr>
          <w:sz w:val="20"/>
          <w:szCs w:val="20"/>
          <w:color w:val="auto"/>
        </w:rPr>
      </w:pPr>
      <w:r>
        <w:rPr>
          <w:rFonts w:ascii="Times New Roman" w:cs="Times New Roman" w:eastAsia="Times New Roman" w:hAnsi="Times New Roman"/>
          <w:sz w:val="20"/>
          <w:szCs w:val="20"/>
          <w:color w:val="auto"/>
        </w:rPr>
        <w:t>10.32(b)</w:t>
        <w:tab/>
        <w:t>Amendment No. 1, dated as of November 5, 2020, to the Asset Purchase Agreement dated as of September 7, 2020, between Aspen Global Incorporated and Mylan Ireland Limited, filed as Exhibit 10.34(b) to Form 10-K for the fiscal year ended December 31, 2020, and incorporated herein by reference. ^</w:t>
      </w:r>
    </w:p>
    <w:p>
      <w:pPr>
        <w:spacing w:after="0" w:line="127" w:lineRule="exact"/>
        <w:rPr>
          <w:sz w:val="20"/>
          <w:szCs w:val="20"/>
          <w:color w:val="auto"/>
        </w:rPr>
      </w:pPr>
    </w:p>
    <w:p>
      <w:pPr>
        <w:ind w:left="820" w:right="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p>
      <w:pPr>
        <w:spacing w:after="0" w:line="126" w:lineRule="exact"/>
        <w:rPr>
          <w:sz w:val="20"/>
          <w:szCs w:val="20"/>
          <w:color w:val="auto"/>
        </w:rPr>
      </w:pPr>
    </w:p>
    <w:p>
      <w:pPr>
        <w:ind w:left="820" w:right="220" w:hanging="864"/>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Transition Services Agreement, dated as of November 16, 2020, by and between Upjohn Inc. (as Service Provider) and Pfizer Inc. (as Service Recipient), filed as Exhibit 10.2 to the Report on Form</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8-K filed by Viatris Inc. with the SEC on November 19, 2020, and incorporated herein by reference. ^</w:t>
      </w:r>
    </w:p>
    <w:p>
      <w:pPr>
        <w:spacing w:after="0" w:line="130" w:lineRule="exact"/>
        <w:rPr>
          <w:sz w:val="20"/>
          <w:szCs w:val="20"/>
          <w:color w:val="auto"/>
        </w:rPr>
      </w:pPr>
    </w:p>
    <w:p>
      <w:pPr>
        <w:ind w:left="820" w:right="6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auto"/>
        </w:rPr>
        <w:t>Tax Matters Agreement, dated as of November 16, 2020, by and between Pfizer Inc. and Upjohn Inc., filed as Exhibit 10.3 to the Report on Form 8-K filed by Viatris Inc. with the SEC on November 19, 2020, and incorporated herein by reference. ^</w:t>
      </w:r>
    </w:p>
    <w:p>
      <w:pPr>
        <w:spacing w:after="0" w:line="126" w:lineRule="exact"/>
        <w:rPr>
          <w:sz w:val="20"/>
          <w:szCs w:val="20"/>
          <w:color w:val="auto"/>
        </w:rPr>
      </w:pPr>
    </w:p>
    <w:p>
      <w:pPr>
        <w:ind w:left="820" w:right="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20"/>
          <w:szCs w:val="20"/>
          <w:color w:val="auto"/>
        </w:rPr>
        <w:t>Employee Matters Agreement, dated as of November 16, 2020, by and between Pfizer Inc. and Viatris Inc., filed as Exhibit 10.4 to the Report on Form 8-K filed by Viatris Inc. with the SEC on November 19, 2020, and incorporated herein by reference.^</w:t>
      </w:r>
    </w:p>
    <w:p>
      <w:pPr>
        <w:spacing w:after="0" w:line="126" w:lineRule="exact"/>
        <w:rPr>
          <w:sz w:val="20"/>
          <w:szCs w:val="20"/>
          <w:color w:val="auto"/>
        </w:rPr>
      </w:pPr>
    </w:p>
    <w:p>
      <w:pPr>
        <w:jc w:val="both"/>
        <w:ind w:left="8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20"/>
          <w:szCs w:val="20"/>
          <w:color w:val="auto"/>
        </w:rPr>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p>
      <w:pPr>
        <w:spacing w:after="0" w:line="126" w:lineRule="exact"/>
        <w:rPr>
          <w:sz w:val="20"/>
          <w:szCs w:val="20"/>
          <w:color w:val="auto"/>
        </w:rPr>
      </w:pPr>
    </w:p>
    <w:p>
      <w:pPr>
        <w:ind w:left="820" w:right="4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color w:val="auto"/>
        </w:rPr>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p>
      <w:pPr>
        <w:spacing w:after="0" w:line="126" w:lineRule="exact"/>
        <w:rPr>
          <w:sz w:val="20"/>
          <w:szCs w:val="20"/>
          <w:color w:val="auto"/>
        </w:rPr>
      </w:pPr>
    </w:p>
    <w:p>
      <w:pPr>
        <w:jc w:val="both"/>
        <w:ind w:left="820" w:right="8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20"/>
          <w:szCs w:val="20"/>
          <w:color w:val="auto"/>
        </w:rPr>
        <w:t>Intellectual Property Matters Agreement, dated as of November 16, 2020, by and between Pfizer Inc. and Viatris Inc., filed as Exhibit 10.7 to the Report on Form 8-K filed by Viatris Inc. with the SEC on November 19, 2020, and incorporated herein by reference. ^</w:t>
      </w:r>
    </w:p>
    <w:p>
      <w:pPr>
        <w:spacing w:after="0" w:line="126" w:lineRule="exact"/>
        <w:rPr>
          <w:sz w:val="20"/>
          <w:szCs w:val="20"/>
          <w:color w:val="auto"/>
        </w:rPr>
      </w:pPr>
    </w:p>
    <w:p>
      <w:pPr>
        <w:ind w:left="820" w:right="420" w:hanging="864"/>
        <w:spacing w:after="0" w:line="245" w:lineRule="auto"/>
        <w:tabs>
          <w:tab w:leader="none" w:pos="80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20"/>
          <w:szCs w:val="20"/>
          <w:color w:val="auto"/>
        </w:rPr>
        <w:t>Trademark License Agreement, dated as of November 16, 2020, by and between Pfizer Inc. and Viatris Inc., filed as Exhibit 10.8 to the Report on Form 8-K filed by Viatris Inc. with the SEC on November 19, 2020, and incorporated herein by reference. ^</w:t>
      </w:r>
    </w:p>
    <w:p>
      <w:pPr>
        <w:sectPr>
          <w:pgSz w:w="11880" w:h="15480" w:orient="portrait"/>
          <w:cols w:equalWidth="0" w:num="1">
            <w:col w:w="9040"/>
          </w:cols>
          <w:pgMar w:left="1440" w:top="1322" w:right="1400" w:bottom="654" w:gutter="0" w:footer="0" w:header="0"/>
        </w:sect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174</w:t>
      </w:r>
    </w:p>
    <w:p>
      <w:pPr>
        <w:sectPr>
          <w:pgSz w:w="11880" w:h="15480" w:orient="portrait"/>
          <w:cols w:equalWidth="0" w:num="1">
            <w:col w:w="9040"/>
          </w:cols>
          <w:pgMar w:left="1440" w:top="1322" w:right="1400" w:bottom="654" w:gutter="0" w:footer="0" w:header="0"/>
          <w:type w:val="continuous"/>
        </w:sectPr>
      </w:pPr>
    </w:p>
    <w:bookmarkStart w:id="182" w:name="page183"/>
    <w:bookmarkEnd w:id="182"/>
    <w:p>
      <w:pPr>
        <w:ind w:left="880" w:hanging="880"/>
        <w:spacing w:after="0"/>
        <w:tabs>
          <w:tab w:leader="none" w:pos="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 of the registrant.</w:t>
      </w:r>
    </w:p>
    <w:p>
      <w:pPr>
        <w:spacing w:after="0" w:line="130" w:lineRule="exact"/>
        <w:rPr>
          <w:rFonts w:ascii="Times New Roman" w:cs="Times New Roman" w:eastAsia="Times New Roman" w:hAnsi="Times New Roman"/>
          <w:sz w:val="20"/>
          <w:szCs w:val="20"/>
          <w:color w:val="auto"/>
        </w:rPr>
      </w:pPr>
    </w:p>
    <w:p>
      <w:pPr>
        <w:ind w:left="880" w:hanging="880"/>
        <w:spacing w:after="0"/>
        <w:tabs>
          <w:tab w:leader="none" w:pos="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subsidiary guarantors and issuers of guaranteed securities.</w:t>
      </w:r>
    </w:p>
    <w:p>
      <w:pPr>
        <w:spacing w:after="0" w:line="130" w:lineRule="exact"/>
        <w:rPr>
          <w:rFonts w:ascii="Times New Roman" w:cs="Times New Roman" w:eastAsia="Times New Roman" w:hAnsi="Times New Roman"/>
          <w:sz w:val="20"/>
          <w:szCs w:val="20"/>
          <w:color w:val="auto"/>
        </w:rPr>
      </w:pPr>
    </w:p>
    <w:p>
      <w:pPr>
        <w:ind w:left="880" w:hanging="880"/>
        <w:spacing w:after="0"/>
        <w:tabs>
          <w:tab w:leader="none" w:pos="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of Deloitte &amp; Touche LLP, Independent Registered Public Accounting Firm.</w:t>
      </w:r>
    </w:p>
    <w:p>
      <w:pPr>
        <w:spacing w:after="0" w:line="1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of Principal Executive Officer pursuant to Section 302 of the Sarbanes-Oxley Act of</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2002.</w:t>
      </w:r>
    </w:p>
    <w:p>
      <w:pPr>
        <w:spacing w:after="0" w:line="1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of Principal Financial Officer pursuant to Section 302 of the Sarbanes-Oxley Act of</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2002.</w:t>
      </w:r>
    </w:p>
    <w:p>
      <w:pPr>
        <w:spacing w:after="0" w:line="140" w:lineRule="exact"/>
        <w:rPr>
          <w:sz w:val="20"/>
          <w:szCs w:val="20"/>
          <w:color w:val="auto"/>
        </w:rPr>
      </w:pPr>
    </w:p>
    <w:p>
      <w:pPr>
        <w:ind w:left="880" w:right="60" w:hanging="880"/>
        <w:spacing w:after="0" w:line="239" w:lineRule="auto"/>
        <w:tabs>
          <w:tab w:leader="none" w:pos="8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Certification of Principal Executive Officer and Principal Financial Officer pursuant to Section 906 of the Sarbanes-Oxley Act of 2002.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Inline XBRL Taxonomy Extension Schema</w:t>
            </w: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Inline XBRL Taxonomy Extension Calculation Linkbase</w:t>
            </w: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Inline XBRL Taxonomy Extension Presentation Linkbase</w:t>
            </w: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Inline XBRL Taxonomy Extension Definition Linkbase</w:t>
            </w:r>
          </w:p>
        </w:tc>
      </w:tr>
    </w:tbl>
    <w:p>
      <w:pPr>
        <w:spacing w:after="0" w:line="140" w:lineRule="exact"/>
        <w:rPr>
          <w:sz w:val="20"/>
          <w:szCs w:val="20"/>
          <w:color w:val="auto"/>
        </w:rPr>
      </w:pPr>
    </w:p>
    <w:p>
      <w:pPr>
        <w:ind w:left="880" w:right="740" w:hanging="880"/>
        <w:spacing w:after="0" w:line="245" w:lineRule="auto"/>
        <w:tabs>
          <w:tab w:leader="none" w:pos="8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 the cover page interactive data file does not appear in the Interactive Data File because its XBRL tags are embedded within the Inline XBRL document (included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68580</wp:posOffset>
                </wp:positionV>
                <wp:extent cx="6096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pt" to="48pt,5.4pt" o:allowincell="f" strokecolor="#000000" strokeweight="0.5pt"/>
            </w:pict>
          </mc:Fallback>
        </mc:AlternateContent>
      </w:r>
    </w:p>
    <w:p>
      <w:pPr>
        <w:spacing w:after="0" w:line="146" w:lineRule="exact"/>
        <w:rPr>
          <w:sz w:val="20"/>
          <w:szCs w:val="20"/>
          <w:color w:val="auto"/>
        </w:rPr>
      </w:pPr>
    </w:p>
    <w:p>
      <w:pPr>
        <w:ind w:left="400" w:hanging="400"/>
        <w:spacing w:after="0"/>
        <w:tabs>
          <w:tab w:leader="none" w:pos="4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20" w:lineRule="exact"/>
        <w:rPr>
          <w:sz w:val="20"/>
          <w:szCs w:val="20"/>
          <w:color w:val="auto"/>
        </w:rPr>
      </w:pPr>
    </w:p>
    <w:p>
      <w:pPr>
        <w:jc w:val="both"/>
        <w:ind w:left="400" w:hanging="400"/>
        <w:spacing w:after="0" w:line="245" w:lineRule="auto"/>
        <w:tabs>
          <w:tab w:leader="none" w:pos="4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Annexes, schedules and/or exhibits have been omitted pursuant to Item 601(a)(5) of Regulation S-K. Viatris agrees to furnish supplementally a copy of any omitted attachment to the SEC on a confidential basis upon request.</w:t>
      </w:r>
    </w:p>
    <w:p>
      <w:pPr>
        <w:sectPr>
          <w:pgSz w:w="11880" w:h="15480" w:orient="portrait"/>
          <w:cols w:equalWidth="0" w:num="1">
            <w:col w:w="9120"/>
          </w:cols>
          <w:pgMar w:left="1380" w:top="1312" w:right="1380" w:bottom="6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175</w:t>
      </w:r>
    </w:p>
    <w:p>
      <w:pPr>
        <w:sectPr>
          <w:pgSz w:w="11880" w:h="15480" w:orient="portrait"/>
          <w:cols w:equalWidth="0" w:num="1">
            <w:col w:w="9120"/>
          </w:cols>
          <w:pgMar w:left="1380" w:top="1312" w:right="1380" w:bottom="654"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4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Form to be signed on its behalf by the undersigned, thereunto duly authorized on February 27, 2023.</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Viatris Inc.</w:t>
      </w:r>
    </w:p>
    <w:p>
      <w:pPr>
        <w:spacing w:after="0" w:line="20" w:lineRule="exact"/>
        <w:rPr>
          <w:sz w:val="20"/>
          <w:szCs w:val="20"/>
          <w:color w:val="auto"/>
        </w:rPr>
      </w:pPr>
    </w:p>
    <w:p>
      <w:pPr>
        <w:ind w:left="4800"/>
        <w:spacing w:after="0"/>
        <w:tabs>
          <w:tab w:leader="none" w:pos="5140" w:val="left"/>
          <w:tab w:leader="none" w:pos="5540" w:val="left"/>
        </w:tabs>
        <w:rPr>
          <w:sz w:val="20"/>
          <w:szCs w:val="20"/>
          <w:color w:val="auto"/>
        </w:rPr>
      </w:pPr>
      <w:r>
        <w:rPr>
          <w:rFonts w:ascii="Times New Roman" w:cs="Times New Roman" w:eastAsia="Times New Roman" w:hAnsi="Times New Roman"/>
          <w:sz w:val="40"/>
          <w:szCs w:val="40"/>
          <w:color w:val="auto"/>
          <w:vertAlign w:val="subscript"/>
        </w:rPr>
        <w:t>by</w:t>
      </w:r>
      <w:r>
        <w:rPr>
          <w:rFonts w:ascii="Times New Roman" w:cs="Times New Roman" w:eastAsia="Times New Roman" w:hAnsi="Times New Roman"/>
          <w:sz w:val="20"/>
          <w:szCs w:val="20"/>
          <w:color w:val="auto"/>
        </w:rPr>
        <w:tab/>
        <w:t>/s/</w:t>
      </w:r>
      <w:r>
        <w:rPr>
          <w:sz w:val="20"/>
          <w:szCs w:val="20"/>
          <w:color w:val="auto"/>
        </w:rPr>
        <w:tab/>
      </w:r>
      <w:r>
        <w:rPr>
          <w:rFonts w:ascii="Times New Roman" w:cs="Times New Roman" w:eastAsia="Times New Roman" w:hAnsi="Times New Roman"/>
          <w:sz w:val="19"/>
          <w:szCs w:val="19"/>
          <w:color w:val="auto"/>
        </w:rPr>
        <w:t>MICHAEL GOETTLER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3279775</wp:posOffset>
                </wp:positionH>
                <wp:positionV relativeFrom="paragraph">
                  <wp:posOffset>-26035</wp:posOffset>
                </wp:positionV>
                <wp:extent cx="250825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8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2.0499pt" to="455.75pt,-2.0499pt" o:allowincell="f" strokecolor="#000000" strokeweight="0.5pt"/>
            </w:pict>
          </mc:Fallback>
        </mc:AlternateContent>
      </w:r>
    </w:p>
    <w:p>
      <w:pPr>
        <w:ind w:left="5160"/>
        <w:spacing w:after="0"/>
        <w:rPr>
          <w:sz w:val="20"/>
          <w:szCs w:val="20"/>
          <w:color w:val="auto"/>
        </w:rPr>
      </w:pPr>
      <w:r>
        <w:rPr>
          <w:rFonts w:ascii="Times New Roman" w:cs="Times New Roman" w:eastAsia="Times New Roman" w:hAnsi="Times New Roman"/>
          <w:sz w:val="20"/>
          <w:szCs w:val="20"/>
          <w:color w:val="auto"/>
        </w:rPr>
        <w:t>Michael Goettler</w:t>
      </w:r>
    </w:p>
    <w:p>
      <w:pPr>
        <w:spacing w:after="0" w:line="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4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Form has been signed below by the following persons on behalf of the registrant and in the capacities indicated as of February 27,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Signature</w:t>
            </w:r>
          </w:p>
        </w:tc>
        <w:tc>
          <w:tcPr>
            <w:tcW w:w="32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ROBERT J. COURY</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9"/>
              </w:rPr>
              <w:t>Executive Chairman and 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Robert J. Coury</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MICHAEL GOETTLER</w:t>
            </w:r>
          </w:p>
        </w:tc>
        <w:tc>
          <w:tcPr>
            <w:tcW w:w="4580" w:type="dxa"/>
            <w:vAlign w:val="bottom"/>
            <w:gridSpan w:val="3"/>
          </w:tcPr>
          <w:p>
            <w:pPr>
              <w:jc w:val="center"/>
              <w:ind w:left="34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0" w:type="dxa"/>
            <w:vAlign w:val="bottom"/>
          </w:tcPr>
          <w:p>
            <w:pPr>
              <w:spacing w:after="0"/>
              <w:rPr>
                <w:sz w:val="1"/>
                <w:szCs w:val="1"/>
                <w:color w:val="auto"/>
              </w:rPr>
            </w:pPr>
          </w:p>
        </w:tc>
      </w:tr>
      <w:tr>
        <w:trPr>
          <w:trHeight w:val="198"/>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Michael Goettler</w:t>
            </w:r>
          </w:p>
        </w:tc>
        <w:tc>
          <w:tcPr>
            <w:tcW w:w="4580" w:type="dxa"/>
            <w:vAlign w:val="bottom"/>
            <w:gridSpan w:val="3"/>
          </w:tcPr>
          <w:p>
            <w:pPr>
              <w:jc w:val="center"/>
              <w:ind w:left="360"/>
              <w:spacing w:after="0" w:line="198" w:lineRule="exact"/>
              <w:rPr>
                <w:sz w:val="20"/>
                <w:szCs w:val="20"/>
                <w:color w:val="auto"/>
              </w:rPr>
            </w:pPr>
            <w:r>
              <w:rPr>
                <w:rFonts w:ascii="Times New Roman" w:cs="Times New Roman" w:eastAsia="Times New Roman" w:hAnsi="Times New Roman"/>
                <w:sz w:val="20"/>
                <w:szCs w:val="20"/>
                <w:i w:val="1"/>
                <w:iCs w:val="1"/>
                <w:color w:val="auto"/>
                <w:w w:val="99"/>
              </w:rPr>
              <w:t>(Principal Executive Officer)</w:t>
            </w:r>
          </w:p>
        </w:tc>
        <w:tc>
          <w:tcPr>
            <w:tcW w:w="0" w:type="dxa"/>
            <w:vAlign w:val="bottom"/>
          </w:tcPr>
          <w:p>
            <w:pPr>
              <w:spacing w:after="0"/>
              <w:rPr>
                <w:sz w:val="1"/>
                <w:szCs w:val="1"/>
                <w:color w:val="auto"/>
              </w:rPr>
            </w:pPr>
          </w:p>
        </w:tc>
      </w:tr>
      <w:tr>
        <w:trPr>
          <w:trHeight w:val="48"/>
        </w:trPr>
        <w:tc>
          <w:tcPr>
            <w:tcW w:w="4080" w:type="dxa"/>
            <w:vAlign w:val="bottom"/>
            <w:gridSpan w:val="3"/>
            <w:vMerge w:val="continue"/>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SANJEEV NARULA</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198"/>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Sanjeev Narula</w:t>
            </w:r>
          </w:p>
        </w:tc>
        <w:tc>
          <w:tcPr>
            <w:tcW w:w="4580" w:type="dxa"/>
            <w:vAlign w:val="bottom"/>
            <w:gridSpan w:val="3"/>
          </w:tcPr>
          <w:p>
            <w:pPr>
              <w:jc w:val="center"/>
              <w:ind w:left="360"/>
              <w:spacing w:after="0" w:line="198" w:lineRule="exact"/>
              <w:rPr>
                <w:sz w:val="20"/>
                <w:szCs w:val="20"/>
                <w:color w:val="auto"/>
              </w:rPr>
            </w:pPr>
            <w:r>
              <w:rPr>
                <w:rFonts w:ascii="Times New Roman" w:cs="Times New Roman" w:eastAsia="Times New Roman" w:hAnsi="Times New Roman"/>
                <w:sz w:val="20"/>
                <w:szCs w:val="20"/>
                <w:i w:val="1"/>
                <w:iCs w:val="1"/>
                <w:color w:val="auto"/>
                <w:w w:val="99"/>
              </w:rPr>
              <w:t>(Principal Financial Officer)</w:t>
            </w:r>
          </w:p>
        </w:tc>
        <w:tc>
          <w:tcPr>
            <w:tcW w:w="0" w:type="dxa"/>
            <w:vAlign w:val="bottom"/>
          </w:tcPr>
          <w:p>
            <w:pPr>
              <w:spacing w:after="0"/>
              <w:rPr>
                <w:sz w:val="1"/>
                <w:szCs w:val="1"/>
                <w:color w:val="auto"/>
              </w:rPr>
            </w:pPr>
          </w:p>
        </w:tc>
      </w:tr>
      <w:tr>
        <w:trPr>
          <w:trHeight w:val="48"/>
        </w:trPr>
        <w:tc>
          <w:tcPr>
            <w:tcW w:w="4080" w:type="dxa"/>
            <w:vAlign w:val="bottom"/>
            <w:gridSpan w:val="3"/>
            <w:vMerge w:val="continue"/>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PAUL B. CAMPBELL</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Chief Accounting Officer and Corporate Controller</w:t>
            </w:r>
          </w:p>
        </w:tc>
        <w:tc>
          <w:tcPr>
            <w:tcW w:w="0" w:type="dxa"/>
            <w:vAlign w:val="bottom"/>
          </w:tcPr>
          <w:p>
            <w:pPr>
              <w:spacing w:after="0"/>
              <w:rPr>
                <w:sz w:val="1"/>
                <w:szCs w:val="1"/>
                <w:color w:val="auto"/>
              </w:rPr>
            </w:pPr>
          </w:p>
        </w:tc>
      </w:tr>
      <w:tr>
        <w:trPr>
          <w:trHeight w:val="198"/>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Paul B. Campbell</w:t>
            </w:r>
          </w:p>
        </w:tc>
        <w:tc>
          <w:tcPr>
            <w:tcW w:w="4580" w:type="dxa"/>
            <w:vAlign w:val="bottom"/>
            <w:gridSpan w:val="3"/>
          </w:tcPr>
          <w:p>
            <w:pPr>
              <w:jc w:val="center"/>
              <w:ind w:left="360"/>
              <w:spacing w:after="0" w:line="198" w:lineRule="exact"/>
              <w:rPr>
                <w:sz w:val="20"/>
                <w:szCs w:val="20"/>
                <w:color w:val="auto"/>
              </w:rPr>
            </w:pPr>
            <w:r>
              <w:rPr>
                <w:rFonts w:ascii="Times New Roman" w:cs="Times New Roman" w:eastAsia="Times New Roman" w:hAnsi="Times New Roman"/>
                <w:sz w:val="20"/>
                <w:szCs w:val="20"/>
                <w:i w:val="1"/>
                <w:iCs w:val="1"/>
                <w:color w:val="auto"/>
              </w:rPr>
              <w:t>(Principal Accounting Officer)</w:t>
            </w:r>
          </w:p>
        </w:tc>
        <w:tc>
          <w:tcPr>
            <w:tcW w:w="0" w:type="dxa"/>
            <w:vAlign w:val="bottom"/>
          </w:tcPr>
          <w:p>
            <w:pPr>
              <w:spacing w:after="0"/>
              <w:rPr>
                <w:sz w:val="1"/>
                <w:szCs w:val="1"/>
                <w:color w:val="auto"/>
              </w:rPr>
            </w:pPr>
          </w:p>
        </w:tc>
      </w:tr>
      <w:tr>
        <w:trPr>
          <w:trHeight w:val="48"/>
        </w:trPr>
        <w:tc>
          <w:tcPr>
            <w:tcW w:w="4080" w:type="dxa"/>
            <w:vAlign w:val="bottom"/>
            <w:gridSpan w:val="3"/>
            <w:vMerge w:val="continue"/>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W. DON CORNWELL</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 Don Cornwell</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JOELLEN LYONS DILLON</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JoEllen Lyons Dillon</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ELISHA FINNEY</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Elisha Finney</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MELINA HIGGINS</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Melina Higgins</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JAMES M. KILTS</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James M. Kilts</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HARRY A. KORMAN</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Harry A. Korman</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RAJIV MALIK</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9"/>
              </w:rPr>
              <w:t>President and 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Rajiv Malik</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RICHARD A. MARK</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Richard A. Mark</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MARK W. PARRISH</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Mark W. Parrish</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SCOTT SMITH</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Scott Smith</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PAULINE VAN DER MEER MOHR</w:t>
            </w:r>
          </w:p>
        </w:tc>
        <w:tc>
          <w:tcPr>
            <w:tcW w:w="458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Pauline van der Meer Mohr</w:t>
            </w:r>
          </w:p>
        </w:tc>
        <w:tc>
          <w:tcPr>
            <w:tcW w:w="2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4"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176</w:t>
      </w:r>
    </w:p>
    <w:p>
      <w:pPr>
        <w:sectPr>
          <w:pgSz w:w="11880" w:h="15480" w:orient="portrait"/>
          <w:cols w:equalWidth="0" w:num="1">
            <w:col w:w="9120"/>
          </w:cols>
          <w:pgMar w:left="1380" w:top="1312" w:right="1380" w:bottom="654" w:gutter="0" w:footer="0" w:header="0"/>
          <w:type w:val="continuous"/>
        </w:sectPr>
      </w:pPr>
    </w:p>
    <w:bookmarkStart w:id="184" w:name="page185"/>
    <w:bookmarkEnd w:id="18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369570</wp:posOffset>
            </wp:positionH>
            <wp:positionV relativeFrom="page">
              <wp:posOffset>8273415</wp:posOffset>
            </wp:positionV>
            <wp:extent cx="2790825" cy="754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9">
                      <a:extLst>
                        <a:ext uri="{28A0092B-C50C-407E-A947-70E740481C1C}"/>
                      </a:extLst>
                    </a:blip>
                    <a:srcRect/>
                    <a:stretch>
                      <a:fillRect/>
                    </a:stretch>
                  </pic:blipFill>
                  <pic:spPr bwMode="auto">
                    <a:xfrm>
                      <a:off x="0" y="0"/>
                      <a:ext cx="279082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404040"/>
        </w:rPr>
        <w:t>© 2023 Viatris Inc. All Rights Reserved.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404040"/>
        </w:rPr>
        <w:t>VIATRIS and the Viatris Logo are trademarks of Mylan Inc., a Viatris Company.</w:t>
      </w:r>
    </w:p>
    <w:p>
      <w:pPr>
        <w:spacing w:after="0" w:line="20" w:lineRule="exact"/>
        <w:rPr>
          <w:sz w:val="20"/>
          <w:szCs w:val="20"/>
          <w:color w:val="auto"/>
        </w:rPr>
      </w:pPr>
    </w:p>
    <w:sectPr>
      <w:pgSz w:w="11880" w:h="15480" w:orient="portrait"/>
      <w:cols w:equalWidth="0" w:num="1">
        <w:col w:w="9820"/>
      </w:cols>
      <w:pgMar w:left="620" w:top="1440" w:right="1440" w:bottom="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Í"/>
      <w:numFmt w:val="bullet"/>
      <w:start w:val="1"/>
    </w:lvl>
  </w:abstractNum>
  <w:abstractNum w:abstractNumId="6">
    <w:nsid w:val="520EEDD1"/>
    <w:multiLevelType w:val="hybridMultilevel"/>
    <w:lvl w:ilvl="0">
      <w:lvlJc w:val="left"/>
      <w:lvlText w:val="\lquote "/>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lvl w:ilvl="1">
      <w:lvlJc w:val="left"/>
      <w:lvlText w:val="•"/>
      <w:numFmt w:val="bullet"/>
      <w:start w:val="1"/>
    </w:lvl>
  </w:abstractNum>
  <w:abstractNum w:abstractNumId="12">
    <w:nsid w:val="39386575"/>
    <w:multiLevelType w:val="hybridMultilevel"/>
    <w:lvl w:ilvl="0">
      <w:lvlJc w:val="left"/>
      <w:lvlText w:val="•"/>
      <w:numFmt w:val="bullet"/>
      <w:start w:val="1"/>
    </w:lvl>
    <w:lvl w:ilvl="1">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lowerLetter"/>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
      <w:numFmt w:val="bullet"/>
      <w:start w:val="1"/>
    </w:lvl>
    <w:lvl w:ilvl="1">
      <w:lvlJc w:val="left"/>
      <w:lvlText w:val="(%2)"/>
      <w:numFmt w:val="decimal"/>
      <w:start w:val="1"/>
    </w:lvl>
  </w:abstractNum>
  <w:abstractNum w:abstractNumId="46">
    <w:nsid w:val="661E3F1E"/>
    <w:multiLevelType w:val="hybridMultilevel"/>
    <w:lvl w:ilvl="0">
      <w:lvlJc w:val="left"/>
      <w:lvlText w:val="•"/>
      <w:numFmt w:val="bullet"/>
      <w:start w:val="1"/>
    </w:lvl>
    <w:lvl w:ilvl="1">
      <w:lvlJc w:val="left"/>
      <w:lvlText w:val="(%2)"/>
      <w:numFmt w:val="decimal"/>
      <w:start w:val="3"/>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848"/>
    </w:lvl>
  </w:abstractNum>
  <w:abstractNum w:abstractNumId="59">
    <w:nsid w:val="68EB2F63"/>
    <w:multiLevelType w:val="hybridMultilevel"/>
    <w:lvl w:ilvl="0">
      <w:lvlJc w:val="left"/>
      <w:lvlText w:val="%1."/>
      <w:numFmt w:val="decimal"/>
      <w:start w:val="3"/>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decimal"/>
      <w:start w:val="4"/>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1"/>
      <w:numFmt w:val="upperLetter"/>
      <w:start w:val="15"/>
    </w:lvl>
  </w:abstractNum>
  <w:abstractNum w:abstractNumId="86">
    <w:nsid w:val="43F18422"/>
    <w:multiLevelType w:val="hybridMultilevel"/>
    <w:lvl w:ilvl="0">
      <w:lvlJc w:val="left"/>
      <w:lvlText w:val="%1"/>
      <w:numFmt w:val="upperLetter"/>
      <w:start w:val="15"/>
    </w:lvl>
  </w:abstractNum>
  <w:abstractNum w:abstractNumId="87">
    <w:nsid w:val="60EF0119"/>
    <w:multiLevelType w:val="hybridMultilevel"/>
    <w:lvl w:ilvl="0">
      <w:lvlJc w:val="left"/>
      <w:lvlText w:val="%1"/>
      <w:numFmt w:val="upperLetter"/>
      <w:start w:val="15"/>
    </w:lvl>
  </w:abstractNum>
  <w:abstractNum w:abstractNumId="88">
    <w:nsid w:val="26F324BA"/>
    <w:multiLevelType w:val="hybridMultilevel"/>
    <w:lvl w:ilvl="0">
      <w:lvlJc w:val="left"/>
      <w:lvlText w:val="%1"/>
      <w:numFmt w:val="upperLetter"/>
      <w:start w:val="15"/>
    </w:lvl>
  </w:abstractNum>
  <w:abstractNum w:abstractNumId="89">
    <w:nsid w:val="7F01579B"/>
    <w:multiLevelType w:val="hybridMultilevel"/>
    <w:lvl w:ilvl="0">
      <w:lvlJc w:val="left"/>
      <w:lvlText w:val="%1"/>
      <w:numFmt w:val="upperLetter"/>
      <w:start w:val="15"/>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decimal"/>
      <w:start w:val="2"/>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decimal"/>
      <w:start w:val="3"/>
    </w:lvl>
  </w:abstractNum>
  <w:abstractNum w:abstractNumId="95">
    <w:nsid w:val="5FB8011C"/>
    <w:multiLevelType w:val="hybridMultilevel"/>
    <w:lvl w:ilvl="0">
      <w:lvlJc w:val="left"/>
      <w:lvlText w:val="%1"/>
      <w:numFmt w:val="decimal"/>
      <w:start w:val="21"/>
    </w:lvl>
  </w:abstractNum>
  <w:abstractNum w:abstractNumId="96">
    <w:nsid w:val="6AA78F7F"/>
    <w:multiLevelType w:val="hybridMultilevel"/>
    <w:lvl w:ilvl="0">
      <w:lvlJc w:val="left"/>
      <w:lvlText w:val="%1"/>
      <w:numFmt w:val="decimal"/>
      <w:start w:val="32"/>
    </w:lvl>
  </w:abstractNum>
  <w:abstractNum w:abstractNumId="97">
    <w:nsid w:val="7672BD23"/>
    <w:multiLevelType w:val="hybridMultilevel"/>
    <w:lvl w:ilvl="0">
      <w:lvlJc w:val="left"/>
      <w:lvlText w:val="%1"/>
      <w:numFmt w:val="decimal"/>
      <w:start w:val="104"/>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2023-11-04T16:14:50Z</dcterms:created>
  <dcterms:modified xsi:type="dcterms:W3CDTF">2023-11-04T16:14:50Z</dcterms:modified>
</cp:coreProperties>
</file>