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May 8, 2023</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9" w:lineRule="exact"/>
        <w:rPr>
          <w:sz w:val="24"/>
          <w:szCs w:val="24"/>
          <w:color w:val="auto"/>
        </w:rPr>
      </w:pPr>
    </w:p>
    <w:p>
      <w:pPr>
        <w:ind w:left="34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8, 2023, Viatris Inc. (“Viatris” or the “Company”) issued a press release reporting the Company's financial results for the period ended March 31, 2023.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41"/>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first quarter of 2023, dated May 8, 2023.</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May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Sanjeev Narula</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Reports Strong Financial and Operational Results for First Quarter 2023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Reaffirms Full-Year 2023 Guidance Ranges[1]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right="420" w:hanging="332"/>
        <w:spacing w:after="0" w:line="285" w:lineRule="auto"/>
        <w:tabs>
          <w:tab w:leader="none" w:pos="3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Reports Total Revenues of $3.73 billion; U.S. GAAP Net Earnings of $225 million; Adjusted EBITDA of $1.34 billion; U.S. GAAP Net Cash Provided by Operating Activities of $971 million; and Free Cash Flow of $923 million for the Quarter</w:t>
      </w:r>
    </w:p>
    <w:p>
      <w:pPr>
        <w:spacing w:after="0" w:line="156"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Expects Full-Year Total Revenues, Adjusted EBITDA and Free Cash Flow to be at Midpoint of 2023 Guidance Ranges[1]</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Reaffirms 2024 Phase 2 Outlook from November 7 Strategic Update</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Returns Approximately $400 million of Capital to Shareholders in First Quarter Through Dividends and Share Repurchases</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Pays Down Debt of $546 million in First Quarter</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Board of Directors Declares Quarterly Dividend of $0.12 per Share</w:t>
      </w:r>
    </w:p>
    <w:p>
      <w:pPr>
        <w:spacing w:after="0" w:line="200" w:lineRule="exact"/>
        <w:rPr>
          <w:sz w:val="20"/>
          <w:szCs w:val="20"/>
          <w:color w:val="auto"/>
        </w:rPr>
      </w:pPr>
    </w:p>
    <w:p>
      <w:pPr>
        <w:spacing w:after="0" w:line="26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PITTSBURGH </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May 8, 2023 </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Viatris Inc. (NASDAQ: VTRS) today reported strong results for the first quarter of 2023 reflecting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robust operational performance and instilling further confidence in the Company’s ability to return to growth as it prepares to enter Phase 2 of its strategic plan in 2024.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Commentary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Viatris CEO Scott A. Smith said: “Since becoming CEO, I have met with colleagues all over the globe and have had the opportunity to spend time with each business segment. I have seen firsthand the unique combination of passion, dedication and skills of the people of Viatris. The unwavering commitment to our mission is not only infectious but also is displayed by the great execution that has led to a strong start to the year and yet another quarter of robust operational performance. The strength of this quarter gives me further confidence in our ability to return to growth as we enter into Phase 2 in 2024.</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Smith continued: “I want to reiterate that I firmly believe in the Company’s strategic plan, including the capital allocation priorities, laid out in November. A critical part of my job is to enhance the already strong execution by the Company and, ideally, accelerate our well-crafted strategy. I look forward to the exciting path ahead.”</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Viatris President Rajiv Malik said: “We believe that we are headed into the final stages of completing all aspects of our Phase 1 commitments, which is a critical part of our two-phased strategy, driven primarily by the continued strength of our branded portfolio. Looking ahead, we have tremendous confidence in our ability to deliver on our full-year commitments based on effective management of our brands, $500 million-plus in expected new product launches and further progress of our pipeline, including the NDA for GA once-monthly that we filed with the FDA.”</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Viatris CFO Sanjeev Narula said: “We delivered a strong first quarter which met our expectations across all metrics. This included free cash flow generation of $923 million which was prioritized for debt paydown of $546 million. Since the beginning of 2021, we have paid down approximately $6 billion in debt. Additionally, in the quarter we returned approximately $400 million of capital to our shareholders in dividends and share buybacks. Based on our first quarter results and outlook for the rest of the year, we are reaffirming our 2023 financial guidance and remain confident in our Phase 2 outlook beginning in 2024.”</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C16AE"/>
        </w:rPr>
        <w:t>Return of Capital to Shareholders</w:t>
      </w:r>
    </w:p>
    <w:p>
      <w:pPr>
        <w:spacing w:after="0" w:line="225"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Viatris announced that, on May 5, 2023, its Board of Directors declared a quarterly dividend of twelve cents ($0.12) for each issued and outstanding share of the Company's common stock. The dividend is payable on June 16, 2023, to shareholders of record at the close of business on May 24, 2023.</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Viatris paid a quarterly cash dividend of twelve cents ($0.12) per share on the Company's issued and outstanding common stock on March 17, 2023. Additionally, in January and February 2023, the Company repurchased approximately 21.2 million shares of common stock at a cost of approximately $250 million, as part of its previously announced $1 billion stock repurchase program authorized by Viatris’ Board of Directors.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Viatris Inc. will host a conference call and live webcast, today at 8:30 a.m. ET, to review the Company's financial results for the first quarter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Investors and the general public are invited to listen to a live webcast of the call at investor.viatris.com or by calling 800.579.2543 or</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785.424.1789 for international callers (ID#: VTRSQ123). The "Viatris Q1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jc w:val="both"/>
        <w:ind w:right="360" w:firstLine="8"/>
        <w:spacing w:after="0" w:line="267" w:lineRule="auto"/>
        <w:tabs>
          <w:tab w:leader="none" w:pos="25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Viatris is not providing forward-looking guidance for U.S. GAAP net earnings (loss) or a quantitative reconciliation of its 2023 adjusted EBITDA guidance. U.S. GAAP net cash provided by operating activities for 2023 is estimated to be between $2.8 billion and $3.1 billion. Please see "2023 Financial Guidance" and "Non-GAAP Financial Measures" for additional information.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06"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5"/>
          </w:tcPr>
          <w:p>
            <w:pPr>
              <w:jc w:val="center"/>
              <w:ind w:left="5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280" w:type="dxa"/>
            <w:vAlign w:val="bottom"/>
          </w:tcPr>
          <w:p>
            <w:pPr>
              <w:spacing w:after="0"/>
              <w:rPr>
                <w:sz w:val="12"/>
                <w:szCs w:val="12"/>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(3)</w:t>
            </w:r>
          </w:p>
        </w:tc>
        <w:tc>
          <w:tcPr>
            <w:tcW w:w="1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2"/>
              </w:rPr>
              <w:t>Change</w:t>
            </w:r>
            <w:r>
              <w:rPr>
                <w:rFonts w:ascii="Arial" w:cs="Arial" w:eastAsia="Arial" w:hAnsi="Arial"/>
                <w:sz w:val="18"/>
                <w:szCs w:val="18"/>
                <w:b w:val="1"/>
                <w:bCs w:val="1"/>
                <w:color w:val="auto"/>
                <w:w w:val="92"/>
                <w:vertAlign w:val="superscript"/>
              </w:rPr>
              <w:t>(2) (3)</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3,719.1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4,178.2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right="1"/>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2,476.1</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rPr>
              <w:t>(9)%</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705.2</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423.8</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w w:val="98"/>
              </w:rPr>
              <w:t>(11)%</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573.1</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4"/>
              </w:rPr>
              <w:t>5%</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2,420.3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2,554.1</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390.8</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8"/>
              </w:rPr>
              <w:t>(65)%</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(39)%</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1,162.7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1,233.3</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1,542.2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1,771.2</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2,250.9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2,493.4</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399.2</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932.9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1,125.3</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1,199.7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1,409.6</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1,586.3</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1,138.5</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64.5</w:t>
            </w:r>
          </w:p>
        </w:tc>
        <w:tc>
          <w:tcPr>
            <w:tcW w:w="1000" w:type="dxa"/>
            <w:vAlign w:val="bottom"/>
            <w:tcBorders>
              <w:bottom w:val="single" w:sz="8" w:color="CCEEFF"/>
            </w:tcBorders>
            <w:gridSpan w:val="2"/>
          </w:tcPr>
          <w:p>
            <w:pPr>
              <w:jc w:val="center"/>
              <w:ind w:lef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1,074.0</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272" w:lineRule="auto"/>
        <w:tabs>
          <w:tab w:leader="none" w:pos="728"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operational change for net sales and adjusted EBITDA which excludes the impacts of foreign currency translation. See “Certain Key Terms and Presentation Matters” in this release for more information.</w:t>
      </w:r>
    </w:p>
    <w:p>
      <w:pPr>
        <w:ind w:left="660" w:right="20" w:hanging="328"/>
        <w:spacing w:after="0" w:line="221" w:lineRule="auto"/>
        <w:tabs>
          <w:tab w:leader="none" w:pos="593"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impact of the biosimilars divestitures in November 2022 on an operational basis. See “Certain Key Terms and Presentation Matters” in this release for more information.</w:t>
      </w:r>
    </w:p>
    <w:p>
      <w:pPr>
        <w:spacing w:after="0" w:line="1" w:lineRule="exact"/>
        <w:rPr>
          <w:rFonts w:ascii="Arial" w:cs="Arial" w:eastAsia="Arial" w:hAnsi="Arial"/>
          <w:sz w:val="19"/>
          <w:szCs w:val="19"/>
          <w:color w:val="auto"/>
          <w:vertAlign w:val="superscript"/>
        </w:rPr>
      </w:pPr>
    </w:p>
    <w:p>
      <w:pPr>
        <w:ind w:left="540" w:hanging="208"/>
        <w:spacing w:after="0" w:line="193" w:lineRule="auto"/>
        <w:tabs>
          <w:tab w:leader="none" w:pos="54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Financial Highlights</w:t>
      </w:r>
    </w:p>
    <w:p>
      <w:pPr>
        <w:spacing w:after="0" w:line="266" w:lineRule="exact"/>
        <w:rPr>
          <w:sz w:val="20"/>
          <w:szCs w:val="20"/>
          <w:color w:val="auto"/>
        </w:rPr>
      </w:pPr>
    </w:p>
    <w:p>
      <w:pPr>
        <w:ind w:left="340" w:right="36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quarter 2023 total net sales totaled $3.7 billion, down 2% on a divestiture adjusted operational basis (as defined in "Certain Key Terms and Presentation Matters" below) compared to Q1 2022 results.</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Brands performed in line with expectations, driven by products such as Dymista</w:t>
      </w:r>
      <w:r>
        <w:rPr>
          <w:rFonts w:ascii="Arial" w:cs="Arial" w:eastAsia="Arial" w:hAnsi="Arial"/>
          <w:sz w:val="23"/>
          <w:szCs w:val="23"/>
          <w:color w:val="auto"/>
          <w:vertAlign w:val="superscript"/>
        </w:rPr>
        <w:t>®</w:t>
      </w:r>
      <w:r>
        <w:rPr>
          <w:rFonts w:ascii="Arial" w:cs="Arial" w:eastAsia="Arial" w:hAnsi="Arial"/>
          <w:sz w:val="18"/>
          <w:szCs w:val="18"/>
          <w:color w:val="auto"/>
        </w:rPr>
        <w:t>, Celebrex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Norvasc</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340" w:right="14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generics performed lower than expectations on a divestiture adjusted operational basis compared to Q1 2022 results primarily due to the phasing of certain products.</w:t>
      </w:r>
    </w:p>
    <w:p>
      <w:pPr>
        <w:spacing w:after="0" w:line="152"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ahead of expectations including strong performance across broader Developed and Emerging Markets portfolios.</w:t>
      </w:r>
    </w:p>
    <w:p>
      <w:pPr>
        <w:spacing w:after="0" w:line="152" w:lineRule="exact"/>
        <w:rPr>
          <w:rFonts w:ascii="Arial" w:cs="Arial" w:eastAsia="Arial" w:hAnsi="Arial"/>
          <w:sz w:val="18"/>
          <w:szCs w:val="18"/>
          <w:color w:val="auto"/>
        </w:rPr>
      </w:pPr>
    </w:p>
    <w:p>
      <w:pPr>
        <w:jc w:val="both"/>
        <w:ind w:left="340" w:right="68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generated approximately $85 million in new product revenues (as defined in "Certain Key Terms and Presentation Matters" below) primarily driven by lenalidomide in the U.S. and is on track to achieve approximately $500 million in new product revenues in 2023.</w:t>
      </w:r>
    </w:p>
    <w:p>
      <w:pPr>
        <w:spacing w:after="0" w:line="170" w:lineRule="exact"/>
        <w:rPr>
          <w:rFonts w:ascii="Arial" w:cs="Arial" w:eastAsia="Arial" w:hAnsi="Arial"/>
          <w:sz w:val="18"/>
          <w:szCs w:val="18"/>
          <w:color w:val="auto"/>
        </w:rPr>
      </w:pPr>
    </w:p>
    <w:p>
      <w:pPr>
        <w:ind w:left="340" w:right="38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had U.S. GAAP net cash provided by operating activities of $971 million and generated $923 million of free cash flow, primarily driven by strong operating results and the timing of planned capital expenditures. Free cash flow for the quarter includes approximately $22 million of transaction costs primarily related to the eye care acquisitions.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paid down $546 million in debt. The Company remains fully committed to maintaining its investment grade credit rating.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0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4C16AE"/>
        </w:rPr>
        <w:t>2023 Financial Guidance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Viatris is reaffirming its 2023 financial guidance that was previously provided on February 27, 2023, as set forth below. The Company is not providing forward-looking guidance for U.S. GAAP net earnings or a quantitative reconciliation of its 2023 adjusted EBITDA guidance to the most directly comparable U.S. GAAP measure, U.S. GAAP net earnings, because it is unable to predict with reasonable certainty the ultimate outcome of certain significant items, including integration, acquisition and divestiture related expenses, restructuring expenses, asset impairments, litigation settlements, and other contingencies, such as changes to contingent consideration, acquired IPR&amp;D and certain other gains or losses, including for the fair value accounting for the compulsory convertible preferred shares (“CCPS") in Biocon Biologics,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2023 is estimated to be between $2.8 billion and $3.1 billion, with a midpoint of approximately $2.95 billion. The Company currently expects to be at the midpoint of the financial guidance ranges.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billions)</w:t>
            </w:r>
          </w:p>
        </w:tc>
        <w:tc>
          <w:tcPr>
            <w:tcW w:w="2240" w:type="dxa"/>
            <w:vAlign w:val="bottom"/>
            <w:gridSpan w:val="3"/>
          </w:tcPr>
          <w:p>
            <w:pPr>
              <w:ind w:left="240"/>
              <w:spacing w:after="0"/>
              <w:rPr>
                <w:sz w:val="20"/>
                <w:szCs w:val="20"/>
                <w:color w:val="auto"/>
              </w:rPr>
            </w:pPr>
            <w:r>
              <w:rPr>
                <w:rFonts w:ascii="Arial" w:cs="Arial" w:eastAsia="Arial" w:hAnsi="Arial"/>
                <w:sz w:val="14"/>
                <w:szCs w:val="14"/>
                <w:b w:val="1"/>
                <w:bCs w:val="1"/>
                <w:color w:val="auto"/>
              </w:rPr>
              <w:t xml:space="preserve">2023 Guidance Range </w:t>
            </w:r>
            <w:r>
              <w:rPr>
                <w:rFonts w:ascii="Arial" w:cs="Arial" w:eastAsia="Arial" w:hAnsi="Arial"/>
                <w:sz w:val="18"/>
                <w:szCs w:val="18"/>
                <w:b w:val="1"/>
                <w:bCs w:val="1"/>
                <w:color w:val="auto"/>
                <w:vertAlign w:val="superscript"/>
              </w:rPr>
              <w:t>(2)</w:t>
            </w: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2023 Midpoint</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$16.0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$15.75</w:t>
            </w: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1120" w:type="dxa"/>
            <w:vAlign w:val="bottom"/>
          </w:tcPr>
          <w:p>
            <w:pPr>
              <w:ind w:left="20"/>
              <w:spacing w:after="0"/>
              <w:rPr>
                <w:sz w:val="20"/>
                <w:szCs w:val="20"/>
                <w:color w:val="auto"/>
              </w:rPr>
            </w:pPr>
            <w:r>
              <w:rPr>
                <w:rFonts w:ascii="Arial" w:cs="Arial" w:eastAsia="Arial" w:hAnsi="Arial"/>
                <w:sz w:val="16"/>
                <w:szCs w:val="16"/>
                <w:color w:val="auto"/>
              </w:rPr>
              <w:t>- $5.4</w:t>
            </w: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rPr>
              <w:t>$5.2</w:t>
            </w: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r>
    </w:tbl>
    <w:p>
      <w:pPr>
        <w:spacing w:after="0" w:line="166" w:lineRule="exact"/>
        <w:rPr>
          <w:sz w:val="20"/>
          <w:szCs w:val="20"/>
          <w:color w:val="auto"/>
        </w:rPr>
      </w:pPr>
    </w:p>
    <w:p>
      <w:pPr>
        <w:ind w:left="540" w:hanging="208"/>
        <w:spacing w:after="0"/>
        <w:tabs>
          <w:tab w:leader="none" w:pos="540" w:val="left"/>
        </w:tabs>
        <w:numPr>
          <w:ilvl w:val="0"/>
          <w:numId w:val="6"/>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122" w:lineRule="exact"/>
        <w:rPr>
          <w:rFonts w:ascii="Arial" w:cs="Arial" w:eastAsia="Arial" w:hAnsi="Arial"/>
          <w:sz w:val="9"/>
          <w:szCs w:val="9"/>
          <w:color w:val="auto"/>
        </w:rPr>
      </w:pPr>
    </w:p>
    <w:p>
      <w:pPr>
        <w:ind w:left="660" w:hanging="328"/>
        <w:spacing w:after="0" w:line="231" w:lineRule="auto"/>
        <w:tabs>
          <w:tab w:leader="none" w:pos="567"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the full year expected performance for the planned divestitures and excludes any potential related costs, such as taxes and transaction costs, as well as any similar costs related to the eye care acquisitions. Also excludes any future acquired IPR&amp;D for unsigned deals.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Certain Key Terms and Presentation Matters</w:t>
      </w:r>
    </w:p>
    <w:p>
      <w:pPr>
        <w:spacing w:after="0" w:line="22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Refers to revenue from new products launched in 2023 and the carryover impact of new products, including business development, launched within the last twelve months.</w:t>
      </w:r>
    </w:p>
    <w:p>
      <w:pPr>
        <w:spacing w:after="0" w:line="15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changes and is derived by translating amounts for the current period at prior year comparative period exchange rates, and in doing so shows the percentage change from 2023 constant currency net sales, revenues and adjusted EBITDA to the corresponding amount in the prior year.</w:t>
      </w:r>
    </w:p>
    <w:p>
      <w:pPr>
        <w:spacing w:after="0" w:line="19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u w:val="single" w:color="auto"/>
          <w:color w:val="auto"/>
        </w:rPr>
        <w:t>Divestiture adjusted operational change:</w:t>
      </w:r>
      <w:r>
        <w:rPr>
          <w:rFonts w:ascii="Arial" w:cs="Arial" w:eastAsia="Arial" w:hAnsi="Arial"/>
          <w:sz w:val="18"/>
          <w:szCs w:val="18"/>
          <w:color w:val="auto"/>
        </w:rPr>
        <w:t xml:space="preserve"> Refers to operational changes, further adjusted for the impact of the biosimilars divestiture in November 2022 by excluding biosimilars net sales from 2022 periods.</w:t>
      </w:r>
    </w:p>
    <w:p>
      <w:pPr>
        <w:spacing w:after="0" w:line="180"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u w:val="single" w:color="auto"/>
          <w:color w:val="auto"/>
        </w:rPr>
        <w:t>SG&amp;A and R&amp;D TSA reimbursement:</w:t>
      </w:r>
      <w:r>
        <w:rPr>
          <w:rFonts w:ascii="Arial" w:cs="Arial" w:eastAsia="Arial" w:hAnsi="Arial"/>
          <w:sz w:val="18"/>
          <w:szCs w:val="18"/>
          <w:color w:val="auto"/>
        </w:rPr>
        <w:t xml:space="preserve"> Expenses related to TSA services provided to Biocon Biologics are recorded in their respective functional line item; however, reimbursement of those expenses plus the mark-up is included in other (income) expense, net. For comparability purposes, amounts related to the cost reimbursement are reclassified to adjusted SG&amp;A and adjusted R&amp;D. This reclassification has no impact on adjusted net earnings or adjusted EBITDA.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Non-GAAP Financial Measures</w:t>
      </w:r>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spacing w:after="0" w:line="2" w:lineRule="exact"/>
        <w:rPr>
          <w:sz w:val="20"/>
          <w:szCs w:val="20"/>
          <w:color w:val="auto"/>
        </w:rPr>
      </w:pPr>
    </w:p>
    <w:p>
      <w:pPr>
        <w:ind w:right="80" w:firstLine="8"/>
        <w:spacing w:after="0" w:line="237"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(income) expense, net, adjusted effective tax rate, constant currency total revenues, constant currency net sales, constant currency adjusted EBITDA, 2022 adjusted net sales ex biosimilars, and divestiture adjusted operational change,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06" w:right="339" w:bottom="1440" w:gutter="0" w:footer="0" w:header="0"/>
          <w:type w:val="continuous"/>
        </w:sectPr>
      </w:pPr>
    </w:p>
    <w:bookmarkStart w:id="9" w:name="page10"/>
    <w:bookmarkEnd w:id="9"/>
    <w:p>
      <w:pPr>
        <w:ind w:right="100"/>
        <w:spacing w:after="0" w:line="252" w:lineRule="auto"/>
        <w:rPr>
          <w:sz w:val="20"/>
          <w:szCs w:val="20"/>
          <w:color w:val="auto"/>
        </w:rPr>
      </w:pPr>
      <w:r>
        <w:rPr>
          <w:rFonts w:ascii="Arial" w:cs="Arial" w:eastAsia="Arial" w:hAnsi="Arial"/>
          <w:sz w:val="17"/>
          <w:szCs w:val="17"/>
          <w:color w:val="auto"/>
        </w:rPr>
        <w:t>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including EBITDA and supplemental adjustments applied in presenting adjusted EBITDA is appropriate to provide additional information to investors to demonstrate the Company's ability to comply with financial debt covenants and assess the Company's ability to incur additional</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 adjusted operational change refers to operational change, further adjusted for the impact of the biosimilars divestiture in November 2022 by excluding biosimilars net sales from 2022 periods. The "Summary of Total Revenues by Segment" table below compares net sales on an actual and constant currency basis for each reportable segment for the</w:t>
      </w:r>
    </w:p>
    <w:p>
      <w:pPr>
        <w:spacing w:after="0" w:line="8"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quarters ended March 31, 2023 and 2022 as well as for total revenues, as well as divestiture adjusted operational change in net sales. Also, set forth below, Viatris has provided reconciliations of such non-GAAP financial measures to the most directly comparable U.S. GAAP</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March 31, 2023.</w:t>
      </w: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is not providing forward-looking U.S. GAAP information for its non-GAAP 2024 Phase 2 outlooks or quantitative reconciliations with respect to such outlooks to their most directly comparable U.S. GAAP measures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including for the fair value accounting for the CCPS in Biocon Biologics,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relevant periods.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About Viatris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Viatris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and a variety of over-the-counter consumer products. With approximately 38,000 colleagues globally, Viatris is headquartered in the U.S., with global centers in Pittsburgh, Shanghai and Hyderabad, India. Learn more at viatris.com and investor.viatris.com, and connect with us on Twitter, LinkedIn, Instagram and YouTube.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87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4C16AE"/>
        </w:rPr>
        <w:t>Forward-Looking Statements</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2023 financial guidance; expects full year total revenues, adjusted EBITDA and free cash flow to be at midpoint of 2023 guidance ranges; reaffirms 2024 phase 2 outlook from November 7 strategic update; reported strong results for the first quarter of 2023 reflecting another robust operational performance and instilling further confidence in the Company’s ability to return to growth as it prepares to enter Phase 2 of its strategic plan in 2024; the strength of this quarter gives me further confidence in our ability to return to growth as we enter into Phase 2 in 2024; a critical part of my job</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is to enhance the already strong execution by the Company and, ideally, accelerate our well-crafted strategy; we believe that we are headed into the final stages of completing all aspects of our Phase 1 commitments, which is a critical part of our two-phased strategy, driven primarily</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by the continued strength of our branded portfolio; looking ahead, we have tremendous confidence in our ability to deliver on our full-year commitments based on effective management of our brands, $500 million-plus in expected new product launches and further progress of our pipeline, including the NDA filing of GA once monthly; based on our solid first quarter results and outlook for the rest of the year, we are reaffirming our 2023 financial guidance and remain confident in our Phase 2 outlook beginning in 2024; Viatris’ Board of Directors declared a quarterly dividend of twelve cents ($0.12) for each issued and outstanding share of the Company's common stock payable on June 16, 2023, to shareholders of record at the close of business on May 24, 2023; the Company is on track to achieve approximately $500 million in new product revenues in 2023; the Company remains fully committed to maintaining its investment grade credit rating; the Company currently expects to be at the mid-point of the financial guidance ranges; the goals or outlooks with respect to the Viatris Inc.’s (“Viatris” or the “Company”) strategic initiatives, including but not limited to the Company’s two-phased 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w:t>
      </w:r>
    </w:p>
    <w:p>
      <w:pPr>
        <w:spacing w:after="0" w:line="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dividend policy and payments, stock repurchases; debt ratio and covenants, anticipated business levels, future earnings, planned activities, anticipated growth, market opportunities, strategies, competitions, commitments, confidence in future results, efforts to create, enhance or</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realize the intended benefits of, or achieve the intended goals or outlooks with respect to, its strategic initiatives; the possibility that the Company may be unable to achieve expected benefits, synergies and operating efficiencies in connection with acquisitions, divestitures, or its global restructuring program, within the expected timeframe or at all; impairment charges or other losses related to the divestiture or sale of businesses or assets; the Company’s failure to achieve expected or 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w:t>
      </w:r>
    </w:p>
    <w:p>
      <w:pPr>
        <w:spacing w:after="0" w:line="8"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recent and potential tax reform in the U.S.); the ability to attract and retain key personnel; the Company’s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w:t>
      </w:r>
    </w:p>
    <w:p>
      <w:pPr>
        <w:spacing w:after="0" w:line="7"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market exclusivity for certain products; changes in the economic and financial conditions of the Company or its partners; uncertainties regarding future demand, pricing and reimbursement for the Company’s products; uncertainties and matters beyond the control of</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1" w:name="page12"/>
    <w:bookmarkEnd w:id="11"/>
    <w:p>
      <w:pPr>
        <w:ind w:right="20"/>
        <w:spacing w:after="0" w:line="242" w:lineRule="auto"/>
        <w:rPr>
          <w:sz w:val="20"/>
          <w:szCs w:val="20"/>
          <w:color w:val="auto"/>
        </w:rPr>
      </w:pPr>
      <w:r>
        <w:rPr>
          <w:rFonts w:ascii="Arial" w:cs="Arial" w:eastAsia="Arial" w:hAnsi="Arial"/>
          <w:sz w:val="18"/>
          <w:szCs w:val="18"/>
          <w:color w:val="auto"/>
        </w:rPr>
        <w:t>Report on Form 10-K for the year ended December 31, 2022,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particular, certain statements in this release relate to Viatris' Phase 2 strategy in 2024 and beyond and its related goals, targets, forecasts, objectives and commitments (such statements, the "Phase 2 Outlooks"). Viatris believes that the assumptions used as a basis for these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Phase 2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these Phase 2 Outlooks, it is possible that Viatris will not attain them in the timeframe noted or at all. These Phase 2 Outlooks reflect assumptions as to certain business decisions that are subject to change. Important factors that may affect actual results and cause these Phase 2 Outlooks not to be achieved, or that may change the underlying variables and assumptions on which these Phase 2 Outlooks were based and cause these Phase 2 Outlooks to differ materially, include, but are not limited 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w:t>
      </w:r>
    </w:p>
    <w:p>
      <w:pPr>
        <w:spacing w:after="0" w:line="8"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environment and general business and economic conditions, as well as those set forth in the first paragraph of "Forward-Looking Statements". In addition, although certain of the outlooks are presented with numerical specificity, they are still forward-looking statements</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that involve inherent risks and uncertainties. Further, these Phase 2 Outlooks cover multiple years and such information by its nature becomes less reliable with each successive year. Accordingly, there can be no assurance that any aspect of these Phase 2 Outlooks will be realized or that actual results will not differ materially. Therefore, you should construe these statements regarding these Phase 2 Outlooks only as goals, targets and objectives rather than promises of future performance or absolute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ectPr>
          <w:pgSz w:w="11900" w:h="16838" w:orient="portrait"/>
          <w:cols w:equalWidth="0" w:num="1">
            <w:col w:w="11220"/>
          </w:cols>
          <w:pgMar w:left="320" w:top="877"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34" w:lineRule="exact"/>
        <w:rPr>
          <w:sz w:val="20"/>
          <w:szCs w:val="20"/>
          <w:color w:val="auto"/>
        </w:rPr>
      </w:pPr>
    </w:p>
    <w:p>
      <w:pPr>
        <w:sectPr>
          <w:pgSz w:w="11900" w:h="16838" w:orient="portrait"/>
          <w:cols w:equalWidth="0" w:num="2">
            <w:col w:w="1260" w:space="720"/>
            <w:col w:w="9240"/>
          </w:cols>
          <w:pgMar w:left="320" w:top="877" w:right="359" w:bottom="1440" w:gutter="0" w:footer="0" w:header="0"/>
          <w:type w:val="continuous"/>
        </w:sectPr>
      </w:pPr>
    </w:p>
    <w:p>
      <w:pPr>
        <w:spacing w:after="0"/>
        <w:tabs>
          <w:tab w:leader="none" w:pos="2340" w:val="left"/>
        </w:tabs>
        <w:rPr>
          <w:sz w:val="20"/>
          <w:szCs w:val="20"/>
          <w:color w:val="auto"/>
        </w:rPr>
      </w:pPr>
      <w:r>
        <w:rPr>
          <w:rFonts w:ascii="Arial" w:cs="Arial" w:eastAsia="Arial" w:hAnsi="Arial"/>
          <w:sz w:val="18"/>
          <w:szCs w:val="18"/>
          <w:color w:val="auto"/>
        </w:rPr>
        <w:t>+1.724.514.1968</w:t>
      </w:r>
      <w:r>
        <w:rPr>
          <w:sz w:val="20"/>
          <w:szCs w:val="20"/>
          <w:color w:val="auto"/>
        </w:rPr>
        <w:tab/>
      </w:r>
      <w:r>
        <w:rPr>
          <w:rFonts w:ascii="Arial" w:cs="Arial" w:eastAsia="Arial" w:hAnsi="Arial"/>
          <w:sz w:val="18"/>
          <w:szCs w:val="18"/>
          <w:color w:val="auto"/>
        </w:rPr>
        <w:t>Bill Szablewski</w:t>
      </w:r>
    </w:p>
    <w:p>
      <w:pPr>
        <w:spacing w:after="0"/>
        <w:tabs>
          <w:tab w:leader="none" w:pos="3220" w:val="left"/>
        </w:tabs>
        <w:rPr>
          <w:sz w:val="20"/>
          <w:szCs w:val="20"/>
          <w:color w:val="auto"/>
        </w:rPr>
      </w:pPr>
      <w:r>
        <w:rPr>
          <w:rFonts w:ascii="Arial" w:cs="Arial" w:eastAsia="Arial" w:hAnsi="Arial"/>
          <w:sz w:val="18"/>
          <w:szCs w:val="18"/>
          <w:color w:val="auto"/>
        </w:rPr>
        <w:t>Communications@viatris.com</w:t>
      </w:r>
      <w:r>
        <w:rPr>
          <w:sz w:val="20"/>
          <w:szCs w:val="20"/>
          <w:color w:val="auto"/>
        </w:rPr>
        <w:tab/>
      </w:r>
      <w:r>
        <w:rPr>
          <w:rFonts w:ascii="Arial" w:cs="Arial" w:eastAsia="Arial" w:hAnsi="Arial"/>
          <w:sz w:val="18"/>
          <w:szCs w:val="18"/>
          <w:color w:val="auto"/>
        </w:rPr>
        <w:t>+1.412.707.2866</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InvestorRelations@viatris.com</w:t>
      </w:r>
    </w:p>
    <w:p>
      <w:pPr>
        <w:sectPr>
          <w:pgSz w:w="11900" w:h="16838" w:orient="portrait"/>
          <w:cols w:equalWidth="0" w:num="1">
            <w:col w:w="11220"/>
          </w:cols>
          <w:pgMar w:left="320" w:top="877" w:right="35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Jennifer Mauer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William.Szablewski@viatris.com</w:t>
      </w:r>
    </w:p>
    <w:p>
      <w:pPr>
        <w:spacing w:after="0" w:line="9" w:lineRule="exact"/>
        <w:rPr>
          <w:sz w:val="20"/>
          <w:szCs w:val="20"/>
          <w:color w:val="auto"/>
        </w:rPr>
      </w:pPr>
    </w:p>
    <w:p>
      <w:pPr>
        <w:sectPr>
          <w:pgSz w:w="11900" w:h="16838" w:orient="portrait"/>
          <w:cols w:equalWidth="0" w:num="2">
            <w:col w:w="1680" w:space="720"/>
            <w:col w:w="8820"/>
          </w:cols>
          <w:pgMar w:left="320" w:top="877" w:right="359" w:bottom="1440" w:gutter="0" w:footer="0" w:header="0"/>
          <w:type w:val="continuous"/>
        </w:sectPr>
      </w:pPr>
    </w:p>
    <w:p>
      <w:pPr>
        <w:spacing w:after="0"/>
        <w:rPr>
          <w:sz w:val="20"/>
          <w:szCs w:val="20"/>
          <w:color w:val="auto"/>
        </w:rPr>
      </w:pPr>
      <w:r>
        <w:rPr>
          <w:rFonts w:ascii="Arial" w:cs="Arial" w:eastAsia="Arial" w:hAnsi="Arial"/>
          <w:sz w:val="18"/>
          <w:szCs w:val="18"/>
          <w:color w:val="auto"/>
        </w:rPr>
        <w:t>Jennifer.Mauer@viatris.com</w:t>
      </w:r>
    </w:p>
    <w:p>
      <w:pPr>
        <w:spacing w:after="0"/>
        <w:rPr>
          <w:sz w:val="20"/>
          <w:szCs w:val="20"/>
          <w:color w:val="auto"/>
        </w:rPr>
      </w:pPr>
      <w:r>
        <w:rPr>
          <w:rFonts w:ascii="Arial" w:cs="Arial" w:eastAsia="Arial" w:hAnsi="Arial"/>
          <w:sz w:val="18"/>
          <w:szCs w:val="18"/>
          <w:color w:val="auto"/>
        </w:rPr>
        <w:t>Matt Klein</w:t>
      </w:r>
    </w:p>
    <w:p>
      <w:pPr>
        <w:spacing w:after="0"/>
        <w:rPr>
          <w:sz w:val="20"/>
          <w:szCs w:val="20"/>
          <w:color w:val="auto"/>
        </w:rPr>
      </w:pPr>
      <w:r>
        <w:rPr>
          <w:rFonts w:ascii="Arial" w:cs="Arial" w:eastAsia="Arial" w:hAnsi="Arial"/>
          <w:sz w:val="18"/>
          <w:szCs w:val="18"/>
          <w:color w:val="auto"/>
        </w:rPr>
        <w:t>Matthew.Klein@viatris.com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877" w:right="35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3,719.1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4,178.2</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3,729.1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4,191.7</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2,420.5</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1,771.2</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1,063.8</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707.4</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1,210.5</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60" w:top="890"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940" w:type="dxa"/>
            <w:vAlign w:val="bottom"/>
          </w:tcPr>
          <w:p>
            <w:pPr>
              <w:jc w:val="center"/>
              <w:ind w:left="3528"/>
              <w:spacing w:after="0"/>
              <w:rPr>
                <w:sz w:val="20"/>
                <w:szCs w:val="20"/>
                <w:color w:val="auto"/>
              </w:rPr>
            </w:pPr>
            <w:r>
              <w:rPr>
                <w:rFonts w:ascii="Arial" w:cs="Arial" w:eastAsia="Arial" w:hAnsi="Arial"/>
                <w:sz w:val="14"/>
                <w:szCs w:val="14"/>
                <w:b w:val="1"/>
                <w:bCs w:val="1"/>
                <w:color w:val="auto"/>
              </w:rPr>
              <w:t>March 31,</w:t>
            </w: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49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firstLine="14"/>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150495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1,259.9</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3,814.5</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3,519.5</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1,811.2</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r>
      <w:tr>
        <w:trPr>
          <w:trHeight w:val="209"/>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10,635.4</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22,607.1</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10,573.2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10,425.8</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6,385.1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6,353.9</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49,290.2</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50,022.2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508.7</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1,259.1</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5,487.1</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18,069.4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18,015.2</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4,184.8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4,188.5</w:t>
            </w:r>
          </w:p>
        </w:tc>
      </w:tr>
      <w:tr>
        <w:trPr>
          <w:trHeight w:val="209"/>
        </w:trPr>
        <w:tc>
          <w:tcPr>
            <w:tcW w:w="83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28,362.3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28,949.9</w:t>
            </w: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21,072.3</w:t>
            </w: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49,290.2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50,022.2</w:t>
            </w: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890" w:right="3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9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r>
      <w:tr>
        <w:trPr>
          <w:trHeight w:val="198"/>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Lipitor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Norvasc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207.8</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Viagra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129.8</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Effexor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Zoloft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Xalabrands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17"/>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Yupelri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41.8</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45"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months ended March 31, 2023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to Adjusted Net Earnings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Below is a reconciliation of U.S. GAAP net earnings to adjusted net earnings for the three months ended March 31, 2023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r>
      <w:tr>
        <w:trPr>
          <w:trHeight w:val="211"/>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r>
      <w:tr>
        <w:trPr>
          <w:trHeight w:val="216"/>
        </w:trPr>
        <w:tc>
          <w:tcPr>
            <w:tcW w:w="8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related amortization (primarily included in cost of sales) </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658.9</w:t>
            </w: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8820" w:type="dxa"/>
            <w:vAlign w:val="bottom"/>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energy investments pre-tax gain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8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and divestiture related costs (primarily included in SG&amp;A) </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216"/>
        </w:trPr>
        <w:tc>
          <w:tcPr>
            <w:tcW w:w="8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related costs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88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882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882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8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(f)</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r>
      <w:tr>
        <w:trPr>
          <w:trHeight w:val="23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ind w:left="660" w:hanging="328"/>
        <w:spacing w:after="0" w:line="237" w:lineRule="auto"/>
        <w:tabs>
          <w:tab w:leader="none" w:pos="679"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charges include an intangible asset charge of approximately $32.0 million related to the potential divestiture of the Upjohn Distributor Markets to write down the disposal group to fair value, less cost to sell. Also includes amortization of the step-up in the fair value of inventory related to the Oyster Point acquisition of approximately $7.3 million.</w:t>
      </w:r>
    </w:p>
    <w:p>
      <w:pPr>
        <w:spacing w:after="0" w:line="32" w:lineRule="exact"/>
        <w:rPr>
          <w:rFonts w:ascii="Arial" w:cs="Arial" w:eastAsia="Arial" w:hAnsi="Arial"/>
          <w:sz w:val="23"/>
          <w:szCs w:val="23"/>
          <w:color w:val="auto"/>
          <w:vertAlign w:val="superscript"/>
        </w:rPr>
      </w:pPr>
    </w:p>
    <w:p>
      <w:pPr>
        <w:ind w:left="660" w:right="440" w:hanging="328"/>
        <w:spacing w:after="0" w:line="231" w:lineRule="auto"/>
        <w:tabs>
          <w:tab w:leader="none" w:pos="669"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Acquisition and divestiture related costs consist primarily of transaction costs including legal and consulting fees and integration activities.</w:t>
      </w:r>
    </w:p>
    <w:p>
      <w:pPr>
        <w:spacing w:after="0" w:line="32" w:lineRule="exact"/>
        <w:rPr>
          <w:rFonts w:ascii="Arial" w:cs="Arial" w:eastAsia="Arial" w:hAnsi="Arial"/>
          <w:sz w:val="23"/>
          <w:szCs w:val="23"/>
          <w:color w:val="auto"/>
          <w:vertAlign w:val="superscript"/>
        </w:rPr>
      </w:pPr>
    </w:p>
    <w:p>
      <w:pPr>
        <w:ind w:left="660" w:right="180" w:hanging="328"/>
        <w:spacing w:after="0" w:line="231" w:lineRule="auto"/>
        <w:tabs>
          <w:tab w:leader="none" w:pos="672"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charges include approximately $10.9 million in cost of sales and approximately $(1.2) million in SG&amp;A.</w:t>
      </w:r>
    </w:p>
    <w:p>
      <w:pPr>
        <w:spacing w:after="0" w:line="32" w:lineRule="exact"/>
        <w:rPr>
          <w:rFonts w:ascii="Arial" w:cs="Arial" w:eastAsia="Arial" w:hAnsi="Arial"/>
          <w:sz w:val="23"/>
          <w:szCs w:val="23"/>
          <w:color w:val="auto"/>
          <w:vertAlign w:val="superscript"/>
        </w:rPr>
      </w:pPr>
    </w:p>
    <w:p>
      <w:pPr>
        <w:ind w:left="660" w:right="740" w:hanging="328"/>
        <w:spacing w:after="0" w:line="237" w:lineRule="auto"/>
        <w:tabs>
          <w:tab w:leader="none" w:pos="679"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charges include incremental manufacturing variances at plants in the 2020 restructuring program of approximately $22.7 million and inventory reserves related to the potential divestiture of the Upjohn Distributor Markets of approximately $9.2 million.</w:t>
      </w:r>
    </w:p>
    <w:p>
      <w:pPr>
        <w:spacing w:after="0" w:line="32" w:lineRule="exact"/>
        <w:rPr>
          <w:rFonts w:ascii="Arial" w:cs="Arial" w:eastAsia="Arial" w:hAnsi="Arial"/>
          <w:sz w:val="23"/>
          <w:szCs w:val="23"/>
          <w:color w:val="auto"/>
          <w:vertAlign w:val="superscript"/>
        </w:rPr>
      </w:pPr>
    </w:p>
    <w:p>
      <w:pPr>
        <w:ind w:left="660" w:right="540" w:hanging="328"/>
        <w:spacing w:after="0" w:line="231" w:lineRule="auto"/>
        <w:tabs>
          <w:tab w:leader="none" w:pos="641"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2023, includes a gain of approximately $18.9 million as a result of remeasuring our pre-existing 13.5% equity interest in Famy Life Sciences to fair value.</w:t>
      </w:r>
    </w:p>
    <w:p>
      <w:pPr>
        <w:spacing w:after="0" w:line="6" w:lineRule="exact"/>
        <w:rPr>
          <w:rFonts w:ascii="Arial" w:cs="Arial" w:eastAsia="Arial" w:hAnsi="Arial"/>
          <w:sz w:val="23"/>
          <w:szCs w:val="23"/>
          <w:color w:val="auto"/>
          <w:vertAlign w:val="superscript"/>
        </w:rPr>
      </w:pPr>
    </w:p>
    <w:p>
      <w:pPr>
        <w:ind w:left="600" w:hanging="268"/>
        <w:spacing w:after="0"/>
        <w:tabs>
          <w:tab w:leader="none" w:pos="6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Reconciliation of U.S. GAAP Net Earnings to EBITDA and Adjusted EBITDA</w:t>
      </w:r>
    </w:p>
    <w:p>
      <w:pPr>
        <w:spacing w:after="0" w:line="30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Below is a reconciliation of U.S. GAAP net earnings to EBITDA and adjusted EBITDA for the three months ended March 31, 2023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7"/>
        </w:trPr>
        <w:tc>
          <w:tcPr>
            <w:tcW w:w="86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r>
      <w:tr>
        <w:trPr>
          <w:trHeight w:val="210"/>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r>
      <w:tr>
        <w:trPr>
          <w:trHeight w:val="215"/>
        </w:trPr>
        <w:tc>
          <w:tcPr>
            <w:tcW w:w="86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contribution attributable to equity method investments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866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7"/>
        </w:trPr>
        <w:tc>
          <w:tcPr>
            <w:tcW w:w="86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16"/>
        </w:trPr>
        <w:tc>
          <w:tcPr>
            <w:tcW w:w="86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736.0</w:t>
            </w:r>
          </w:p>
        </w:tc>
      </w:tr>
      <w:tr>
        <w:trPr>
          <w:trHeight w:val="209"/>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1,409.6</w:t>
            </w:r>
          </w:p>
        </w:tc>
      </w:tr>
      <w:tr>
        <w:trPr>
          <w:trHeight w:val="215"/>
        </w:trPr>
        <w:tc>
          <w:tcPr>
            <w:tcW w:w="8660" w:type="dxa"/>
            <w:vAlign w:val="bottom"/>
          </w:tcPr>
          <w:p>
            <w:pPr>
              <w:ind w:left="14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5"/>
        </w:trPr>
        <w:tc>
          <w:tcPr>
            <w:tcW w:w="866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86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Restructuring, acquisition and divestiture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209"/>
        </w:trPr>
        <w:tc>
          <w:tcPr>
            <w:tcW w:w="8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1,340.9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1,586.3</w:t>
            </w:r>
          </w:p>
        </w:tc>
      </w:tr>
      <w:tr>
        <w:trPr>
          <w:trHeight w:val="21"/>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9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Earnings to Adjusted Net Earnings.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2022 Adjusted</w:t>
            </w: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1"/>
                <w:szCs w:val="11"/>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Currency %</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348"/>
              <w:spacing w:after="0" w:line="135" w:lineRule="exact"/>
              <w:rPr>
                <w:sz w:val="20"/>
                <w:szCs w:val="20"/>
                <w:color w:val="auto"/>
              </w:rPr>
            </w:pPr>
            <w:r>
              <w:rPr>
                <w:rFonts w:ascii="Arial" w:cs="Arial" w:eastAsia="Arial" w:hAnsi="Arial"/>
                <w:sz w:val="14"/>
                <w:szCs w:val="14"/>
                <w:b w:val="1"/>
                <w:bCs w:val="1"/>
                <w:color w:val="auto"/>
              </w:rPr>
              <w:t>Ex</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7"/>
                <w:szCs w:val="17"/>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140" w:type="dxa"/>
            <w:vAlign w:val="bottom"/>
            <w:gridSpan w:val="2"/>
          </w:tcPr>
          <w:p>
            <w:pPr>
              <w:jc w:val="center"/>
              <w:ind w:right="100"/>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Biosimilars </w:t>
            </w:r>
            <w:r>
              <w:rPr>
                <w:rFonts w:ascii="Arial" w:cs="Arial" w:eastAsia="Arial" w:hAnsi="Arial"/>
                <w:sz w:val="9"/>
                <w:szCs w:val="9"/>
                <w:b w:val="1"/>
                <w:bCs w:val="1"/>
                <w:color w:val="auto"/>
              </w:rPr>
              <w:t>(3)</w:t>
            </w:r>
          </w:p>
        </w:tc>
        <w:tc>
          <w:tcPr>
            <w:tcW w:w="1020" w:type="dxa"/>
            <w:vAlign w:val="bottom"/>
            <w:gridSpan w:val="2"/>
          </w:tcPr>
          <w:p>
            <w:pPr>
              <w:jc w:val="right"/>
              <w:spacing w:after="0" w:line="202" w:lineRule="exact"/>
              <w:rPr>
                <w:sz w:val="20"/>
                <w:szCs w:val="20"/>
                <w:color w:val="auto"/>
              </w:rPr>
            </w:pPr>
            <w:r>
              <w:rPr>
                <w:rFonts w:ascii="Arial" w:cs="Arial" w:eastAsia="Arial" w:hAnsi="Arial"/>
                <w:sz w:val="14"/>
                <w:szCs w:val="14"/>
                <w:b w:val="1"/>
                <w:bCs w:val="1"/>
                <w:color w:val="auto"/>
                <w:w w:val="99"/>
              </w:rPr>
              <w:t xml:space="preserve">Biosimilars </w:t>
            </w:r>
            <w:r>
              <w:rPr>
                <w:rFonts w:ascii="Arial" w:cs="Arial" w:eastAsia="Arial" w:hAnsi="Arial"/>
                <w:sz w:val="18"/>
                <w:szCs w:val="18"/>
                <w:b w:val="1"/>
                <w:bCs w:val="1"/>
                <w:color w:val="auto"/>
                <w:w w:val="99"/>
                <w:vertAlign w:val="superscript"/>
              </w:rPr>
              <w:t>(4)</w:t>
            </w: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(5)</w:t>
            </w: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4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2,170.4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2,476.1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2,243.6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2,331.5</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4"/>
                <w:szCs w:val="14"/>
                <w:color w:val="auto"/>
              </w:rPr>
              <w:t>JANZ</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423.8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184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3,719.1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4,178.2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3,916.2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4,013.4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ind w:left="68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gridSpan w:val="2"/>
          </w:tcPr>
          <w:p>
            <w:pPr>
              <w:ind w:left="800"/>
              <w:spacing w:after="0"/>
              <w:rPr>
                <w:sz w:val="20"/>
                <w:szCs w:val="20"/>
                <w:color w:val="auto"/>
              </w:rPr>
            </w:pPr>
            <w:r>
              <w:rPr>
                <w:rFonts w:ascii="Arial" w:cs="Arial" w:eastAsia="Arial" w:hAnsi="Arial"/>
                <w:sz w:val="14"/>
                <w:szCs w:val="14"/>
                <w:color w:val="auto"/>
              </w:rPr>
              <w:t>NM</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4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Consolidated total</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3,729.1</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4,191.7</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3,926.5</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9"/>
                <w:szCs w:val="9"/>
                <w:color w:val="auto"/>
              </w:rPr>
              <w:t>(7)</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660" w:hanging="328"/>
        <w:spacing w:after="0" w:line="232" w:lineRule="auto"/>
        <w:tabs>
          <w:tab w:leader="none" w:pos="636"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biosimilars net sales in the relevant period.</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2022 biosimilars net sales for the relevant period.</w:t>
      </w:r>
    </w:p>
    <w:p>
      <w:pPr>
        <w:spacing w:after="0" w:line="58"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4" w:lineRule="exact"/>
        <w:rPr>
          <w:rFonts w:ascii="Arial" w:cs="Arial" w:eastAsia="Arial" w:hAnsi="Arial"/>
          <w:sz w:val="21"/>
          <w:szCs w:val="21"/>
          <w:color w:val="auto"/>
          <w:vertAlign w:val="superscript"/>
        </w:rPr>
      </w:pPr>
    </w:p>
    <w:p>
      <w:pPr>
        <w:ind w:left="660" w:right="20" w:hanging="328"/>
        <w:spacing w:after="0" w:line="226" w:lineRule="auto"/>
        <w:tabs>
          <w:tab w:leader="none" w:pos="65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2023, other revenues in Developed Markets, JANZ, and Emerging Markets were approximately $7.1 million, $0.2 million, and $2.7 million, respectively.</w:t>
      </w:r>
    </w:p>
    <w:p>
      <w:pPr>
        <w:spacing w:after="0" w:line="1"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89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5"/>
                <w:szCs w:val="15"/>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09"/>
        </w:trPr>
        <w:tc>
          <w:tcPr>
            <w:tcW w:w="84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2,186.9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2,420.5</w:t>
            </w:r>
          </w:p>
        </w:tc>
        <w:tc>
          <w:tcPr>
            <w:tcW w:w="0" w:type="dxa"/>
            <w:vAlign w:val="bottom"/>
          </w:tcPr>
          <w:p>
            <w:pPr>
              <w:spacing w:after="0"/>
              <w:rPr>
                <w:sz w:val="1"/>
                <w:szCs w:val="1"/>
                <w:color w:val="auto"/>
              </w:rPr>
            </w:pPr>
          </w:p>
        </w:tc>
      </w:tr>
      <w:tr>
        <w:trPr>
          <w:trHeight w:val="198"/>
        </w:trPr>
        <w:tc>
          <w:tcPr>
            <w:tcW w:w="848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(658.8)</w:t>
            </w:r>
          </w:p>
        </w:tc>
        <w:tc>
          <w:tcPr>
            <w:tcW w:w="0" w:type="dxa"/>
            <w:vAlign w:val="bottom"/>
          </w:tcPr>
          <w:p>
            <w:pPr>
              <w:spacing w:after="0"/>
              <w:rPr>
                <w:sz w:val="1"/>
                <w:szCs w:val="1"/>
                <w:color w:val="auto"/>
              </w:rPr>
            </w:pP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Acquisition and divestiture related items</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1,478.2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1,698.3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2,250.9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2,493.4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 related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(d)</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160655</wp:posOffset>
            </wp:positionV>
            <wp:extent cx="71062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 as % of total revenues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SG&amp;A</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 related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Purchase accounting amortization and other related items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(d)</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 and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160655</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SG&amp;A as % of total revenues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316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182.9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142.3</w:t>
            </w:r>
          </w:p>
        </w:tc>
      </w:tr>
      <w:tr>
        <w:trPr>
          <w:trHeight w:val="405"/>
        </w:trPr>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6"/>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138.6</w:t>
            </w:r>
          </w:p>
        </w:tc>
      </w:tr>
      <w:tr>
        <w:trPr>
          <w:trHeight w:val="25"/>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r>
      <w:tr>
        <w:trPr>
          <w:trHeight w:val="25"/>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316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958.9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915.3</w:t>
            </w:r>
          </w:p>
        </w:tc>
      </w:tr>
      <w:tr>
        <w:trPr>
          <w:trHeight w:val="405"/>
        </w:trPr>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(73.8)</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(3.7)</w:t>
            </w:r>
          </w:p>
        </w:tc>
      </w:tr>
      <w:tr>
        <w:trPr>
          <w:trHeight w:val="203"/>
        </w:trPr>
        <w:tc>
          <w:tcPr>
            <w:tcW w:w="28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(0.1)</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(26.5)</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829.4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803.8</w:t>
            </w:r>
          </w:p>
        </w:tc>
      </w:tr>
      <w:tr>
        <w:trPr>
          <w:trHeight w:val="25"/>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24"/>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80" w:space="720"/>
            <w:col w:w="2720"/>
          </w:cols>
          <w:pgMar w:left="320" w:top="890" w:right="35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20"/>
          </w:cols>
          <w:pgMar w:left="320" w:top="890" w:right="359" w:bottom="1440" w:gutter="0" w:footer="0" w:header="0"/>
          <w:type w:val="continuous"/>
        </w:sectPr>
      </w:pPr>
    </w:p>
    <w:bookmarkStart w:id="18" w:name="page19"/>
    <w:bookmarkEnd w:id="18"/>
    <w:tbl>
      <w:tblPr>
        <w:tblLayout w:type="fixed"/>
        <w:tblInd w:w="4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09"/>
        </w:trPr>
        <w:tc>
          <w:tcPr>
            <w:tcW w:w="86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1,063.8</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8680" w:type="dxa"/>
            <w:vAlign w:val="bottom"/>
          </w:tcPr>
          <w:p>
            <w:pPr>
              <w:ind w:left="20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200"/>
        </w:trPr>
        <w:tc>
          <w:tcPr>
            <w:tcW w:w="8680" w:type="dxa"/>
            <w:vAlign w:val="bottom"/>
          </w:tcPr>
          <w:p>
            <w:pPr>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996.4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1,254.5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premiums and discounts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other (income) expense, net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Clean energy investments pre-tax gain </w:t>
      </w:r>
      <w:r>
        <w:rPr>
          <w:rFonts w:ascii="Arial" w:cs="Arial" w:eastAsia="Arial" w:hAnsi="Arial"/>
          <w:sz w:val="9"/>
          <w:szCs w:val="9"/>
          <w:color w:val="auto"/>
        </w:rPr>
        <w:t>(c)</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Famy Life Sciences gain (remeasurement of original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(d)</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944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89"/>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146.2</w:t>
            </w:r>
          </w:p>
        </w:tc>
      </w:tr>
      <w:tr>
        <w:trPr>
          <w:trHeight w:val="405"/>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06"/>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w:t>
            </w:r>
          </w:p>
        </w:tc>
      </w:tr>
      <w:tr>
        <w:trPr>
          <w:trHeight w:val="24"/>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944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89"/>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405"/>
        </w:trPr>
        <w:tc>
          <w:tcPr>
            <w:tcW w:w="2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r>
      <w:tr>
        <w:trPr>
          <w:trHeight w:val="25"/>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23495</wp:posOffset>
            </wp:positionV>
            <wp:extent cx="1731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0" w:lineRule="exact"/>
        <w:rPr>
          <w:sz w:val="20"/>
          <w:szCs w:val="20"/>
          <w:color w:val="auto"/>
        </w:rPr>
      </w:pPr>
    </w:p>
    <w:p>
      <w:pPr>
        <w:ind w:left="240"/>
        <w:spacing w:after="0"/>
        <w:tabs>
          <w:tab w:leader="none" w:pos="16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35" w:lineRule="exact"/>
        <w:rPr>
          <w:sz w:val="20"/>
          <w:szCs w:val="20"/>
          <w:color w:val="auto"/>
        </w:rPr>
      </w:pPr>
    </w:p>
    <w:p>
      <w:pPr>
        <w:sectPr>
          <w:pgSz w:w="11900" w:h="16838" w:orient="portrait"/>
          <w:cols w:equalWidth="0" w:num="2">
            <w:col w:w="8000" w:space="720"/>
            <w:col w:w="252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before income taxes</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322.7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9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828.3</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1,355.8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9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177.7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660" w:hanging="328"/>
        <w:spacing w:after="0" w:line="234" w:lineRule="auto"/>
        <w:tabs>
          <w:tab w:leader="none" w:pos="65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94" w:lineRule="exact"/>
        <w:rPr>
          <w:rFonts w:ascii="Arial" w:cs="Arial" w:eastAsia="Arial" w:hAnsi="Arial"/>
          <w:sz w:val="19"/>
          <w:szCs w:val="19"/>
          <w:color w:val="auto"/>
          <w:vertAlign w:val="superscript"/>
        </w:rPr>
      </w:pPr>
    </w:p>
    <w:p>
      <w:pPr>
        <w:ind w:left="660" w:hanging="328"/>
        <w:spacing w:after="0" w:line="231" w:lineRule="auto"/>
        <w:tabs>
          <w:tab w:leader="none" w:pos="65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93" w:lineRule="exact"/>
        <w:rPr>
          <w:rFonts w:ascii="Arial" w:cs="Arial" w:eastAsia="Arial" w:hAnsi="Arial"/>
          <w:sz w:val="19"/>
          <w:szCs w:val="19"/>
          <w:color w:val="auto"/>
          <w:vertAlign w:val="superscript"/>
        </w:rPr>
      </w:pPr>
    </w:p>
    <w:p>
      <w:pPr>
        <w:ind w:left="660" w:hanging="328"/>
        <w:spacing w:after="0" w:line="222" w:lineRule="auto"/>
        <w:tabs>
          <w:tab w:leader="none" w:pos="64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Viatris' clean energy investments, the activities of which qualify for income tax credits under section 45 of the U.S. Internal Revenue Code of 1986, as amended.</w:t>
      </w:r>
    </w:p>
    <w:p>
      <w:pPr>
        <w:spacing w:after="0" w:line="1" w:lineRule="exact"/>
        <w:rPr>
          <w:rFonts w:ascii="Arial" w:cs="Arial" w:eastAsia="Arial" w:hAnsi="Arial"/>
          <w:sz w:val="19"/>
          <w:szCs w:val="19"/>
          <w:color w:val="auto"/>
          <w:vertAlign w:val="superscript"/>
        </w:rPr>
      </w:pPr>
    </w:p>
    <w:p>
      <w:pPr>
        <w:ind w:left="640" w:hanging="308"/>
        <w:spacing w:after="0" w:line="237" w:lineRule="auto"/>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94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Reconciliation of Estimated 2023 U.S. GAAP Net Cash Provided by Operating Activities to Free Cash Flow</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2023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$3,100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$(500)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100" w:hanging="328"/>
        <w:spacing w:after="0" w:line="222" w:lineRule="auto"/>
        <w:tabs>
          <w:tab w:leader="none" w:pos="65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Includes the full year expected performance for the planned divestitures and excludes any potential related costs, such as taxes and transaction costs, as well as any similar costs related to the eye care acquisitions. Also excludes any future acquired IPR&amp;D for unsigned deals.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240"/>
      </w:cols>
      <w:pgMar w:left="320" w:top="13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2023-05-08T06:53:35Z</dcterms:created>
  <dcterms:modified xsi:type="dcterms:W3CDTF">2023-05-08T06:53:35Z</dcterms:modified>
</cp:coreProperties>
</file>