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spacing w:before="0" w:after="0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  <w:shd w:fill="auto" w:val="clear"/>
          </w:tcPr>
          <w:p>
            <w:pPr>
              <w:pStyle w:val="TableContents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3">
                    <w:r>
                      <w:rPr>
                        <w:rStyle w:val="InternetLink"/>
                      </w:rPr>
                      <w:t>Narula Sanjeev</w:t>
                    </w:r>
                  </w:hyperlink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1000 MYLAN BOULEVARD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CANONSBURG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15317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Viatris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VTRS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09/22/2021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12854" w:type="dxa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055"/>
        <w:gridCol w:w="861"/>
        <w:gridCol w:w="891"/>
        <w:gridCol w:w="771"/>
        <w:gridCol w:w="591"/>
        <w:gridCol w:w="300"/>
        <w:gridCol w:w="921"/>
        <w:gridCol w:w="276"/>
        <w:gridCol w:w="906"/>
        <w:gridCol w:w="801"/>
        <w:gridCol w:w="891"/>
        <w:gridCol w:w="1041"/>
        <w:gridCol w:w="801"/>
        <w:gridCol w:w="1071"/>
        <w:gridCol w:w="831"/>
        <w:gridCol w:w="846"/>
      </w:tblGrid>
      <w:tr>
        <w:trPr>
          <w:tblHeader w:val="true"/>
        </w:trPr>
        <w:tc>
          <w:tcPr>
            <w:tcW w:w="1285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10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19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93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10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0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10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10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Dividend Equivalent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09/22/2021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171.9467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Common Stock</w:t>
            </w:r>
          </w:p>
        </w:tc>
        <w:tc>
          <w:tcPr>
            <w:tcW w:w="10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171.9467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0.00</w:t>
            </w:r>
            <w:r>
              <w:rPr/>
              <w:t xml:space="preserve"> </w:t>
            </w:r>
          </w:p>
        </w:tc>
        <w:tc>
          <w:tcPr>
            <w:tcW w:w="10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325.4986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Dividend Equivalent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09/22/2021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634.3156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(2)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Common Stock</w:t>
            </w:r>
          </w:p>
        </w:tc>
        <w:tc>
          <w:tcPr>
            <w:tcW w:w="10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634.3156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0.00</w:t>
            </w:r>
            <w:r>
              <w:rPr/>
              <w:t xml:space="preserve"> </w:t>
            </w:r>
          </w:p>
        </w:tc>
        <w:tc>
          <w:tcPr>
            <w:tcW w:w="10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1,200.7722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dividend equivalent units ("DEUs") that accrued with respect to restricted stock units ("RSUs") previously granted on November 20, 2020 and vest on the same schedule as the underlying RSUs.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DEUs that accrued with respect to RSUs previously granted on March 2, 2021 and vest on the same schedule as the underlying RSUs.</w:t>
            </w:r>
          </w:p>
        </w:tc>
      </w:tr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/s/ Kevin Macikowski, by power of attorney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09/24/2021</w:t>
            </w:r>
          </w:p>
        </w:tc>
      </w:tr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arial">
    <w:altName w:val="helvetica"/>
    <w:charset w:val="00"/>
    <w:family w:val="auto"/>
    <w:pitch w:val="default"/>
  </w:font>
  <w:font w:name="Times">
    <w:altName w:val="Times New Roman"/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WenQuanYi Zen Hei Sharp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WenQuanYi Zen Hei Sharp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DejaVu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styleId="List">
    <w:name w:val="List"/>
    <w:basedOn w:val="TextBody"/>
    <w:pPr/>
    <w:rPr>
      <w:rFonts w:cs="DejaVu Sans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820590" TargetMode="External"/><Relationship Id="rId4" Type="http://schemas.openxmlformats.org/officeDocument/2006/relationships/hyperlink" Target="http://www.sec.gov/cgi-bin/browse-edgar?action=getcompany&amp;CIK=0001792044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2</Pages>
  <Words>596</Words>
  <CharactersWithSpaces>3774</CharactersWithSpaces>
  <Paragraphs>111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