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5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1"/>
          <w:szCs w:val="21"/>
          <w:b w:val="1"/>
          <w:bCs w:val="1"/>
          <w:color w:val="auto"/>
        </w:rPr>
        <w:t>_______________</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Date of Report (Date of earliest event reported): November 7, 2022</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1"/>
          <w:szCs w:val="41"/>
          <w:b w:val="1"/>
          <w:bCs w:val="1"/>
          <w:color w:val="auto"/>
        </w:rPr>
        <w:t>VIATRIS INC.</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(Exact name of registrant as specified in its charter)</w:t>
      </w:r>
    </w:p>
    <w:p>
      <w:pPr>
        <w:sectPr>
          <w:pgSz w:w="11900" w:h="16838" w:orient="portrait"/>
          <w:cols w:equalWidth="0" w:num="1">
            <w:col w:w="11240"/>
          </w:cols>
          <w:pgMar w:left="320" w:top="945" w:right="339" w:bottom="1440" w:gutter="0" w:footer="0" w:header="0"/>
        </w:sectPr>
      </w:pPr>
    </w:p>
    <w:p>
      <w:pPr>
        <w:spacing w:after="0" w:line="218"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8" w:lineRule="exact"/>
        <w:rPr>
          <w:sz w:val="24"/>
          <w:szCs w:val="24"/>
          <w:color w:val="auto"/>
        </w:rPr>
      </w:pPr>
    </w:p>
    <w:p>
      <w:pPr>
        <w:jc w:val="center"/>
        <w:ind w:left="22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b w:val="1"/>
          <w:bCs w:val="1"/>
          <w:color w:val="auto"/>
        </w:rPr>
        <w:t>001-39695</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(Commission</w:t>
      </w:r>
    </w:p>
    <w:p>
      <w:pPr>
        <w:ind w:left="20"/>
        <w:spacing w:after="0"/>
        <w:rPr>
          <w:sz w:val="20"/>
          <w:szCs w:val="20"/>
          <w:color w:val="auto"/>
        </w:rPr>
      </w:pPr>
      <w:r>
        <w:rPr>
          <w:rFonts w:ascii="Times New Roman" w:cs="Times New Roman" w:eastAsia="Times New Roman" w:hAnsi="Times New Roman"/>
          <w:sz w:val="16"/>
          <w:szCs w:val="16"/>
          <w:color w:val="auto"/>
        </w:rPr>
        <w:t>File Number)</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b w:val="1"/>
          <w:bCs w:val="1"/>
          <w:color w:val="auto"/>
        </w:rPr>
        <w:t>83-4364296</w:t>
      </w:r>
    </w:p>
    <w:p>
      <w:pPr>
        <w:spacing w:after="0" w:line="208"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420" w:space="720"/>
            <w:col w:w="1820" w:space="720"/>
            <w:col w:w="3560"/>
          </w:cols>
          <w:pgMar w:left="320" w:top="945" w:right="339" w:bottom="1440" w:gutter="0" w:footer="0" w:header="0"/>
          <w:type w:val="continuous"/>
        </w:sectPr>
      </w:pP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1000 Mylan Boulevard, Canonsburg, Pennsylvania, 15317</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 xml:space="preserve">Registrant's telephone number, including area code: </w:t>
      </w:r>
      <w:r>
        <w:rPr>
          <w:rFonts w:ascii="Times New Roman" w:cs="Times New Roman" w:eastAsia="Times New Roman" w:hAnsi="Times New Roman"/>
          <w:sz w:val="21"/>
          <w:szCs w:val="21"/>
          <w:b w:val="1"/>
          <w:bCs w:val="1"/>
          <w:color w:val="auto"/>
        </w:rPr>
        <w:t>(724) 514-1800</w:t>
      </w:r>
    </w:p>
    <w:p>
      <w:pPr>
        <w:spacing w:after="0" w:line="313" w:lineRule="exact"/>
        <w:rPr>
          <w:sz w:val="24"/>
          <w:szCs w:val="24"/>
          <w:color w:val="auto"/>
        </w:rPr>
      </w:pPr>
    </w:p>
    <w:p>
      <w:pPr>
        <w:ind w:right="140" w:firstLine="309"/>
        <w:spacing w:after="0" w:line="287"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35" w:lineRule="exact"/>
        <w:rPr>
          <w:sz w:val="24"/>
          <w:szCs w:val="24"/>
          <w:color w:val="auto"/>
        </w:rPr>
      </w:pPr>
    </w:p>
    <w:p>
      <w:pPr>
        <w:ind w:left="640" w:hanging="327"/>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01" w:lineRule="exact"/>
        <w:rPr>
          <w:rFonts w:ascii="MS PGothic" w:cs="MS PGothic" w:eastAsia="MS PGothic" w:hAnsi="MS PGothic"/>
          <w:sz w:val="17"/>
          <w:szCs w:val="17"/>
          <w:color w:val="auto"/>
        </w:rPr>
      </w:pPr>
    </w:p>
    <w:p>
      <w:pPr>
        <w:ind w:left="640" w:hanging="327"/>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88" w:lineRule="exact"/>
        <w:rPr>
          <w:rFonts w:ascii="MS PGothic" w:cs="MS PGothic" w:eastAsia="MS PGothic" w:hAnsi="MS PGothic"/>
          <w:sz w:val="17"/>
          <w:szCs w:val="17"/>
          <w:color w:val="auto"/>
        </w:rPr>
      </w:pPr>
    </w:p>
    <w:p>
      <w:pPr>
        <w:ind w:left="640" w:hanging="327"/>
        <w:spacing w:after="0"/>
        <w:tabs>
          <w:tab w:leader="none" w:pos="64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 (b))</w:t>
      </w:r>
    </w:p>
    <w:p>
      <w:pPr>
        <w:spacing w:after="0" w:line="101" w:lineRule="exact"/>
        <w:rPr>
          <w:rFonts w:ascii="MS PGothic" w:cs="MS PGothic" w:eastAsia="MS PGothic" w:hAnsi="MS PGothic"/>
          <w:sz w:val="17"/>
          <w:szCs w:val="17"/>
          <w:color w:val="auto"/>
        </w:rPr>
      </w:pPr>
    </w:p>
    <w:p>
      <w:pPr>
        <w:ind w:right="2880" w:firstLine="313"/>
        <w:spacing w:after="0" w:line="390" w:lineRule="auto"/>
        <w:tabs>
          <w:tab w:leader="none" w:pos="636"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 (c))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53"/>
        </w:trPr>
        <w:tc>
          <w:tcPr>
            <w:tcW w:w="446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9"/>
              </w:rPr>
              <w:t>Title of each class</w:t>
            </w: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9"/>
                <w:szCs w:val="19"/>
                <w:b w:val="1"/>
                <w:bCs w:val="1"/>
                <w:color w:val="auto"/>
                <w:w w:val="98"/>
              </w:rPr>
              <w:t>Trading Symbol(s)</w:t>
            </w:r>
          </w:p>
        </w:tc>
        <w:tc>
          <w:tcPr>
            <w:tcW w:w="43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Name of each exchange on which registered</w:t>
            </w:r>
          </w:p>
        </w:tc>
      </w:tr>
      <w:tr>
        <w:trPr>
          <w:trHeight w:val="224"/>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 Stock, par value $0.01 per share</w:t>
            </w:r>
          </w:p>
        </w:tc>
        <w:tc>
          <w:tcPr>
            <w:tcW w:w="100" w:type="dxa"/>
            <w:vAlign w:val="bottom"/>
          </w:tcPr>
          <w:p>
            <w:pPr>
              <w:spacing w:after="0"/>
              <w:rPr>
                <w:sz w:val="19"/>
                <w:szCs w:val="19"/>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VTRS</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The NASDAQ Stock Market</w:t>
            </w:r>
          </w:p>
        </w:tc>
      </w:tr>
    </w:tbl>
    <w:p>
      <w:pPr>
        <w:spacing w:after="0" w:line="375" w:lineRule="exact"/>
        <w:rPr>
          <w:sz w:val="24"/>
          <w:szCs w:val="24"/>
          <w:color w:val="auto"/>
        </w:rPr>
      </w:pPr>
    </w:p>
    <w:p>
      <w:pPr>
        <w:ind w:right="80" w:firstLine="309"/>
        <w:spacing w:after="0" w:line="287"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 w:lineRule="exact"/>
        <w:rPr>
          <w:sz w:val="24"/>
          <w:szCs w:val="24"/>
          <w:color w:val="auto"/>
        </w:rPr>
      </w:pPr>
    </w:p>
    <w:p>
      <w:pPr>
        <w:ind w:left="3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16" w:lineRule="exact"/>
        <w:rPr>
          <w:sz w:val="24"/>
          <w:szCs w:val="24"/>
          <w:color w:val="auto"/>
        </w:rPr>
      </w:pPr>
    </w:p>
    <w:p>
      <w:pPr>
        <w:ind w:left="320" w:right="180"/>
        <w:spacing w:after="0" w:line="224"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713105</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2.02 Results of Operations and Financial Condition.</w:t>
      </w:r>
    </w:p>
    <w:p>
      <w:pPr>
        <w:spacing w:after="0" w:line="221" w:lineRule="exact"/>
        <w:rPr>
          <w:sz w:val="20"/>
          <w:szCs w:val="20"/>
          <w:color w:val="auto"/>
        </w:rPr>
      </w:pPr>
    </w:p>
    <w:p>
      <w:pPr>
        <w:ind w:right="140"/>
        <w:spacing w:after="0" w:line="287" w:lineRule="auto"/>
        <w:rPr>
          <w:sz w:val="20"/>
          <w:szCs w:val="20"/>
          <w:color w:val="auto"/>
        </w:rPr>
      </w:pPr>
      <w:r>
        <w:rPr>
          <w:rFonts w:ascii="Times New Roman" w:cs="Times New Roman" w:eastAsia="Times New Roman" w:hAnsi="Times New Roman"/>
          <w:sz w:val="17"/>
          <w:szCs w:val="17"/>
          <w:color w:val="auto"/>
        </w:rPr>
        <w:t>On November 7, 2022, Viatris Inc. (“Viatris” or the “Company”) issued a press release reporting the Company's financial results for the period ended September 30, 2022. A copy of the press release is attached hereto as Exhibit 99.1 and is incorporated herein by reference.</w:t>
      </w:r>
    </w:p>
    <w:p>
      <w:pPr>
        <w:spacing w:after="0" w:line="17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information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8.01 Other Events.</w:t>
      </w:r>
    </w:p>
    <w:p>
      <w:pPr>
        <w:spacing w:after="0" w:line="234"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As previously announced, Viatris will host a conference call and live webcast today at 8:30 a.m. ET to review the Company's financial results for the period ended September 30, 2022 and provide a strategic update on its February 2022 investor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503555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color w:val="auto"/>
        </w:rPr>
        <w:t>Item 9.01 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w:t>
            </w:r>
          </w:p>
        </w:tc>
        <w:tc>
          <w:tcPr>
            <w:tcW w:w="100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Exhibits.</w:t>
            </w:r>
          </w:p>
        </w:tc>
      </w:tr>
      <w:tr>
        <w:trPr>
          <w:trHeight w:val="421"/>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10080" w:type="dxa"/>
            <w:vAlign w:val="bottom"/>
          </w:tcPr>
          <w:p>
            <w:pPr>
              <w:ind w:left="32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4"/>
        </w:trPr>
        <w:tc>
          <w:tcPr>
            <w:tcW w:w="20" w:type="dxa"/>
            <w:vAlign w:val="bottom"/>
          </w:tcPr>
          <w:p>
            <w:pPr>
              <w:spacing w:after="0"/>
              <w:rPr>
                <w:sz w:val="16"/>
                <w:szCs w:val="16"/>
                <w:color w:val="auto"/>
              </w:rPr>
            </w:pPr>
          </w:p>
        </w:tc>
        <w:tc>
          <w:tcPr>
            <w:tcW w:w="114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FF"/>
              </w:rPr>
              <w:t>99.</w:t>
            </w:r>
            <w:r>
              <w:rPr>
                <w:rFonts w:ascii="Times New Roman" w:cs="Times New Roman" w:eastAsia="Times New Roman" w:hAnsi="Times New Roman"/>
                <w:sz w:val="17"/>
                <w:szCs w:val="17"/>
                <w:u w:val="single" w:color="auto"/>
                <w:color w:val="0000FF"/>
              </w:rPr>
              <w:t>1</w:t>
            </w:r>
          </w:p>
        </w:tc>
        <w:tc>
          <w:tcPr>
            <w:tcW w:w="10080" w:type="dxa"/>
            <w:vAlign w:val="bottom"/>
          </w:tcPr>
          <w:p>
            <w:pPr>
              <w:ind w:left="320"/>
              <w:spacing w:after="0" w:line="184" w:lineRule="exact"/>
              <w:rPr>
                <w:sz w:val="20"/>
                <w:szCs w:val="20"/>
                <w:color w:val="auto"/>
              </w:rPr>
            </w:pPr>
            <w:r>
              <w:rPr>
                <w:rFonts w:ascii="Times New Roman" w:cs="Times New Roman" w:eastAsia="Times New Roman" w:hAnsi="Times New Roman"/>
                <w:sz w:val="17"/>
                <w:szCs w:val="17"/>
                <w:color w:val="auto"/>
              </w:rPr>
              <w:t>Press release announcing the Company's financial results for the third quarter of 2022, dated November 7, 2022.</w:t>
            </w:r>
          </w:p>
        </w:tc>
      </w:tr>
      <w:tr>
        <w:trPr>
          <w:trHeight w:val="238"/>
        </w:trPr>
        <w:tc>
          <w:tcPr>
            <w:tcW w:w="20" w:type="dxa"/>
            <w:vAlign w:val="bottom"/>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7"/>
                <w:szCs w:val="17"/>
                <w:color w:val="auto"/>
              </w:rPr>
              <w:t>104</w:t>
            </w:r>
          </w:p>
        </w:tc>
        <w:tc>
          <w:tcPr>
            <w:tcW w:w="840" w:type="dxa"/>
            <w:vAlign w:val="bottom"/>
          </w:tcPr>
          <w:p>
            <w:pPr>
              <w:spacing w:after="0"/>
              <w:rPr>
                <w:sz w:val="20"/>
                <w:szCs w:val="20"/>
                <w:color w:val="auto"/>
              </w:rPr>
            </w:pPr>
          </w:p>
        </w:tc>
        <w:tc>
          <w:tcPr>
            <w:tcW w:w="100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 the Inline XBRL document.</w:t>
            </w:r>
          </w:p>
        </w:tc>
      </w:tr>
      <w:tr>
        <w:trPr>
          <w:trHeight w:val="934"/>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 w:name="page4"/>
    <w:bookmarkEnd w:id="3"/>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169" w:lineRule="exact"/>
        <w:rPr>
          <w:sz w:val="20"/>
          <w:szCs w:val="20"/>
          <w:color w:val="auto"/>
        </w:rPr>
      </w:pPr>
    </w:p>
    <w:p>
      <w:pPr>
        <w:ind w:firstLine="425"/>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VIATRIS INC.</w:t>
      </w:r>
    </w:p>
    <w:p>
      <w:pPr>
        <w:spacing w:after="0" w:line="230" w:lineRule="exact"/>
        <w:rPr>
          <w:sz w:val="20"/>
          <w:szCs w:val="20"/>
          <w:color w:val="auto"/>
        </w:rPr>
      </w:pPr>
    </w:p>
    <w:p>
      <w:pPr>
        <w:ind w:left="40"/>
        <w:spacing w:after="0"/>
        <w:tabs>
          <w:tab w:leader="none" w:pos="620" w:val="left"/>
          <w:tab w:leader="none" w:pos="6600" w:val="left"/>
          <w:tab w:leader="none" w:pos="7240" w:val="left"/>
        </w:tabs>
        <w:rPr>
          <w:sz w:val="20"/>
          <w:szCs w:val="20"/>
          <w:color w:val="auto"/>
        </w:rPr>
      </w:pPr>
      <w:r>
        <w:rPr>
          <w:rFonts w:ascii="Times New Roman" w:cs="Times New Roman" w:eastAsia="Times New Roman" w:hAnsi="Times New Roman"/>
          <w:sz w:val="17"/>
          <w:szCs w:val="17"/>
          <w:color w:val="auto"/>
        </w:rPr>
        <w:t>Date:</w:t>
        <w:tab/>
        <w:t>November 7, 2022</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4602480</wp:posOffset>
            </wp:positionH>
            <wp:positionV relativeFrom="paragraph">
              <wp:posOffset>17145</wp:posOffset>
            </wp:positionV>
            <wp:extent cx="2521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8255"/>
                    </a:xfrm>
                    <a:prstGeom prst="rect">
                      <a:avLst/>
                    </a:prstGeom>
                    <a:noFill/>
                  </pic:spPr>
                </pic:pic>
              </a:graphicData>
            </a:graphic>
          </wp:anchor>
        </w:drawing>
      </w:r>
    </w:p>
    <w:p>
      <w:pPr>
        <w:spacing w:after="0" w:line="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7"/>
          <w:szCs w:val="17"/>
          <w:color w:val="auto"/>
        </w:rPr>
        <w:t>Sanjeev Narula</w:t>
      </w:r>
    </w:p>
    <w:p>
      <w:pPr>
        <w:ind w:left="7260"/>
        <w:spacing w:after="0"/>
        <w:rPr>
          <w:sz w:val="20"/>
          <w:szCs w:val="20"/>
          <w:color w:val="auto"/>
        </w:rPr>
      </w:pPr>
      <w:r>
        <w:rPr>
          <w:rFonts w:ascii="Times New Roman" w:cs="Times New Roman" w:eastAsia="Times New Roman" w:hAnsi="Times New Roman"/>
          <w:sz w:val="17"/>
          <w:szCs w:val="17"/>
          <w:color w:val="auto"/>
        </w:rPr>
        <w:t>Chief Financial Officer</w:t>
      </w:r>
    </w:p>
    <w:p>
      <w:pPr>
        <w:sectPr>
          <w:pgSz w:w="11900" w:h="16838" w:orient="portrait"/>
          <w:cols w:equalWidth="0" w:num="1">
            <w:col w:w="11120"/>
          </w:cols>
          <w:pgMar w:left="320" w:top="1163" w:right="4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555625</wp:posOffset>
            </wp:positionV>
            <wp:extent cx="1563370" cy="614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63370" cy="61404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21"/>
          <w:szCs w:val="21"/>
          <w:b w:val="1"/>
          <w:bCs w:val="1"/>
          <w:color w:val="auto"/>
        </w:rPr>
        <w:t>Viatris Reports Strong Third Quarter 2022 Results</w:t>
      </w:r>
    </w:p>
    <w:p>
      <w:pPr>
        <w:spacing w:after="0" w:line="204" w:lineRule="exact"/>
        <w:rPr>
          <w:sz w:val="20"/>
          <w:szCs w:val="20"/>
          <w:color w:val="auto"/>
        </w:rPr>
      </w:pPr>
    </w:p>
    <w:p>
      <w:pPr>
        <w:ind w:left="320" w:right="440" w:hanging="317"/>
        <w:spacing w:after="0" w:line="304" w:lineRule="auto"/>
        <w:tabs>
          <w:tab w:leader="none" w:pos="31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Reaffirms 2022 Guidance Ranges [1] Across Total Revenues, Adjusted EBITDA and Free Cash Flow; Driven by Solid Operating Momentum Despite Foreign Exchange Headwinds and Absorbing Inflation Impact to Date</w:t>
      </w:r>
    </w:p>
    <w:p>
      <w:pPr>
        <w:spacing w:after="0" w:line="123" w:lineRule="exact"/>
        <w:rPr>
          <w:rFonts w:ascii="Arial" w:cs="Arial" w:eastAsia="Arial" w:hAnsi="Arial"/>
          <w:sz w:val="17"/>
          <w:szCs w:val="17"/>
          <w:b w:val="1"/>
          <w:bCs w:val="1"/>
          <w:color w:val="auto"/>
        </w:rPr>
      </w:pPr>
    </w:p>
    <w:p>
      <w:pPr>
        <w:ind w:left="320" w:right="140" w:hanging="317"/>
        <w:spacing w:after="0" w:line="304" w:lineRule="auto"/>
        <w:tabs>
          <w:tab w:leader="none" w:pos="31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Reports Total Revenues of $4.08 billion; U.S. GAAP Net Earnings of $354 million; Adjusted EBITDA of $1.50 billion; U.S. GAAP Net Cash Provided by Operating Activities of $869 million; and Free Cash Flow of $765 million</w:t>
      </w:r>
    </w:p>
    <w:p>
      <w:pPr>
        <w:spacing w:after="0" w:line="123" w:lineRule="exact"/>
        <w:rPr>
          <w:rFonts w:ascii="Arial" w:cs="Arial" w:eastAsia="Arial" w:hAnsi="Arial"/>
          <w:sz w:val="17"/>
          <w:szCs w:val="17"/>
          <w:b w:val="1"/>
          <w:bCs w:val="1"/>
          <w:color w:val="auto"/>
        </w:rPr>
      </w:pPr>
    </w:p>
    <w:p>
      <w:pPr>
        <w:ind w:left="320" w:right="920" w:hanging="317"/>
        <w:spacing w:after="0" w:line="304" w:lineRule="auto"/>
        <w:tabs>
          <w:tab w:leader="none" w:pos="316"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Strong Year-to-Date Cash Flow; Approximately $2.81 billion of U.S. GAAP Net Cash Provided by Operating Activities and Approximately $2.56 billion in Free Cash Flow</w:t>
      </w:r>
    </w:p>
    <w:p>
      <w:pPr>
        <w:spacing w:after="0" w:line="123" w:lineRule="exact"/>
        <w:rPr>
          <w:rFonts w:ascii="Arial" w:cs="Arial" w:eastAsia="Arial" w:hAnsi="Arial"/>
          <w:sz w:val="17"/>
          <w:szCs w:val="17"/>
          <w:b w:val="1"/>
          <w:bCs w:val="1"/>
          <w:color w:val="auto"/>
        </w:rPr>
      </w:pPr>
    </w:p>
    <w:p>
      <w:pPr>
        <w:ind w:left="300" w:hanging="297"/>
        <w:spacing w:after="0"/>
        <w:tabs>
          <w:tab w:leader="none" w:pos="3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Meets Annual Target of Paying Down Approximately $2.1 billion of Debt Year to Date, One Quarter Ahead of Schedule</w:t>
      </w:r>
    </w:p>
    <w:p>
      <w:pPr>
        <w:spacing w:after="0" w:line="217" w:lineRule="exact"/>
        <w:rPr>
          <w:rFonts w:ascii="Arial" w:cs="Arial" w:eastAsia="Arial" w:hAnsi="Arial"/>
          <w:sz w:val="17"/>
          <w:szCs w:val="17"/>
          <w:b w:val="1"/>
          <w:bCs w:val="1"/>
          <w:color w:val="auto"/>
        </w:rPr>
      </w:pPr>
    </w:p>
    <w:p>
      <w:pPr>
        <w:ind w:left="300" w:hanging="297"/>
        <w:spacing w:after="0"/>
        <w:tabs>
          <w:tab w:leader="none" w:pos="30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Board of Directors Declares Quarterly Dividend of $0.12 Per Share</w:t>
      </w:r>
    </w:p>
    <w:p>
      <w:pPr>
        <w:spacing w:after="0" w:line="200" w:lineRule="exact"/>
        <w:rPr>
          <w:sz w:val="20"/>
          <w:szCs w:val="20"/>
          <w:color w:val="auto"/>
        </w:rPr>
      </w:pPr>
    </w:p>
    <w:p>
      <w:pPr>
        <w:spacing w:after="0" w:line="330" w:lineRule="exact"/>
        <w:rPr>
          <w:sz w:val="20"/>
          <w:szCs w:val="20"/>
          <w:color w:val="auto"/>
        </w:rPr>
      </w:pPr>
    </w:p>
    <w:p>
      <w:pPr>
        <w:jc w:val="both"/>
        <w:ind w:right="20" w:firstLine="3"/>
        <w:spacing w:after="0" w:line="262" w:lineRule="auto"/>
        <w:tabs>
          <w:tab w:leader="none" w:pos="239"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Viatris is not providing forward-looking guidance for U.S. GAAP net earnings (loss) or a quantitative reconciliation of its 2022 adjusted EBITDA guidance. U.S. GAAP net cash provided by operating activities for 2022 is estimated to be between $3.1 billion and $3.3 billion. Please see "2022 Financial Guidance" and "Non-GAAP Financial Measures" for additional information.</w:t>
      </w:r>
    </w:p>
    <w:p>
      <w:pPr>
        <w:spacing w:after="0" w:line="333" w:lineRule="exact"/>
        <w:rPr>
          <w:sz w:val="20"/>
          <w:szCs w:val="20"/>
          <w:color w:val="auto"/>
        </w:rPr>
      </w:pPr>
    </w:p>
    <w:p>
      <w:pPr>
        <w:jc w:val="both"/>
        <w:ind w:right="100"/>
        <w:spacing w:after="0" w:line="267" w:lineRule="auto"/>
        <w:rPr>
          <w:sz w:val="20"/>
          <w:szCs w:val="20"/>
          <w:color w:val="auto"/>
        </w:rPr>
      </w:pPr>
      <w:r>
        <w:rPr>
          <w:rFonts w:ascii="Arial" w:cs="Arial" w:eastAsia="Arial" w:hAnsi="Arial"/>
          <w:sz w:val="17"/>
          <w:szCs w:val="17"/>
          <w:b w:val="1"/>
          <w:bCs w:val="1"/>
          <w:color w:val="auto"/>
        </w:rPr>
        <w:t xml:space="preserve">PITTSBURGH </w:t>
      </w:r>
      <w:r>
        <w:rPr>
          <w:rFonts w:ascii="Arial" w:cs="Arial" w:eastAsia="Arial" w:hAnsi="Arial"/>
          <w:sz w:val="18"/>
          <w:szCs w:val="18"/>
          <w:b w:val="1"/>
          <w:bCs w:val="1"/>
          <w:color w:val="auto"/>
        </w:rPr>
        <w:t>–</w:t>
      </w:r>
      <w:r>
        <w:rPr>
          <w:rFonts w:ascii="Arial" w:cs="Arial" w:eastAsia="Arial" w:hAnsi="Arial"/>
          <w:sz w:val="17"/>
          <w:szCs w:val="17"/>
          <w:b w:val="1"/>
          <w:bCs w:val="1"/>
          <w:color w:val="auto"/>
        </w:rPr>
        <w:t xml:space="preserve"> November 7, 2022 </w:t>
      </w:r>
      <w:r>
        <w:rPr>
          <w:rFonts w:ascii="Arial" w:cs="Arial" w:eastAsia="Arial" w:hAnsi="Arial"/>
          <w:sz w:val="18"/>
          <w:szCs w:val="18"/>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Viatris Inc. (NASDAQ: VTRS) today reported strong results for the third quarter of 2022 and reaffirmed its</w:t>
      </w:r>
      <w:r>
        <w:rPr>
          <w:rFonts w:ascii="Arial" w:cs="Arial" w:eastAsia="Arial" w:hAnsi="Arial"/>
          <w:sz w:val="17"/>
          <w:szCs w:val="17"/>
          <w:b w:val="1"/>
          <w:bCs w:val="1"/>
          <w:color w:val="auto"/>
        </w:rPr>
        <w:t xml:space="preserve"> </w:t>
      </w:r>
      <w:r>
        <w:rPr>
          <w:rFonts w:ascii="Arial" w:cs="Arial" w:eastAsia="Arial" w:hAnsi="Arial"/>
          <w:sz w:val="17"/>
          <w:szCs w:val="17"/>
          <w:color w:val="auto"/>
        </w:rPr>
        <w:t>2022 financial guidance. The Company also announced that its Board of Directors declared a quarterly dividend of twelve cents ($0.12) for each issued and outstanding share of the Company's common stock. The dividend is payable on December 16, 2022, to shareholders of record at the close of business on November 23, 2022.</w:t>
      </w:r>
    </w:p>
    <w:p>
      <w:pPr>
        <w:spacing w:after="0" w:line="192"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Viatris CEO Michael Goettler said: “We are very pleased with our seven quarters of strong financial performance, which allow us to continue to deliver on our Phase 1 financial commitments and lay a solid foundation for our return to growth in Phase 2.”</w:t>
      </w:r>
    </w:p>
    <w:p>
      <w:pPr>
        <w:spacing w:after="0" w:line="159"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Viatris President Rajiv Malik said: “In addition to the strong quarterly performance, we continue to progress our pipeline of complex and novel products. I am most proud of a major milestone we achieved during the quarter, along with our partner Mapi Pharma, in announcing our positive top-line results from our Glatiramer Acetate Depot Phase III clinical trial.”</w:t>
      </w:r>
    </w:p>
    <w:p>
      <w:pPr>
        <w:spacing w:after="0" w:line="18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Viatris CFO Sanjeev Narula said: “We are extremely pleased with our momentum and how the business is performing after another strong quarter of operational results and free cash flow generation. For the third quarter we generated more than $765 million in free cash flow, and more than $2.5 billion year to date. We have paid down approximately $2.1 billion of debt year-to-date and have delivered on our 2022 debt paydown target one quarter ahead of schedule. This supports our commitment to maintaining our investment grade rating.”</w:t>
      </w:r>
    </w:p>
    <w:p>
      <w:pPr>
        <w:sectPr>
          <w:pgSz w:w="11900" w:h="16838" w:orient="portrait"/>
          <w:cols w:equalWidth="0" w:num="1">
            <w:col w:w="11060"/>
          </w:cols>
          <w:pgMar w:left="320" w:top="1440" w:right="51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4C16AE"/>
        </w:rPr>
        <w:t>Financial Summary</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3"/>
          </w:tcPr>
          <w:p>
            <w:pPr>
              <w:jc w:val="center"/>
              <w:ind w:right="271"/>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center"/>
              <w:ind w:right="291"/>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 and %s)</w:t>
            </w:r>
          </w:p>
        </w:tc>
        <w:tc>
          <w:tcPr>
            <w:tcW w:w="260" w:type="dxa"/>
            <w:vAlign w:val="bottom"/>
          </w:tcPr>
          <w:p>
            <w:pPr>
              <w:spacing w:after="0"/>
              <w:rPr>
                <w:sz w:val="12"/>
                <w:szCs w:val="12"/>
                <w:color w:val="auto"/>
              </w:rPr>
            </w:pPr>
          </w:p>
        </w:tc>
        <w:tc>
          <w:tcPr>
            <w:tcW w:w="940" w:type="dxa"/>
            <w:vAlign w:val="bottom"/>
            <w:vMerge w:val="restart"/>
          </w:tcPr>
          <w:p>
            <w:pPr>
              <w:jc w:val="right"/>
              <w:ind w:right="3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right"/>
              <w:ind w:right="38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Reported</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0"/>
        </w:trPr>
        <w:tc>
          <w:tcPr>
            <w:tcW w:w="652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line="180" w:lineRule="exact"/>
              <w:rPr>
                <w:sz w:val="20"/>
                <w:szCs w:val="20"/>
                <w:color w:val="auto"/>
              </w:rPr>
            </w:pPr>
            <w:r>
              <w:rPr>
                <w:rFonts w:ascii="Arial" w:cs="Arial" w:eastAsia="Arial" w:hAnsi="Arial"/>
                <w:sz w:val="14"/>
                <w:szCs w:val="14"/>
                <w:b w:val="1"/>
                <w:bCs w:val="1"/>
                <w:color w:val="auto"/>
                <w:w w:val="95"/>
              </w:rPr>
              <w:t>Change</w:t>
            </w:r>
            <w:r>
              <w:rPr>
                <w:rFonts w:ascii="Arial" w:cs="Arial" w:eastAsia="Arial" w:hAnsi="Arial"/>
                <w:sz w:val="17"/>
                <w:szCs w:val="17"/>
                <w:b w:val="1"/>
                <w:bCs w:val="1"/>
                <w:color w:val="auto"/>
                <w:w w:val="95"/>
                <w:vertAlign w:val="superscript"/>
              </w:rPr>
              <w:t>(1)</w:t>
            </w:r>
          </w:p>
        </w:tc>
        <w:tc>
          <w:tcPr>
            <w:tcW w:w="0" w:type="dxa"/>
            <w:vAlign w:val="bottom"/>
          </w:tcPr>
          <w:p>
            <w:pPr>
              <w:spacing w:after="0"/>
              <w:rPr>
                <w:sz w:val="1"/>
                <w:szCs w:val="1"/>
                <w:color w:val="auto"/>
              </w:rPr>
            </w:pPr>
          </w:p>
        </w:tc>
      </w:tr>
      <w:tr>
        <w:trPr>
          <w:trHeight w:val="199"/>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Net Sales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4,067.4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4,520.5</w:t>
            </w:r>
          </w:p>
        </w:tc>
        <w:tc>
          <w:tcPr>
            <w:tcW w:w="10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rPr>
              <w:t>(10)%</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5"/>
        </w:trPr>
        <w:tc>
          <w:tcPr>
            <w:tcW w:w="6520" w:type="dxa"/>
            <w:vAlign w:val="bottom"/>
          </w:tcPr>
          <w:p>
            <w:pPr>
              <w:ind w:left="220"/>
              <w:spacing w:after="0"/>
              <w:rPr>
                <w:sz w:val="20"/>
                <w:szCs w:val="20"/>
                <w:color w:val="auto"/>
              </w:rPr>
            </w:pPr>
            <w:r>
              <w:rPr>
                <w:rFonts w:ascii="Arial" w:cs="Arial" w:eastAsia="Arial" w:hAnsi="Arial"/>
                <w:sz w:val="15"/>
                <w:szCs w:val="15"/>
                <w:color w:val="auto"/>
              </w:rPr>
              <w:t>Developed Markets</w:t>
            </w:r>
          </w:p>
        </w:tc>
        <w:tc>
          <w:tcPr>
            <w:tcW w:w="26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2,431.5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2,655.9</w:t>
            </w:r>
          </w:p>
        </w:tc>
        <w:tc>
          <w:tcPr>
            <w:tcW w:w="1020" w:type="dxa"/>
            <w:vAlign w:val="bottom"/>
            <w:gridSpan w:val="2"/>
          </w:tcPr>
          <w:p>
            <w:pPr>
              <w:jc w:val="center"/>
              <w:ind w:left="23"/>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Emerging Markets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678.9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792.5</w:t>
            </w:r>
          </w:p>
        </w:tc>
        <w:tc>
          <w:tcPr>
            <w:tcW w:w="10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rPr>
              <w:t>(14)%</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5"/>
        </w:trPr>
        <w:tc>
          <w:tcPr>
            <w:tcW w:w="6520" w:type="dxa"/>
            <w:vAlign w:val="bottom"/>
          </w:tcPr>
          <w:p>
            <w:pPr>
              <w:ind w:left="220"/>
              <w:spacing w:after="0"/>
              <w:rPr>
                <w:sz w:val="20"/>
                <w:szCs w:val="20"/>
                <w:color w:val="auto"/>
              </w:rPr>
            </w:pPr>
            <w:r>
              <w:rPr>
                <w:rFonts w:ascii="Arial" w:cs="Arial" w:eastAsia="Arial" w:hAnsi="Arial"/>
                <w:sz w:val="15"/>
                <w:szCs w:val="15"/>
                <w:color w:val="auto"/>
              </w:rPr>
              <w:t>JANZ</w:t>
            </w:r>
          </w:p>
        </w:tc>
        <w:tc>
          <w:tcPr>
            <w:tcW w:w="26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383.0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505.3</w:t>
            </w:r>
          </w:p>
        </w:tc>
        <w:tc>
          <w:tcPr>
            <w:tcW w:w="1020" w:type="dxa"/>
            <w:vAlign w:val="bottom"/>
            <w:gridSpan w:val="2"/>
          </w:tcPr>
          <w:p>
            <w:pPr>
              <w:jc w:val="center"/>
              <w:ind w:left="3"/>
              <w:spacing w:after="0"/>
              <w:rPr>
                <w:sz w:val="20"/>
                <w:szCs w:val="20"/>
                <w:color w:val="auto"/>
              </w:rPr>
            </w:pPr>
            <w:r>
              <w:rPr>
                <w:rFonts w:ascii="Arial" w:cs="Arial" w:eastAsia="Arial" w:hAnsi="Arial"/>
                <w:sz w:val="15"/>
                <w:szCs w:val="15"/>
                <w:color w:val="auto"/>
              </w:rPr>
              <w:t>(24)%</w:t>
            </w:r>
          </w:p>
        </w:tc>
        <w:tc>
          <w:tcPr>
            <w:tcW w:w="1200" w:type="dxa"/>
            <w:vAlign w:val="bottom"/>
            <w:gridSpan w:val="2"/>
          </w:tcPr>
          <w:p>
            <w:pPr>
              <w:jc w:val="center"/>
              <w:ind w:left="23"/>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7"/>
        </w:trPr>
        <w:tc>
          <w:tcPr>
            <w:tcW w:w="6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Greater China</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574.0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566.8</w:t>
            </w:r>
          </w:p>
        </w:tc>
        <w:tc>
          <w:tcPr>
            <w:tcW w:w="10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rPr>
              <w:t>1%</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Sales by Product Category</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20" w:type="dxa"/>
            <w:vAlign w:val="bottom"/>
          </w:tcPr>
          <w:p>
            <w:pPr>
              <w:ind w:left="220"/>
              <w:spacing w:after="0"/>
              <w:rPr>
                <w:sz w:val="20"/>
                <w:szCs w:val="20"/>
                <w:color w:val="auto"/>
              </w:rPr>
            </w:pPr>
            <w:r>
              <w:rPr>
                <w:rFonts w:ascii="Arial" w:cs="Arial" w:eastAsia="Arial" w:hAnsi="Arial"/>
                <w:sz w:val="15"/>
                <w:szCs w:val="15"/>
                <w:color w:val="auto"/>
              </w:rPr>
              <w:t>Brands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2,540.3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2,803.1</w:t>
            </w:r>
          </w:p>
        </w:tc>
        <w:tc>
          <w:tcPr>
            <w:tcW w:w="1020" w:type="dxa"/>
            <w:vAlign w:val="bottom"/>
            <w:gridSpan w:val="2"/>
          </w:tcPr>
          <w:p>
            <w:pPr>
              <w:jc w:val="center"/>
              <w:ind w:left="23"/>
              <w:spacing w:after="0"/>
              <w:rPr>
                <w:sz w:val="20"/>
                <w:szCs w:val="20"/>
                <w:color w:val="auto"/>
              </w:rPr>
            </w:pPr>
            <w:r>
              <w:rPr>
                <w:rFonts w:ascii="Arial" w:cs="Arial" w:eastAsia="Arial" w:hAnsi="Arial"/>
                <w:sz w:val="15"/>
                <w:szCs w:val="15"/>
                <w:color w:val="auto"/>
              </w:rPr>
              <w:t>(9)%</w:t>
            </w:r>
          </w:p>
        </w:tc>
        <w:tc>
          <w:tcPr>
            <w:tcW w:w="1200" w:type="dxa"/>
            <w:vAlign w:val="bottom"/>
            <w:gridSpan w:val="2"/>
          </w:tcPr>
          <w:p>
            <w:pPr>
              <w:jc w:val="center"/>
              <w:ind w:lef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652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Complex Gx and Biosimilars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320.2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332.0</w:t>
            </w:r>
          </w:p>
        </w:tc>
        <w:tc>
          <w:tcPr>
            <w:tcW w:w="102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(4)%</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6520" w:type="dxa"/>
            <w:vAlign w:val="bottom"/>
          </w:tcPr>
          <w:p>
            <w:pPr>
              <w:ind w:left="220"/>
              <w:spacing w:after="0"/>
              <w:rPr>
                <w:sz w:val="20"/>
                <w:szCs w:val="20"/>
                <w:color w:val="auto"/>
              </w:rPr>
            </w:pPr>
            <w:r>
              <w:rPr>
                <w:rFonts w:ascii="Arial" w:cs="Arial" w:eastAsia="Arial" w:hAnsi="Arial"/>
                <w:sz w:val="15"/>
                <w:szCs w:val="15"/>
                <w:color w:val="auto"/>
              </w:rPr>
              <w:t>Generics</w:t>
            </w:r>
          </w:p>
        </w:tc>
        <w:tc>
          <w:tcPr>
            <w:tcW w:w="260" w:type="dxa"/>
            <w:vAlign w:val="bottom"/>
          </w:tcPr>
          <w:p>
            <w:pPr>
              <w:spacing w:after="0"/>
              <w:rPr>
                <w:sz w:val="17"/>
                <w:szCs w:val="17"/>
                <w:color w:val="auto"/>
              </w:rPr>
            </w:pP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1,206.9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1,385.4</w:t>
            </w:r>
          </w:p>
        </w:tc>
        <w:tc>
          <w:tcPr>
            <w:tcW w:w="1020" w:type="dxa"/>
            <w:vAlign w:val="bottom"/>
            <w:gridSpan w:val="2"/>
          </w:tcPr>
          <w:p>
            <w:pPr>
              <w:jc w:val="center"/>
              <w:ind w:left="3"/>
              <w:spacing w:after="0"/>
              <w:rPr>
                <w:sz w:val="20"/>
                <w:szCs w:val="20"/>
                <w:color w:val="auto"/>
              </w:rPr>
            </w:pPr>
            <w:r>
              <w:rPr>
                <w:rFonts w:ascii="Arial" w:cs="Arial" w:eastAsia="Arial" w:hAnsi="Arial"/>
                <w:sz w:val="15"/>
                <w:szCs w:val="15"/>
                <w:color w:val="auto"/>
              </w:rPr>
              <w:t>(13)%</w:t>
            </w:r>
          </w:p>
        </w:tc>
        <w:tc>
          <w:tcPr>
            <w:tcW w:w="1200" w:type="dxa"/>
            <w:vAlign w:val="bottom"/>
            <w:gridSpan w:val="2"/>
          </w:tcPr>
          <w:p>
            <w:pPr>
              <w:jc w:val="center"/>
              <w:ind w:left="2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7"/>
        </w:trPr>
        <w:tc>
          <w:tcPr>
            <w:tcW w:w="6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520" w:type="dxa"/>
            <w:vAlign w:val="bottom"/>
          </w:tcPr>
          <w:p>
            <w:pPr>
              <w:ind w:left="20"/>
              <w:spacing w:after="0"/>
              <w:rPr>
                <w:sz w:val="20"/>
                <w:szCs w:val="20"/>
                <w:color w:val="auto"/>
              </w:rPr>
            </w:pPr>
            <w:r>
              <w:rPr>
                <w:rFonts w:ascii="Arial" w:cs="Arial" w:eastAsia="Arial" w:hAnsi="Arial"/>
                <w:sz w:val="15"/>
                <w:szCs w:val="15"/>
                <w:color w:val="auto"/>
              </w:rPr>
              <w:t>U.S. GAAP Gross Profit</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1,748.4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1,574.1</w:t>
            </w:r>
          </w:p>
        </w:tc>
        <w:tc>
          <w:tcPr>
            <w:tcW w:w="1020" w:type="dxa"/>
            <w:vAlign w:val="bottom"/>
            <w:gridSpan w:val="2"/>
          </w:tcPr>
          <w:p>
            <w:pPr>
              <w:jc w:val="center"/>
              <w:ind w:left="3"/>
              <w:spacing w:after="0"/>
              <w:rPr>
                <w:sz w:val="20"/>
                <w:szCs w:val="20"/>
                <w:color w:val="auto"/>
              </w:rPr>
            </w:pPr>
            <w:r>
              <w:rPr>
                <w:rFonts w:ascii="Arial" w:cs="Arial" w:eastAsia="Arial" w:hAnsi="Arial"/>
                <w:sz w:val="15"/>
                <w:szCs w:val="15"/>
                <w:color w:val="auto"/>
                <w:w w:val="99"/>
              </w:rPr>
              <w:t>11%</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Gross Margin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34.7 %</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52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Adjusted Gross Profit </w:t>
            </w:r>
            <w:r>
              <w:rPr>
                <w:rFonts w:ascii="Arial" w:cs="Arial" w:eastAsia="Arial" w:hAnsi="Arial"/>
                <w:sz w:val="20"/>
                <w:szCs w:val="20"/>
                <w:color w:val="auto"/>
                <w:vertAlign w:val="superscript"/>
              </w:rPr>
              <w:t>(2)</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2,469.3</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2,723.3</w:t>
            </w:r>
          </w:p>
        </w:tc>
        <w:tc>
          <w:tcPr>
            <w:tcW w:w="1020" w:type="dxa"/>
            <w:vAlign w:val="bottom"/>
            <w:gridSpan w:val="2"/>
          </w:tcPr>
          <w:p>
            <w:pPr>
              <w:jc w:val="center"/>
              <w:ind w:left="23"/>
              <w:spacing w:after="0"/>
              <w:rPr>
                <w:sz w:val="20"/>
                <w:szCs w:val="20"/>
                <w:color w:val="auto"/>
              </w:rPr>
            </w:pPr>
            <w:r>
              <w:rPr>
                <w:rFonts w:ascii="Arial" w:cs="Arial" w:eastAsia="Arial" w:hAnsi="Arial"/>
                <w:sz w:val="15"/>
                <w:szCs w:val="15"/>
                <w:color w:val="auto"/>
              </w:rPr>
              <w:t>(9)%</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Adjusted Gross Margin </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60.5 %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60.0 %</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Net Earnings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354.3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311.5</w:t>
            </w:r>
          </w:p>
        </w:tc>
        <w:tc>
          <w:tcPr>
            <w:tcW w:w="102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14%</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Adjusted Net Earnings </w:t>
            </w:r>
            <w:r>
              <w:rPr>
                <w:rFonts w:ascii="Arial" w:cs="Arial" w:eastAsia="Arial" w:hAnsi="Arial"/>
                <w:sz w:val="20"/>
                <w:szCs w:val="20"/>
                <w:color w:val="auto"/>
                <w:vertAlign w:val="superscript"/>
              </w:rPr>
              <w:t>(2)</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1,063.5</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1,199.1</w:t>
            </w:r>
          </w:p>
        </w:tc>
        <w:tc>
          <w:tcPr>
            <w:tcW w:w="1020" w:type="dxa"/>
            <w:vAlign w:val="bottom"/>
            <w:gridSpan w:val="2"/>
          </w:tcPr>
          <w:p>
            <w:pPr>
              <w:jc w:val="center"/>
              <w:ind w:left="23"/>
              <w:spacing w:after="0"/>
              <w:rPr>
                <w:sz w:val="20"/>
                <w:szCs w:val="20"/>
                <w:color w:val="auto"/>
              </w:rPr>
            </w:pPr>
            <w:r>
              <w:rPr>
                <w:rFonts w:ascii="Arial" w:cs="Arial" w:eastAsia="Arial" w:hAnsi="Arial"/>
                <w:sz w:val="15"/>
                <w:szCs w:val="15"/>
                <w:color w:val="auto"/>
                <w:w w:val="99"/>
              </w:rPr>
              <w:t>(11)%</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(2)</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123"/>
              <w:spacing w:after="0"/>
              <w:rPr>
                <w:sz w:val="20"/>
                <w:szCs w:val="20"/>
                <w:color w:val="auto"/>
              </w:rPr>
            </w:pPr>
            <w:r>
              <w:rPr>
                <w:rFonts w:ascii="Arial" w:cs="Arial" w:eastAsia="Arial" w:hAnsi="Arial"/>
                <w:sz w:val="15"/>
                <w:szCs w:val="15"/>
                <w:color w:val="auto"/>
              </w:rPr>
              <w:t>1,280.2</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124"/>
              <w:spacing w:after="0"/>
              <w:rPr>
                <w:sz w:val="20"/>
                <w:szCs w:val="20"/>
                <w:color w:val="auto"/>
              </w:rPr>
            </w:pPr>
            <w:r>
              <w:rPr>
                <w:rFonts w:ascii="Arial" w:cs="Arial" w:eastAsia="Arial" w:hAnsi="Arial"/>
                <w:sz w:val="15"/>
                <w:szCs w:val="15"/>
                <w:color w:val="auto"/>
              </w:rPr>
              <w:t>1,386.5</w:t>
            </w:r>
          </w:p>
        </w:tc>
        <w:tc>
          <w:tcPr>
            <w:tcW w:w="1020" w:type="dxa"/>
            <w:vAlign w:val="bottom"/>
            <w:gridSpan w:val="2"/>
          </w:tcPr>
          <w:p>
            <w:pPr>
              <w:jc w:val="center"/>
              <w:ind w:left="23"/>
              <w:spacing w:after="0"/>
              <w:rPr>
                <w:sz w:val="20"/>
                <w:szCs w:val="20"/>
                <w:color w:val="auto"/>
              </w:rPr>
            </w:pPr>
            <w:r>
              <w:rPr>
                <w:rFonts w:ascii="Arial" w:cs="Arial" w:eastAsia="Arial" w:hAnsi="Arial"/>
                <w:sz w:val="15"/>
                <w:szCs w:val="15"/>
                <w:color w:val="auto"/>
              </w:rPr>
              <w:t>(8)%</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Adjusted EBITDA </w:t>
            </w:r>
            <w:r>
              <w:rPr>
                <w:rFonts w:ascii="Arial" w:cs="Arial" w:eastAsia="Arial" w:hAnsi="Arial"/>
                <w:sz w:val="20"/>
                <w:szCs w:val="20"/>
                <w:color w:val="auto"/>
                <w:vertAlign w:val="superscript"/>
              </w:rPr>
              <w:t>(2)</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1,497.8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1,698.3</w:t>
            </w:r>
          </w:p>
        </w:tc>
        <w:tc>
          <w:tcPr>
            <w:tcW w:w="10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rPr>
              <w:t>(12)%</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net cash provided by operating activities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869.0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1,085.6</w:t>
            </w:r>
          </w:p>
        </w:tc>
        <w:tc>
          <w:tcPr>
            <w:tcW w:w="10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rPr>
              <w:t>(20)%</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Capital expenditures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103.9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121.0</w:t>
            </w:r>
          </w:p>
        </w:tc>
        <w:tc>
          <w:tcPr>
            <w:tcW w:w="1020" w:type="dxa"/>
            <w:vAlign w:val="bottom"/>
            <w:tcBorders>
              <w:bottom w:val="single" w:sz="8" w:color="CCEEFF"/>
            </w:tcBorders>
            <w:gridSpan w:val="2"/>
          </w:tcPr>
          <w:p>
            <w:pPr>
              <w:jc w:val="center"/>
              <w:ind w:left="3"/>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520" w:type="dxa"/>
            <w:vAlign w:val="bottom"/>
            <w:shd w:val="clear" w:color="auto" w:fill="CCEEFF"/>
          </w:tcPr>
          <w:p>
            <w:pPr>
              <w:ind w:left="20"/>
              <w:spacing w:after="0" w:line="200" w:lineRule="exact"/>
              <w:rPr>
                <w:sz w:val="20"/>
                <w:szCs w:val="20"/>
                <w:color w:val="auto"/>
              </w:rPr>
            </w:pPr>
            <w:r>
              <w:rPr>
                <w:rFonts w:ascii="Arial" w:cs="Arial" w:eastAsia="Arial" w:hAnsi="Arial"/>
                <w:sz w:val="15"/>
                <w:szCs w:val="15"/>
                <w:color w:val="auto"/>
              </w:rPr>
              <w:t xml:space="preserve">Free cash flow </w:t>
            </w:r>
            <w:r>
              <w:rPr>
                <w:rFonts w:ascii="Arial" w:cs="Arial" w:eastAsia="Arial" w:hAnsi="Arial"/>
                <w:sz w:val="20"/>
                <w:szCs w:val="20"/>
                <w:color w:val="auto"/>
                <w:vertAlign w:val="superscript"/>
              </w:rPr>
              <w:t>(2)</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765.1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964.6</w:t>
            </w:r>
          </w:p>
        </w:tc>
        <w:tc>
          <w:tcPr>
            <w:tcW w:w="1020" w:type="dxa"/>
            <w:vAlign w:val="bottom"/>
            <w:gridSpan w:val="2"/>
            <w:shd w:val="clear" w:color="auto" w:fill="CCEEFF"/>
          </w:tcPr>
          <w:p>
            <w:pPr>
              <w:jc w:val="center"/>
              <w:ind w:left="3"/>
              <w:spacing w:after="0"/>
              <w:rPr>
                <w:sz w:val="20"/>
                <w:szCs w:val="20"/>
                <w:color w:val="auto"/>
              </w:rPr>
            </w:pPr>
            <w:r>
              <w:rPr>
                <w:rFonts w:ascii="Arial" w:cs="Arial" w:eastAsia="Arial" w:hAnsi="Arial"/>
                <w:sz w:val="15"/>
                <w:szCs w:val="15"/>
                <w:color w:val="auto"/>
              </w:rPr>
              <w:t>(21)%</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06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8"/>
        </w:trPr>
        <w:tc>
          <w:tcPr>
            <w:tcW w:w="6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right="404"/>
              <w:spacing w:after="0"/>
              <w:rPr>
                <w:sz w:val="20"/>
                <w:szCs w:val="20"/>
                <w:color w:val="auto"/>
              </w:rPr>
            </w:pPr>
            <w:r>
              <w:rPr>
                <w:rFonts w:ascii="Arial" w:cs="Arial" w:eastAsia="Arial" w:hAnsi="Arial"/>
                <w:sz w:val="14"/>
                <w:szCs w:val="14"/>
                <w:b w:val="1"/>
                <w:bCs w:val="1"/>
                <w:color w:val="auto"/>
                <w:w w:val="99"/>
              </w:rPr>
              <w:t>Nine Months Ended</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244"/>
              <w:spacing w:after="0"/>
              <w:rPr>
                <w:sz w:val="20"/>
                <w:szCs w:val="20"/>
                <w:color w:val="auto"/>
              </w:rPr>
            </w:pPr>
            <w:r>
              <w:rPr>
                <w:rFonts w:ascii="Arial" w:cs="Arial" w:eastAsia="Arial" w:hAnsi="Arial"/>
                <w:sz w:val="14"/>
                <w:szCs w:val="14"/>
                <w:b w:val="1"/>
                <w:bCs w:val="1"/>
                <w:color w:val="auto"/>
                <w:w w:val="98"/>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26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(Unaudited; in millions, except per share amounts and %s)</w:t>
            </w:r>
          </w:p>
        </w:tc>
        <w:tc>
          <w:tcPr>
            <w:tcW w:w="300" w:type="dxa"/>
            <w:vAlign w:val="bottom"/>
          </w:tcPr>
          <w:p>
            <w:pPr>
              <w:spacing w:after="0"/>
              <w:rPr>
                <w:sz w:val="12"/>
                <w:szCs w:val="12"/>
                <w:color w:val="auto"/>
              </w:rPr>
            </w:pPr>
          </w:p>
        </w:tc>
        <w:tc>
          <w:tcPr>
            <w:tcW w:w="1020" w:type="dxa"/>
            <w:vAlign w:val="bottom"/>
            <w:vMerge w:val="restart"/>
          </w:tcPr>
          <w:p>
            <w:pPr>
              <w:jc w:val="right"/>
              <w:ind w:right="42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7"/>
              </w:rPr>
              <w:t>Reported</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Operational</w:t>
            </w:r>
          </w:p>
        </w:tc>
        <w:tc>
          <w:tcPr>
            <w:tcW w:w="0" w:type="dxa"/>
            <w:vAlign w:val="bottom"/>
          </w:tcPr>
          <w:p>
            <w:pPr>
              <w:spacing w:after="0"/>
              <w:rPr>
                <w:sz w:val="1"/>
                <w:szCs w:val="1"/>
                <w:color w:val="auto"/>
              </w:rPr>
            </w:pPr>
          </w:p>
        </w:tc>
      </w:tr>
      <w:tr>
        <w:trPr>
          <w:trHeight w:val="180"/>
        </w:trPr>
        <w:tc>
          <w:tcPr>
            <w:tcW w:w="6260" w:type="dxa"/>
            <w:vAlign w:val="bottom"/>
            <w:tcBorders>
              <w:bottom w:val="single" w:sz="8" w:color="CCEEFF"/>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7"/>
              </w:rPr>
              <w:t>Change</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9"/>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Net Sales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12,351.0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13,482.3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rPr>
              <w:t>(8)%</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5"/>
        </w:trPr>
        <w:tc>
          <w:tcPr>
            <w:tcW w:w="6260" w:type="dxa"/>
            <w:vAlign w:val="bottom"/>
          </w:tcPr>
          <w:p>
            <w:pPr>
              <w:ind w:left="220"/>
              <w:spacing w:after="0"/>
              <w:rPr>
                <w:sz w:val="20"/>
                <w:szCs w:val="20"/>
                <w:color w:val="auto"/>
              </w:rPr>
            </w:pPr>
            <w:r>
              <w:rPr>
                <w:rFonts w:ascii="Arial" w:cs="Arial" w:eastAsia="Arial" w:hAnsi="Arial"/>
                <w:sz w:val="15"/>
                <w:szCs w:val="15"/>
                <w:color w:val="auto"/>
              </w:rPr>
              <w:t>Developed Markets</w:t>
            </w:r>
          </w:p>
        </w:tc>
        <w:tc>
          <w:tcPr>
            <w:tcW w:w="30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7,386.7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7,867.9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44"/>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Emerging Markets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2,035.0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64"/>
              <w:spacing w:after="0"/>
              <w:rPr>
                <w:sz w:val="20"/>
                <w:szCs w:val="20"/>
                <w:color w:val="auto"/>
              </w:rPr>
            </w:pPr>
            <w:r>
              <w:rPr>
                <w:rFonts w:ascii="Arial" w:cs="Arial" w:eastAsia="Arial" w:hAnsi="Arial"/>
                <w:sz w:val="15"/>
                <w:szCs w:val="15"/>
                <w:color w:val="auto"/>
              </w:rPr>
              <w:t>(16)%</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05"/>
        </w:trPr>
        <w:tc>
          <w:tcPr>
            <w:tcW w:w="6260" w:type="dxa"/>
            <w:vAlign w:val="bottom"/>
          </w:tcPr>
          <w:p>
            <w:pPr>
              <w:ind w:left="220"/>
              <w:spacing w:after="0"/>
              <w:rPr>
                <w:sz w:val="20"/>
                <w:szCs w:val="20"/>
                <w:color w:val="auto"/>
              </w:rPr>
            </w:pPr>
            <w:r>
              <w:rPr>
                <w:rFonts w:ascii="Arial" w:cs="Arial" w:eastAsia="Arial" w:hAnsi="Arial"/>
                <w:sz w:val="15"/>
                <w:szCs w:val="15"/>
                <w:color w:val="auto"/>
              </w:rPr>
              <w:t>JANZ</w:t>
            </w:r>
          </w:p>
        </w:tc>
        <w:tc>
          <w:tcPr>
            <w:tcW w:w="30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1,233.9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1,488.2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64"/>
              <w:spacing w:after="0"/>
              <w:rPr>
                <w:sz w:val="20"/>
                <w:szCs w:val="20"/>
                <w:color w:val="auto"/>
              </w:rPr>
            </w:pPr>
            <w:r>
              <w:rPr>
                <w:rFonts w:ascii="Arial" w:cs="Arial" w:eastAsia="Arial" w:hAnsi="Arial"/>
                <w:sz w:val="15"/>
                <w:szCs w:val="15"/>
                <w:color w:val="auto"/>
              </w:rPr>
              <w:t>(17)%</w:t>
            </w:r>
          </w:p>
        </w:tc>
        <w:tc>
          <w:tcPr>
            <w:tcW w:w="1200" w:type="dxa"/>
            <w:vAlign w:val="bottom"/>
            <w:gridSpan w:val="2"/>
          </w:tcPr>
          <w:p>
            <w:pPr>
              <w:jc w:val="center"/>
              <w:ind w:left="23"/>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Greater China</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1,695.4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1,709.0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rPr>
              <w:t>(1)%</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6"/>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Sales by Product Category</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60" w:type="dxa"/>
            <w:vAlign w:val="bottom"/>
          </w:tcPr>
          <w:p>
            <w:pPr>
              <w:ind w:left="220"/>
              <w:spacing w:after="0"/>
              <w:rPr>
                <w:sz w:val="20"/>
                <w:szCs w:val="20"/>
                <w:color w:val="auto"/>
              </w:rPr>
            </w:pPr>
            <w:r>
              <w:rPr>
                <w:rFonts w:ascii="Arial" w:cs="Arial" w:eastAsia="Arial" w:hAnsi="Arial"/>
                <w:sz w:val="15"/>
                <w:szCs w:val="15"/>
                <w:color w:val="auto"/>
              </w:rPr>
              <w:t>Brands</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7,577.5</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8,229.4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44"/>
              <w:spacing w:after="0"/>
              <w:rPr>
                <w:sz w:val="20"/>
                <w:szCs w:val="20"/>
                <w:color w:val="auto"/>
              </w:rPr>
            </w:pPr>
            <w:r>
              <w:rPr>
                <w:rFonts w:ascii="Arial" w:cs="Arial" w:eastAsia="Arial" w:hAnsi="Arial"/>
                <w:sz w:val="15"/>
                <w:szCs w:val="15"/>
                <w:color w:val="auto"/>
              </w:rPr>
              <w:t>(8)%</w:t>
            </w:r>
          </w:p>
        </w:tc>
        <w:tc>
          <w:tcPr>
            <w:tcW w:w="1200" w:type="dxa"/>
            <w:vAlign w:val="bottom"/>
            <w:gridSpan w:val="2"/>
          </w:tcPr>
          <w:p>
            <w:pPr>
              <w:jc w:val="center"/>
              <w:ind w:left="23"/>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Complex Gx and Biosimilars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1,065.8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993.7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center"/>
              <w:ind w:right="64"/>
              <w:spacing w:after="0"/>
              <w:rPr>
                <w:sz w:val="20"/>
                <w:szCs w:val="20"/>
                <w:color w:val="auto"/>
              </w:rPr>
            </w:pPr>
            <w:r>
              <w:rPr>
                <w:rFonts w:ascii="Arial" w:cs="Arial" w:eastAsia="Arial" w:hAnsi="Arial"/>
                <w:sz w:val="15"/>
                <w:szCs w:val="15"/>
                <w:color w:val="auto"/>
              </w:rPr>
              <w:t>7%</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w w:val="99"/>
              </w:rPr>
              <w:t>11%</w:t>
            </w:r>
          </w:p>
        </w:tc>
        <w:tc>
          <w:tcPr>
            <w:tcW w:w="0" w:type="dxa"/>
            <w:vAlign w:val="bottom"/>
          </w:tcPr>
          <w:p>
            <w:pPr>
              <w:spacing w:after="0"/>
              <w:rPr>
                <w:sz w:val="1"/>
                <w:szCs w:val="1"/>
                <w:color w:val="auto"/>
              </w:rPr>
            </w:pPr>
          </w:p>
        </w:tc>
      </w:tr>
      <w:tr>
        <w:trPr>
          <w:trHeight w:val="205"/>
        </w:trPr>
        <w:tc>
          <w:tcPr>
            <w:tcW w:w="6260" w:type="dxa"/>
            <w:vAlign w:val="bottom"/>
          </w:tcPr>
          <w:p>
            <w:pPr>
              <w:ind w:left="220"/>
              <w:spacing w:after="0"/>
              <w:rPr>
                <w:sz w:val="20"/>
                <w:szCs w:val="20"/>
                <w:color w:val="auto"/>
              </w:rPr>
            </w:pPr>
            <w:r>
              <w:rPr>
                <w:rFonts w:ascii="Arial" w:cs="Arial" w:eastAsia="Arial" w:hAnsi="Arial"/>
                <w:sz w:val="15"/>
                <w:szCs w:val="15"/>
                <w:color w:val="auto"/>
              </w:rPr>
              <w:t>Generics</w:t>
            </w:r>
          </w:p>
        </w:tc>
        <w:tc>
          <w:tcPr>
            <w:tcW w:w="300" w:type="dxa"/>
            <w:vAlign w:val="bottom"/>
          </w:tcPr>
          <w:p>
            <w:pPr>
              <w:spacing w:after="0"/>
              <w:rPr>
                <w:sz w:val="17"/>
                <w:szCs w:val="17"/>
                <w:color w:val="auto"/>
              </w:rPr>
            </w:pP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3,707.7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4,259.2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64"/>
              <w:spacing w:after="0"/>
              <w:rPr>
                <w:sz w:val="20"/>
                <w:szCs w:val="20"/>
                <w:color w:val="auto"/>
              </w:rPr>
            </w:pPr>
            <w:r>
              <w:rPr>
                <w:rFonts w:ascii="Arial" w:cs="Arial" w:eastAsia="Arial" w:hAnsi="Arial"/>
                <w:sz w:val="15"/>
                <w:szCs w:val="15"/>
                <w:color w:val="auto"/>
              </w:rPr>
              <w:t>(13)%</w:t>
            </w:r>
          </w:p>
        </w:tc>
        <w:tc>
          <w:tcPr>
            <w:tcW w:w="1200" w:type="dxa"/>
            <w:vAlign w:val="bottom"/>
            <w:gridSpan w:val="2"/>
          </w:tcPr>
          <w:p>
            <w:pPr>
              <w:jc w:val="center"/>
              <w:ind w:left="23"/>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260" w:type="dxa"/>
            <w:vAlign w:val="bottom"/>
          </w:tcPr>
          <w:p>
            <w:pPr>
              <w:ind w:left="20"/>
              <w:spacing w:after="0"/>
              <w:rPr>
                <w:sz w:val="20"/>
                <w:szCs w:val="20"/>
                <w:color w:val="auto"/>
              </w:rPr>
            </w:pPr>
            <w:r>
              <w:rPr>
                <w:rFonts w:ascii="Arial" w:cs="Arial" w:eastAsia="Arial" w:hAnsi="Arial"/>
                <w:sz w:val="15"/>
                <w:szCs w:val="15"/>
                <w:color w:val="auto"/>
              </w:rPr>
              <w:t>U.S. GAAP Gross Profit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5,222.9</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4,029.1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44"/>
              <w:spacing w:after="0"/>
              <w:rPr>
                <w:sz w:val="20"/>
                <w:szCs w:val="20"/>
                <w:color w:val="auto"/>
              </w:rPr>
            </w:pPr>
            <w:r>
              <w:rPr>
                <w:rFonts w:ascii="Arial" w:cs="Arial" w:eastAsia="Arial" w:hAnsi="Arial"/>
                <w:sz w:val="15"/>
                <w:szCs w:val="15"/>
                <w:color w:val="auto"/>
              </w:rPr>
              <w:t>30%</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Gross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29.7 %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6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Adjusted Gross Profit </w:t>
            </w:r>
            <w:r>
              <w:rPr>
                <w:rFonts w:ascii="Arial" w:cs="Arial" w:eastAsia="Arial" w:hAnsi="Arial"/>
                <w:sz w:val="20"/>
                <w:szCs w:val="20"/>
                <w:color w:val="auto"/>
                <w:vertAlign w:val="superscript"/>
              </w:rPr>
              <w:t>(2)</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7,374.4</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8,040.4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44"/>
              <w:spacing w:after="0"/>
              <w:rPr>
                <w:sz w:val="20"/>
                <w:szCs w:val="20"/>
                <w:color w:val="auto"/>
              </w:rPr>
            </w:pPr>
            <w:r>
              <w:rPr>
                <w:rFonts w:ascii="Arial" w:cs="Arial" w:eastAsia="Arial" w:hAnsi="Arial"/>
                <w:sz w:val="15"/>
                <w:szCs w:val="15"/>
                <w:color w:val="auto"/>
              </w:rPr>
              <w:t>(8)%</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Adjusted Gross Margin </w:t>
            </w:r>
            <w:r>
              <w:rPr>
                <w:rFonts w:ascii="Arial" w:cs="Arial" w:eastAsia="Arial" w:hAnsi="Arial"/>
                <w:sz w:val="20"/>
                <w:szCs w:val="20"/>
                <w:color w:val="auto"/>
                <w:vertAlign w:val="superscript"/>
              </w:rPr>
              <w:t>(2)</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59.5 %</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Net Earnings (Loss)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1,067.4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(1,005.3)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64"/>
              <w:spacing w:after="0"/>
              <w:rPr>
                <w:sz w:val="20"/>
                <w:szCs w:val="20"/>
                <w:color w:val="auto"/>
              </w:rPr>
            </w:pPr>
            <w:r>
              <w:rPr>
                <w:rFonts w:ascii="Arial" w:cs="Arial" w:eastAsia="Arial" w:hAnsi="Arial"/>
                <w:sz w:val="15"/>
                <w:szCs w:val="15"/>
                <w:color w:val="auto"/>
              </w:rPr>
              <w:t>nm</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Adjusted Net Earnings </w:t>
            </w:r>
            <w:r>
              <w:rPr>
                <w:rFonts w:ascii="Arial" w:cs="Arial" w:eastAsia="Arial" w:hAnsi="Arial"/>
                <w:sz w:val="20"/>
                <w:szCs w:val="20"/>
                <w:color w:val="auto"/>
                <w:vertAlign w:val="superscript"/>
              </w:rPr>
              <w:t>(2)</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3,254.1</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3,496.1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44"/>
              <w:spacing w:after="0"/>
              <w:rPr>
                <w:sz w:val="20"/>
                <w:szCs w:val="20"/>
                <w:color w:val="auto"/>
              </w:rPr>
            </w:pPr>
            <w:r>
              <w:rPr>
                <w:rFonts w:ascii="Arial" w:cs="Arial" w:eastAsia="Arial" w:hAnsi="Arial"/>
                <w:sz w:val="15"/>
                <w:szCs w:val="15"/>
                <w:color w:val="auto"/>
              </w:rPr>
              <w:t>(7)%</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EBITDA </w:t>
            </w:r>
            <w:r>
              <w:rPr>
                <w:rFonts w:ascii="Arial" w:cs="Arial" w:eastAsia="Arial" w:hAnsi="Arial"/>
                <w:sz w:val="20"/>
                <w:szCs w:val="20"/>
                <w:color w:val="auto"/>
                <w:vertAlign w:val="superscript"/>
              </w:rPr>
              <w:t>(2)</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ind w:right="123"/>
              <w:spacing w:after="0"/>
              <w:rPr>
                <w:sz w:val="20"/>
                <w:szCs w:val="20"/>
                <w:color w:val="auto"/>
              </w:rPr>
            </w:pPr>
            <w:r>
              <w:rPr>
                <w:rFonts w:ascii="Arial" w:cs="Arial" w:eastAsia="Arial" w:hAnsi="Arial"/>
                <w:sz w:val="15"/>
                <w:szCs w:val="15"/>
                <w:color w:val="auto"/>
              </w:rPr>
              <w:t>3,947.4</w:t>
            </w:r>
          </w:p>
        </w:tc>
        <w:tc>
          <w:tcPr>
            <w:tcW w:w="100" w:type="dxa"/>
            <w:vAlign w:val="bottom"/>
          </w:tcPr>
          <w:p>
            <w:pPr>
              <w:spacing w:after="0"/>
              <w:rPr>
                <w:sz w:val="17"/>
                <w:szCs w:val="17"/>
                <w:color w:val="auto"/>
              </w:rPr>
            </w:pP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124"/>
              <w:spacing w:after="0"/>
              <w:rPr>
                <w:sz w:val="20"/>
                <w:szCs w:val="20"/>
                <w:color w:val="auto"/>
              </w:rPr>
            </w:pPr>
            <w:r>
              <w:rPr>
                <w:rFonts w:ascii="Arial" w:cs="Arial" w:eastAsia="Arial" w:hAnsi="Arial"/>
                <w:sz w:val="15"/>
                <w:szCs w:val="15"/>
                <w:color w:val="auto"/>
              </w:rPr>
              <w:t>3,836.4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right="64"/>
              <w:spacing w:after="0"/>
              <w:rPr>
                <w:sz w:val="20"/>
                <w:szCs w:val="20"/>
                <w:color w:val="auto"/>
              </w:rPr>
            </w:pPr>
            <w:r>
              <w:rPr>
                <w:rFonts w:ascii="Arial" w:cs="Arial" w:eastAsia="Arial" w:hAnsi="Arial"/>
                <w:sz w:val="15"/>
                <w:szCs w:val="15"/>
                <w:color w:val="auto"/>
              </w:rPr>
              <w:t>3%</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Adjusted EBITDA </w:t>
            </w:r>
            <w:r>
              <w:rPr>
                <w:rFonts w:ascii="Arial" w:cs="Arial" w:eastAsia="Arial" w:hAnsi="Arial"/>
                <w:sz w:val="20"/>
                <w:szCs w:val="20"/>
                <w:color w:val="auto"/>
                <w:vertAlign w:val="superscript"/>
              </w:rPr>
              <w:t>(2)</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4,566.2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5,010.3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rPr>
              <w:t>(9)%</w:t>
            </w:r>
          </w:p>
        </w:tc>
        <w:tc>
          <w:tcPr>
            <w:tcW w:w="1200" w:type="dxa"/>
            <w:vAlign w:val="bottom"/>
            <w:gridSpan w:val="2"/>
            <w:shd w:val="clear" w:color="auto" w:fill="CCEEFF"/>
          </w:tcPr>
          <w:p>
            <w:pPr>
              <w:jc w:val="center"/>
              <w:ind w:left="23"/>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6"/>
        </w:trPr>
        <w:tc>
          <w:tcPr>
            <w:tcW w:w="6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net cash provided by operating activities</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2,810.0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2,493.8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rPr>
              <w:t>13%</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Capital expenditures</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252.3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rPr>
              <w:t>259.8</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jc w:val="center"/>
              <w:ind w:right="44"/>
              <w:spacing w:after="0"/>
              <w:rPr>
                <w:sz w:val="20"/>
                <w:szCs w:val="20"/>
                <w:color w:val="auto"/>
              </w:rPr>
            </w:pPr>
            <w:r>
              <w:rPr>
                <w:rFonts w:ascii="Arial" w:cs="Arial" w:eastAsia="Arial" w:hAnsi="Arial"/>
                <w:sz w:val="15"/>
                <w:szCs w:val="15"/>
                <w:color w:val="auto"/>
              </w:rPr>
              <w:t>(3)%</w:t>
            </w:r>
          </w:p>
        </w:tc>
        <w:tc>
          <w:tcPr>
            <w:tcW w:w="100" w:type="dxa"/>
            <w:vAlign w:val="bottom"/>
            <w:tcBorders>
              <w:bottom w:val="single" w:sz="8" w:color="DBDBDB"/>
            </w:tcBorders>
            <w:shd w:val="clear" w:color="auto" w:fill="DBDBDB"/>
          </w:tcPr>
          <w:p>
            <w:pPr>
              <w:spacing w:after="0"/>
              <w:rPr>
                <w:sz w:val="17"/>
                <w:szCs w:val="17"/>
                <w:color w:val="auto"/>
              </w:rPr>
            </w:pPr>
          </w:p>
        </w:tc>
        <w:tc>
          <w:tcPr>
            <w:tcW w:w="110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60" w:type="dxa"/>
            <w:vAlign w:val="bottom"/>
            <w:shd w:val="clear" w:color="auto" w:fill="CCEEFF"/>
          </w:tcPr>
          <w:p>
            <w:pPr>
              <w:ind w:left="20"/>
              <w:spacing w:after="0" w:line="200" w:lineRule="exact"/>
              <w:rPr>
                <w:sz w:val="20"/>
                <w:szCs w:val="20"/>
                <w:color w:val="auto"/>
              </w:rPr>
            </w:pPr>
            <w:r>
              <w:rPr>
                <w:rFonts w:ascii="Arial" w:cs="Arial" w:eastAsia="Arial" w:hAnsi="Arial"/>
                <w:sz w:val="15"/>
                <w:szCs w:val="15"/>
                <w:color w:val="auto"/>
              </w:rPr>
              <w:t xml:space="preserve">Free cash flow </w:t>
            </w:r>
            <w:r>
              <w:rPr>
                <w:rFonts w:ascii="Arial" w:cs="Arial" w:eastAsia="Arial" w:hAnsi="Arial"/>
                <w:sz w:val="20"/>
                <w:szCs w:val="20"/>
                <w:color w:val="auto"/>
                <w:vertAlign w:val="superscript"/>
              </w:rPr>
              <w:t>(2)</w:t>
            </w: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02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2,557.7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2,234.0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44"/>
              <w:spacing w:after="0"/>
              <w:rPr>
                <w:sz w:val="20"/>
                <w:szCs w:val="20"/>
                <w:color w:val="auto"/>
              </w:rPr>
            </w:pPr>
            <w:r>
              <w:rPr>
                <w:rFonts w:ascii="Arial" w:cs="Arial" w:eastAsia="Arial" w:hAnsi="Arial"/>
                <w:sz w:val="15"/>
                <w:szCs w:val="15"/>
                <w:color w:val="auto"/>
              </w:rPr>
              <w:t>14%</w:t>
            </w:r>
          </w:p>
        </w:tc>
        <w:tc>
          <w:tcPr>
            <w:tcW w:w="100" w:type="dxa"/>
            <w:vAlign w:val="bottom"/>
            <w:shd w:val="clear" w:color="auto" w:fill="DBDBDB"/>
          </w:tcPr>
          <w:p>
            <w:pPr>
              <w:spacing w:after="0"/>
              <w:rPr>
                <w:sz w:val="17"/>
                <w:szCs w:val="17"/>
                <w:color w:val="auto"/>
              </w:rPr>
            </w:pPr>
          </w:p>
        </w:tc>
        <w:tc>
          <w:tcPr>
            <w:tcW w:w="110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w:t>
      </w:r>
    </w:p>
    <w:p>
      <w:pPr>
        <w:spacing w:after="0" w:line="123" w:lineRule="exact"/>
        <w:rPr>
          <w:sz w:val="20"/>
          <w:szCs w:val="20"/>
          <w:color w:val="auto"/>
        </w:rPr>
      </w:pPr>
    </w:p>
    <w:p>
      <w:pPr>
        <w:ind w:left="620" w:hanging="307"/>
        <w:spacing w:after="0" w:line="258" w:lineRule="auto"/>
        <w:tabs>
          <w:tab w:leader="none" w:pos="543" w:val="left"/>
        </w:tabs>
        <w:numPr>
          <w:ilvl w:val="0"/>
          <w:numId w:val="4"/>
        </w:numPr>
        <w:rPr>
          <w:rFonts w:ascii="Arial" w:cs="Arial" w:eastAsia="Arial" w:hAnsi="Arial"/>
          <w:sz w:val="9"/>
          <w:szCs w:val="9"/>
          <w:color w:val="auto"/>
        </w:rPr>
      </w:pPr>
      <w:r>
        <w:rPr>
          <w:rFonts w:ascii="Arial" w:cs="Arial" w:eastAsia="Arial" w:hAnsi="Arial"/>
          <w:sz w:val="14"/>
          <w:szCs w:val="14"/>
          <w:color w:val="auto"/>
        </w:rPr>
        <w:t>Represents operational change for net sales and adjusted EBITDA which excludes the impacts of foreign currency translation. See “Certain Key Terms” in this release for more information.</w:t>
      </w:r>
    </w:p>
    <w:p>
      <w:pPr>
        <w:spacing w:after="0" w:line="1" w:lineRule="exact"/>
        <w:rPr>
          <w:rFonts w:ascii="Arial" w:cs="Arial" w:eastAsia="Arial" w:hAnsi="Arial"/>
          <w:sz w:val="9"/>
          <w:szCs w:val="9"/>
          <w:color w:val="auto"/>
        </w:rPr>
      </w:pPr>
    </w:p>
    <w:p>
      <w:pPr>
        <w:ind w:left="520" w:hanging="207"/>
        <w:spacing w:after="0" w:line="195" w:lineRule="auto"/>
        <w:tabs>
          <w:tab w:leader="none" w:pos="5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994"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4C16AE"/>
        </w:rPr>
        <w:t>Third Quarter Highlights</w:t>
      </w:r>
    </w:p>
    <w:p>
      <w:pPr>
        <w:spacing w:after="0" w:line="219" w:lineRule="exact"/>
        <w:rPr>
          <w:sz w:val="20"/>
          <w:szCs w:val="20"/>
          <w:color w:val="auto"/>
        </w:rPr>
      </w:pPr>
    </w:p>
    <w:p>
      <w:pPr>
        <w:ind w:left="320" w:right="480" w:hanging="317"/>
        <w:spacing w:after="0" w:line="29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Third quarter 2022 net sales totaled $4.1 billion, down 1% on an operational basis compared to Q3 2021 results but performed better than expectations, with strong performance across all segments.</w:t>
      </w:r>
    </w:p>
    <w:p>
      <w:pPr>
        <w:spacing w:after="0" w:line="146" w:lineRule="exact"/>
        <w:rPr>
          <w:rFonts w:ascii="Arial" w:cs="Arial" w:eastAsia="Arial" w:hAnsi="Arial"/>
          <w:sz w:val="17"/>
          <w:szCs w:val="17"/>
          <w:color w:val="auto"/>
        </w:rPr>
      </w:pPr>
    </w:p>
    <w:p>
      <w:pPr>
        <w:ind w:left="320" w:right="180" w:hanging="317"/>
        <w:spacing w:after="0" w:line="29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 business brands increased 1% on an operational basis compared to Q3 2021 results, and performed better than expectations, driven by products such as Lipitor®, Brufen®, and Creon®.</w:t>
      </w:r>
    </w:p>
    <w:p>
      <w:pPr>
        <w:spacing w:after="0" w:line="146" w:lineRule="exact"/>
        <w:rPr>
          <w:rFonts w:ascii="Arial" w:cs="Arial" w:eastAsia="Arial" w:hAnsi="Arial"/>
          <w:sz w:val="17"/>
          <w:szCs w:val="17"/>
          <w:color w:val="auto"/>
        </w:rPr>
      </w:pPr>
    </w:p>
    <w:p>
      <w:pPr>
        <w:ind w:left="320" w:right="20" w:hanging="317"/>
        <w:spacing w:after="0" w:line="29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Complex generics and biosimilars performed slightly below expectations due to increased competition and customer buying patterns. Revenues from the biosimilars portfolio to be contributed to Biocon Biologics totaled approximately $185 million in the quarter.</w:t>
      </w:r>
    </w:p>
    <w:p>
      <w:pPr>
        <w:spacing w:after="0" w:line="146" w:lineRule="exact"/>
        <w:rPr>
          <w:rFonts w:ascii="Arial" w:cs="Arial" w:eastAsia="Arial" w:hAnsi="Arial"/>
          <w:sz w:val="17"/>
          <w:szCs w:val="17"/>
          <w:color w:val="auto"/>
        </w:rPr>
      </w:pPr>
    </w:p>
    <w:p>
      <w:pPr>
        <w:ind w:left="320" w:right="20" w:hanging="317"/>
        <w:spacing w:after="0" w:line="29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Generics, which include diversified product forms such as extended-release oral solids, injectables, transdermals and topicals, performed in line with expectations, including solid performance across the broader North America portfolio, including the launch of lenalidomide in the U.S.</w:t>
      </w:r>
    </w:p>
    <w:p>
      <w:pPr>
        <w:spacing w:after="0" w:line="146" w:lineRule="exact"/>
        <w:rPr>
          <w:rFonts w:ascii="Arial" w:cs="Arial" w:eastAsia="Arial" w:hAnsi="Arial"/>
          <w:sz w:val="17"/>
          <w:szCs w:val="17"/>
          <w:color w:val="auto"/>
        </w:rPr>
      </w:pPr>
    </w:p>
    <w:p>
      <w:pPr>
        <w:ind w:left="320" w:right="140" w:hanging="317"/>
        <w:spacing w:after="0" w:line="265"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generated approximately $144 million in new product revenues (as defined in “Certain Key Terms” below) in the third quarter (approximately $350 million for the year) primarily driven by lenalidomide, unbranded insulin glargine and interchangeable Semglee® in the U.S. and is on track to achieve approximately $525 million in new product revenues in 2022, below expectations due to timing of launches, but with better-than-expected margins.</w:t>
      </w:r>
    </w:p>
    <w:p>
      <w:pPr>
        <w:spacing w:after="0" w:line="168" w:lineRule="exact"/>
        <w:rPr>
          <w:rFonts w:ascii="Arial" w:cs="Arial" w:eastAsia="Arial" w:hAnsi="Arial"/>
          <w:sz w:val="17"/>
          <w:szCs w:val="17"/>
          <w:color w:val="auto"/>
        </w:rPr>
      </w:pPr>
    </w:p>
    <w:p>
      <w:pPr>
        <w:ind w:left="320" w:right="240" w:hanging="317"/>
        <w:spacing w:after="0" w:line="29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generated $765 million of free cash flow in the third quarter ($2.56 billion for the year), primarily driven by solid U.S. GAAP net cash provided by operating activities of $869 million in the quarter ($2.81 billion for the year) and the timing of planned capital expenditures.</w:t>
      </w:r>
    </w:p>
    <w:p>
      <w:pPr>
        <w:spacing w:after="0" w:line="146" w:lineRule="exact"/>
        <w:rPr>
          <w:rFonts w:ascii="Arial" w:cs="Arial" w:eastAsia="Arial" w:hAnsi="Arial"/>
          <w:sz w:val="17"/>
          <w:szCs w:val="17"/>
          <w:color w:val="auto"/>
        </w:rPr>
      </w:pPr>
    </w:p>
    <w:p>
      <w:pPr>
        <w:ind w:left="320" w:right="180" w:hanging="317"/>
        <w:spacing w:after="0" w:line="265"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Viatris paid quarterly cash dividends of twelve cents ($0.12) per share on the Company’s issued and outstanding common stock on March 16, 2022, June 16, 2022 and September 16, 2022. On November 3, 2022, the Company’s Board of Directors declared a quarterly dividend of twelve cents ($0.12) per share on the Company’s issued and outstanding common stock, which will be payable on December 16, 2022, to shareholders of record as of the close of business on November 23, 2022.</w:t>
      </w:r>
    </w:p>
    <w:p>
      <w:pPr>
        <w:spacing w:after="0" w:line="168" w:lineRule="exact"/>
        <w:rPr>
          <w:rFonts w:ascii="Arial" w:cs="Arial" w:eastAsia="Arial" w:hAnsi="Arial"/>
          <w:sz w:val="17"/>
          <w:szCs w:val="17"/>
          <w:color w:val="auto"/>
        </w:rPr>
      </w:pPr>
    </w:p>
    <w:p>
      <w:pPr>
        <w:ind w:left="320" w:right="300" w:hanging="317"/>
        <w:spacing w:after="0" w:line="290" w:lineRule="auto"/>
        <w:tabs>
          <w:tab w:leader="none" w:pos="31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paid down approximately $614 million in debt in the third quarter (approximately $2.1 billion for the year), in line with our 2022 target. The Company remains committed to maintaining its investment grade credit rating.</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4C16AE"/>
        </w:rPr>
        <w:t>2022 Financial Guidance</w:t>
      </w:r>
    </w:p>
    <w:p>
      <w:pPr>
        <w:spacing w:after="0" w:line="206" w:lineRule="exact"/>
        <w:rPr>
          <w:sz w:val="20"/>
          <w:szCs w:val="20"/>
          <w:color w:val="auto"/>
        </w:rPr>
      </w:pPr>
    </w:p>
    <w:p>
      <w:pPr>
        <w:ind w:right="160"/>
        <w:spacing w:after="0"/>
        <w:rPr>
          <w:sz w:val="20"/>
          <w:szCs w:val="20"/>
          <w:color w:val="auto"/>
        </w:rPr>
      </w:pPr>
      <w:r>
        <w:rPr>
          <w:rFonts w:ascii="Arial" w:cs="Arial" w:eastAsia="Arial" w:hAnsi="Arial"/>
          <w:sz w:val="17"/>
          <w:szCs w:val="17"/>
          <w:color w:val="auto"/>
        </w:rPr>
        <w:t>Viatris is reaffirming its 2022 financial guidance that was previously provided on August 8, 2022, as set forth below. The Company is not providing forward-looking guidance for U.S. GAAP net earnings (loss) or a quantitative reconciliation of its 2022 adjusted EBITDA guidance to the most directly comparable U.S. GAAP measure, U.S. GAAP net earnings (loss), because it is unable to predict with reasonable certainty the ultimate outcome of certain significant items, including integration and acquisition-related expenses, restructuring expenses, asset impairments, litigation settlements and other contingencies, such as changes to contingent consideration and certain other gains or losses, as well as related income tax accounting, because certain of these items have not occurred, are out of the Company’s control and/or cannot be reasonably predicted without</w:t>
      </w:r>
    </w:p>
    <w:p>
      <w:pPr>
        <w:spacing w:after="0" w:line="3"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unreasonable effort. These items are uncertain, depend on various factors, and could have a material impact on U.S. GAAP reported results for the guidance period. U.S. GAAP net cash provided by operating activities for 2022 is estimated to be between $3.1 billion and $3.3 billion, with a</w:t>
      </w:r>
    </w:p>
    <w:p>
      <w:pPr>
        <w:spacing w:after="0" w:line="1" w:lineRule="exact"/>
        <w:rPr>
          <w:sz w:val="20"/>
          <w:szCs w:val="20"/>
          <w:color w:val="auto"/>
        </w:rPr>
      </w:pPr>
    </w:p>
    <w:p>
      <w:pPr>
        <w:ind w:right="340"/>
        <w:spacing w:after="0" w:line="254" w:lineRule="auto"/>
        <w:rPr>
          <w:sz w:val="20"/>
          <w:szCs w:val="20"/>
          <w:color w:val="auto"/>
        </w:rPr>
      </w:pPr>
      <w:r>
        <w:rPr>
          <w:rFonts w:ascii="Arial" w:cs="Arial" w:eastAsia="Arial" w:hAnsi="Arial"/>
          <w:sz w:val="17"/>
          <w:szCs w:val="17"/>
          <w:color w:val="auto"/>
        </w:rPr>
        <w:t>midpoint of $3.2 billion. The Company expects to be at the lower end of the adjusted EBITDA guidance range due to negative foreign exchange impacts and expects to be around the mid-point of the range for free cash flow.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billions)</w:t>
            </w:r>
          </w:p>
        </w:tc>
        <w:tc>
          <w:tcPr>
            <w:tcW w:w="196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Range</w:t>
            </w:r>
          </w:p>
        </w:tc>
      </w:tr>
      <w:tr>
        <w:trPr>
          <w:trHeight w:val="200"/>
        </w:trPr>
        <w:tc>
          <w:tcPr>
            <w:tcW w:w="9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w:t>
            </w:r>
          </w:p>
        </w:tc>
        <w:tc>
          <w:tcPr>
            <w:tcW w:w="1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$16.7</w:t>
            </w:r>
          </w:p>
        </w:tc>
      </w:tr>
      <w:tr>
        <w:trPr>
          <w:trHeight w:val="206"/>
        </w:trPr>
        <w:tc>
          <w:tcPr>
            <w:tcW w:w="928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Adjusted EBITDA </w:t>
            </w:r>
            <w:r>
              <w:rPr>
                <w:rFonts w:ascii="Arial" w:cs="Arial" w:eastAsia="Arial" w:hAnsi="Arial"/>
                <w:sz w:val="20"/>
                <w:szCs w:val="20"/>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5"/>
                <w:szCs w:val="15"/>
                <w:color w:val="auto"/>
              </w:rPr>
              <w:t>$5.8</w:t>
            </w:r>
          </w:p>
        </w:tc>
        <w:tc>
          <w:tcPr>
            <w:tcW w:w="1020" w:type="dxa"/>
            <w:vAlign w:val="bottom"/>
          </w:tcPr>
          <w:p>
            <w:pPr>
              <w:ind w:left="20"/>
              <w:spacing w:after="0"/>
              <w:rPr>
                <w:sz w:val="20"/>
                <w:szCs w:val="20"/>
                <w:color w:val="auto"/>
              </w:rPr>
            </w:pPr>
            <w:r>
              <w:rPr>
                <w:rFonts w:ascii="Arial" w:cs="Arial" w:eastAsia="Arial" w:hAnsi="Arial"/>
                <w:sz w:val="15"/>
                <w:szCs w:val="15"/>
                <w:color w:val="auto"/>
              </w:rPr>
              <w:t>- $6.2</w:t>
            </w:r>
          </w:p>
        </w:tc>
      </w:tr>
      <w:tr>
        <w:trPr>
          <w:trHeight w:val="206"/>
        </w:trPr>
        <w:tc>
          <w:tcPr>
            <w:tcW w:w="928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Free Cash Flow </w:t>
            </w:r>
            <w:r>
              <w:rPr>
                <w:rFonts w:ascii="Arial" w:cs="Arial" w:eastAsia="Arial" w:hAnsi="Arial"/>
                <w:sz w:val="20"/>
                <w:szCs w:val="20"/>
                <w:color w:val="auto"/>
                <w:vertAlign w:val="superscript"/>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 $2.9</w:t>
            </w:r>
          </w:p>
        </w:tc>
      </w:tr>
    </w:tbl>
    <w:p>
      <w:pPr>
        <w:spacing w:after="0" w:line="69" w:lineRule="exact"/>
        <w:rPr>
          <w:sz w:val="20"/>
          <w:szCs w:val="20"/>
          <w:color w:val="auto"/>
        </w:rPr>
      </w:pPr>
    </w:p>
    <w:p>
      <w:pPr>
        <w:ind w:left="520" w:hanging="207"/>
        <w:spacing w:after="0"/>
        <w:tabs>
          <w:tab w:leader="none" w:pos="5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Non-GAAP financial measures. See "Non-GAAP Financial Measures"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062"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4C16AE"/>
        </w:rPr>
        <w:t>Conference Call and Earnings Materials</w:t>
      </w:r>
    </w:p>
    <w:p>
      <w:pPr>
        <w:spacing w:after="0" w:line="21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Viatris Inc. will host a conference call and live webcast, today at 8:30 a.m. ET, to review the Company’s financial results for the third quarter ended September 30, 2022, and provide an update on its February 28 Investor Event. Investors and the general public are invited to listen to a live webcast of the call at investor.viatris.com or by calling 800.225.9448 or 203.518.9708 for international callers (Conference ID: VTRSQ322). The “Viatris Q3 Earnings Presentation”, which will be referenced during the call, can be found at investor.viatris.com. A replay of the webcast also will be available on the website.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4C16AE"/>
        </w:rPr>
        <w:t>Certain Key Terms</w:t>
      </w:r>
    </w:p>
    <w:p>
      <w:pPr>
        <w:spacing w:after="0" w:line="219"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u w:val="single" w:color="auto"/>
          <w:color w:val="auto"/>
        </w:rPr>
        <w:t>New product sales, new product launches or new product revenues</w:t>
      </w:r>
      <w:r>
        <w:rPr>
          <w:rFonts w:ascii="Arial" w:cs="Arial" w:eastAsia="Arial" w:hAnsi="Arial"/>
          <w:sz w:val="17"/>
          <w:szCs w:val="17"/>
          <w:color w:val="auto"/>
        </w:rPr>
        <w:t xml:space="preserve"> refer to revenue from new products launched in 2022 and the carryover impact of new products, including business development, launched within the last twelve months.</w:t>
      </w:r>
    </w:p>
    <w:p>
      <w:pPr>
        <w:spacing w:after="0" w:line="146"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u w:val="single" w:color="auto"/>
          <w:color w:val="auto"/>
        </w:rPr>
        <w:t>Operational change</w:t>
      </w:r>
      <w:r>
        <w:rPr>
          <w:rFonts w:ascii="Arial" w:cs="Arial" w:eastAsia="Arial" w:hAnsi="Arial"/>
          <w:sz w:val="17"/>
          <w:szCs w:val="17"/>
          <w:color w:val="auto"/>
        </w:rPr>
        <w:t xml:space="preserve"> refers to constant currency percentage change and is derived by translating amounts for the current period at prior year comparative period exchange rates, and in doing so shows the percentage change from 2022 constant currency net sales, revenues and adjusted EBITDA to the corresponding amount in the prior year.</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This press release includes the presentation and discussion of certain financial information that differs from what is reported under accounting principles generally accepted in the United States (“U.S. GAAP”). These non-GAAP financial measures, including, but not limited to, adjusted gross profit, adjusted gross margins, adjusted net earnings, EBITDA, adjusted EBITDA, free cash flow, adjusted R&amp;D and as a % of total revenues, adjusted SG&amp;A and as a % of total revenues, adjusted earnings from operations, adjusted interest expense, adjusted other (income) expense, net, adjusted effective tax rate, constant currency total revenues, constant currency net sales and constant currency adjusted EBITDA are presented in order to supplement investors’ and other readers’ understanding and assessment of the financial performance of Viatris Inc. (“Viatris” or the “Company”). Free cash flow refers to U.S. GAAP net cash provided by operating activities, less capital expenditures. Adjusted EBITDA margin refers to adjusted EBITDA divided by total revenues. Management uses these measures internally for forecasting, budgeting, measuring its operating performance, and incentive-based awards. Primarily due to acquisitions and other significant events which may impact comparability of our periodic operating results, Viatris believes that an evaluation of its ongoing operations (and comparisons of its current operations with historical and future operations) would be difficult if the disclosure of its financial results was limited to financial measures prepared only in accordance with U.S. GAAP. We believe that non-GAAP financial measures are useful supplemental information for our investors and when considered together with our U.S. GAAP financial measures and the reconciliation to the most directly comparable U.S. GAAP financial measure, provide a more complete understanding of the factors and trends affecting our operations. The financial performance of the Company is measured by senior management, in part, using adjusted metrics included herein, along with other performance metrics. In addition, the Company believes that including EBITDA and supplemental adjustments applied in presenting adjusted EBITDA is appropriate to provide additional information to investors to demonstrate the Company’s ability to comply with financial debt covenants and assess the Company’s ability to incur additional indebtedness. The Company also believes that adjusted EBITDA better focuses management on the Company’s underlying operational results and true business performance and, is used, in part, for management’s incentive compensation. We also report sales performance using the non-GAAP financial measures of “constant currency”, also referred to herein as “operational change”, total revenues, net sales and adjusted EBITDA. These measures provide information on the change in total revenues, net sales and adjusted EBITDA assuming that foreign currency exchange rates had not changed between the prior and current period. The comparisons presented at constant currency rates reflect comparative local currency sales at the prior year’s foreign exchange rates. We routinely evaluate our net sales, total revenues and adjusted EBITDA performance at constant currency so that sales results can be viewed without the impact of foreign currency exchange rates, thereby facilitating a period-to-period comparison of our operational activities and believe that this presentation also provides useful information to investors for the same reason. The “Summary of Total Revenues by Segment” table below compares net sales on an actual and constant currency basis for each reportable segment for the quarters and nine months ended September 30, 2022 and 2021 as well as for total revenues. Also, set forth below, Viatris has provided reconciliations of such non-GAAP financial measures to the most directly comparable U.S. GAAP financial measures. Investors and other readers are encouraged to review the related U.S. GAAP financial measures and the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20"/>
          </w:cols>
          <w:pgMar w:left="320" w:top="1062" w:right="359" w:bottom="1440" w:gutter="0" w:footer="0" w:header="0"/>
        </w:sectPr>
      </w:pPr>
    </w:p>
    <w:bookmarkStart w:id="9" w:name="page10"/>
    <w:bookmarkEnd w:id="9"/>
    <w:p>
      <w:pPr>
        <w:ind w:right="60"/>
        <w:spacing w:after="0" w:line="262" w:lineRule="auto"/>
        <w:rPr>
          <w:sz w:val="20"/>
          <w:szCs w:val="20"/>
          <w:color w:val="auto"/>
        </w:rPr>
      </w:pPr>
      <w:r>
        <w:rPr>
          <w:rFonts w:ascii="Arial" w:cs="Arial" w:eastAsia="Arial" w:hAnsi="Arial"/>
          <w:sz w:val="17"/>
          <w:szCs w:val="17"/>
          <w:color w:val="auto"/>
        </w:rPr>
        <w:t>reconciliations of the non-GAAP measures to their most directly comparable U.S. GAAP measures set forth below, and investors and other readers should consider non-GAAP measures only as supplements to, not as substitutes for or as superior measures to, the measures of financial performance prepared in accordance with U.S. GAAP. For additional information regarding the components and uses of Non-GAAP financial measures refer to Management’s Discussion and Analysis of Financial Condition and Results of Operations—Use of Non-GAAP Financial Measures section of Viatris’ Quarterly Report on Form 10-Q for the three months ended September 30, 2022.</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4C16AE"/>
        </w:rPr>
        <w:t>About Viatris</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Viatris Inc. (NASDAQ: VTRS) is a global healthcare company empowering people worldwide to live healthier at every stage of life. We provide access to medicines, advance sustainable operations, develop innovative solutions and leverage our collective expertise to connect more people to more products and services through our one-of-a-kind Global Healthcare Gateway®. Formed in November 2020, Viatris brings together scientific, manufacturing and distribution expertise with proven regulatory, medical, and commercial capabilities to deliver high-quality medicines to patients in more than 165 countries and territories. Viatris’ portfolio comprises more than 1,400 approved molecules across a wide range of therapeutic areas, spanning both non-communicable and infectious diseases, including globally recognized brands, complex generic and branded medicines, a portfolio of biosimilars and a variety of over-the-counter consumer products. With approximately 37,000 colleagues globally, Viatris is headquartered in the U.S., with global centers in Pittsburgh, Shanghai and Hyderabad, India. Learn more at viatris.com and investor.viatris.com, and connect with us on Twitter at @ViatrisInc, LinkedIn and YouTube.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4C16AE"/>
        </w:rPr>
        <w:t>Contacts</w:t>
      </w:r>
    </w:p>
    <w:p>
      <w:pPr>
        <w:spacing w:after="0" w:line="217" w:lineRule="exact"/>
        <w:rPr>
          <w:sz w:val="20"/>
          <w:szCs w:val="20"/>
          <w:color w:val="auto"/>
        </w:rPr>
      </w:pPr>
    </w:p>
    <w:p>
      <w:pPr>
        <w:spacing w:after="0"/>
        <w:tabs>
          <w:tab w:leader="none" w:pos="1860" w:val="left"/>
        </w:tabs>
        <w:rPr>
          <w:sz w:val="20"/>
          <w:szCs w:val="20"/>
          <w:color w:val="auto"/>
        </w:rPr>
      </w:pPr>
      <w:r>
        <w:rPr>
          <w:rFonts w:ascii="Arial" w:cs="Arial" w:eastAsia="Arial" w:hAnsi="Arial"/>
          <w:sz w:val="17"/>
          <w:szCs w:val="17"/>
          <w:b w:val="1"/>
          <w:bCs w:val="1"/>
          <w:color w:val="auto"/>
        </w:rPr>
        <w:t>MEDIA</w:t>
      </w:r>
      <w:r>
        <w:rPr>
          <w:sz w:val="20"/>
          <w:szCs w:val="20"/>
          <w:color w:val="auto"/>
        </w:rPr>
        <w:tab/>
      </w:r>
      <w:r>
        <w:rPr>
          <w:rFonts w:ascii="Arial" w:cs="Arial" w:eastAsia="Arial" w:hAnsi="Arial"/>
          <w:sz w:val="17"/>
          <w:szCs w:val="17"/>
          <w:b w:val="1"/>
          <w:bCs w:val="1"/>
          <w:color w:val="auto"/>
        </w:rPr>
        <w:t>INVESTORS</w:t>
      </w:r>
    </w:p>
    <w:p>
      <w:pPr>
        <w:spacing w:after="0" w:line="29"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color w:val="auto"/>
        </w:rPr>
        <w:t>+1.724.514.1968</w:t>
      </w:r>
      <w:r>
        <w:rPr>
          <w:sz w:val="20"/>
          <w:szCs w:val="20"/>
          <w:color w:val="auto"/>
        </w:rPr>
        <w:tab/>
      </w:r>
      <w:r>
        <w:rPr>
          <w:rFonts w:ascii="Arial" w:cs="Arial" w:eastAsia="Arial" w:hAnsi="Arial"/>
          <w:sz w:val="16"/>
          <w:szCs w:val="16"/>
          <w:color w:val="auto"/>
        </w:rPr>
        <w:t>Bill Szablewski</w:t>
      </w:r>
    </w:p>
    <w:p>
      <w:pPr>
        <w:spacing w:after="0" w:line="11" w:lineRule="exact"/>
        <w:rPr>
          <w:sz w:val="20"/>
          <w:szCs w:val="20"/>
          <w:color w:val="auto"/>
        </w:rPr>
      </w:pPr>
    </w:p>
    <w:p>
      <w:pPr>
        <w:spacing w:after="0"/>
        <w:tabs>
          <w:tab w:leader="none" w:pos="3060" w:val="left"/>
        </w:tabs>
        <w:rPr>
          <w:sz w:val="20"/>
          <w:szCs w:val="20"/>
          <w:color w:val="auto"/>
        </w:rPr>
      </w:pPr>
      <w:r>
        <w:rPr>
          <w:rFonts w:ascii="Arial" w:cs="Arial" w:eastAsia="Arial" w:hAnsi="Arial"/>
          <w:sz w:val="17"/>
          <w:szCs w:val="17"/>
          <w:color w:val="auto"/>
        </w:rPr>
        <w:t>Communications@viatris.com</w:t>
      </w:r>
      <w:r>
        <w:rPr>
          <w:sz w:val="20"/>
          <w:szCs w:val="20"/>
          <w:color w:val="auto"/>
        </w:rPr>
        <w:tab/>
      </w:r>
      <w:r>
        <w:rPr>
          <w:rFonts w:ascii="Arial" w:cs="Arial" w:eastAsia="Arial" w:hAnsi="Arial"/>
          <w:sz w:val="17"/>
          <w:szCs w:val="17"/>
          <w:color w:val="auto"/>
        </w:rPr>
        <w:t>+1.412.707.2866</w:t>
      </w:r>
    </w:p>
    <w:p>
      <w:pPr>
        <w:spacing w:after="0" w:line="1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InvestorRelations@viatris.com</w:t>
      </w:r>
    </w:p>
    <w:p>
      <w:pPr>
        <w:spacing w:after="0" w:line="11" w:lineRule="exact"/>
        <w:rPr>
          <w:sz w:val="20"/>
          <w:szCs w:val="20"/>
          <w:color w:val="auto"/>
        </w:rPr>
      </w:pPr>
    </w:p>
    <w:p>
      <w:pPr>
        <w:spacing w:after="0"/>
        <w:tabs>
          <w:tab w:leader="none" w:pos="2280" w:val="left"/>
        </w:tabs>
        <w:rPr>
          <w:sz w:val="20"/>
          <w:szCs w:val="20"/>
          <w:color w:val="auto"/>
        </w:rPr>
      </w:pPr>
      <w:r>
        <w:rPr>
          <w:rFonts w:ascii="Arial" w:cs="Arial" w:eastAsia="Arial" w:hAnsi="Arial"/>
          <w:sz w:val="17"/>
          <w:szCs w:val="17"/>
          <w:color w:val="auto"/>
        </w:rPr>
        <w:t>Jennifer Mauer</w:t>
      </w:r>
      <w:r>
        <w:rPr>
          <w:sz w:val="20"/>
          <w:szCs w:val="20"/>
          <w:color w:val="auto"/>
        </w:rPr>
        <w:tab/>
      </w:r>
      <w:r>
        <w:rPr>
          <w:rFonts w:ascii="Arial" w:cs="Arial" w:eastAsia="Arial" w:hAnsi="Arial"/>
          <w:sz w:val="17"/>
          <w:szCs w:val="17"/>
          <w:color w:val="auto"/>
        </w:rPr>
        <w:t>William.Szablewski@viatris.com</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Jennifer.Mauer@viatris.com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Matt Klein</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Matthew.Klein@viatris.com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06"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This release contains “forward-looking statements”. These statements are made pursuant to the safe harbor provisions of the Private Securities Litigation Reform Act of 1995. Such forward-looking statements may include, without limitation, statements about Viatris’ 2022 financial guidance; reaffirms 2022 guidance ranges across total revenues, adjusted EBITDA and free cash flow; driven by solid operating momentum despite foreign</w:t>
      </w:r>
    </w:p>
    <w:p>
      <w:pPr>
        <w:spacing w:after="0" w:line="1" w:lineRule="exact"/>
        <w:rPr>
          <w:sz w:val="20"/>
          <w:szCs w:val="20"/>
          <w:color w:val="auto"/>
        </w:rPr>
      </w:pPr>
    </w:p>
    <w:p>
      <w:pPr>
        <w:ind w:right="40"/>
        <w:spacing w:after="0" w:line="243" w:lineRule="auto"/>
        <w:rPr>
          <w:sz w:val="20"/>
          <w:szCs w:val="20"/>
          <w:color w:val="auto"/>
        </w:rPr>
      </w:pPr>
      <w:r>
        <w:rPr>
          <w:rFonts w:ascii="Arial" w:cs="Arial" w:eastAsia="Arial" w:hAnsi="Arial"/>
          <w:sz w:val="17"/>
          <w:szCs w:val="17"/>
          <w:color w:val="auto"/>
        </w:rPr>
        <w:t>exchange headwinds and absorbing inflation impact to date; Viatris’ Board of Directors declared a quarterly dividend of twelve cents ($0.12) for each issued and outstanding share of the company's common stock payable on December 16, 2022, to shareholders of record at the close of business on November 23, 2022; we are very pleased with our seven quarters of strong financial performance, which allow us to continue to deliver</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on our Phase 1 financial commitments and lay a solid foundation for our return to growth in Phase 2; in addition to the strong quarterly performance, we continue to progress our pipeline of complex and novel products; we are extremely pleased with our momentum and how the business is</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performing after another strong quarter of operational results and free cash flow generation; our commitment to maintaining our investment grade rating; the Company expects to be at the lower end of the adjusted EBITDA guidance range due to negative foreign exchange impacts and expects to be around the mid-point of the range for free cash flow; that the Company is on track to achieve approximately $525 million in new product revenues in 2022, below expectations due to timing of launches, but with better-than-expected margins; statements about the pending transaction between Viatris and Biocon Biologics Limited (“Biocon Biologics”) pursuant to which Viatris will contribute its biosimilars portfolio to Biocon Biologics (the “Biocon Biologics Transaction”), statements about the transaction pursuant to which Mylan N.V. (“Mylan”) combined with Pfizer Inc.’s Upjohn business (the “Upjohn Business”) in a Reverse Morris Trust transaction (the “Combination”) and Upjohn Inc. became the parent entity of the combined Upjohn Business and Mylan business and was renamed “Viatris Inc.”, the benefits and synergies of the Combination or our global restructuring program, the Company's strategic initiatives, including but not limited to potential divestitures and recently announced acquisitions, future opportunities for the Company and its products and any other statements regarding the Company’s future operations, financial or operating results, capital allocation, dividend policy and payments, debt ratio and covenants, anticipated business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20"/>
          </w:cols>
          <w:pgMar w:left="320" w:top="858" w:right="359" w:bottom="1440" w:gutter="0" w:footer="0" w:header="0"/>
        </w:sectPr>
      </w:pPr>
    </w:p>
    <w:bookmarkStart w:id="10" w:name="page11"/>
    <w:bookmarkEnd w:id="10"/>
    <w:p>
      <w:pPr>
        <w:ind w:right="60"/>
        <w:spacing w:after="0"/>
        <w:rPr>
          <w:sz w:val="20"/>
          <w:szCs w:val="20"/>
          <w:color w:val="auto"/>
        </w:rPr>
      </w:pPr>
      <w:r>
        <w:rPr>
          <w:rFonts w:ascii="Arial" w:cs="Arial" w:eastAsia="Arial" w:hAnsi="Arial"/>
          <w:sz w:val="17"/>
          <w:szCs w:val="17"/>
          <w:color w:val="auto"/>
        </w:rPr>
        <w:t>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w:t>
      </w:r>
    </w:p>
    <w:p>
      <w:pPr>
        <w:spacing w:after="0" w:line="3"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limited to: the possibility that the Company may be unable to achieve expected benefits, synergies and operating efficiencies in connection with the Combination or its global restructuring program within the expected timeframe or at all; the pending Biocon Biologics Transaction and other strategic</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initiatives, including potential divestitures, may not achieve their intended benefits; operational or financial difficulties or losses associated with the Company’s reliance on agreements with Pfizer in connection with the Combination, including with respect to transition services; the potential impact of public health outbreaks, epidemics and pandemics, including the ongoing challenges and uncertainties posed by the COVID-19 pandemic; the Company’s failure to achieve expected or targeted future financial and operating performance and results; actions and decisions of healthcare and pharmaceutical regulators; changes in relevant laws and regulations, including but not limited to changes in tax, healthcare and pharmaceutical laws and regulations globally (including the impact of potential tax reform in the U.S.);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w:t>
      </w:r>
    </w:p>
    <w:p>
      <w:pPr>
        <w:spacing w:after="0" w:line="4" w:lineRule="exact"/>
        <w:rPr>
          <w:sz w:val="20"/>
          <w:szCs w:val="20"/>
          <w:color w:val="auto"/>
        </w:rPr>
      </w:pPr>
    </w:p>
    <w:p>
      <w:pPr>
        <w:ind w:right="360"/>
        <w:spacing w:after="0" w:line="229" w:lineRule="auto"/>
        <w:rPr>
          <w:sz w:val="20"/>
          <w:szCs w:val="20"/>
          <w:color w:val="auto"/>
        </w:rPr>
      </w:pPr>
      <w:r>
        <w:rPr>
          <w:rFonts w:ascii="Arial" w:cs="Arial" w:eastAsia="Arial" w:hAnsi="Arial"/>
          <w:sz w:val="17"/>
          <w:szCs w:val="17"/>
          <w:color w:val="auto"/>
        </w:rPr>
        <w:t>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changes in third-party relationships; the effect of any changes in the Company’s or its partners’ customer and supplier relationships and customer purchasing patterns, including customer loss and business disruption being greater than expected following the Combination;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U.S. GAAP and related standards or on an adjusted basis. For more detailed information on the risks and uncertainties associated with Viatris, see the risks described in Part I, Item 1A in the Company’s Annual Report on Form 10-K for the year ended December 31, 2021, as amended,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w:t>
      </w:r>
    </w:p>
    <w:p>
      <w:pPr>
        <w:spacing w:after="0" w:line="4"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information to the public in a broad, non-exclusionary manner for purposes of the SEC’s Regulation Fair Disclosure (Reg FD). The contents of our website are not incorporated into this release or our other filings with the SEC. Viatris undertakes no obligation to update any statements herein for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revisions or changes after the date of this release other than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845"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7"/>
          <w:szCs w:val="17"/>
          <w:b w:val="1"/>
          <w:bCs w:val="1"/>
          <w:color w:val="auto"/>
        </w:rPr>
        <w:t>Viatris Inc.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6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3"/>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per share amounts)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Revenues: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20" w:type="dxa"/>
            <w:vAlign w:val="bottom"/>
          </w:tcPr>
          <w:p>
            <w:pPr>
              <w:ind w:left="200"/>
              <w:spacing w:after="0"/>
              <w:rPr>
                <w:sz w:val="20"/>
                <w:szCs w:val="20"/>
                <w:color w:val="auto"/>
              </w:rPr>
            </w:pPr>
            <w:r>
              <w:rPr>
                <w:rFonts w:ascii="Arial" w:cs="Arial" w:eastAsia="Arial" w:hAnsi="Arial"/>
                <w:sz w:val="15"/>
                <w:szCs w:val="15"/>
                <w:color w:val="auto"/>
              </w:rPr>
              <w:t>Net sales</w:t>
            </w: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4,067.4</w:t>
            </w:r>
          </w:p>
        </w:tc>
        <w:tc>
          <w:tcPr>
            <w:tcW w:w="120" w:type="dxa"/>
            <w:vAlign w:val="bottom"/>
          </w:tcPr>
          <w:p>
            <w:pPr>
              <w:spacing w:after="0"/>
              <w:rPr>
                <w:sz w:val="17"/>
                <w:szCs w:val="17"/>
                <w:color w:val="auto"/>
              </w:rPr>
            </w:pPr>
          </w:p>
        </w:tc>
        <w:tc>
          <w:tcPr>
            <w:tcW w:w="420" w:type="dxa"/>
            <w:vAlign w:val="bottom"/>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4,520.5</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12,351.0</w:t>
            </w:r>
          </w:p>
        </w:tc>
        <w:tc>
          <w:tcPr>
            <w:tcW w:w="100" w:type="dxa"/>
            <w:vAlign w:val="bottom"/>
          </w:tcPr>
          <w:p>
            <w:pPr>
              <w:spacing w:after="0"/>
              <w:rPr>
                <w:sz w:val="17"/>
                <w:szCs w:val="17"/>
                <w:color w:val="auto"/>
              </w:rPr>
            </w:pPr>
          </w:p>
        </w:tc>
        <w:tc>
          <w:tcPr>
            <w:tcW w:w="440" w:type="dxa"/>
            <w:vAlign w:val="bottom"/>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13,482.3</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revenues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35.7</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62.4</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5"/>
                <w:szCs w:val="15"/>
                <w:color w:val="auto"/>
              </w:rPr>
              <w:t>Total revenues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4,078.2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4,536.6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12,386.7</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13,544.7</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sales</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2,329.8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7,163.8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9,515.6</w:t>
            </w:r>
          </w:p>
        </w:tc>
        <w:tc>
          <w:tcPr>
            <w:tcW w:w="0" w:type="dxa"/>
            <w:vAlign w:val="bottom"/>
          </w:tcPr>
          <w:p>
            <w:pPr>
              <w:spacing w:after="0"/>
              <w:rPr>
                <w:sz w:val="1"/>
                <w:szCs w:val="1"/>
                <w:color w:val="auto"/>
              </w:rPr>
            </w:pPr>
          </w:p>
        </w:tc>
      </w:tr>
      <w:tr>
        <w:trPr>
          <w:trHeight w:val="198"/>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Gross profit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1,748.4</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5,222.9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4,029.1</w:t>
            </w:r>
          </w:p>
        </w:tc>
        <w:tc>
          <w:tcPr>
            <w:tcW w:w="0" w:type="dxa"/>
            <w:vAlign w:val="bottom"/>
          </w:tcPr>
          <w:p>
            <w:pPr>
              <w:spacing w:after="0"/>
              <w:rPr>
                <w:sz w:val="1"/>
                <w:szCs w:val="1"/>
                <w:color w:val="auto"/>
              </w:rPr>
            </w:pPr>
          </w:p>
        </w:tc>
      </w:tr>
      <w:tr>
        <w:trPr>
          <w:trHeight w:val="187"/>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620" w:type="dxa"/>
            <w:vAlign w:val="bottom"/>
          </w:tcPr>
          <w:p>
            <w:pPr>
              <w:ind w:left="200"/>
              <w:spacing w:after="0"/>
              <w:rPr>
                <w:sz w:val="20"/>
                <w:szCs w:val="20"/>
                <w:color w:val="auto"/>
              </w:rPr>
            </w:pPr>
            <w:r>
              <w:rPr>
                <w:rFonts w:ascii="Arial" w:cs="Arial" w:eastAsia="Arial" w:hAnsi="Arial"/>
                <w:sz w:val="15"/>
                <w:szCs w:val="15"/>
                <w:color w:val="auto"/>
              </w:rPr>
              <w:t>Research and development</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174.9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152.1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479.8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483.9</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Selling, general and administrative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1,017.3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2,913.7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3,446.3</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Litigation settlements and other contingencies,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13.2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55.3</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1,188.3</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1,216.5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3,406.7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3,985.5</w:t>
            </w:r>
          </w:p>
        </w:tc>
        <w:tc>
          <w:tcPr>
            <w:tcW w:w="0" w:type="dxa"/>
            <w:vAlign w:val="bottom"/>
          </w:tcPr>
          <w:p>
            <w:pPr>
              <w:spacing w:after="0"/>
              <w:rPr>
                <w:sz w:val="1"/>
                <w:szCs w:val="1"/>
                <w:color w:val="auto"/>
              </w:rPr>
            </w:pPr>
          </w:p>
        </w:tc>
      </w:tr>
      <w:tr>
        <w:trPr>
          <w:trHeight w:val="198"/>
        </w:trPr>
        <w:tc>
          <w:tcPr>
            <w:tcW w:w="5620" w:type="dxa"/>
            <w:vAlign w:val="bottom"/>
          </w:tcPr>
          <w:p>
            <w:pPr>
              <w:ind w:left="20"/>
              <w:spacing w:after="0"/>
              <w:rPr>
                <w:sz w:val="20"/>
                <w:szCs w:val="20"/>
                <w:color w:val="auto"/>
              </w:rPr>
            </w:pPr>
            <w:r>
              <w:rPr>
                <w:rFonts w:ascii="Arial" w:cs="Arial" w:eastAsia="Arial" w:hAnsi="Arial"/>
                <w:sz w:val="15"/>
                <w:szCs w:val="15"/>
                <w:color w:val="auto"/>
              </w:rPr>
              <w:t>Earnings from operations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560.1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357.6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color w:val="auto"/>
              </w:rPr>
              <w:t>1,816.2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43.6</w:t>
            </w:r>
          </w:p>
        </w:tc>
        <w:tc>
          <w:tcPr>
            <w:tcW w:w="0" w:type="dxa"/>
            <w:vAlign w:val="bottom"/>
          </w:tcPr>
          <w:p>
            <w:pPr>
              <w:spacing w:after="0"/>
              <w:rPr>
                <w:sz w:val="1"/>
                <w:szCs w:val="1"/>
                <w:color w:val="auto"/>
              </w:rPr>
            </w:pPr>
          </w:p>
        </w:tc>
      </w:tr>
      <w:tr>
        <w:trPr>
          <w:trHeight w:val="207"/>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445.3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488.0</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expense,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26.6</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(loss) before income taxes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427.5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1,344.3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(460.5)</w:t>
            </w:r>
          </w:p>
        </w:tc>
        <w:tc>
          <w:tcPr>
            <w:tcW w:w="0" w:type="dxa"/>
            <w:vAlign w:val="bottom"/>
          </w:tcPr>
          <w:p>
            <w:pPr>
              <w:spacing w:after="0"/>
              <w:rPr>
                <w:sz w:val="1"/>
                <w:szCs w:val="1"/>
                <w:color w:val="auto"/>
              </w:rPr>
            </w:pPr>
          </w:p>
        </w:tc>
      </w:tr>
      <w:tr>
        <w:trPr>
          <w:trHeight w:val="205"/>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Income tax provision (benefit)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73.2</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276.9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544.8</w:t>
            </w:r>
          </w:p>
        </w:tc>
        <w:tc>
          <w:tcPr>
            <w:tcW w:w="0" w:type="dxa"/>
            <w:vAlign w:val="bottom"/>
          </w:tcPr>
          <w:p>
            <w:pPr>
              <w:spacing w:after="0"/>
              <w:rPr>
                <w:sz w:val="1"/>
                <w:szCs w:val="1"/>
                <w:color w:val="auto"/>
              </w:rPr>
            </w:pPr>
          </w:p>
        </w:tc>
      </w:tr>
      <w:tr>
        <w:trPr>
          <w:trHeight w:val="22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earnings (loss)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1,067.4</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(1,005.3)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Earnings (loss) per share attributable to Viatris Inc. shareholders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Basic</w:t>
            </w: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0.29</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0.88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620" w:type="dxa"/>
            <w:vAlign w:val="bottom"/>
          </w:tcPr>
          <w:p>
            <w:pPr>
              <w:ind w:left="200"/>
              <w:spacing w:after="0"/>
              <w:rPr>
                <w:sz w:val="20"/>
                <w:szCs w:val="20"/>
                <w:color w:val="auto"/>
              </w:rPr>
            </w:pPr>
            <w:r>
              <w:rPr>
                <w:rFonts w:ascii="Arial" w:cs="Arial" w:eastAsia="Arial" w:hAnsi="Arial"/>
                <w:sz w:val="15"/>
                <w:szCs w:val="15"/>
                <w:color w:val="auto"/>
              </w:rPr>
              <w:t>Diluted</w:t>
            </w: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0.29</w:t>
            </w:r>
          </w:p>
        </w:tc>
        <w:tc>
          <w:tcPr>
            <w:tcW w:w="120" w:type="dxa"/>
            <w:vAlign w:val="bottom"/>
          </w:tcPr>
          <w:p>
            <w:pPr>
              <w:spacing w:after="0"/>
              <w:rPr>
                <w:sz w:val="15"/>
                <w:szCs w:val="15"/>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0.26</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0.88</w:t>
            </w:r>
          </w:p>
        </w:tc>
        <w:tc>
          <w:tcPr>
            <w:tcW w:w="100" w:type="dxa"/>
            <w:vAlign w:val="bottom"/>
          </w:tcPr>
          <w:p>
            <w:pPr>
              <w:spacing w:after="0"/>
              <w:rPr>
                <w:sz w:val="15"/>
                <w:szCs w:val="15"/>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 average shares outstanding:</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200"/>
              <w:spacing w:after="0"/>
              <w:rPr>
                <w:sz w:val="20"/>
                <w:szCs w:val="20"/>
                <w:color w:val="auto"/>
              </w:rPr>
            </w:pPr>
            <w:r>
              <w:rPr>
                <w:rFonts w:ascii="Arial" w:cs="Arial" w:eastAsia="Arial" w:hAnsi="Arial"/>
                <w:sz w:val="15"/>
                <w:szCs w:val="15"/>
                <w:color w:val="auto"/>
              </w:rPr>
              <w:t>Basic</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1,212.5</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1,209.3</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1,211.8</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1,208.6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Diluted</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1,218.1</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1,212.6</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1,216.1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1,208.6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780"/>
          </w:cols>
          <w:pgMar w:left="560" w:top="856" w:right="55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7"/>
          <w:szCs w:val="17"/>
          <w:b w:val="1"/>
          <w:bCs w:val="1"/>
          <w:color w:val="auto"/>
        </w:rPr>
        <w:t>Viatris Inc. and Subsidiaries</w:t>
      </w: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2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4640" w:type="dxa"/>
            <w:vAlign w:val="bottom"/>
            <w:tcBorders>
              <w:bottom w:val="single" w:sz="8" w:color="CCEEFF"/>
            </w:tcBorders>
            <w:vMerge w:val="continue"/>
          </w:tcPr>
          <w:p>
            <w:pPr>
              <w:spacing w:after="0"/>
              <w:rPr>
                <w:sz w:val="15"/>
                <w:szCs w:val="15"/>
                <w:color w:val="auto"/>
              </w:rPr>
            </w:pPr>
          </w:p>
        </w:tc>
        <w:tc>
          <w:tcPr>
            <w:tcW w:w="37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spacing w:after="0"/>
              <w:rPr>
                <w:sz w:val="16"/>
                <w:szCs w:val="16"/>
                <w:color w:val="auto"/>
              </w:rPr>
            </w:pPr>
          </w:p>
        </w:tc>
        <w:tc>
          <w:tcPr>
            <w:tcW w:w="3700" w:type="dxa"/>
            <w:vAlign w:val="bottom"/>
            <w:shd w:val="clear" w:color="auto" w:fill="CCEEFF"/>
          </w:tcPr>
          <w:p>
            <w:pPr>
              <w:jc w:val="center"/>
              <w:ind w:right="1683"/>
              <w:spacing w:after="0"/>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640" w:type="dxa"/>
            <w:vAlign w:val="bottom"/>
          </w:tcPr>
          <w:p>
            <w:pPr>
              <w:ind w:left="20"/>
              <w:spacing w:after="0"/>
              <w:rPr>
                <w:sz w:val="20"/>
                <w:szCs w:val="20"/>
                <w:color w:val="auto"/>
              </w:rPr>
            </w:pPr>
            <w:r>
              <w:rPr>
                <w:rFonts w:ascii="Arial" w:cs="Arial" w:eastAsia="Arial" w:hAnsi="Arial"/>
                <w:sz w:val="15"/>
                <w:szCs w:val="15"/>
                <w:color w:val="auto"/>
              </w:rPr>
              <w:t>Assets</w:t>
            </w: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Current assets: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640" w:type="dxa"/>
            <w:vAlign w:val="bottom"/>
          </w:tcPr>
          <w:p>
            <w:pPr>
              <w:ind w:left="440"/>
              <w:spacing w:after="0"/>
              <w:rPr>
                <w:sz w:val="20"/>
                <w:szCs w:val="20"/>
                <w:color w:val="auto"/>
              </w:rPr>
            </w:pPr>
            <w:r>
              <w:rPr>
                <w:rFonts w:ascii="Arial" w:cs="Arial" w:eastAsia="Arial" w:hAnsi="Arial"/>
                <w:sz w:val="15"/>
                <w:szCs w:val="15"/>
                <w:color w:val="auto"/>
              </w:rPr>
              <w:t>Cash and cash equivalents</w:t>
            </w:r>
          </w:p>
        </w:tc>
        <w:tc>
          <w:tcPr>
            <w:tcW w:w="3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646.7</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701.2</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Accounts receivable, net</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3,333.9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4,266.4</w:t>
            </w:r>
          </w:p>
        </w:tc>
        <w:tc>
          <w:tcPr>
            <w:tcW w:w="0" w:type="dxa"/>
            <w:vAlign w:val="bottom"/>
          </w:tcPr>
          <w:p>
            <w:pPr>
              <w:spacing w:after="0"/>
              <w:rPr>
                <w:sz w:val="1"/>
                <w:szCs w:val="1"/>
                <w:color w:val="auto"/>
              </w:rPr>
            </w:pPr>
          </w:p>
        </w:tc>
      </w:tr>
      <w:tr>
        <w:trPr>
          <w:trHeight w:val="205"/>
        </w:trPr>
        <w:tc>
          <w:tcPr>
            <w:tcW w:w="4640" w:type="dxa"/>
            <w:vAlign w:val="bottom"/>
          </w:tcPr>
          <w:p>
            <w:pPr>
              <w:ind w:left="440"/>
              <w:spacing w:after="0"/>
              <w:rPr>
                <w:sz w:val="20"/>
                <w:szCs w:val="20"/>
                <w:color w:val="auto"/>
              </w:rPr>
            </w:pPr>
            <w:r>
              <w:rPr>
                <w:rFonts w:ascii="Arial" w:cs="Arial" w:eastAsia="Arial" w:hAnsi="Arial"/>
                <w:sz w:val="15"/>
                <w:szCs w:val="15"/>
                <w:color w:val="auto"/>
              </w:rPr>
              <w:t>Inventories</w:t>
            </w: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3,380.4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3,977.7</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Prepaid expenses and other current assets</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1,957.6</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CCEEFF"/>
            </w:tcBorders>
          </w:tcPr>
          <w:p>
            <w:pPr>
              <w:ind w:left="420"/>
              <w:spacing w:after="0"/>
              <w:rPr>
                <w:sz w:val="20"/>
                <w:szCs w:val="20"/>
                <w:color w:val="auto"/>
              </w:rPr>
            </w:pPr>
            <w:r>
              <w:rPr>
                <w:rFonts w:ascii="Arial" w:cs="Arial" w:eastAsia="Arial" w:hAnsi="Arial"/>
                <w:sz w:val="15"/>
                <w:szCs w:val="15"/>
                <w:color w:val="auto"/>
              </w:rPr>
              <w:t>Assets held for sale</w:t>
            </w:r>
          </w:p>
        </w:tc>
        <w:tc>
          <w:tcPr>
            <w:tcW w:w="3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1,426.4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0"/>
        </w:trPr>
        <w:tc>
          <w:tcPr>
            <w:tcW w:w="4640" w:type="dxa"/>
            <w:vAlign w:val="bottom"/>
            <w:shd w:val="clear" w:color="auto" w:fill="CCEEFF"/>
          </w:tcPr>
          <w:p>
            <w:pPr>
              <w:ind w:left="640"/>
              <w:spacing w:after="0"/>
              <w:rPr>
                <w:sz w:val="20"/>
                <w:szCs w:val="20"/>
                <w:color w:val="auto"/>
              </w:rPr>
            </w:pPr>
            <w:r>
              <w:rPr>
                <w:rFonts w:ascii="Arial" w:cs="Arial" w:eastAsia="Arial" w:hAnsi="Arial"/>
                <w:sz w:val="15"/>
                <w:szCs w:val="15"/>
                <w:color w:val="auto"/>
              </w:rPr>
              <w:t>Total current assets</w:t>
            </w:r>
          </w:p>
        </w:tc>
        <w:tc>
          <w:tcPr>
            <w:tcW w:w="3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10,487.8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10,902.9</w:t>
            </w:r>
          </w:p>
        </w:tc>
        <w:tc>
          <w:tcPr>
            <w:tcW w:w="0" w:type="dxa"/>
            <w:vAlign w:val="bottom"/>
          </w:tcPr>
          <w:p>
            <w:pPr>
              <w:spacing w:after="0"/>
              <w:rPr>
                <w:sz w:val="1"/>
                <w:szCs w:val="1"/>
                <w:color w:val="auto"/>
              </w:rPr>
            </w:pPr>
          </w:p>
        </w:tc>
      </w:tr>
      <w:tr>
        <w:trPr>
          <w:trHeight w:val="205"/>
        </w:trPr>
        <w:tc>
          <w:tcPr>
            <w:tcW w:w="4640" w:type="dxa"/>
            <w:vAlign w:val="bottom"/>
          </w:tcPr>
          <w:p>
            <w:pPr>
              <w:ind w:left="200"/>
              <w:spacing w:after="0"/>
              <w:rPr>
                <w:sz w:val="20"/>
                <w:szCs w:val="20"/>
                <w:color w:val="auto"/>
              </w:rPr>
            </w:pPr>
            <w:r>
              <w:rPr>
                <w:rFonts w:ascii="Arial" w:cs="Arial" w:eastAsia="Arial" w:hAnsi="Arial"/>
                <w:sz w:val="15"/>
                <w:szCs w:val="15"/>
                <w:color w:val="auto"/>
              </w:rPr>
              <w:t>Intangible assets, net</w:t>
            </w: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23,013.3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26,134.2</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Goodwill</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12,113.7</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non-current assets</w:t>
            </w:r>
          </w:p>
        </w:tc>
        <w:tc>
          <w:tcPr>
            <w:tcW w:w="3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5,106.9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5,692.0</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54,842.8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bottom w:val="single" w:sz="8" w:color="CCEEFF"/>
            </w:tcBorders>
            <w:vMerge w:val="restart"/>
          </w:tcPr>
          <w:p>
            <w:pPr>
              <w:jc w:val="center"/>
              <w:ind w:right="1703"/>
              <w:spacing w:after="0"/>
              <w:rPr>
                <w:sz w:val="20"/>
                <w:szCs w:val="20"/>
                <w:color w:val="auto"/>
              </w:rPr>
            </w:pPr>
            <w:r>
              <w:rPr>
                <w:rFonts w:ascii="Arial" w:cs="Arial" w:eastAsia="Arial" w:hAnsi="Arial"/>
                <w:sz w:val="15"/>
                <w:szCs w:val="15"/>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4640" w:type="dxa"/>
            <w:vAlign w:val="bottom"/>
          </w:tcPr>
          <w:p>
            <w:pPr>
              <w:spacing w:after="0"/>
              <w:rPr>
                <w:sz w:val="13"/>
                <w:szCs w:val="13"/>
                <w:color w:val="auto"/>
              </w:rPr>
            </w:pPr>
          </w:p>
        </w:tc>
        <w:tc>
          <w:tcPr>
            <w:tcW w:w="37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Liabilities</w:t>
            </w:r>
          </w:p>
        </w:tc>
        <w:tc>
          <w:tcPr>
            <w:tcW w:w="3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40" w:type="dxa"/>
            <w:vAlign w:val="bottom"/>
          </w:tcPr>
          <w:p>
            <w:pPr>
              <w:ind w:left="200"/>
              <w:spacing w:after="0"/>
              <w:rPr>
                <w:sz w:val="20"/>
                <w:szCs w:val="20"/>
                <w:color w:val="auto"/>
              </w:rPr>
            </w:pPr>
            <w:r>
              <w:rPr>
                <w:rFonts w:ascii="Arial" w:cs="Arial" w:eastAsia="Arial" w:hAnsi="Arial"/>
                <w:sz w:val="15"/>
                <w:szCs w:val="15"/>
                <w:color w:val="auto"/>
              </w:rPr>
              <w:t>Current portion of long-term debt and other long-term obligations</w:t>
            </w:r>
          </w:p>
        </w:tc>
        <w:tc>
          <w:tcPr>
            <w:tcW w:w="38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763.8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1,877.5</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Liabilities held for sale</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5"/>
        </w:trPr>
        <w:tc>
          <w:tcPr>
            <w:tcW w:w="4640" w:type="dxa"/>
            <w:vAlign w:val="bottom"/>
          </w:tcPr>
          <w:p>
            <w:pPr>
              <w:ind w:left="200"/>
              <w:spacing w:after="0"/>
              <w:rPr>
                <w:sz w:val="20"/>
                <w:szCs w:val="20"/>
                <w:color w:val="auto"/>
              </w:rPr>
            </w:pPr>
            <w:r>
              <w:rPr>
                <w:rFonts w:ascii="Arial" w:cs="Arial" w:eastAsia="Arial" w:hAnsi="Arial"/>
                <w:sz w:val="15"/>
                <w:szCs w:val="15"/>
                <w:color w:val="auto"/>
              </w:rPr>
              <w:t>Other current liabilities</w:t>
            </w:r>
          </w:p>
        </w:tc>
        <w:tc>
          <w:tcPr>
            <w:tcW w:w="3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5,422.3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8,006.9</w:t>
            </w:r>
          </w:p>
        </w:tc>
        <w:tc>
          <w:tcPr>
            <w:tcW w:w="0" w:type="dxa"/>
            <w:vAlign w:val="bottom"/>
          </w:tcPr>
          <w:p>
            <w:pPr>
              <w:spacing w:after="0"/>
              <w:rPr>
                <w:sz w:val="1"/>
                <w:szCs w:val="1"/>
                <w:color w:val="auto"/>
              </w:rPr>
            </w:pPr>
          </w:p>
        </w:tc>
      </w:tr>
      <w:tr>
        <w:trPr>
          <w:trHeight w:val="207"/>
        </w:trPr>
        <w:tc>
          <w:tcPr>
            <w:tcW w:w="46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Long-term debt</w:t>
            </w:r>
          </w:p>
        </w:tc>
        <w:tc>
          <w:tcPr>
            <w:tcW w:w="3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18,724.5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19,717.1</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non-current liabilities</w:t>
            </w:r>
          </w:p>
        </w:tc>
        <w:tc>
          <w:tcPr>
            <w:tcW w:w="3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4,234.4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4,748.6</w:t>
            </w:r>
          </w:p>
        </w:tc>
        <w:tc>
          <w:tcPr>
            <w:tcW w:w="0" w:type="dxa"/>
            <w:vAlign w:val="bottom"/>
          </w:tcPr>
          <w:p>
            <w:pPr>
              <w:spacing w:after="0"/>
              <w:rPr>
                <w:sz w:val="1"/>
                <w:szCs w:val="1"/>
                <w:color w:val="auto"/>
              </w:rPr>
            </w:pPr>
          </w:p>
        </w:tc>
      </w:tr>
      <w:tr>
        <w:trPr>
          <w:trHeight w:val="200"/>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w:t>
            </w:r>
          </w:p>
        </w:tc>
        <w:tc>
          <w:tcPr>
            <w:tcW w:w="3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29,480.3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34,350.1</w:t>
            </w:r>
          </w:p>
        </w:tc>
        <w:tc>
          <w:tcPr>
            <w:tcW w:w="0" w:type="dxa"/>
            <w:vAlign w:val="bottom"/>
          </w:tcPr>
          <w:p>
            <w:pPr>
              <w:spacing w:after="0"/>
              <w:rPr>
                <w:sz w:val="1"/>
                <w:szCs w:val="1"/>
                <w:color w:val="auto"/>
              </w:rPr>
            </w:pPr>
          </w:p>
        </w:tc>
      </w:tr>
      <w:tr>
        <w:trPr>
          <w:trHeight w:val="205"/>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Shareholders' equity</w:t>
            </w:r>
          </w:p>
        </w:tc>
        <w:tc>
          <w:tcPr>
            <w:tcW w:w="37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19,182.3</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20,492.7</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liabilities and equity</w:t>
            </w:r>
          </w:p>
        </w:tc>
        <w:tc>
          <w:tcPr>
            <w:tcW w:w="38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48,662.6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54,842.8</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20"/>
          </w:cols>
          <w:pgMar w:left="340" w:top="85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7"/>
          <w:szCs w:val="17"/>
          <w:b w:val="1"/>
          <w:bCs w:val="1"/>
          <w:color w:val="auto"/>
        </w:rPr>
        <w:t>Viatris Inc. and Subsidiaries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Product Net Sales, on a Consolidated Basis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Three months ended September</w:t>
            </w:r>
          </w:p>
        </w:tc>
        <w:tc>
          <w:tcPr>
            <w:tcW w:w="2240" w:type="dxa"/>
            <w:vAlign w:val="bottom"/>
            <w:gridSpan w:val="4"/>
          </w:tcPr>
          <w:p>
            <w:pPr>
              <w:jc w:val="right"/>
              <w:ind w:right="23"/>
              <w:spacing w:after="0"/>
              <w:rPr>
                <w:sz w:val="20"/>
                <w:szCs w:val="20"/>
                <w:color w:val="auto"/>
              </w:rPr>
            </w:pPr>
            <w:r>
              <w:rPr>
                <w:rFonts w:ascii="Arial" w:cs="Arial" w:eastAsia="Arial" w:hAnsi="Arial"/>
                <w:sz w:val="14"/>
                <w:szCs w:val="14"/>
                <w:b w:val="1"/>
                <w:bCs w:val="1"/>
                <w:color w:val="auto"/>
              </w:rPr>
              <w:t>Nine months ended September</w:t>
            </w:r>
          </w:p>
        </w:tc>
      </w:tr>
      <w:tr>
        <w:trPr>
          <w:trHeight w:val="180"/>
        </w:trPr>
        <w:tc>
          <w:tcPr>
            <w:tcW w:w="6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83"/>
              <w:spacing w:after="0"/>
              <w:rPr>
                <w:sz w:val="20"/>
                <w:szCs w:val="20"/>
                <w:color w:val="auto"/>
              </w:rPr>
            </w:pPr>
            <w:r>
              <w:rPr>
                <w:rFonts w:ascii="Arial" w:cs="Arial" w:eastAsia="Arial" w:hAnsi="Arial"/>
                <w:sz w:val="14"/>
                <w:szCs w:val="14"/>
                <w:b w:val="1"/>
                <w:bCs w:val="1"/>
                <w:color w:val="auto"/>
              </w:rPr>
              <w:t>30,</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gridSpan w:val="2"/>
          </w:tcPr>
          <w:p>
            <w:pPr>
              <w:jc w:val="right"/>
              <w:ind w:right="63"/>
              <w:spacing w:after="0"/>
              <w:rPr>
                <w:sz w:val="20"/>
                <w:szCs w:val="20"/>
                <w:color w:val="auto"/>
              </w:rPr>
            </w:pPr>
            <w:r>
              <w:rPr>
                <w:rFonts w:ascii="Arial" w:cs="Arial" w:eastAsia="Arial" w:hAnsi="Arial"/>
                <w:sz w:val="14"/>
                <w:szCs w:val="14"/>
                <w:b w:val="1"/>
                <w:bCs w:val="1"/>
                <w:color w:val="auto"/>
              </w:rPr>
              <w:t>30,</w:t>
            </w:r>
          </w:p>
        </w:tc>
        <w:tc>
          <w:tcPr>
            <w:tcW w:w="860" w:type="dxa"/>
            <w:vAlign w:val="bottom"/>
          </w:tcPr>
          <w:p>
            <w:pPr>
              <w:spacing w:after="0"/>
              <w:rPr>
                <w:sz w:val="15"/>
                <w:szCs w:val="15"/>
                <w:color w:val="auto"/>
              </w:rPr>
            </w:pPr>
          </w:p>
        </w:tc>
      </w:tr>
      <w:tr>
        <w:trPr>
          <w:trHeight w:val="188"/>
        </w:trPr>
        <w:tc>
          <w:tcPr>
            <w:tcW w:w="6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2021</w:t>
            </w:r>
          </w:p>
        </w:tc>
      </w:tr>
      <w:tr>
        <w:trPr>
          <w:trHeight w:val="188"/>
        </w:trPr>
        <w:tc>
          <w:tcPr>
            <w:tcW w:w="6820" w:type="dxa"/>
            <w:vAlign w:val="bottom"/>
          </w:tcPr>
          <w:p>
            <w:pPr>
              <w:ind w:left="20"/>
              <w:spacing w:after="0"/>
              <w:rPr>
                <w:sz w:val="20"/>
                <w:szCs w:val="20"/>
                <w:color w:val="auto"/>
              </w:rPr>
            </w:pPr>
            <w:r>
              <w:rPr>
                <w:rFonts w:ascii="Arial" w:cs="Arial" w:eastAsia="Arial" w:hAnsi="Arial"/>
                <w:sz w:val="15"/>
                <w:szCs w:val="15"/>
                <w:b w:val="1"/>
                <w:bCs w:val="1"/>
                <w:color w:val="auto"/>
              </w:rPr>
              <w:t>Select Key Global Products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6"/>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Lipitor ®</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420.4</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410.0</w:t>
            </w: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1,266.1</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1,272.9</w:t>
            </w:r>
          </w:p>
        </w:tc>
      </w:tr>
      <w:tr>
        <w:trPr>
          <w:trHeight w:val="205"/>
        </w:trPr>
        <w:tc>
          <w:tcPr>
            <w:tcW w:w="6820" w:type="dxa"/>
            <w:vAlign w:val="bottom"/>
          </w:tcPr>
          <w:p>
            <w:pPr>
              <w:ind w:left="120"/>
              <w:spacing w:after="0"/>
              <w:rPr>
                <w:sz w:val="20"/>
                <w:szCs w:val="20"/>
                <w:color w:val="auto"/>
              </w:rPr>
            </w:pPr>
            <w:r>
              <w:rPr>
                <w:rFonts w:ascii="Arial" w:cs="Arial" w:eastAsia="Arial" w:hAnsi="Arial"/>
                <w:sz w:val="15"/>
                <w:szCs w:val="15"/>
                <w:color w:val="auto"/>
              </w:rPr>
              <w:t>Norvasc ®</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189.3</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198.4</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600.1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635.9</w:t>
            </w:r>
          </w:p>
        </w:tc>
      </w:tr>
      <w:tr>
        <w:trPr>
          <w:trHeight w:val="207"/>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Lyrica ®</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483.9</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555.9</w:t>
            </w:r>
          </w:p>
        </w:tc>
      </w:tr>
      <w:tr>
        <w:trPr>
          <w:trHeight w:val="205"/>
        </w:trPr>
        <w:tc>
          <w:tcPr>
            <w:tcW w:w="6820" w:type="dxa"/>
            <w:vAlign w:val="bottom"/>
          </w:tcPr>
          <w:p>
            <w:pPr>
              <w:ind w:left="120"/>
              <w:spacing w:after="0"/>
              <w:rPr>
                <w:sz w:val="20"/>
                <w:szCs w:val="20"/>
                <w:color w:val="auto"/>
              </w:rPr>
            </w:pPr>
            <w:r>
              <w:rPr>
                <w:rFonts w:ascii="Arial" w:cs="Arial" w:eastAsia="Arial" w:hAnsi="Arial"/>
                <w:sz w:val="15"/>
                <w:szCs w:val="15"/>
                <w:color w:val="auto"/>
              </w:rPr>
              <w:t>Viagra ®</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117.0</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138.0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361.9</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412.4</w:t>
            </w:r>
          </w:p>
        </w:tc>
      </w:tr>
      <w:tr>
        <w:trPr>
          <w:trHeight w:val="207"/>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EpiPen® Auto-Injectors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337.3</w:t>
            </w:r>
          </w:p>
        </w:tc>
      </w:tr>
      <w:tr>
        <w:trPr>
          <w:trHeight w:val="205"/>
        </w:trPr>
        <w:tc>
          <w:tcPr>
            <w:tcW w:w="6820" w:type="dxa"/>
            <w:vAlign w:val="bottom"/>
          </w:tcPr>
          <w:p>
            <w:pPr>
              <w:ind w:left="120"/>
              <w:spacing w:after="0"/>
              <w:rPr>
                <w:sz w:val="20"/>
                <w:szCs w:val="20"/>
                <w:color w:val="auto"/>
              </w:rPr>
            </w:pPr>
            <w:r>
              <w:rPr>
                <w:rFonts w:ascii="Arial" w:cs="Arial" w:eastAsia="Arial" w:hAnsi="Arial"/>
                <w:sz w:val="15"/>
                <w:szCs w:val="15"/>
                <w:color w:val="auto"/>
              </w:rPr>
              <w:t>Celebrex ®</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82.2</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86.0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253.4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257.3</w:t>
            </w:r>
          </w:p>
        </w:tc>
      </w:tr>
      <w:tr>
        <w:trPr>
          <w:trHeight w:val="207"/>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Creon ®</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81.1</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231.7</w:t>
            </w:r>
          </w:p>
        </w:tc>
      </w:tr>
      <w:tr>
        <w:trPr>
          <w:trHeight w:val="205"/>
        </w:trPr>
        <w:tc>
          <w:tcPr>
            <w:tcW w:w="6820" w:type="dxa"/>
            <w:vAlign w:val="bottom"/>
          </w:tcPr>
          <w:p>
            <w:pPr>
              <w:ind w:left="120"/>
              <w:spacing w:after="0"/>
              <w:rPr>
                <w:sz w:val="20"/>
                <w:szCs w:val="20"/>
                <w:color w:val="auto"/>
              </w:rPr>
            </w:pPr>
            <w:r>
              <w:rPr>
                <w:rFonts w:ascii="Arial" w:cs="Arial" w:eastAsia="Arial" w:hAnsi="Arial"/>
                <w:sz w:val="15"/>
                <w:szCs w:val="15"/>
                <w:color w:val="auto"/>
              </w:rPr>
              <w:t>Effexor ®</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64.2</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79.5</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215.4</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239.6</w:t>
            </w:r>
          </w:p>
        </w:tc>
      </w:tr>
      <w:tr>
        <w:trPr>
          <w:trHeight w:val="207"/>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Zoloft ®</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188.7</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208.8</w:t>
            </w:r>
          </w:p>
        </w:tc>
      </w:tr>
      <w:tr>
        <w:trPr>
          <w:trHeight w:val="205"/>
        </w:trPr>
        <w:tc>
          <w:tcPr>
            <w:tcW w:w="6820" w:type="dxa"/>
            <w:vAlign w:val="bottom"/>
          </w:tcPr>
          <w:p>
            <w:pPr>
              <w:ind w:left="120"/>
              <w:spacing w:after="0"/>
              <w:rPr>
                <w:sz w:val="20"/>
                <w:szCs w:val="20"/>
                <w:color w:val="auto"/>
              </w:rPr>
            </w:pPr>
            <w:r>
              <w:rPr>
                <w:rFonts w:ascii="Arial" w:cs="Arial" w:eastAsia="Arial" w:hAnsi="Arial"/>
                <w:sz w:val="15"/>
                <w:szCs w:val="15"/>
                <w:color w:val="auto"/>
              </w:rPr>
              <w:t>Xalabrands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51.0</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55.8</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146.7</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172.0</w:t>
            </w:r>
          </w:p>
        </w:tc>
      </w:tr>
      <w:tr>
        <w:trPr>
          <w:trHeight w:val="207"/>
        </w:trPr>
        <w:tc>
          <w:tcPr>
            <w:tcW w:w="6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6"/>
        </w:trPr>
        <w:tc>
          <w:tcPr>
            <w:tcW w:w="6820" w:type="dxa"/>
            <w:vAlign w:val="bottom"/>
          </w:tcPr>
          <w:p>
            <w:pPr>
              <w:ind w:left="20"/>
              <w:spacing w:after="0"/>
              <w:rPr>
                <w:sz w:val="20"/>
                <w:szCs w:val="20"/>
                <w:color w:val="auto"/>
              </w:rPr>
            </w:pPr>
            <w:r>
              <w:rPr>
                <w:rFonts w:ascii="Arial" w:cs="Arial" w:eastAsia="Arial" w:hAnsi="Arial"/>
                <w:sz w:val="15"/>
                <w:szCs w:val="15"/>
                <w:b w:val="1"/>
                <w:bCs w:val="1"/>
                <w:color w:val="auto"/>
              </w:rPr>
              <w:t>Select Key Segment Products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6"/>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Influvac ®</w:t>
            </w:r>
          </w:p>
        </w:tc>
        <w:tc>
          <w:tcPr>
            <w:tcW w:w="24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159.3</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161.2</w:t>
            </w:r>
          </w:p>
        </w:tc>
        <w:tc>
          <w:tcPr>
            <w:tcW w:w="28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178.3</w:t>
            </w:r>
          </w:p>
        </w:tc>
        <w:tc>
          <w:tcPr>
            <w:tcW w:w="2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165.3</w:t>
            </w:r>
          </w:p>
        </w:tc>
      </w:tr>
      <w:tr>
        <w:trPr>
          <w:trHeight w:val="205"/>
        </w:trPr>
        <w:tc>
          <w:tcPr>
            <w:tcW w:w="6820" w:type="dxa"/>
            <w:vAlign w:val="bottom"/>
          </w:tcPr>
          <w:p>
            <w:pPr>
              <w:ind w:left="120"/>
              <w:spacing w:after="0"/>
              <w:rPr>
                <w:sz w:val="20"/>
                <w:szCs w:val="20"/>
                <w:color w:val="auto"/>
              </w:rPr>
            </w:pPr>
            <w:r>
              <w:rPr>
                <w:rFonts w:ascii="Arial" w:cs="Arial" w:eastAsia="Arial" w:hAnsi="Arial"/>
                <w:sz w:val="15"/>
                <w:szCs w:val="15"/>
                <w:color w:val="auto"/>
              </w:rPr>
              <w:t>Yupelri ®</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53.4</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39.4</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146.1</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118.1</w:t>
            </w:r>
          </w:p>
        </w:tc>
      </w:tr>
      <w:tr>
        <w:trPr>
          <w:trHeight w:val="207"/>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Amitiza ®</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125.3</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147.5</w:t>
            </w:r>
          </w:p>
        </w:tc>
      </w:tr>
      <w:tr>
        <w:trPr>
          <w:trHeight w:val="205"/>
        </w:trPr>
        <w:tc>
          <w:tcPr>
            <w:tcW w:w="6820" w:type="dxa"/>
            <w:vAlign w:val="bottom"/>
          </w:tcPr>
          <w:p>
            <w:pPr>
              <w:ind w:left="120"/>
              <w:spacing w:after="0"/>
              <w:rPr>
                <w:sz w:val="20"/>
                <w:szCs w:val="20"/>
                <w:color w:val="auto"/>
              </w:rPr>
            </w:pPr>
            <w:r>
              <w:rPr>
                <w:rFonts w:ascii="Arial" w:cs="Arial" w:eastAsia="Arial" w:hAnsi="Arial"/>
                <w:sz w:val="15"/>
                <w:szCs w:val="15"/>
                <w:color w:val="auto"/>
              </w:rPr>
              <w:t>Dymista ®</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38.6</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35.0</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138.0</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129.9</w:t>
            </w:r>
          </w:p>
        </w:tc>
      </w:tr>
      <w:tr>
        <w:trPr>
          <w:trHeight w:val="207"/>
        </w:trPr>
        <w:tc>
          <w:tcPr>
            <w:tcW w:w="68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Xanax ®</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115.5</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141.5</w:t>
            </w: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8" w:lineRule="exact"/>
        <w:rPr>
          <w:sz w:val="20"/>
          <w:szCs w:val="20"/>
          <w:color w:val="auto"/>
        </w:rPr>
      </w:pPr>
    </w:p>
    <w:p>
      <w:pPr>
        <w:ind w:left="640" w:hanging="327"/>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Company does not disclose net sales for any products considered competitively sensitive.</w:t>
      </w:r>
    </w:p>
    <w:p>
      <w:pPr>
        <w:spacing w:after="0" w:line="37" w:lineRule="exact"/>
        <w:rPr>
          <w:rFonts w:ascii="Arial" w:cs="Arial" w:eastAsia="Arial" w:hAnsi="Arial"/>
          <w:sz w:val="14"/>
          <w:szCs w:val="14"/>
          <w:color w:val="auto"/>
        </w:rPr>
      </w:pPr>
    </w:p>
    <w:p>
      <w:pPr>
        <w:ind w:left="620" w:hanging="307"/>
        <w:spacing w:after="0"/>
        <w:tabs>
          <w:tab w:leader="none" w:pos="62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Products disclosed may change in future periods, including as a result of seasonality, competition or new product launches.</w:t>
      </w:r>
    </w:p>
    <w:p>
      <w:pPr>
        <w:spacing w:after="0" w:line="70" w:lineRule="exact"/>
        <w:rPr>
          <w:rFonts w:ascii="Times New Roman" w:cs="Times New Roman" w:eastAsia="Times New Roman" w:hAnsi="Times New Roman"/>
          <w:sz w:val="14"/>
          <w:szCs w:val="14"/>
          <w:color w:val="auto"/>
        </w:rPr>
      </w:pPr>
    </w:p>
    <w:p>
      <w:pPr>
        <w:ind w:left="620" w:hanging="307"/>
        <w:spacing w:after="0"/>
        <w:tabs>
          <w:tab w:leader="none" w:pos="62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4"/>
          <w:szCs w:val="14"/>
          <w:color w:val="auto"/>
        </w:rPr>
        <w:t>Amounts for the three and nine months ended September 30, 2022 include the unfavorable impact of foreign currency translations compared to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126" w:right="3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7"/>
          <w:szCs w:val="17"/>
          <w:b w:val="1"/>
          <w:bCs w:val="1"/>
          <w:color w:val="auto"/>
        </w:rPr>
        <w:t>Viatris Inc. and Subsidiaries</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Reconciliation of U.S. GAAP Net Earnings (Loss) to Adjusted Net Earnings</w:t>
      </w:r>
    </w:p>
    <w:p>
      <w:pPr>
        <w:spacing w:after="0" w:line="114"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Below is a reconciliation of U.S. GAAP net earnings (loss) to adjusted net earnings for the three and nine months ended September 30, 2022 compared to the prior year periods: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2180" w:type="dxa"/>
            <w:vAlign w:val="bottom"/>
            <w:gridSpan w:val="6"/>
          </w:tcPr>
          <w:p>
            <w:pPr>
              <w:ind w:left="40"/>
              <w:spacing w:after="0"/>
              <w:rPr>
                <w:sz w:val="20"/>
                <w:szCs w:val="20"/>
                <w:color w:val="auto"/>
              </w:rPr>
            </w:pPr>
            <w:r>
              <w:rPr>
                <w:rFonts w:ascii="Arial" w:cs="Arial" w:eastAsia="Arial" w:hAnsi="Arial"/>
                <w:sz w:val="14"/>
                <w:szCs w:val="14"/>
                <w:b w:val="1"/>
                <w:bCs w:val="1"/>
                <w:color w:val="auto"/>
                <w:w w:val="98"/>
              </w:rPr>
              <w:t>Three Months Ended September</w:t>
            </w:r>
          </w:p>
        </w:tc>
        <w:tc>
          <w:tcPr>
            <w:tcW w:w="2140" w:type="dxa"/>
            <w:vAlign w:val="bottom"/>
            <w:gridSpan w:val="5"/>
          </w:tcPr>
          <w:p>
            <w:pPr>
              <w:jc w:val="right"/>
              <w:spacing w:after="0"/>
              <w:rPr>
                <w:sz w:val="20"/>
                <w:szCs w:val="20"/>
                <w:color w:val="auto"/>
              </w:rPr>
            </w:pPr>
            <w:r>
              <w:rPr>
                <w:rFonts w:ascii="Arial" w:cs="Arial" w:eastAsia="Arial" w:hAnsi="Arial"/>
                <w:sz w:val="14"/>
                <w:szCs w:val="14"/>
                <w:b w:val="1"/>
                <w:bCs w:val="1"/>
                <w:color w:val="auto"/>
                <w:w w:val="99"/>
              </w:rPr>
              <w:t>Nine Months Ended September</w:t>
            </w:r>
          </w:p>
        </w:tc>
      </w:tr>
      <w:tr>
        <w:trPr>
          <w:trHeight w:val="180"/>
        </w:trPr>
        <w:tc>
          <w:tcPr>
            <w:tcW w:w="68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30,</w:t>
            </w:r>
          </w:p>
        </w:tc>
        <w:tc>
          <w:tcPr>
            <w:tcW w:w="800" w:type="dxa"/>
            <w:vAlign w:val="bottom"/>
            <w:tcBorders>
              <w:bottom w:val="single" w:sz="8" w:color="auto"/>
            </w:tcBorders>
          </w:tcPr>
          <w:p>
            <w:pPr>
              <w:spacing w:after="0"/>
              <w:rPr>
                <w:sz w:val="15"/>
                <w:szCs w:val="15"/>
                <w:color w:val="auto"/>
              </w:rPr>
            </w:pPr>
          </w:p>
        </w:tc>
      </w:tr>
      <w:tr>
        <w:trPr>
          <w:trHeight w:val="185"/>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2021</w:t>
            </w:r>
          </w:p>
        </w:tc>
      </w:tr>
      <w:tr>
        <w:trPr>
          <w:trHeight w:val="200"/>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net earnings (loss)</w:t>
            </w: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311.5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1,067.4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(1,005.3)</w:t>
            </w:r>
          </w:p>
        </w:tc>
      </w:tr>
      <w:tr>
        <w:trPr>
          <w:trHeight w:val="205"/>
        </w:trPr>
        <w:tc>
          <w:tcPr>
            <w:tcW w:w="6840" w:type="dxa"/>
            <w:vAlign w:val="bottom"/>
          </w:tcPr>
          <w:p>
            <w:pPr>
              <w:ind w:left="20"/>
              <w:spacing w:after="0"/>
              <w:rPr>
                <w:sz w:val="20"/>
                <w:szCs w:val="20"/>
                <w:color w:val="auto"/>
              </w:rPr>
            </w:pPr>
            <w:r>
              <w:rPr>
                <w:rFonts w:ascii="Arial" w:cs="Arial" w:eastAsia="Arial" w:hAnsi="Arial"/>
                <w:sz w:val="15"/>
                <w:szCs w:val="15"/>
                <w:color w:val="auto"/>
              </w:rPr>
              <w:t>Purchase accounting related amortization (primarily included in cost of sales)</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626.7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919.9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1,930.5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3,344.7</w:t>
            </w: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Litigation settlements and other contingencies, net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55.3</w:t>
            </w:r>
          </w:p>
        </w:tc>
      </w:tr>
      <w:tr>
        <w:trPr>
          <w:trHeight w:val="205"/>
        </w:trPr>
        <w:tc>
          <w:tcPr>
            <w:tcW w:w="6840" w:type="dxa"/>
            <w:vAlign w:val="bottom"/>
          </w:tcPr>
          <w:p>
            <w:pPr>
              <w:ind w:left="20"/>
              <w:spacing w:after="0"/>
              <w:rPr>
                <w:sz w:val="20"/>
                <w:szCs w:val="20"/>
                <w:color w:val="auto"/>
              </w:rPr>
            </w:pPr>
            <w:r>
              <w:rPr>
                <w:rFonts w:ascii="Arial" w:cs="Arial" w:eastAsia="Arial" w:hAnsi="Arial"/>
                <w:sz w:val="15"/>
                <w:szCs w:val="15"/>
                <w:color w:val="auto"/>
              </w:rPr>
              <w:t>Interest expense (primarily amortization of premiums and discounts on long term debt)</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(40.3)</w:t>
            </w: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Clean energy investments pre-tax loss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52.2</w:t>
            </w:r>
          </w:p>
        </w:tc>
      </w:tr>
      <w:tr>
        <w:trPr>
          <w:trHeight w:val="206"/>
        </w:trPr>
        <w:tc>
          <w:tcPr>
            <w:tcW w:w="6840" w:type="dxa"/>
            <w:vAlign w:val="bottom"/>
          </w:tcPr>
          <w:p>
            <w:pPr>
              <w:ind w:left="20"/>
              <w:spacing w:after="0" w:line="207" w:lineRule="exact"/>
              <w:rPr>
                <w:sz w:val="20"/>
                <w:szCs w:val="20"/>
                <w:color w:val="auto"/>
              </w:rPr>
            </w:pPr>
            <w:r>
              <w:rPr>
                <w:rFonts w:ascii="Arial" w:cs="Arial" w:eastAsia="Arial" w:hAnsi="Arial"/>
                <w:sz w:val="15"/>
                <w:szCs w:val="15"/>
                <w:color w:val="auto"/>
              </w:rPr>
              <w:t xml:space="preserve">Acquisition related costs (primarily included in SG&amp;A) </w:t>
            </w:r>
            <w:r>
              <w:rPr>
                <w:rFonts w:ascii="Arial" w:cs="Arial" w:eastAsia="Arial" w:hAnsi="Arial"/>
                <w:sz w:val="20"/>
                <w:szCs w:val="20"/>
                <w:color w:val="auto"/>
                <w:vertAlign w:val="superscript"/>
              </w:rPr>
              <w:t>(a)</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99.2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41.5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306.3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149.7</w:t>
            </w:r>
          </w:p>
        </w:tc>
      </w:tr>
      <w:tr>
        <w:trPr>
          <w:trHeight w:val="206"/>
        </w:trPr>
        <w:tc>
          <w:tcPr>
            <w:tcW w:w="6840" w:type="dxa"/>
            <w:vAlign w:val="bottom"/>
            <w:shd w:val="clear" w:color="auto" w:fill="CCEEFF"/>
          </w:tcPr>
          <w:p>
            <w:pPr>
              <w:ind w:left="20"/>
              <w:spacing w:after="0" w:line="207" w:lineRule="exact"/>
              <w:rPr>
                <w:sz w:val="20"/>
                <w:szCs w:val="20"/>
                <w:color w:val="auto"/>
              </w:rPr>
            </w:pPr>
            <w:r>
              <w:rPr>
                <w:rFonts w:ascii="Arial" w:cs="Arial" w:eastAsia="Arial" w:hAnsi="Arial"/>
                <w:sz w:val="15"/>
                <w:szCs w:val="15"/>
                <w:color w:val="auto"/>
              </w:rPr>
              <w:t xml:space="preserve">Restructuring related costs </w:t>
            </w:r>
            <w:r>
              <w:rPr>
                <w:rFonts w:ascii="Arial" w:cs="Arial" w:eastAsia="Arial" w:hAnsi="Arial"/>
                <w:sz w:val="20"/>
                <w:szCs w:val="20"/>
                <w:color w:val="auto"/>
                <w:vertAlign w:val="superscript"/>
              </w:rPr>
              <w:t>(b)</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169.8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741.6</w:t>
            </w:r>
          </w:p>
        </w:tc>
      </w:tr>
      <w:tr>
        <w:trPr>
          <w:trHeight w:val="205"/>
        </w:trPr>
        <w:tc>
          <w:tcPr>
            <w:tcW w:w="6840" w:type="dxa"/>
            <w:vAlign w:val="bottom"/>
          </w:tcPr>
          <w:p>
            <w:pPr>
              <w:ind w:left="20"/>
              <w:spacing w:after="0"/>
              <w:rPr>
                <w:sz w:val="20"/>
                <w:szCs w:val="20"/>
                <w:color w:val="auto"/>
              </w:rPr>
            </w:pPr>
            <w:r>
              <w:rPr>
                <w:rFonts w:ascii="Arial" w:cs="Arial" w:eastAsia="Arial" w:hAnsi="Arial"/>
                <w:sz w:val="15"/>
                <w:szCs w:val="15"/>
                <w:color w:val="auto"/>
              </w:rPr>
              <w:t>Share-based compensation expense</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86.8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88.7</w:t>
            </w: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special items included in:</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6"/>
        </w:trPr>
        <w:tc>
          <w:tcPr>
            <w:tcW w:w="6840" w:type="dxa"/>
            <w:vAlign w:val="bottom"/>
          </w:tcPr>
          <w:p>
            <w:pPr>
              <w:ind w:left="220"/>
              <w:spacing w:after="0" w:line="207" w:lineRule="exact"/>
              <w:rPr>
                <w:sz w:val="20"/>
                <w:szCs w:val="20"/>
                <w:color w:val="auto"/>
              </w:rPr>
            </w:pPr>
            <w:r>
              <w:rPr>
                <w:rFonts w:ascii="Arial" w:cs="Arial" w:eastAsia="Arial" w:hAnsi="Arial"/>
                <w:sz w:val="15"/>
                <w:szCs w:val="15"/>
                <w:color w:val="auto"/>
              </w:rPr>
              <w:t xml:space="preserve">Cost of sales </w:t>
            </w:r>
            <w:r>
              <w:rPr>
                <w:rFonts w:ascii="Arial" w:cs="Arial" w:eastAsia="Arial" w:hAnsi="Arial"/>
                <w:sz w:val="20"/>
                <w:szCs w:val="20"/>
                <w:color w:val="auto"/>
                <w:vertAlign w:val="superscript"/>
              </w:rPr>
              <w:t>(c)</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68.9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72.7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150.4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257.1</w:t>
            </w:r>
          </w:p>
        </w:tc>
      </w:tr>
      <w:tr>
        <w:trPr>
          <w:trHeight w:val="206"/>
        </w:trPr>
        <w:tc>
          <w:tcPr>
            <w:tcW w:w="6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Research and development expense</w:t>
            </w: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12.1</w:t>
            </w:r>
          </w:p>
        </w:tc>
      </w:tr>
      <w:tr>
        <w:trPr>
          <w:trHeight w:val="205"/>
        </w:trPr>
        <w:tc>
          <w:tcPr>
            <w:tcW w:w="6840" w:type="dxa"/>
            <w:vAlign w:val="bottom"/>
          </w:tcPr>
          <w:p>
            <w:pPr>
              <w:ind w:left="220"/>
              <w:spacing w:after="0"/>
              <w:rPr>
                <w:sz w:val="20"/>
                <w:szCs w:val="20"/>
                <w:color w:val="auto"/>
              </w:rPr>
            </w:pPr>
            <w:r>
              <w:rPr>
                <w:rFonts w:ascii="Arial" w:cs="Arial" w:eastAsia="Arial" w:hAnsi="Arial"/>
                <w:sz w:val="15"/>
                <w:szCs w:val="15"/>
                <w:color w:val="auto"/>
              </w:rPr>
              <w:t>Selling, general and administrative expense</w:t>
            </w:r>
          </w:p>
        </w:tc>
        <w:tc>
          <w:tcPr>
            <w:tcW w:w="2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9.9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4"/>
              <w:spacing w:after="0"/>
              <w:rPr>
                <w:sz w:val="20"/>
                <w:szCs w:val="20"/>
                <w:color w:val="auto"/>
              </w:rPr>
            </w:pPr>
            <w:r>
              <w:rPr>
                <w:rFonts w:ascii="Arial" w:cs="Arial" w:eastAsia="Arial" w:hAnsi="Arial"/>
                <w:sz w:val="15"/>
                <w:szCs w:val="15"/>
                <w:color w:val="auto"/>
              </w:rPr>
              <w:t>44.3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3"/>
              <w:spacing w:after="0"/>
              <w:rPr>
                <w:sz w:val="20"/>
                <w:szCs w:val="20"/>
                <w:color w:val="auto"/>
              </w:rPr>
            </w:pPr>
            <w:r>
              <w:rPr>
                <w:rFonts w:ascii="Arial" w:cs="Arial" w:eastAsia="Arial" w:hAnsi="Arial"/>
                <w:sz w:val="15"/>
                <w:szCs w:val="15"/>
                <w:color w:val="auto"/>
              </w:rPr>
              <w:t>39.4</w:t>
            </w:r>
          </w:p>
        </w:tc>
      </w:tr>
      <w:tr>
        <w:trPr>
          <w:trHeight w:val="207"/>
        </w:trPr>
        <w:tc>
          <w:tcPr>
            <w:tcW w:w="68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Other (income) expense, net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w:t>
            </w:r>
          </w:p>
        </w:tc>
      </w:tr>
      <w:tr>
        <w:trPr>
          <w:trHeight w:val="206"/>
        </w:trPr>
        <w:tc>
          <w:tcPr>
            <w:tcW w:w="6840" w:type="dxa"/>
            <w:vAlign w:val="bottom"/>
            <w:tcBorders>
              <w:bottom w:val="single" w:sz="8" w:color="CCEEFF"/>
            </w:tcBorders>
          </w:tcPr>
          <w:p>
            <w:pPr>
              <w:ind w:left="20"/>
              <w:spacing w:after="0" w:line="207" w:lineRule="exact"/>
              <w:rPr>
                <w:sz w:val="20"/>
                <w:szCs w:val="20"/>
                <w:color w:val="auto"/>
              </w:rPr>
            </w:pPr>
            <w:r>
              <w:rPr>
                <w:rFonts w:ascii="Arial" w:cs="Arial" w:eastAsia="Arial" w:hAnsi="Arial"/>
                <w:sz w:val="15"/>
                <w:szCs w:val="15"/>
                <w:color w:val="auto"/>
              </w:rPr>
              <w:t xml:space="preserve">Tax effect of the above items and other income tax related items </w:t>
            </w:r>
            <w:r>
              <w:rPr>
                <w:rFonts w:ascii="Arial" w:cs="Arial" w:eastAsia="Arial" w:hAnsi="Arial"/>
                <w:sz w:val="20"/>
                <w:szCs w:val="20"/>
                <w:color w:val="auto"/>
                <w:vertAlign w:val="superscript"/>
              </w:rPr>
              <w:t>(d)</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(342.7)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(196.8)</w:t>
            </w:r>
          </w:p>
        </w:tc>
      </w:tr>
      <w:tr>
        <w:trPr>
          <w:trHeight w:val="219"/>
        </w:trPr>
        <w:tc>
          <w:tcPr>
            <w:tcW w:w="6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net earnings</w:t>
            </w:r>
          </w:p>
        </w:tc>
        <w:tc>
          <w:tcPr>
            <w:tcW w:w="2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1,063.5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1,199.1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3,254.1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3,496.1</w:t>
            </w: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Significant items include the following:</w:t>
      </w:r>
    </w:p>
    <w:p>
      <w:pPr>
        <w:spacing w:after="0" w:line="35" w:lineRule="exact"/>
        <w:rPr>
          <w:sz w:val="20"/>
          <w:szCs w:val="20"/>
          <w:color w:val="auto"/>
        </w:rPr>
      </w:pPr>
    </w:p>
    <w:p>
      <w:pPr>
        <w:ind w:left="640" w:hanging="327"/>
        <w:spacing w:after="0"/>
        <w:tabs>
          <w:tab w:leader="none" w:pos="64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Acquisition related costs consist primarily of transaction costs including legal and consulting fees and integration activities.</w:t>
      </w:r>
    </w:p>
    <w:p>
      <w:pPr>
        <w:spacing w:after="0" w:line="48" w:lineRule="exact"/>
        <w:rPr>
          <w:rFonts w:ascii="Arial" w:cs="Arial" w:eastAsia="Arial" w:hAnsi="Arial"/>
          <w:sz w:val="22"/>
          <w:szCs w:val="22"/>
          <w:color w:val="auto"/>
          <w:vertAlign w:val="superscript"/>
        </w:rPr>
      </w:pPr>
    </w:p>
    <w:p>
      <w:pPr>
        <w:ind w:left="620" w:right="180" w:hanging="307"/>
        <w:spacing w:after="0" w:line="222" w:lineRule="auto"/>
        <w:tabs>
          <w:tab w:leader="none" w:pos="63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For the three and nine months ended September 30, 2022, charges include approximately $8.6 million and $28.4 million, respectively, in cost of sales and approximately $6.4 million and $13.6 million, respectively, in SG&amp;A.</w:t>
      </w:r>
    </w:p>
    <w:p>
      <w:pPr>
        <w:spacing w:after="0" w:line="33" w:lineRule="exact"/>
        <w:rPr>
          <w:rFonts w:ascii="Arial" w:cs="Arial" w:eastAsia="Arial" w:hAnsi="Arial"/>
          <w:sz w:val="22"/>
          <w:szCs w:val="22"/>
          <w:color w:val="auto"/>
          <w:vertAlign w:val="superscript"/>
        </w:rPr>
      </w:pPr>
    </w:p>
    <w:p>
      <w:pPr>
        <w:ind w:left="620" w:right="340" w:hanging="307"/>
        <w:spacing w:after="0" w:line="231" w:lineRule="auto"/>
        <w:tabs>
          <w:tab w:leader="none" w:pos="631"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For the three and nine months ended September 30, 2022, charges include incremental manufacturing variances at plants in the 2020 restructuring program of approximately $42.3 million and $90.1 million, respectively.</w:t>
      </w:r>
    </w:p>
    <w:p>
      <w:pPr>
        <w:spacing w:after="0" w:line="5" w:lineRule="exact"/>
        <w:rPr>
          <w:rFonts w:ascii="Arial" w:cs="Arial" w:eastAsia="Arial" w:hAnsi="Arial"/>
          <w:sz w:val="22"/>
          <w:szCs w:val="22"/>
          <w:color w:val="auto"/>
          <w:vertAlign w:val="superscript"/>
        </w:rPr>
      </w:pPr>
    </w:p>
    <w:p>
      <w:pPr>
        <w:ind w:left="600" w:hanging="287"/>
        <w:spacing w:after="0"/>
        <w:tabs>
          <w:tab w:leader="none" w:pos="600"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Adjusted for changes for uncertain tax positions and for certain impacts of the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160"/>
          </w:cols>
          <w:pgMar w:left="320" w:top="856" w:right="41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Reconciliation of U.S. GAAP Net Earnings (Loss) to EBITDA and Adjusted EBITDA</w:t>
      </w:r>
    </w:p>
    <w:p>
      <w:pPr>
        <w:spacing w:after="0" w:line="294" w:lineRule="exact"/>
        <w:rPr>
          <w:sz w:val="20"/>
          <w:szCs w:val="20"/>
          <w:color w:val="auto"/>
        </w:rPr>
      </w:pPr>
    </w:p>
    <w:p>
      <w:pPr>
        <w:ind w:right="300"/>
        <w:spacing w:after="0" w:line="290" w:lineRule="auto"/>
        <w:rPr>
          <w:sz w:val="20"/>
          <w:szCs w:val="20"/>
          <w:color w:val="auto"/>
        </w:rPr>
      </w:pPr>
      <w:r>
        <w:rPr>
          <w:rFonts w:ascii="Arial" w:cs="Arial" w:eastAsia="Arial" w:hAnsi="Arial"/>
          <w:sz w:val="17"/>
          <w:szCs w:val="17"/>
          <w:color w:val="auto"/>
        </w:rPr>
        <w:t>Below is a reconciliation of U.S. GAAP net earnings (loss) to EBITDA and adjusted EBITDA for the three and nine months ended September 30, 2022 compared to the prior year periods: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40" w:type="dxa"/>
            <w:vAlign w:val="bottom"/>
            <w:gridSpan w:val="4"/>
          </w:tcPr>
          <w:p>
            <w:pPr>
              <w:jc w:val="right"/>
              <w:ind w:right="543"/>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6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r>
      <w:tr>
        <w:trPr>
          <w:trHeight w:val="187"/>
        </w:trPr>
        <w:tc>
          <w:tcPr>
            <w:tcW w:w="6080" w:type="dxa"/>
            <w:vAlign w:val="bottom"/>
            <w:tcBorders>
              <w:bottom w:val="single" w:sz="8" w:color="CCEEFF"/>
            </w:tcBorders>
          </w:tcPr>
          <w:p>
            <w:pPr>
              <w:ind w:left="60"/>
              <w:spacing w:after="0"/>
              <w:rPr>
                <w:sz w:val="20"/>
                <w:szCs w:val="20"/>
                <w:color w:val="auto"/>
              </w:rPr>
            </w:pPr>
            <w:r>
              <w:rPr>
                <w:rFonts w:ascii="Arial" w:cs="Arial" w:eastAsia="Arial" w:hAnsi="Arial"/>
                <w:sz w:val="14"/>
                <w:szCs w:val="14"/>
                <w:b w:val="1"/>
                <w:bCs w:val="1"/>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2021</w:t>
            </w:r>
          </w:p>
        </w:tc>
      </w:tr>
      <w:tr>
        <w:trPr>
          <w:trHeight w:val="200"/>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GAAP net earnings (loss)</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354.3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311.5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1,067.4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(1,005.3)</w:t>
            </w:r>
          </w:p>
        </w:tc>
      </w:tr>
      <w:tr>
        <w:trPr>
          <w:trHeight w:val="205"/>
        </w:trPr>
        <w:tc>
          <w:tcPr>
            <w:tcW w:w="6080" w:type="dxa"/>
            <w:vAlign w:val="bottom"/>
          </w:tcPr>
          <w:p>
            <w:pPr>
              <w:ind w:left="20"/>
              <w:spacing w:after="0"/>
              <w:rPr>
                <w:sz w:val="20"/>
                <w:szCs w:val="20"/>
                <w:color w:val="auto"/>
              </w:rPr>
            </w:pPr>
            <w:r>
              <w:rPr>
                <w:rFonts w:ascii="Arial" w:cs="Arial" w:eastAsia="Arial" w:hAnsi="Arial"/>
                <w:sz w:val="15"/>
                <w:szCs w:val="15"/>
                <w:color w:val="auto"/>
              </w:rPr>
              <w:t>Add / (deduct) adjustments: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6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Net contribution attributable to equity method investments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52.2</w:t>
            </w:r>
          </w:p>
        </w:tc>
      </w:tr>
      <w:tr>
        <w:trPr>
          <w:trHeight w:val="205"/>
        </w:trPr>
        <w:tc>
          <w:tcPr>
            <w:tcW w:w="6080" w:type="dxa"/>
            <w:vAlign w:val="bottom"/>
          </w:tcPr>
          <w:p>
            <w:pPr>
              <w:ind w:left="220"/>
              <w:spacing w:after="0"/>
              <w:rPr>
                <w:sz w:val="20"/>
                <w:szCs w:val="20"/>
                <w:color w:val="auto"/>
              </w:rPr>
            </w:pPr>
            <w:r>
              <w:rPr>
                <w:rFonts w:ascii="Arial" w:cs="Arial" w:eastAsia="Arial" w:hAnsi="Arial"/>
                <w:sz w:val="15"/>
                <w:szCs w:val="15"/>
                <w:color w:val="auto"/>
              </w:rPr>
              <w:t>Income tax provision (benefit)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73.2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(111.6)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276.9</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544.8</w:t>
            </w:r>
          </w:p>
        </w:tc>
      </w:tr>
      <w:tr>
        <w:trPr>
          <w:trHeight w:val="207"/>
        </w:trPr>
        <w:tc>
          <w:tcPr>
            <w:tcW w:w="6080" w:type="dxa"/>
            <w:vAlign w:val="bottom"/>
            <w:shd w:val="clear" w:color="auto" w:fill="CCEEFF"/>
          </w:tcPr>
          <w:p>
            <w:pPr>
              <w:ind w:left="220"/>
              <w:spacing w:after="0" w:line="207" w:lineRule="exact"/>
              <w:rPr>
                <w:sz w:val="20"/>
                <w:szCs w:val="20"/>
                <w:color w:val="auto"/>
              </w:rPr>
            </w:pPr>
            <w:r>
              <w:rPr>
                <w:rFonts w:ascii="Arial" w:cs="Arial" w:eastAsia="Arial" w:hAnsi="Arial"/>
                <w:sz w:val="15"/>
                <w:szCs w:val="15"/>
                <w:color w:val="auto"/>
              </w:rPr>
              <w:t xml:space="preserve">Interest expense </w:t>
            </w:r>
            <w:r>
              <w:rPr>
                <w:rFonts w:ascii="Arial" w:cs="Arial" w:eastAsia="Arial" w:hAnsi="Arial"/>
                <w:sz w:val="20"/>
                <w:szCs w:val="20"/>
                <w:color w:val="auto"/>
                <w:vertAlign w:val="superscript"/>
              </w:rPr>
              <w:t>(a)</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151.9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488.0</w:t>
            </w:r>
          </w:p>
        </w:tc>
      </w:tr>
      <w:tr>
        <w:trPr>
          <w:trHeight w:val="206"/>
        </w:trPr>
        <w:tc>
          <w:tcPr>
            <w:tcW w:w="6080" w:type="dxa"/>
            <w:vAlign w:val="bottom"/>
            <w:tcBorders>
              <w:bottom w:val="single" w:sz="8" w:color="CCEEFF"/>
            </w:tcBorders>
          </w:tcPr>
          <w:p>
            <w:pPr>
              <w:ind w:left="220"/>
              <w:spacing w:after="0" w:line="207"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0"/>
                <w:szCs w:val="20"/>
                <w:color w:val="auto"/>
                <w:vertAlign w:val="superscript"/>
              </w:rPr>
              <w:t>(b)</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699.5</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1,017.1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2,157.8</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3,756.7</w:t>
            </w:r>
          </w:p>
        </w:tc>
      </w:tr>
      <w:tr>
        <w:trPr>
          <w:trHeight w:val="199"/>
        </w:trPr>
        <w:tc>
          <w:tcPr>
            <w:tcW w:w="6080" w:type="dxa"/>
            <w:vAlign w:val="bottom"/>
            <w:shd w:val="clear" w:color="auto" w:fill="CCEEFF"/>
          </w:tcPr>
          <w:p>
            <w:pPr>
              <w:ind w:left="20"/>
              <w:spacing w:after="0"/>
              <w:rPr>
                <w:sz w:val="20"/>
                <w:szCs w:val="20"/>
                <w:color w:val="auto"/>
              </w:rPr>
            </w:pPr>
            <w:r>
              <w:rPr>
                <w:rFonts w:ascii="Arial" w:cs="Arial" w:eastAsia="Arial" w:hAnsi="Arial"/>
                <w:sz w:val="15"/>
                <w:szCs w:val="15"/>
                <w:color w:val="auto"/>
              </w:rPr>
              <w:t>EBITDA</w:t>
            </w:r>
          </w:p>
        </w:tc>
        <w:tc>
          <w:tcPr>
            <w:tcW w:w="28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1,280.2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1,386.5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3,947.4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3,836.4</w:t>
            </w:r>
          </w:p>
        </w:tc>
      </w:tr>
      <w:tr>
        <w:trPr>
          <w:trHeight w:val="205"/>
        </w:trPr>
        <w:tc>
          <w:tcPr>
            <w:tcW w:w="6080" w:type="dxa"/>
            <w:vAlign w:val="bottom"/>
          </w:tcPr>
          <w:p>
            <w:pPr>
              <w:ind w:left="140"/>
              <w:spacing w:after="0"/>
              <w:rPr>
                <w:sz w:val="20"/>
                <w:szCs w:val="20"/>
                <w:color w:val="auto"/>
              </w:rPr>
            </w:pPr>
            <w:r>
              <w:rPr>
                <w:rFonts w:ascii="Arial" w:cs="Arial" w:eastAsia="Arial" w:hAnsi="Arial"/>
                <w:sz w:val="15"/>
                <w:szCs w:val="15"/>
                <w:color w:val="auto"/>
              </w:rPr>
              <w:t>Add / (deduct) adjustments: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7"/>
        </w:trPr>
        <w:tc>
          <w:tcPr>
            <w:tcW w:w="608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Share-based compensation expense</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w:t>
            </w:r>
          </w:p>
        </w:tc>
      </w:tr>
      <w:tr>
        <w:trPr>
          <w:trHeight w:val="205"/>
        </w:trPr>
        <w:tc>
          <w:tcPr>
            <w:tcW w:w="6080" w:type="dxa"/>
            <w:vAlign w:val="bottom"/>
          </w:tcPr>
          <w:p>
            <w:pPr>
              <w:ind w:left="220"/>
              <w:spacing w:after="0"/>
              <w:rPr>
                <w:sz w:val="20"/>
                <w:szCs w:val="20"/>
                <w:color w:val="auto"/>
              </w:rPr>
            </w:pPr>
            <w:r>
              <w:rPr>
                <w:rFonts w:ascii="Arial" w:cs="Arial" w:eastAsia="Arial" w:hAnsi="Arial"/>
                <w:sz w:val="15"/>
                <w:szCs w:val="15"/>
                <w:color w:val="auto"/>
              </w:rPr>
              <w:t>Litigation settlements and other contingencies, net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jc w:val="right"/>
              <w:ind w:right="3"/>
              <w:spacing w:after="0"/>
              <w:rPr>
                <w:sz w:val="20"/>
                <w:szCs w:val="20"/>
                <w:color w:val="auto"/>
              </w:rPr>
            </w:pPr>
            <w:r>
              <w:rPr>
                <w:rFonts w:ascii="Arial" w:cs="Arial" w:eastAsia="Arial" w:hAnsi="Arial"/>
                <w:sz w:val="15"/>
                <w:szCs w:val="15"/>
                <w:color w:val="auto"/>
              </w:rPr>
              <w:t>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55.3</w:t>
            </w:r>
          </w:p>
        </w:tc>
      </w:tr>
      <w:tr>
        <w:trPr>
          <w:trHeight w:val="207"/>
        </w:trPr>
        <w:tc>
          <w:tcPr>
            <w:tcW w:w="6080" w:type="dxa"/>
            <w:vAlign w:val="bottom"/>
            <w:shd w:val="clear" w:color="auto" w:fill="CCEEFF"/>
          </w:tcPr>
          <w:p>
            <w:pPr>
              <w:ind w:left="220"/>
              <w:spacing w:after="0" w:line="207" w:lineRule="exact"/>
              <w:rPr>
                <w:sz w:val="20"/>
                <w:szCs w:val="20"/>
                <w:color w:val="auto"/>
              </w:rPr>
            </w:pPr>
            <w:r>
              <w:rPr>
                <w:rFonts w:ascii="Arial" w:cs="Arial" w:eastAsia="Arial" w:hAnsi="Arial"/>
                <w:sz w:val="15"/>
                <w:szCs w:val="15"/>
                <w:color w:val="auto"/>
              </w:rPr>
              <w:t xml:space="preserve">Restructuring, acquisition related and other special items </w:t>
            </w:r>
            <w:r>
              <w:rPr>
                <w:rFonts w:ascii="Arial" w:cs="Arial" w:eastAsia="Arial" w:hAnsi="Arial"/>
                <w:sz w:val="20"/>
                <w:szCs w:val="20"/>
                <w:color w:val="auto"/>
                <w:vertAlign w:val="superscript"/>
              </w:rPr>
              <w:t>(c)</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277.4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518.8</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1,029.9</w:t>
            </w:r>
          </w:p>
        </w:tc>
      </w:tr>
      <w:tr>
        <w:trPr>
          <w:trHeight w:val="199"/>
        </w:trPr>
        <w:tc>
          <w:tcPr>
            <w:tcW w:w="6080" w:type="dxa"/>
            <w:vAlign w:val="bottom"/>
          </w:tcPr>
          <w:p>
            <w:pPr>
              <w:ind w:left="20"/>
              <w:spacing w:after="0"/>
              <w:rPr>
                <w:sz w:val="20"/>
                <w:szCs w:val="20"/>
                <w:color w:val="auto"/>
              </w:rPr>
            </w:pPr>
            <w:r>
              <w:rPr>
                <w:rFonts w:ascii="Arial" w:cs="Arial" w:eastAsia="Arial" w:hAnsi="Arial"/>
                <w:sz w:val="15"/>
                <w:szCs w:val="15"/>
                <w:color w:val="auto"/>
              </w:rPr>
              <w:t>Adjusted EBITDA</w:t>
            </w:r>
          </w:p>
        </w:tc>
        <w:tc>
          <w:tcPr>
            <w:tcW w:w="28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1,497.8</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1,698.3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4,566.2</w:t>
            </w:r>
          </w:p>
        </w:tc>
        <w:tc>
          <w:tcPr>
            <w:tcW w:w="120" w:type="dxa"/>
            <w:vAlign w:val="bottom"/>
          </w:tcPr>
          <w:p>
            <w:pPr>
              <w:spacing w:after="0"/>
              <w:rPr>
                <w:sz w:val="17"/>
                <w:szCs w:val="17"/>
                <w:color w:val="auto"/>
              </w:rPr>
            </w:pP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5,010.3</w:t>
            </w:r>
          </w:p>
        </w:tc>
      </w:tr>
      <w:tr>
        <w:trPr>
          <w:trHeight w:val="20"/>
        </w:trPr>
        <w:tc>
          <w:tcPr>
            <w:tcW w:w="6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35" w:lineRule="exact"/>
        <w:rPr>
          <w:sz w:val="20"/>
          <w:szCs w:val="20"/>
          <w:color w:val="auto"/>
        </w:rPr>
      </w:pPr>
    </w:p>
    <w:p>
      <w:pPr>
        <w:ind w:left="640" w:hanging="327"/>
        <w:spacing w:after="0"/>
        <w:tabs>
          <w:tab w:leader="none" w:pos="64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Includes amortization of premiums and discounts on long-term debt.</w:t>
      </w:r>
    </w:p>
    <w:p>
      <w:pPr>
        <w:spacing w:after="0" w:line="48" w:lineRule="exact"/>
        <w:rPr>
          <w:rFonts w:ascii="Arial" w:cs="Arial" w:eastAsia="Arial" w:hAnsi="Arial"/>
          <w:sz w:val="22"/>
          <w:szCs w:val="22"/>
          <w:color w:val="auto"/>
          <w:vertAlign w:val="superscript"/>
        </w:rPr>
      </w:pPr>
    </w:p>
    <w:p>
      <w:pPr>
        <w:ind w:left="580" w:hanging="267"/>
        <w:spacing w:after="0" w:line="198" w:lineRule="auto"/>
        <w:tabs>
          <w:tab w:leader="none" w:pos="58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Includes purchase accounting related amortization.</w:t>
      </w:r>
    </w:p>
    <w:p>
      <w:pPr>
        <w:spacing w:after="0" w:line="49" w:lineRule="exact"/>
        <w:rPr>
          <w:rFonts w:ascii="Arial" w:cs="Arial" w:eastAsia="Arial" w:hAnsi="Arial"/>
          <w:sz w:val="22"/>
          <w:szCs w:val="22"/>
          <w:color w:val="auto"/>
          <w:vertAlign w:val="superscript"/>
        </w:rPr>
      </w:pPr>
    </w:p>
    <w:p>
      <w:pPr>
        <w:ind w:left="640" w:hanging="327"/>
        <w:spacing w:after="0" w:line="198" w:lineRule="auto"/>
        <w:tabs>
          <w:tab w:leader="none" w:pos="640" w:val="left"/>
        </w:tabs>
        <w:numPr>
          <w:ilvl w:val="0"/>
          <w:numId w:val="9"/>
        </w:numPr>
        <w:rPr>
          <w:rFonts w:ascii="Arial" w:cs="Arial" w:eastAsia="Arial" w:hAnsi="Arial"/>
          <w:sz w:val="22"/>
          <w:szCs w:val="22"/>
          <w:color w:val="auto"/>
          <w:vertAlign w:val="superscript"/>
        </w:rPr>
      </w:pPr>
      <w:r>
        <w:rPr>
          <w:rFonts w:ascii="Arial" w:cs="Arial" w:eastAsia="Arial" w:hAnsi="Arial"/>
          <w:sz w:val="17"/>
          <w:szCs w:val="17"/>
          <w:color w:val="auto"/>
        </w:rPr>
        <w:t>See items detailed in the Reconciliation of U.S. GAAP Net Earnings (Loss) to Adjusted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858"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Summary of Total Revenues by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2022 Currency</w:t>
            </w:r>
          </w:p>
        </w:tc>
        <w:tc>
          <w:tcPr>
            <w:tcW w:w="100" w:type="dxa"/>
            <w:vAlign w:val="bottom"/>
          </w:tcPr>
          <w:p>
            <w:pPr>
              <w:spacing w:after="0"/>
              <w:rPr>
                <w:sz w:val="11"/>
                <w:szCs w:val="11"/>
                <w:color w:val="auto"/>
              </w:rPr>
            </w:pPr>
          </w:p>
        </w:tc>
        <w:tc>
          <w:tcPr>
            <w:tcW w:w="1080" w:type="dxa"/>
            <w:vAlign w:val="bottom"/>
          </w:tcPr>
          <w:p>
            <w:pPr>
              <w:jc w:val="center"/>
              <w:ind w:right="25"/>
              <w:spacing w:after="0" w:line="135" w:lineRule="exact"/>
              <w:rPr>
                <w:sz w:val="20"/>
                <w:szCs w:val="20"/>
                <w:color w:val="auto"/>
              </w:rPr>
            </w:pPr>
            <w:r>
              <w:rPr>
                <w:rFonts w:ascii="Arial" w:cs="Arial" w:eastAsia="Arial" w:hAnsi="Arial"/>
                <w:sz w:val="14"/>
                <w:szCs w:val="14"/>
                <w:b w:val="1"/>
                <w:bCs w:val="1"/>
                <w:color w:val="auto"/>
                <w:w w:val="98"/>
              </w:rPr>
              <w:t>2022 Constant</w:t>
            </w:r>
          </w:p>
        </w:tc>
        <w:tc>
          <w:tcPr>
            <w:tcW w:w="10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29"/>
        </w:trPr>
        <w:tc>
          <w:tcPr>
            <w:tcW w:w="3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Pr>
          <w:p>
            <w:pPr>
              <w:spacing w:after="0"/>
              <w:rPr>
                <w:sz w:val="11"/>
                <w:szCs w:val="11"/>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45"/>
              <w:spacing w:after="0" w:line="12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3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080" w:type="dxa"/>
            <w:vAlign w:val="bottom"/>
          </w:tcPr>
          <w:p>
            <w:pPr>
              <w:jc w:val="center"/>
              <w:ind w:right="25"/>
              <w:spacing w:after="0"/>
              <w:rPr>
                <w:sz w:val="20"/>
                <w:szCs w:val="20"/>
                <w:color w:val="auto"/>
              </w:rPr>
            </w:pPr>
            <w:r>
              <w:rPr>
                <w:rFonts w:ascii="Arial" w:cs="Arial" w:eastAsia="Arial" w:hAnsi="Arial"/>
                <w:sz w:val="14"/>
                <w:szCs w:val="14"/>
                <w:b w:val="1"/>
                <w:bCs w:val="1"/>
                <w:color w:val="auto"/>
                <w:w w:val="99"/>
              </w:rPr>
              <w:t>Revenues</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87"/>
        </w:trPr>
        <w:tc>
          <w:tcPr>
            <w:tcW w:w="3440" w:type="dxa"/>
            <w:vAlign w:val="bottom"/>
          </w:tcPr>
          <w:p>
            <w:pPr>
              <w:ind w:left="140"/>
              <w:spacing w:after="0"/>
              <w:rPr>
                <w:sz w:val="20"/>
                <w:szCs w:val="20"/>
                <w:color w:val="auto"/>
              </w:rPr>
            </w:pPr>
            <w:r>
              <w:rPr>
                <w:rFonts w:ascii="Arial" w:cs="Arial" w:eastAsia="Arial" w:hAnsi="Arial"/>
                <w:sz w:val="15"/>
                <w:szCs w:val="15"/>
                <w:color w:val="auto"/>
              </w:rPr>
              <w:t>Net sales</w:t>
            </w: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Developed Markets</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2,431.5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2,655.9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2,657.6</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Greater China</w:t>
            </w:r>
          </w:p>
        </w:tc>
        <w:tc>
          <w:tcPr>
            <w:tcW w:w="26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574.0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566.8</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27.3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601.3</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JANZ</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383.0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444.9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5"/>
        </w:trPr>
        <w:tc>
          <w:tcPr>
            <w:tcW w:w="3440" w:type="dxa"/>
            <w:vAlign w:val="bottom"/>
            <w:tcBorders>
              <w:bottom w:val="single" w:sz="8" w:color="CCEEFF"/>
            </w:tcBorders>
          </w:tcPr>
          <w:p>
            <w:pPr>
              <w:ind w:left="220"/>
              <w:spacing w:after="0"/>
              <w:rPr>
                <w:sz w:val="20"/>
                <w:szCs w:val="20"/>
                <w:color w:val="auto"/>
              </w:rPr>
            </w:pPr>
            <w:r>
              <w:rPr>
                <w:rFonts w:ascii="Arial" w:cs="Arial" w:eastAsia="Arial" w:hAnsi="Arial"/>
                <w:sz w:val="15"/>
                <w:szCs w:val="15"/>
                <w:color w:val="auto"/>
              </w:rPr>
              <w:t>Emerging Markets</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678.9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792.5</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80.9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759.8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0"/>
        </w:trPr>
        <w:tc>
          <w:tcPr>
            <w:tcW w:w="344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Total net sales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4,067.4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4,520.5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396.2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4,463.6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58"/>
        </w:trPr>
        <w:tc>
          <w:tcPr>
            <w:tcW w:w="3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CCEEFF"/>
          </w:tcPr>
          <w:p>
            <w:pPr>
              <w:ind w:left="140"/>
              <w:spacing w:after="0" w:line="207" w:lineRule="exact"/>
              <w:rPr>
                <w:sz w:val="20"/>
                <w:szCs w:val="20"/>
                <w:color w:val="auto"/>
              </w:rPr>
            </w:pPr>
            <w:r>
              <w:rPr>
                <w:rFonts w:ascii="Arial" w:cs="Arial" w:eastAsia="Arial" w:hAnsi="Arial"/>
                <w:sz w:val="15"/>
                <w:szCs w:val="15"/>
                <w:color w:val="auto"/>
              </w:rPr>
              <w:t xml:space="preserve">Other revenues </w:t>
            </w:r>
            <w:r>
              <w:rPr>
                <w:rFonts w:ascii="Arial" w:cs="Arial" w:eastAsia="Arial" w:hAnsi="Arial"/>
                <w:sz w:val="20"/>
                <w:szCs w:val="20"/>
                <w:color w:val="auto"/>
                <w:vertAlign w:val="superscript"/>
              </w:rPr>
              <w:t>(3)</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10.8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0.9</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99"/>
        </w:trPr>
        <w:tc>
          <w:tcPr>
            <w:tcW w:w="3440" w:type="dxa"/>
            <w:vAlign w:val="bottom"/>
          </w:tcPr>
          <w:p>
            <w:pPr>
              <w:ind w:left="220"/>
              <w:spacing w:after="0" w:line="199" w:lineRule="exact"/>
              <w:rPr>
                <w:sz w:val="20"/>
                <w:szCs w:val="20"/>
                <w:color w:val="auto"/>
              </w:rPr>
            </w:pPr>
            <w:r>
              <w:rPr>
                <w:rFonts w:ascii="Arial" w:cs="Arial" w:eastAsia="Arial" w:hAnsi="Arial"/>
                <w:sz w:val="15"/>
                <w:szCs w:val="15"/>
                <w:color w:val="auto"/>
              </w:rPr>
              <w:t xml:space="preserve">Consolidated total revenues </w:t>
            </w:r>
            <w:r>
              <w:rPr>
                <w:rFonts w:ascii="Arial" w:cs="Arial" w:eastAsia="Arial" w:hAnsi="Arial"/>
                <w:sz w:val="20"/>
                <w:szCs w:val="20"/>
                <w:color w:val="auto"/>
                <w:vertAlign w:val="superscript"/>
              </w:rPr>
              <w:t>(4)</w:t>
            </w: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4,078.2</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4,536.6</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397.2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4,475.3</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3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7"/>
              </w:rPr>
              <w:t>Nine Months Ended</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8"/>
              </w:rPr>
              <w:t>September 30,</w:t>
            </w: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2022 Currency</w:t>
            </w:r>
          </w:p>
        </w:tc>
        <w:tc>
          <w:tcPr>
            <w:tcW w:w="100" w:type="dxa"/>
            <w:vAlign w:val="bottom"/>
          </w:tcPr>
          <w:p>
            <w:pPr>
              <w:spacing w:after="0"/>
              <w:rPr>
                <w:sz w:val="11"/>
                <w:szCs w:val="11"/>
                <w:color w:val="auto"/>
              </w:rPr>
            </w:pPr>
          </w:p>
        </w:tc>
        <w:tc>
          <w:tcPr>
            <w:tcW w:w="1080" w:type="dxa"/>
            <w:vAlign w:val="bottom"/>
          </w:tcPr>
          <w:p>
            <w:pPr>
              <w:jc w:val="center"/>
              <w:ind w:right="25"/>
              <w:spacing w:after="0" w:line="135" w:lineRule="exact"/>
              <w:rPr>
                <w:sz w:val="20"/>
                <w:szCs w:val="20"/>
                <w:color w:val="auto"/>
              </w:rPr>
            </w:pPr>
            <w:r>
              <w:rPr>
                <w:rFonts w:ascii="Arial" w:cs="Arial" w:eastAsia="Arial" w:hAnsi="Arial"/>
                <w:sz w:val="14"/>
                <w:szCs w:val="14"/>
                <w:b w:val="1"/>
                <w:bCs w:val="1"/>
                <w:color w:val="auto"/>
                <w:w w:val="98"/>
              </w:rPr>
              <w:t>2022 Constant</w:t>
            </w:r>
          </w:p>
        </w:tc>
        <w:tc>
          <w:tcPr>
            <w:tcW w:w="10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Constant Currency</w:t>
            </w:r>
          </w:p>
        </w:tc>
        <w:tc>
          <w:tcPr>
            <w:tcW w:w="0" w:type="dxa"/>
            <w:vAlign w:val="bottom"/>
          </w:tcPr>
          <w:p>
            <w:pPr>
              <w:spacing w:after="0"/>
              <w:rPr>
                <w:sz w:val="1"/>
                <w:szCs w:val="1"/>
                <w:color w:val="auto"/>
              </w:rPr>
            </w:pPr>
          </w:p>
        </w:tc>
      </w:tr>
      <w:tr>
        <w:trPr>
          <w:trHeight w:val="129"/>
        </w:trPr>
        <w:tc>
          <w:tcPr>
            <w:tcW w:w="344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60" w:type="dxa"/>
            <w:vAlign w:val="bottom"/>
          </w:tcPr>
          <w:p>
            <w:pPr>
              <w:spacing w:after="0"/>
              <w:rPr>
                <w:sz w:val="11"/>
                <w:szCs w:val="11"/>
                <w:color w:val="auto"/>
              </w:rPr>
            </w:pPr>
          </w:p>
        </w:tc>
        <w:tc>
          <w:tcPr>
            <w:tcW w:w="92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vMerge w:val="restart"/>
          </w:tcPr>
          <w:p>
            <w:pPr>
              <w:jc w:val="right"/>
              <w:ind w:right="36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1"/>
                <w:szCs w:val="11"/>
                <w:color w:val="auto"/>
              </w:rPr>
            </w:pPr>
          </w:p>
        </w:tc>
        <w:tc>
          <w:tcPr>
            <w:tcW w:w="13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ind w:right="45"/>
              <w:spacing w:after="0" w:line="129" w:lineRule="exact"/>
              <w:rPr>
                <w:sz w:val="20"/>
                <w:szCs w:val="20"/>
                <w:color w:val="auto"/>
              </w:rPr>
            </w:pPr>
            <w:r>
              <w:rPr>
                <w:rFonts w:ascii="Arial" w:cs="Arial" w:eastAsia="Arial" w:hAnsi="Arial"/>
                <w:sz w:val="14"/>
                <w:szCs w:val="14"/>
                <w:b w:val="1"/>
                <w:bCs w:val="1"/>
                <w:color w:val="auto"/>
                <w:w w:val="97"/>
              </w:rPr>
              <w:t>Currency</w:t>
            </w:r>
          </w:p>
        </w:tc>
        <w:tc>
          <w:tcPr>
            <w:tcW w:w="10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 xml:space="preserve">Impact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1080" w:type="dxa"/>
            <w:vAlign w:val="bottom"/>
          </w:tcPr>
          <w:p>
            <w:pPr>
              <w:jc w:val="center"/>
              <w:ind w:right="25"/>
              <w:spacing w:after="0"/>
              <w:rPr>
                <w:sz w:val="20"/>
                <w:szCs w:val="20"/>
                <w:color w:val="auto"/>
              </w:rPr>
            </w:pPr>
            <w:r>
              <w:rPr>
                <w:rFonts w:ascii="Arial" w:cs="Arial" w:eastAsia="Arial" w:hAnsi="Arial"/>
                <w:sz w:val="14"/>
                <w:szCs w:val="14"/>
                <w:b w:val="1"/>
                <w:bCs w:val="1"/>
                <w:color w:val="auto"/>
                <w:w w:val="99"/>
              </w:rPr>
              <w:t>Revenues</w:t>
            </w:r>
          </w:p>
        </w:tc>
        <w:tc>
          <w:tcPr>
            <w:tcW w:w="10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 Change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87"/>
        </w:trPr>
        <w:tc>
          <w:tcPr>
            <w:tcW w:w="34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rPr>
              <w:t>Net sales</w:t>
            </w:r>
          </w:p>
        </w:tc>
        <w:tc>
          <w:tcPr>
            <w:tcW w:w="2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Developed Markets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7,386.7</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7,867.9</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496.7</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7,883.4</w:t>
            </w: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Greater China</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1,695.4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0" w:type="dxa"/>
            <w:vAlign w:val="bottom"/>
          </w:tcPr>
          <w:p>
            <w:pPr>
              <w:spacing w:after="0"/>
              <w:rPr>
                <w:sz w:val="1"/>
                <w:szCs w:val="1"/>
                <w:color w:val="auto"/>
              </w:rPr>
            </w:pPr>
          </w:p>
        </w:tc>
      </w:tr>
      <w:tr>
        <w:trPr>
          <w:trHeight w:val="205"/>
        </w:trPr>
        <w:tc>
          <w:tcPr>
            <w:tcW w:w="3440" w:type="dxa"/>
            <w:vAlign w:val="bottom"/>
          </w:tcPr>
          <w:p>
            <w:pPr>
              <w:ind w:left="220"/>
              <w:spacing w:after="0"/>
              <w:rPr>
                <w:sz w:val="20"/>
                <w:szCs w:val="20"/>
                <w:color w:val="auto"/>
              </w:rPr>
            </w:pPr>
            <w:r>
              <w:rPr>
                <w:rFonts w:ascii="Arial" w:cs="Arial" w:eastAsia="Arial" w:hAnsi="Arial"/>
                <w:sz w:val="15"/>
                <w:szCs w:val="15"/>
                <w:color w:val="auto"/>
              </w:rPr>
              <w:t>JANZ</w:t>
            </w:r>
          </w:p>
        </w:tc>
        <w:tc>
          <w:tcPr>
            <w:tcW w:w="260" w:type="dxa"/>
            <w:vAlign w:val="bottom"/>
          </w:tcPr>
          <w:p>
            <w:pPr>
              <w:spacing w:after="0"/>
              <w:rPr>
                <w:sz w:val="17"/>
                <w:szCs w:val="17"/>
                <w:color w:val="auto"/>
              </w:rPr>
            </w:pP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1,233.9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1,488.2</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164.6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1,398.4</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220"/>
              <w:spacing w:after="0"/>
              <w:rPr>
                <w:sz w:val="20"/>
                <w:szCs w:val="20"/>
                <w:color w:val="auto"/>
              </w:rPr>
            </w:pPr>
            <w:r>
              <w:rPr>
                <w:rFonts w:ascii="Arial" w:cs="Arial" w:eastAsia="Arial" w:hAnsi="Arial"/>
                <w:sz w:val="15"/>
                <w:szCs w:val="15"/>
                <w:color w:val="auto"/>
              </w:rPr>
              <w:t>Emerging Markets</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2,035.0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2,417.2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186.4</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2,221.4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98"/>
        </w:trPr>
        <w:tc>
          <w:tcPr>
            <w:tcW w:w="3440" w:type="dxa"/>
            <w:vAlign w:val="bottom"/>
          </w:tcPr>
          <w:p>
            <w:pPr>
              <w:ind w:left="440"/>
              <w:spacing w:after="0"/>
              <w:rPr>
                <w:sz w:val="20"/>
                <w:szCs w:val="20"/>
                <w:color w:val="auto"/>
              </w:rPr>
            </w:pPr>
            <w:r>
              <w:rPr>
                <w:rFonts w:ascii="Arial" w:cs="Arial" w:eastAsia="Arial" w:hAnsi="Arial"/>
                <w:sz w:val="15"/>
                <w:szCs w:val="15"/>
                <w:color w:val="auto"/>
              </w:rPr>
              <w:t>Total net sales</w:t>
            </w:r>
          </w:p>
        </w:tc>
        <w:tc>
          <w:tcPr>
            <w:tcW w:w="260" w:type="dxa"/>
            <w:vAlign w:val="bottom"/>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ind w:right="4"/>
              <w:spacing w:after="0"/>
              <w:rPr>
                <w:sz w:val="20"/>
                <w:szCs w:val="20"/>
                <w:color w:val="auto"/>
              </w:rPr>
            </w:pPr>
            <w:r>
              <w:rPr>
                <w:rFonts w:ascii="Arial" w:cs="Arial" w:eastAsia="Arial" w:hAnsi="Arial"/>
                <w:sz w:val="15"/>
                <w:szCs w:val="15"/>
                <w:color w:val="auto"/>
              </w:rPr>
              <w:t>12,351.0</w:t>
            </w:r>
          </w:p>
        </w:tc>
        <w:tc>
          <w:tcPr>
            <w:tcW w:w="100" w:type="dxa"/>
            <w:vAlign w:val="bottom"/>
          </w:tcPr>
          <w:p>
            <w:pPr>
              <w:spacing w:after="0"/>
              <w:rPr>
                <w:sz w:val="17"/>
                <w:szCs w:val="17"/>
                <w:color w:val="auto"/>
              </w:rPr>
            </w:pPr>
          </w:p>
        </w:tc>
        <w:tc>
          <w:tcPr>
            <w:tcW w:w="280" w:type="dxa"/>
            <w:vAlign w:val="bottom"/>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13,482.3</w:t>
            </w:r>
          </w:p>
        </w:tc>
        <w:tc>
          <w:tcPr>
            <w:tcW w:w="1380" w:type="dxa"/>
            <w:vAlign w:val="bottom"/>
            <w:gridSpan w:val="2"/>
          </w:tcPr>
          <w:p>
            <w:pPr>
              <w:jc w:val="right"/>
              <w:spacing w:after="0"/>
              <w:rPr>
                <w:sz w:val="20"/>
                <w:szCs w:val="20"/>
                <w:color w:val="auto"/>
              </w:rPr>
            </w:pPr>
            <w:r>
              <w:rPr>
                <w:rFonts w:ascii="Arial" w:cs="Arial" w:eastAsia="Arial" w:hAnsi="Arial"/>
                <w:sz w:val="15"/>
                <w:szCs w:val="15"/>
                <w:color w:val="auto"/>
              </w:rPr>
              <w:t>(8)%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ind w:right="5"/>
              <w:spacing w:after="0"/>
              <w:rPr>
                <w:sz w:val="20"/>
                <w:szCs w:val="20"/>
                <w:color w:val="auto"/>
              </w:rPr>
            </w:pPr>
            <w:r>
              <w:rPr>
                <w:rFonts w:ascii="Arial" w:cs="Arial" w:eastAsia="Arial" w:hAnsi="Arial"/>
                <w:sz w:val="15"/>
                <w:szCs w:val="15"/>
                <w:color w:val="auto"/>
              </w:rPr>
              <w:t>872.3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13,223.2</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40" w:type="dxa"/>
            <w:vAlign w:val="bottom"/>
            <w:tcBorders>
              <w:bottom w:val="single" w:sz="8" w:color="CCEEFF"/>
            </w:tcBorders>
          </w:tcPr>
          <w:p>
            <w:pPr>
              <w:ind w:left="140"/>
              <w:spacing w:after="0" w:line="207" w:lineRule="exact"/>
              <w:rPr>
                <w:sz w:val="20"/>
                <w:szCs w:val="20"/>
                <w:color w:val="auto"/>
              </w:rPr>
            </w:pPr>
            <w:r>
              <w:rPr>
                <w:rFonts w:ascii="Arial" w:cs="Arial" w:eastAsia="Arial" w:hAnsi="Arial"/>
                <w:sz w:val="15"/>
                <w:szCs w:val="15"/>
                <w:color w:val="auto"/>
              </w:rPr>
              <w:t xml:space="preserve">Other revenues </w:t>
            </w:r>
            <w:r>
              <w:rPr>
                <w:rFonts w:ascii="Arial" w:cs="Arial" w:eastAsia="Arial" w:hAnsi="Arial"/>
                <w:sz w:val="20"/>
                <w:szCs w:val="20"/>
                <w:color w:val="auto"/>
                <w:vertAlign w:val="superscript"/>
              </w:rPr>
              <w:t>(3)</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35.7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62.4</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(43)%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24"/>
        </w:trPr>
        <w:tc>
          <w:tcPr>
            <w:tcW w:w="3440" w:type="dxa"/>
            <w:vAlign w:val="bottom"/>
            <w:tcBorders>
              <w:bottom w:val="single" w:sz="8" w:color="CCEEFF"/>
            </w:tcBorders>
            <w:shd w:val="clear" w:color="auto" w:fill="CCEEFF"/>
          </w:tcPr>
          <w:p>
            <w:pPr>
              <w:ind w:left="220"/>
              <w:spacing w:after="0" w:line="199" w:lineRule="exact"/>
              <w:rPr>
                <w:sz w:val="20"/>
                <w:szCs w:val="20"/>
                <w:color w:val="auto"/>
              </w:rPr>
            </w:pPr>
            <w:r>
              <w:rPr>
                <w:rFonts w:ascii="Arial" w:cs="Arial" w:eastAsia="Arial" w:hAnsi="Arial"/>
                <w:sz w:val="15"/>
                <w:szCs w:val="15"/>
                <w:color w:val="auto"/>
              </w:rPr>
              <w:t xml:space="preserve">Consolidated total revenues </w:t>
            </w:r>
            <w:r>
              <w:rPr>
                <w:rFonts w:ascii="Arial" w:cs="Arial" w:eastAsia="Arial" w:hAnsi="Arial"/>
                <w:sz w:val="20"/>
                <w:szCs w:val="20"/>
                <w:color w:val="auto"/>
                <w:vertAlign w:val="superscript"/>
              </w:rPr>
              <w:t>(4)</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12,386.7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13,544.7</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874.5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13,261.1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92" w:lineRule="exact"/>
        <w:rPr>
          <w:sz w:val="20"/>
          <w:szCs w:val="20"/>
          <w:color w:val="auto"/>
        </w:rPr>
      </w:pPr>
    </w:p>
    <w:p>
      <w:pPr>
        <w:ind w:left="540" w:hanging="227"/>
        <w:spacing w:after="0"/>
        <w:tabs>
          <w:tab w:leader="none" w:pos="54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Currency impact is shown as unfavorable (favorable).</w:t>
      </w:r>
    </w:p>
    <w:p>
      <w:pPr>
        <w:spacing w:after="0" w:line="54" w:lineRule="exact"/>
        <w:rPr>
          <w:rFonts w:ascii="Arial" w:cs="Arial" w:eastAsia="Arial" w:hAnsi="Arial"/>
          <w:sz w:val="20"/>
          <w:szCs w:val="20"/>
          <w:color w:val="auto"/>
          <w:vertAlign w:val="superscript"/>
        </w:rPr>
      </w:pPr>
    </w:p>
    <w:p>
      <w:pPr>
        <w:ind w:left="620" w:hanging="307"/>
        <w:spacing w:after="0" w:line="220" w:lineRule="auto"/>
        <w:tabs>
          <w:tab w:leader="none" w:pos="571"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The constant currency percentage change is derived by translating net sales or revenues for the current period at prior year comparative period exchange rates, and in doing so shows the percentage change from 2022 constant currency net sales or revenues to the corresponding amount in the prior year.</w:t>
      </w:r>
    </w:p>
    <w:p>
      <w:pPr>
        <w:spacing w:after="0" w:line="29" w:lineRule="exact"/>
        <w:rPr>
          <w:rFonts w:ascii="Arial" w:cs="Arial" w:eastAsia="Arial" w:hAnsi="Arial"/>
          <w:sz w:val="20"/>
          <w:szCs w:val="20"/>
          <w:color w:val="auto"/>
          <w:vertAlign w:val="superscript"/>
        </w:rPr>
      </w:pPr>
    </w:p>
    <w:p>
      <w:pPr>
        <w:jc w:val="both"/>
        <w:ind w:left="620" w:hanging="307"/>
        <w:spacing w:after="0" w:line="242" w:lineRule="auto"/>
        <w:tabs>
          <w:tab w:leader="none" w:pos="614"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For the three months ended September 30, 2022, other revenues in Developed Markets, JANZ, and Emerging Markets were approximately $4.8 million, $0.3 million</w:t>
      </w:r>
      <w:r>
        <w:rPr>
          <w:rFonts w:ascii="Times New Roman" w:cs="Times New Roman" w:eastAsia="Times New Roman" w:hAnsi="Times New Roman"/>
          <w:sz w:val="17"/>
          <w:szCs w:val="17"/>
          <w:color w:val="auto"/>
        </w:rPr>
        <w:t>,</w:t>
      </w:r>
      <w:r>
        <w:rPr>
          <w:rFonts w:ascii="Arial" w:cs="Arial" w:eastAsia="Arial" w:hAnsi="Arial"/>
          <w:sz w:val="15"/>
          <w:szCs w:val="15"/>
          <w:color w:val="auto"/>
        </w:rPr>
        <w:t xml:space="preserve"> and $5.7 million, respectively. For the nine months ended September 30, 2022, other revenues in Developed Markets, JANZ, and Emerging Markets were approximately $15.9 million, $1.2 million, and $18.6 million, respectively.</w:t>
      </w:r>
    </w:p>
    <w:p>
      <w:pPr>
        <w:spacing w:after="0" w:line="2" w:lineRule="exact"/>
        <w:rPr>
          <w:rFonts w:ascii="Arial" w:cs="Arial" w:eastAsia="Arial" w:hAnsi="Arial"/>
          <w:sz w:val="20"/>
          <w:szCs w:val="20"/>
          <w:color w:val="auto"/>
          <w:vertAlign w:val="superscript"/>
        </w:rPr>
      </w:pPr>
    </w:p>
    <w:p>
      <w:pPr>
        <w:ind w:left="620" w:hanging="307"/>
        <w:spacing w:after="0"/>
        <w:tabs>
          <w:tab w:leader="none" w:pos="620"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Amounts exclude intersegment revenue which eliminates on a consolidated basis.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856"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Reconciliation of Income Statement Line Items</w:t>
      </w:r>
    </w:p>
    <w:p>
      <w:pPr>
        <w:spacing w:after="0" w:line="1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6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187"/>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cost of sales</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2,329.8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2,962.5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7,163.8</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9,515.6</w:t>
            </w:r>
          </w:p>
        </w:tc>
      </w:tr>
      <w:tr>
        <w:trPr>
          <w:trHeight w:val="190"/>
        </w:trPr>
        <w:tc>
          <w:tcPr>
            <w:tcW w:w="5840" w:type="dxa"/>
            <w:vAlign w:val="bottom"/>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7"/>
        </w:trPr>
        <w:tc>
          <w:tcPr>
            <w:tcW w:w="5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accounting related amortization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(626.7)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(919.9)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(1,930.4)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(3,344.7)</w:t>
            </w:r>
          </w:p>
        </w:tc>
      </w:tr>
      <w:tr>
        <w:trPr>
          <w:trHeight w:val="190"/>
        </w:trPr>
        <w:tc>
          <w:tcPr>
            <w:tcW w:w="5840" w:type="dxa"/>
            <w:vAlign w:val="bottom"/>
          </w:tcPr>
          <w:p>
            <w:pPr>
              <w:ind w:left="220"/>
              <w:spacing w:after="0"/>
              <w:rPr>
                <w:sz w:val="20"/>
                <w:szCs w:val="20"/>
                <w:color w:val="auto"/>
              </w:rPr>
            </w:pPr>
            <w:r>
              <w:rPr>
                <w:rFonts w:ascii="Arial" w:cs="Arial" w:eastAsia="Arial" w:hAnsi="Arial"/>
                <w:sz w:val="14"/>
                <w:szCs w:val="14"/>
                <w:color w:val="auto"/>
              </w:rPr>
              <w:t>Acquisition related items</w:t>
            </w:r>
          </w:p>
        </w:tc>
        <w:tc>
          <w:tcPr>
            <w:tcW w:w="2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(8.0)</w:t>
            </w:r>
          </w:p>
        </w:tc>
      </w:tr>
      <w:tr>
        <w:trPr>
          <w:trHeight w:val="197"/>
        </w:trPr>
        <w:tc>
          <w:tcPr>
            <w:tcW w:w="5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Restructuring related costs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(151.3)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(399.5)</w:t>
            </w:r>
          </w:p>
        </w:tc>
      </w:tr>
      <w:tr>
        <w:trPr>
          <w:trHeight w:val="190"/>
        </w:trPr>
        <w:tc>
          <w:tcPr>
            <w:tcW w:w="5840" w:type="dxa"/>
            <w:vAlign w:val="bottom"/>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71"/>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(2.0)</w:t>
            </w:r>
          </w:p>
        </w:tc>
      </w:tr>
      <w:tr>
        <w:trPr>
          <w:trHeight w:val="193"/>
        </w:trPr>
        <w:tc>
          <w:tcPr>
            <w:tcW w:w="5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special items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(72.7)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(150.4)</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(257.1)</w:t>
            </w:r>
          </w:p>
        </w:tc>
      </w:tr>
      <w:tr>
        <w:trPr>
          <w:trHeight w:val="190"/>
        </w:trPr>
        <w:tc>
          <w:tcPr>
            <w:tcW w:w="5840" w:type="dxa"/>
            <w:vAlign w:val="bottom"/>
          </w:tcPr>
          <w:p>
            <w:pPr>
              <w:ind w:left="20"/>
              <w:spacing w:after="0"/>
              <w:rPr>
                <w:sz w:val="20"/>
                <w:szCs w:val="20"/>
                <w:color w:val="auto"/>
              </w:rPr>
            </w:pPr>
            <w:r>
              <w:rPr>
                <w:rFonts w:ascii="Arial" w:cs="Arial" w:eastAsia="Arial" w:hAnsi="Arial"/>
                <w:sz w:val="14"/>
                <w:szCs w:val="14"/>
                <w:color w:val="auto"/>
              </w:rPr>
              <w:t>Adjusted cost of sales</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1,608.9</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1,813.3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5,012.3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5,504.3</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2"/>
        </w:trPr>
        <w:tc>
          <w:tcPr>
            <w:tcW w:w="5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93"/>
        </w:trPr>
        <w:tc>
          <w:tcPr>
            <w:tcW w:w="5840" w:type="dxa"/>
            <w:vAlign w:val="bottom"/>
          </w:tcPr>
          <w:p>
            <w:pPr>
              <w:ind w:left="20"/>
              <w:spacing w:after="0" w:line="194" w:lineRule="exact"/>
              <w:rPr>
                <w:sz w:val="20"/>
                <w:szCs w:val="20"/>
                <w:color w:val="auto"/>
              </w:rPr>
            </w:pPr>
            <w:r>
              <w:rPr>
                <w:rFonts w:ascii="Arial" w:cs="Arial" w:eastAsia="Arial" w:hAnsi="Arial"/>
                <w:sz w:val="14"/>
                <w:szCs w:val="14"/>
                <w:color w:val="auto"/>
              </w:rPr>
              <w:t xml:space="preserve">Adjusted gross profit </w:t>
            </w:r>
            <w:r>
              <w:rPr>
                <w:rFonts w:ascii="Arial" w:cs="Arial" w:eastAsia="Arial" w:hAnsi="Arial"/>
                <w:sz w:val="17"/>
                <w:szCs w:val="17"/>
                <w:color w:val="auto"/>
                <w:vertAlign w:val="superscript"/>
              </w:rPr>
              <w:t>(a)</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2,469.3</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2,723.3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7,374.4</w:t>
            </w:r>
          </w:p>
        </w:tc>
        <w:tc>
          <w:tcPr>
            <w:tcW w:w="100" w:type="dxa"/>
            <w:vAlign w:val="bottom"/>
          </w:tcPr>
          <w:p>
            <w:pPr>
              <w:spacing w:after="0"/>
              <w:rPr>
                <w:sz w:val="16"/>
                <w:szCs w:val="16"/>
                <w:color w:val="auto"/>
              </w:rPr>
            </w:pPr>
          </w:p>
        </w:tc>
        <w:tc>
          <w:tcPr>
            <w:tcW w:w="4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8,040.4</w:t>
            </w: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2"/>
        </w:trPr>
        <w:tc>
          <w:tcPr>
            <w:tcW w:w="58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40" w:type="dxa"/>
            <w:vAlign w:val="bottom"/>
            <w:gridSpan w:val="2"/>
          </w:tcPr>
          <w:p>
            <w:pPr>
              <w:ind w:left="20"/>
              <w:spacing w:after="0" w:line="194" w:lineRule="exact"/>
              <w:rPr>
                <w:sz w:val="20"/>
                <w:szCs w:val="20"/>
                <w:color w:val="auto"/>
              </w:rPr>
            </w:pPr>
            <w:r>
              <w:rPr>
                <w:rFonts w:ascii="Arial" w:cs="Arial" w:eastAsia="Arial" w:hAnsi="Arial"/>
                <w:sz w:val="14"/>
                <w:szCs w:val="14"/>
                <w:color w:val="auto"/>
              </w:rPr>
              <w:t xml:space="preserve">Adjusted gross margin </w:t>
            </w:r>
            <w:r>
              <w:rPr>
                <w:rFonts w:ascii="Arial" w:cs="Arial" w:eastAsia="Arial" w:hAnsi="Arial"/>
                <w:sz w:val="17"/>
                <w:szCs w:val="17"/>
                <w:color w:val="auto"/>
                <w:vertAlign w:val="superscript"/>
              </w:rPr>
              <w:t>(a)</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61 %</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60 %</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59 %</w:t>
            </w:r>
          </w:p>
        </w:tc>
        <w:tc>
          <w:tcPr>
            <w:tcW w:w="10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38"/>
        </w:trPr>
        <w:tc>
          <w:tcPr>
            <w:tcW w:w="6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9"/>
              </w:rPr>
              <w:t>Nine Months Ended</w:t>
            </w:r>
          </w:p>
        </w:tc>
      </w:tr>
      <w:tr>
        <w:trPr>
          <w:trHeight w:val="193"/>
        </w:trPr>
        <w:tc>
          <w:tcPr>
            <w:tcW w:w="6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September 30,</w:t>
            </w:r>
          </w:p>
        </w:tc>
      </w:tr>
      <w:tr>
        <w:trPr>
          <w:trHeight w:val="187"/>
        </w:trPr>
        <w:tc>
          <w:tcPr>
            <w:tcW w:w="620" w:type="dxa"/>
            <w:vAlign w:val="bottom"/>
          </w:tcPr>
          <w:p>
            <w:pPr>
              <w:spacing w:after="0"/>
              <w:rPr>
                <w:sz w:val="16"/>
                <w:szCs w:val="16"/>
                <w:color w:val="auto"/>
              </w:rPr>
            </w:pPr>
          </w:p>
        </w:tc>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3"/>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w:t>
            </w:r>
          </w:p>
        </w:tc>
      </w:tr>
      <w:tr>
        <w:trPr>
          <w:trHeight w:val="187"/>
        </w:trPr>
        <w:tc>
          <w:tcPr>
            <w:tcW w:w="620" w:type="dxa"/>
            <w:vAlign w:val="bottom"/>
          </w:tcPr>
          <w:p>
            <w:pPr>
              <w:spacing w:after="0"/>
              <w:rPr>
                <w:sz w:val="16"/>
                <w:szCs w:val="16"/>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R&amp;D</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174.9</w:t>
            </w:r>
          </w:p>
        </w:tc>
        <w:tc>
          <w:tcPr>
            <w:tcW w:w="820" w:type="dxa"/>
            <w:vAlign w:val="bottom"/>
            <w:gridSpan w:val="3"/>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152.1</w:t>
            </w:r>
          </w:p>
        </w:tc>
        <w:tc>
          <w:tcPr>
            <w:tcW w:w="840" w:type="dxa"/>
            <w:vAlign w:val="bottom"/>
            <w:gridSpan w:val="3"/>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479.8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r>
      <w:tr>
        <w:trPr>
          <w:trHeight w:val="190"/>
        </w:trPr>
        <w:tc>
          <w:tcPr>
            <w:tcW w:w="620" w:type="dxa"/>
            <w:vAlign w:val="bottom"/>
          </w:tcPr>
          <w:p>
            <w:pPr>
              <w:spacing w:after="0"/>
              <w:rPr>
                <w:sz w:val="16"/>
                <w:szCs w:val="16"/>
                <w:color w:val="auto"/>
              </w:rPr>
            </w:pPr>
          </w:p>
        </w:tc>
        <w:tc>
          <w:tcPr>
            <w:tcW w:w="522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20" w:type="dxa"/>
            <w:vAlign w:val="bottom"/>
          </w:tcPr>
          <w:p>
            <w:pPr>
              <w:spacing w:after="0"/>
              <w:rPr>
                <w:sz w:val="17"/>
                <w:szCs w:val="17"/>
                <w:color w:val="auto"/>
              </w:rPr>
            </w:pPr>
          </w:p>
        </w:tc>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0"/>
        </w:trPr>
        <w:tc>
          <w:tcPr>
            <w:tcW w:w="620" w:type="dxa"/>
            <w:vAlign w:val="bottom"/>
          </w:tcPr>
          <w:p>
            <w:pPr>
              <w:spacing w:after="0"/>
              <w:rPr>
                <w:sz w:val="16"/>
                <w:szCs w:val="16"/>
                <w:color w:val="auto"/>
              </w:rPr>
            </w:pPr>
          </w:p>
        </w:tc>
        <w:tc>
          <w:tcPr>
            <w:tcW w:w="5220" w:type="dxa"/>
            <w:vAlign w:val="bottom"/>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4.7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620" w:type="dxa"/>
            <w:vAlign w:val="bottom"/>
          </w:tcPr>
          <w:p>
            <w:pPr>
              <w:spacing w:after="0"/>
              <w:rPr>
                <w:sz w:val="17"/>
                <w:szCs w:val="17"/>
                <w:color w:val="auto"/>
              </w:rPr>
            </w:pPr>
          </w:p>
        </w:tc>
        <w:tc>
          <w:tcPr>
            <w:tcW w:w="52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3"/>
        </w:trPr>
        <w:tc>
          <w:tcPr>
            <w:tcW w:w="620" w:type="dxa"/>
            <w:vAlign w:val="bottom"/>
          </w:tcPr>
          <w:p>
            <w:pPr>
              <w:spacing w:after="0"/>
              <w:rPr>
                <w:sz w:val="16"/>
                <w:szCs w:val="16"/>
                <w:color w:val="auto"/>
              </w:rPr>
            </w:pPr>
          </w:p>
        </w:tc>
        <w:tc>
          <w:tcPr>
            <w:tcW w:w="5220" w:type="dxa"/>
            <w:vAlign w:val="bottom"/>
            <w:tcBorders>
              <w:bottom w:val="single" w:sz="8" w:color="CCEEFF"/>
            </w:tcBorders>
          </w:tcPr>
          <w:p>
            <w:pPr>
              <w:ind w:left="220"/>
              <w:spacing w:after="0" w:line="194" w:lineRule="exact"/>
              <w:rPr>
                <w:sz w:val="20"/>
                <w:szCs w:val="20"/>
                <w:color w:val="auto"/>
              </w:rPr>
            </w:pPr>
            <w:r>
              <w:rPr>
                <w:rFonts w:ascii="Arial" w:cs="Arial" w:eastAsia="Arial" w:hAnsi="Arial"/>
                <w:sz w:val="14"/>
                <w:szCs w:val="14"/>
                <w:color w:val="auto"/>
              </w:rPr>
              <w:t xml:space="preserve">Other special items </w:t>
            </w:r>
            <w:r>
              <w:rPr>
                <w:rFonts w:ascii="Arial" w:cs="Arial" w:eastAsia="Arial" w:hAnsi="Arial"/>
                <w:sz w:val="17"/>
                <w:szCs w:val="17"/>
                <w:color w:val="auto"/>
                <w:vertAlign w:val="superscript"/>
              </w:rPr>
              <w:t>(b)</w:t>
            </w:r>
          </w:p>
        </w:tc>
        <w:tc>
          <w:tcPr>
            <w:tcW w:w="2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06"/>
        </w:trPr>
        <w:tc>
          <w:tcPr>
            <w:tcW w:w="620" w:type="dxa"/>
            <w:vAlign w:val="bottom"/>
          </w:tcPr>
          <w:p>
            <w:pPr>
              <w:spacing w:after="0"/>
              <w:rPr>
                <w:sz w:val="17"/>
                <w:szCs w:val="17"/>
                <w:color w:val="auto"/>
              </w:rPr>
            </w:pPr>
          </w:p>
        </w:tc>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R&amp;D</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51"/>
              <w:spacing w:after="0"/>
              <w:rPr>
                <w:sz w:val="20"/>
                <w:szCs w:val="20"/>
                <w:color w:val="auto"/>
              </w:rPr>
            </w:pPr>
            <w:r>
              <w:rPr>
                <w:rFonts w:ascii="Arial" w:cs="Arial" w:eastAsia="Arial" w:hAnsi="Arial"/>
                <w:sz w:val="14"/>
                <w:szCs w:val="14"/>
                <w:color w:val="auto"/>
              </w:rPr>
              <w:t>171.2</w:t>
            </w:r>
          </w:p>
        </w:tc>
        <w:tc>
          <w:tcPr>
            <w:tcW w:w="820" w:type="dxa"/>
            <w:vAlign w:val="bottom"/>
            <w:gridSpan w:val="3"/>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150.8</w:t>
            </w:r>
          </w:p>
        </w:tc>
        <w:tc>
          <w:tcPr>
            <w:tcW w:w="840" w:type="dxa"/>
            <w:vAlign w:val="bottom"/>
            <w:gridSpan w:val="3"/>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468.5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9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6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620" w:type="dxa"/>
            <w:vAlign w:val="bottom"/>
          </w:tcPr>
          <w:p>
            <w:pPr>
              <w:spacing w:after="0"/>
              <w:rPr>
                <w:sz w:val="18"/>
                <w:szCs w:val="18"/>
                <w:color w:val="auto"/>
              </w:rPr>
            </w:pPr>
          </w:p>
        </w:tc>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R&amp;D as % of total revenues</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r>
      <w:tr>
        <w:trPr>
          <w:trHeight w:val="20"/>
        </w:trPr>
        <w:tc>
          <w:tcPr>
            <w:tcW w:w="620" w:type="dxa"/>
            <w:vAlign w:val="bottom"/>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4"/>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r>
        <w:trPr>
          <w:trHeight w:val="499"/>
        </w:trPr>
        <w:tc>
          <w:tcPr>
            <w:tcW w:w="6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40" w:type="dxa"/>
            <w:vAlign w:val="bottom"/>
            <w:gridSpan w:val="6"/>
          </w:tcPr>
          <w:p>
            <w:pPr>
              <w:jc w:val="right"/>
              <w:ind w:right="571"/>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Nine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3"/>
        </w:trPr>
        <w:tc>
          <w:tcPr>
            <w:tcW w:w="62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8"/>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7"/>
        </w:trPr>
        <w:tc>
          <w:tcPr>
            <w:tcW w:w="58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87"/>
        </w:trPr>
        <w:tc>
          <w:tcPr>
            <w:tcW w:w="58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U.S. GAAP SG&amp;A</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11"/>
              <w:spacing w:after="0"/>
              <w:rPr>
                <w:sz w:val="20"/>
                <w:szCs w:val="20"/>
                <w:color w:val="auto"/>
              </w:rPr>
            </w:pPr>
            <w:r>
              <w:rPr>
                <w:rFonts w:ascii="Arial" w:cs="Arial" w:eastAsia="Arial" w:hAnsi="Arial"/>
                <w:sz w:val="14"/>
                <w:szCs w:val="14"/>
                <w:color w:val="auto"/>
              </w:rPr>
              <w:t>1,017.3</w:t>
            </w:r>
          </w:p>
        </w:tc>
        <w:tc>
          <w:tcPr>
            <w:tcW w:w="560" w:type="dxa"/>
            <w:vAlign w:val="bottom"/>
            <w:gridSpan w:val="2"/>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gridSpan w:val="3"/>
            <w:shd w:val="clear" w:color="auto" w:fill="CCEEFF"/>
          </w:tcPr>
          <w:p>
            <w:pPr>
              <w:jc w:val="right"/>
              <w:ind w:right="111"/>
              <w:spacing w:after="0"/>
              <w:rPr>
                <w:sz w:val="20"/>
                <w:szCs w:val="20"/>
                <w:color w:val="auto"/>
              </w:rPr>
            </w:pPr>
            <w:r>
              <w:rPr>
                <w:rFonts w:ascii="Arial" w:cs="Arial" w:eastAsia="Arial" w:hAnsi="Arial"/>
                <w:sz w:val="14"/>
                <w:szCs w:val="14"/>
                <w:color w:val="auto"/>
              </w:rPr>
              <w:t>1,055.0</w:t>
            </w:r>
          </w:p>
        </w:tc>
        <w:tc>
          <w:tcPr>
            <w:tcW w:w="54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11"/>
              <w:spacing w:after="0"/>
              <w:rPr>
                <w:sz w:val="20"/>
                <w:szCs w:val="20"/>
                <w:color w:val="auto"/>
              </w:rPr>
            </w:pPr>
            <w:r>
              <w:rPr>
                <w:rFonts w:ascii="Arial" w:cs="Arial" w:eastAsia="Arial" w:hAnsi="Arial"/>
                <w:sz w:val="14"/>
                <w:szCs w:val="14"/>
                <w:color w:val="auto"/>
              </w:rPr>
              <w:t>2,913.7</w:t>
            </w:r>
          </w:p>
        </w:tc>
        <w:tc>
          <w:tcPr>
            <w:tcW w:w="620" w:type="dxa"/>
            <w:vAlign w:val="bottom"/>
            <w:gridSpan w:val="2"/>
            <w:shd w:val="clear" w:color="auto" w:fill="CCEEFF"/>
          </w:tcPr>
          <w:p>
            <w:pPr>
              <w:jc w:val="right"/>
              <w:ind w:right="35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w w:val="98"/>
              </w:rPr>
              <w:t>3,446.3</w:t>
            </w:r>
          </w:p>
        </w:tc>
        <w:tc>
          <w:tcPr>
            <w:tcW w:w="100" w:type="dxa"/>
            <w:vAlign w:val="bottom"/>
          </w:tcPr>
          <w:p>
            <w:pPr>
              <w:spacing w:after="0"/>
              <w:rPr>
                <w:sz w:val="16"/>
                <w:szCs w:val="16"/>
                <w:color w:val="auto"/>
              </w:rPr>
            </w:pPr>
          </w:p>
        </w:tc>
      </w:tr>
      <w:tr>
        <w:trPr>
          <w:trHeight w:val="190"/>
        </w:trPr>
        <w:tc>
          <w:tcPr>
            <w:tcW w:w="5840" w:type="dxa"/>
            <w:vAlign w:val="bottom"/>
            <w:gridSpan w:val="2"/>
          </w:tcPr>
          <w:p>
            <w:pPr>
              <w:ind w:left="20"/>
              <w:spacing w:after="0"/>
              <w:rPr>
                <w:sz w:val="20"/>
                <w:szCs w:val="20"/>
                <w:color w:val="auto"/>
              </w:rPr>
            </w:pPr>
            <w:r>
              <w:rPr>
                <w:rFonts w:ascii="Arial" w:cs="Arial" w:eastAsia="Arial" w:hAnsi="Arial"/>
                <w:sz w:val="14"/>
                <w:szCs w:val="14"/>
                <w:color w:val="auto"/>
              </w:rPr>
              <w:t>Deduct:</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Acquisition related costs</w:t>
            </w:r>
          </w:p>
        </w:tc>
        <w:tc>
          <w:tcPr>
            <w:tcW w:w="2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(80.4)</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71"/>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71"/>
              <w:spacing w:after="0"/>
              <w:rPr>
                <w:sz w:val="20"/>
                <w:szCs w:val="20"/>
                <w:color w:val="auto"/>
              </w:rPr>
            </w:pPr>
            <w:r>
              <w:rPr>
                <w:rFonts w:ascii="Arial" w:cs="Arial" w:eastAsia="Arial" w:hAnsi="Arial"/>
                <w:sz w:val="14"/>
                <w:szCs w:val="14"/>
                <w:color w:val="auto"/>
              </w:rPr>
              <w:t>(258.9)</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(140.6)</w:t>
            </w:r>
          </w:p>
        </w:tc>
        <w:tc>
          <w:tcPr>
            <w:tcW w:w="100" w:type="dxa"/>
            <w:vAlign w:val="bottom"/>
          </w:tcPr>
          <w:p>
            <w:pPr>
              <w:spacing w:after="0"/>
              <w:rPr>
                <w:sz w:val="17"/>
                <w:szCs w:val="17"/>
                <w:color w:val="auto"/>
              </w:rPr>
            </w:pPr>
          </w:p>
        </w:tc>
      </w:tr>
      <w:tr>
        <w:trPr>
          <w:trHeight w:val="190"/>
        </w:trPr>
        <w:tc>
          <w:tcPr>
            <w:tcW w:w="584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6"/>
                <w:szCs w:val="16"/>
                <w:color w:val="auto"/>
              </w:rPr>
            </w:pPr>
          </w:p>
        </w:tc>
        <w:tc>
          <w:tcPr>
            <w:tcW w:w="980" w:type="dxa"/>
            <w:vAlign w:val="bottom"/>
            <w:gridSpan w:val="2"/>
          </w:tcPr>
          <w:p>
            <w:pPr>
              <w:jc w:val="right"/>
              <w:ind w:right="71"/>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3"/>
          </w:tcPr>
          <w:p>
            <w:pPr>
              <w:jc w:val="right"/>
              <w:ind w:right="71"/>
              <w:spacing w:after="0"/>
              <w:rPr>
                <w:sz w:val="20"/>
                <w:szCs w:val="20"/>
                <w:color w:val="auto"/>
              </w:rPr>
            </w:pPr>
            <w:r>
              <w:rPr>
                <w:rFonts w:ascii="Arial" w:cs="Arial" w:eastAsia="Arial" w:hAnsi="Arial"/>
                <w:sz w:val="14"/>
                <w:szCs w:val="14"/>
                <w:color w:val="auto"/>
              </w:rPr>
              <w:t>(23.1)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3"/>
          </w:tcPr>
          <w:p>
            <w:pPr>
              <w:jc w:val="right"/>
              <w:ind w:right="71"/>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(330.1)</w:t>
            </w:r>
          </w:p>
        </w:tc>
        <w:tc>
          <w:tcPr>
            <w:tcW w:w="100" w:type="dxa"/>
            <w:vAlign w:val="bottom"/>
          </w:tcPr>
          <w:p>
            <w:pPr>
              <w:spacing w:after="0"/>
              <w:rPr>
                <w:sz w:val="16"/>
                <w:szCs w:val="16"/>
                <w:color w:val="auto"/>
              </w:rPr>
            </w:pPr>
          </w:p>
        </w:tc>
      </w:tr>
      <w:tr>
        <w:trPr>
          <w:trHeight w:val="197"/>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Purchase accounting amortization and other related items</w:t>
            </w: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71"/>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r>
      <w:tr>
        <w:trPr>
          <w:trHeight w:val="190"/>
        </w:trPr>
        <w:tc>
          <w:tcPr>
            <w:tcW w:w="5840" w:type="dxa"/>
            <w:vAlign w:val="bottom"/>
            <w:gridSpan w:val="2"/>
          </w:tcPr>
          <w:p>
            <w:pPr>
              <w:ind w:left="220"/>
              <w:spacing w:after="0"/>
              <w:rPr>
                <w:sz w:val="20"/>
                <w:szCs w:val="20"/>
                <w:color w:val="auto"/>
              </w:rPr>
            </w:pPr>
            <w:r>
              <w:rPr>
                <w:rFonts w:ascii="Arial" w:cs="Arial" w:eastAsia="Arial" w:hAnsi="Arial"/>
                <w:sz w:val="14"/>
                <w:szCs w:val="14"/>
                <w:color w:val="auto"/>
              </w:rPr>
              <w:t>Share-based compensation expense</w:t>
            </w:r>
          </w:p>
        </w:tc>
        <w:tc>
          <w:tcPr>
            <w:tcW w:w="280" w:type="dxa"/>
            <w:vAlign w:val="bottom"/>
          </w:tcPr>
          <w:p>
            <w:pPr>
              <w:spacing w:after="0"/>
              <w:rPr>
                <w:sz w:val="16"/>
                <w:szCs w:val="16"/>
                <w:color w:val="auto"/>
              </w:rPr>
            </w:pPr>
          </w:p>
        </w:tc>
        <w:tc>
          <w:tcPr>
            <w:tcW w:w="980" w:type="dxa"/>
            <w:vAlign w:val="bottom"/>
            <w:gridSpan w:val="2"/>
          </w:tcPr>
          <w:p>
            <w:pPr>
              <w:jc w:val="right"/>
              <w:ind w:right="71"/>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gridSpan w:val="3"/>
          </w:tcPr>
          <w:p>
            <w:pPr>
              <w:jc w:val="right"/>
              <w:ind w:right="71"/>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3"/>
          </w:tcPr>
          <w:p>
            <w:pPr>
              <w:jc w:val="right"/>
              <w:ind w:right="71"/>
              <w:spacing w:after="0"/>
              <w:rPr>
                <w:sz w:val="20"/>
                <w:szCs w:val="20"/>
                <w:color w:val="auto"/>
              </w:rPr>
            </w:pPr>
            <w:r>
              <w:rPr>
                <w:rFonts w:ascii="Arial" w:cs="Arial" w:eastAsia="Arial" w:hAnsi="Arial"/>
                <w:sz w:val="14"/>
                <w:szCs w:val="14"/>
                <w:color w:val="auto"/>
              </w:rPr>
              <w:t>(81.5)</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71"/>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6"/>
                <w:szCs w:val="16"/>
                <w:color w:val="auto"/>
              </w:rPr>
            </w:pPr>
          </w:p>
        </w:tc>
      </w:tr>
      <w:tr>
        <w:trPr>
          <w:trHeight w:val="193"/>
        </w:trPr>
        <w:tc>
          <w:tcPr>
            <w:tcW w:w="58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special items and reclassifications</w:t>
            </w:r>
          </w:p>
        </w:tc>
        <w:tc>
          <w:tcPr>
            <w:tcW w:w="2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(19.9)</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gridSpan w:val="3"/>
            <w:shd w:val="clear" w:color="auto" w:fill="CCEEFF"/>
          </w:tcPr>
          <w:p>
            <w:pPr>
              <w:jc w:val="right"/>
              <w:ind w:right="71"/>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gridSpan w:val="3"/>
            <w:shd w:val="clear" w:color="auto" w:fill="CCEEFF"/>
          </w:tcPr>
          <w:p>
            <w:pPr>
              <w:jc w:val="right"/>
              <w:ind w:right="71"/>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16"/>
                <w:szCs w:val="16"/>
                <w:color w:val="auto"/>
              </w:rPr>
            </w:pPr>
          </w:p>
        </w:tc>
      </w:tr>
      <w:tr>
        <w:trPr>
          <w:trHeight w:val="190"/>
        </w:trPr>
        <w:tc>
          <w:tcPr>
            <w:tcW w:w="5840" w:type="dxa"/>
            <w:vAlign w:val="bottom"/>
            <w:gridSpan w:val="2"/>
          </w:tcPr>
          <w:p>
            <w:pPr>
              <w:ind w:left="20"/>
              <w:spacing w:after="0"/>
              <w:rPr>
                <w:sz w:val="20"/>
                <w:szCs w:val="20"/>
                <w:color w:val="auto"/>
              </w:rPr>
            </w:pPr>
            <w:r>
              <w:rPr>
                <w:rFonts w:ascii="Arial" w:cs="Arial" w:eastAsia="Arial" w:hAnsi="Arial"/>
                <w:sz w:val="14"/>
                <w:szCs w:val="14"/>
                <w:color w:val="auto"/>
              </w:rPr>
              <w:t>Adjusted SG&amp;A</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111"/>
              <w:spacing w:after="0"/>
              <w:rPr>
                <w:sz w:val="20"/>
                <w:szCs w:val="20"/>
                <w:color w:val="auto"/>
              </w:rPr>
            </w:pPr>
            <w:r>
              <w:rPr>
                <w:rFonts w:ascii="Arial" w:cs="Arial" w:eastAsia="Arial" w:hAnsi="Arial"/>
                <w:sz w:val="14"/>
                <w:szCs w:val="14"/>
                <w:color w:val="auto"/>
              </w:rPr>
              <w:t>883.1</w:t>
            </w:r>
          </w:p>
        </w:tc>
        <w:tc>
          <w:tcPr>
            <w:tcW w:w="560" w:type="dxa"/>
            <w:vAlign w:val="bottom"/>
            <w:gridSpan w:val="2"/>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gridSpan w:val="3"/>
          </w:tcPr>
          <w:p>
            <w:pPr>
              <w:jc w:val="right"/>
              <w:ind w:right="111"/>
              <w:spacing w:after="0"/>
              <w:rPr>
                <w:sz w:val="20"/>
                <w:szCs w:val="20"/>
                <w:color w:val="auto"/>
              </w:rPr>
            </w:pPr>
            <w:r>
              <w:rPr>
                <w:rFonts w:ascii="Arial" w:cs="Arial" w:eastAsia="Arial" w:hAnsi="Arial"/>
                <w:sz w:val="14"/>
                <w:szCs w:val="14"/>
                <w:color w:val="auto"/>
              </w:rPr>
              <w:t>963.1</w:t>
            </w:r>
          </w:p>
        </w:tc>
        <w:tc>
          <w:tcPr>
            <w:tcW w:w="5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11"/>
              <w:spacing w:after="0"/>
              <w:rPr>
                <w:sz w:val="20"/>
                <w:szCs w:val="20"/>
                <w:color w:val="auto"/>
              </w:rPr>
            </w:pPr>
            <w:r>
              <w:rPr>
                <w:rFonts w:ascii="Arial" w:cs="Arial" w:eastAsia="Arial" w:hAnsi="Arial"/>
                <w:sz w:val="14"/>
                <w:szCs w:val="14"/>
                <w:color w:val="auto"/>
              </w:rPr>
              <w:t>2,515.3</w:t>
            </w:r>
          </w:p>
        </w:tc>
        <w:tc>
          <w:tcPr>
            <w:tcW w:w="620" w:type="dxa"/>
            <w:vAlign w:val="bottom"/>
            <w:gridSpan w:val="2"/>
          </w:tcPr>
          <w:p>
            <w:pPr>
              <w:jc w:val="right"/>
              <w:ind w:right="3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color w:val="auto"/>
                <w:w w:val="98"/>
              </w:rPr>
              <w:t>2,853.0</w:t>
            </w:r>
          </w:p>
        </w:tc>
        <w:tc>
          <w:tcPr>
            <w:tcW w:w="100" w:type="dxa"/>
            <w:vAlign w:val="bottom"/>
          </w:tcPr>
          <w:p>
            <w:pPr>
              <w:spacing w:after="0"/>
              <w:rPr>
                <w:sz w:val="16"/>
                <w:szCs w:val="16"/>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2"/>
        </w:trPr>
        <w:tc>
          <w:tcPr>
            <w:tcW w:w="620" w:type="dxa"/>
            <w:vAlign w:val="bottom"/>
            <w:shd w:val="clear" w:color="auto" w:fill="CCEEFF"/>
          </w:tcPr>
          <w:p>
            <w:pPr>
              <w:spacing w:after="0"/>
              <w:rPr>
                <w:sz w:val="14"/>
                <w:szCs w:val="14"/>
                <w:color w:val="auto"/>
              </w:rPr>
            </w:pPr>
          </w:p>
        </w:tc>
        <w:tc>
          <w:tcPr>
            <w:tcW w:w="5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tcPr>
          <w:p>
            <w:pPr>
              <w:spacing w:after="0"/>
              <w:rPr>
                <w:sz w:val="14"/>
                <w:szCs w:val="14"/>
                <w:color w:val="auto"/>
              </w:rPr>
            </w:pPr>
          </w:p>
        </w:tc>
      </w:tr>
      <w:tr>
        <w:trPr>
          <w:trHeight w:val="193"/>
        </w:trPr>
        <w:tc>
          <w:tcPr>
            <w:tcW w:w="5840" w:type="dxa"/>
            <w:vAlign w:val="bottom"/>
            <w:gridSpan w:val="2"/>
          </w:tcPr>
          <w:p>
            <w:pPr>
              <w:ind w:left="20"/>
              <w:spacing w:after="0"/>
              <w:rPr>
                <w:sz w:val="20"/>
                <w:szCs w:val="20"/>
                <w:color w:val="auto"/>
              </w:rPr>
            </w:pPr>
            <w:r>
              <w:rPr>
                <w:rFonts w:ascii="Arial" w:cs="Arial" w:eastAsia="Arial" w:hAnsi="Arial"/>
                <w:sz w:val="14"/>
                <w:szCs w:val="14"/>
                <w:color w:val="auto"/>
              </w:rPr>
              <w:t>Adjusted SG&amp;A as % of total revenues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6"/>
                <w:szCs w:val="16"/>
                <w:color w:val="auto"/>
              </w:rPr>
            </w:pPr>
          </w:p>
        </w:tc>
      </w:tr>
      <w:tr>
        <w:trPr>
          <w:trHeight w:val="20"/>
        </w:trPr>
        <w:tc>
          <w:tcPr>
            <w:tcW w:w="6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40"/>
          </w:cols>
          <w:pgMar w:left="320" w:top="856"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2021</w:t>
            </w:r>
          </w:p>
        </w:tc>
      </w:tr>
      <w:tr>
        <w:trPr>
          <w:trHeight w:val="18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total operating expenses</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3,406.7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3,985.5</w:t>
            </w:r>
          </w:p>
        </w:tc>
      </w:tr>
      <w:tr>
        <w:trPr>
          <w:trHeight w:val="190"/>
        </w:trPr>
        <w:tc>
          <w:tcPr>
            <w:tcW w:w="614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7"/>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Litigation settlements and other contingencies, net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w:t>
            </w:r>
          </w:p>
        </w:tc>
      </w:tr>
      <w:tr>
        <w:trPr>
          <w:trHeight w:val="190"/>
        </w:trPr>
        <w:tc>
          <w:tcPr>
            <w:tcW w:w="6140" w:type="dxa"/>
            <w:vAlign w:val="bottom"/>
          </w:tcPr>
          <w:p>
            <w:pPr>
              <w:ind w:left="220"/>
              <w:spacing w:after="0"/>
              <w:rPr>
                <w:sz w:val="20"/>
                <w:szCs w:val="20"/>
                <w:color w:val="auto"/>
              </w:rPr>
            </w:pPr>
            <w:r>
              <w:rPr>
                <w:rFonts w:ascii="Arial" w:cs="Arial" w:eastAsia="Arial" w:hAnsi="Arial"/>
                <w:sz w:val="14"/>
                <w:szCs w:val="14"/>
                <w:color w:val="auto"/>
              </w:rPr>
              <w:t>R&amp;D adjustments</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(28.5)</w:t>
            </w:r>
          </w:p>
        </w:tc>
      </w:tr>
      <w:tr>
        <w:trPr>
          <w:trHeight w:val="193"/>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SG&amp;A adjustments</w:t>
            </w: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(91.9)</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(593.3)</w:t>
            </w:r>
          </w:p>
        </w:tc>
      </w:tr>
      <w:tr>
        <w:trPr>
          <w:trHeight w:val="190"/>
        </w:trPr>
        <w:tc>
          <w:tcPr>
            <w:tcW w:w="6140" w:type="dxa"/>
            <w:vAlign w:val="bottom"/>
          </w:tcPr>
          <w:p>
            <w:pPr>
              <w:ind w:left="20"/>
              <w:spacing w:after="0"/>
              <w:rPr>
                <w:sz w:val="20"/>
                <w:szCs w:val="20"/>
                <w:color w:val="auto"/>
              </w:rPr>
            </w:pPr>
            <w:r>
              <w:rPr>
                <w:rFonts w:ascii="Arial" w:cs="Arial" w:eastAsia="Arial" w:hAnsi="Arial"/>
                <w:sz w:val="14"/>
                <w:szCs w:val="14"/>
                <w:color w:val="auto"/>
              </w:rPr>
              <w:t>Adjusted total operating expenses</w:t>
            </w: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1,054.3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1,113.9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2,983.8</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3,308.4</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72"/>
        </w:trPr>
        <w:tc>
          <w:tcPr>
            <w:tcW w:w="6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r>
      <w:tr>
        <w:trPr>
          <w:trHeight w:val="186"/>
        </w:trPr>
        <w:tc>
          <w:tcPr>
            <w:tcW w:w="6140" w:type="dxa"/>
            <w:vAlign w:val="bottom"/>
          </w:tcPr>
          <w:p>
            <w:pPr>
              <w:ind w:left="20"/>
              <w:spacing w:after="0" w:line="186" w:lineRule="exact"/>
              <w:rPr>
                <w:sz w:val="20"/>
                <w:szCs w:val="20"/>
                <w:color w:val="auto"/>
              </w:rPr>
            </w:pPr>
            <w:r>
              <w:rPr>
                <w:rFonts w:ascii="Arial" w:cs="Arial" w:eastAsia="Arial" w:hAnsi="Arial"/>
                <w:sz w:val="14"/>
                <w:szCs w:val="14"/>
                <w:color w:val="auto"/>
              </w:rPr>
              <w:t xml:space="preserve">Adjusted earnings from operations </w:t>
            </w:r>
            <w:r>
              <w:rPr>
                <w:rFonts w:ascii="Arial" w:cs="Arial" w:eastAsia="Arial" w:hAnsi="Arial"/>
                <w:sz w:val="17"/>
                <w:szCs w:val="17"/>
                <w:color w:val="auto"/>
                <w:vertAlign w:val="superscript"/>
              </w:rPr>
              <w:t>(c)</w:t>
            </w:r>
          </w:p>
        </w:tc>
        <w:tc>
          <w:tcPr>
            <w:tcW w:w="2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1,415.0</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1,609.4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4,390.6</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4,732.0</w:t>
            </w: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2021</w:t>
            </w:r>
          </w:p>
        </w:tc>
      </w:tr>
      <w:tr>
        <w:trPr>
          <w:trHeight w:val="18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interest expense</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488.0</w:t>
            </w:r>
          </w:p>
        </w:tc>
      </w:tr>
      <w:tr>
        <w:trPr>
          <w:trHeight w:val="190"/>
        </w:trPr>
        <w:tc>
          <w:tcPr>
            <w:tcW w:w="614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7"/>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related to clean energy investments</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0"/>
        </w:trPr>
        <w:tc>
          <w:tcPr>
            <w:tcW w:w="6140" w:type="dxa"/>
            <w:vAlign w:val="bottom"/>
          </w:tcPr>
          <w:p>
            <w:pPr>
              <w:ind w:left="220"/>
              <w:spacing w:after="0"/>
              <w:rPr>
                <w:sz w:val="20"/>
                <w:szCs w:val="20"/>
                <w:color w:val="auto"/>
              </w:rPr>
            </w:pPr>
            <w:r>
              <w:rPr>
                <w:rFonts w:ascii="Arial" w:cs="Arial" w:eastAsia="Arial" w:hAnsi="Arial"/>
                <w:sz w:val="14"/>
                <w:szCs w:val="14"/>
                <w:color w:val="auto"/>
              </w:rPr>
              <w:t>Accretion of contingent consideration liability</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97"/>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premiums and discounts on long-term debt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w:t>
            </w:r>
          </w:p>
        </w:tc>
      </w:tr>
      <w:tr>
        <w:trPr>
          <w:trHeight w:val="190"/>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special items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r>
      <w:tr>
        <w:trPr>
          <w:trHeight w:val="215"/>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interest expense</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165.4</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482.1</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528.3</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6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87"/>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2021</w:t>
            </w:r>
          </w:p>
        </w:tc>
      </w:tr>
      <w:tr>
        <w:trPr>
          <w:trHeight w:val="187"/>
        </w:trPr>
        <w:tc>
          <w:tcPr>
            <w:tcW w:w="6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other (income) expense, net</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r>
        <w:trPr>
          <w:trHeight w:val="190"/>
        </w:trPr>
        <w:tc>
          <w:tcPr>
            <w:tcW w:w="6140" w:type="dxa"/>
            <w:vAlign w:val="bottom"/>
          </w:tcPr>
          <w:p>
            <w:pPr>
              <w:ind w:left="20"/>
              <w:spacing w:after="0"/>
              <w:rPr>
                <w:sz w:val="20"/>
                <w:szCs w:val="20"/>
                <w:color w:val="auto"/>
              </w:rPr>
            </w:pPr>
            <w:r>
              <w:rPr>
                <w:rFonts w:ascii="Arial" w:cs="Arial" w:eastAsia="Arial" w:hAnsi="Arial"/>
                <w:sz w:val="14"/>
                <w:szCs w:val="14"/>
                <w:color w:val="auto"/>
              </w:rPr>
              <w:t>Add / (Deduct):</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7"/>
        </w:trPr>
        <w:tc>
          <w:tcPr>
            <w:tcW w:w="61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Clean energy investments pre-tax loss </w:t>
            </w:r>
            <w:r>
              <w:rPr>
                <w:rFonts w:ascii="Arial" w:cs="Arial" w:eastAsia="Arial" w:hAnsi="Arial"/>
                <w:sz w:val="8"/>
                <w:szCs w:val="8"/>
                <w:color w:val="auto"/>
              </w:rPr>
              <w:t>(d)</w:t>
            </w:r>
          </w:p>
        </w:tc>
        <w:tc>
          <w:tcPr>
            <w:tcW w:w="2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r>
      <w:tr>
        <w:trPr>
          <w:trHeight w:val="190"/>
        </w:trPr>
        <w:tc>
          <w:tcPr>
            <w:tcW w:w="61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items</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15"/>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other (income) expense, net</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6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Nine Months Ended</w:t>
            </w:r>
          </w:p>
        </w:tc>
      </w:tr>
      <w:tr>
        <w:trPr>
          <w:trHeight w:val="193"/>
        </w:trPr>
        <w:tc>
          <w:tcPr>
            <w:tcW w:w="5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7"/>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 millions, except %s)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187"/>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earnings (loss) before income taxes</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427.5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199.9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1,344.3</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(460.5)</w:t>
            </w:r>
          </w:p>
        </w:tc>
      </w:tr>
      <w:tr>
        <w:trPr>
          <w:trHeight w:val="19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pre-tax non-GAAP adjustments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838.5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1,253.6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2,529.3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4,698.1</w:t>
            </w:r>
          </w:p>
        </w:tc>
      </w:tr>
      <w:tr>
        <w:trPr>
          <w:trHeight w:val="215"/>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earnings before income taxes</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1,266.0</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1,453.5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3,873.6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4,237.6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93"/>
        </w:trPr>
        <w:tc>
          <w:tcPr>
            <w:tcW w:w="5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GAAP income tax provision (benefit)</w:t>
            </w: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73.2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(111.6)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544.8</w:t>
            </w:r>
          </w:p>
        </w:tc>
      </w:tr>
      <w:tr>
        <w:trPr>
          <w:trHeight w:val="19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Adjusted tax expense</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129.4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366.0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342.7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196.8</w:t>
            </w:r>
          </w:p>
        </w:tc>
      </w:tr>
      <w:tr>
        <w:trPr>
          <w:trHeight w:val="215"/>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income tax provision</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202.6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254.4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619.6</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741.6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2"/>
        </w:trPr>
        <w:tc>
          <w:tcPr>
            <w:tcW w:w="58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211"/>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Adjusted effective tax rate</w:t>
            </w: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color w:val="auto"/>
        </w:rPr>
        <w:t>___________</w:t>
      </w:r>
    </w:p>
    <w:p>
      <w:pPr>
        <w:spacing w:after="0" w:line="226" w:lineRule="exact"/>
        <w:rPr>
          <w:sz w:val="20"/>
          <w:szCs w:val="20"/>
          <w:color w:val="auto"/>
        </w:rPr>
      </w:pPr>
    </w:p>
    <w:p>
      <w:pPr>
        <w:jc w:val="both"/>
        <w:ind w:left="620" w:hanging="307"/>
        <w:spacing w:after="0" w:line="233" w:lineRule="auto"/>
        <w:tabs>
          <w:tab w:leader="none" w:pos="613"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U.S. GAAP gross profit is calculated as total revenues less U.S. GAAP cost of sales. U.S. GAAP gross margin is calculated as U.S. GAAP gross profit divided by total revenues. Adjusted gross profit is calculated as total revenues less adjusted cost of sales. Adjusted gross margin is calculated as adjusted gross profit divided by total revenues.</w:t>
      </w:r>
    </w:p>
    <w:p>
      <w:pPr>
        <w:spacing w:after="0" w:line="79" w:lineRule="exact"/>
        <w:rPr>
          <w:rFonts w:ascii="Arial" w:cs="Arial" w:eastAsia="Arial" w:hAnsi="Arial"/>
          <w:sz w:val="18"/>
          <w:szCs w:val="18"/>
          <w:color w:val="auto"/>
          <w:vertAlign w:val="superscript"/>
        </w:rPr>
      </w:pPr>
    </w:p>
    <w:p>
      <w:pPr>
        <w:jc w:val="both"/>
        <w:ind w:left="620" w:hanging="307"/>
        <w:spacing w:after="0" w:line="257" w:lineRule="auto"/>
        <w:tabs>
          <w:tab w:leader="none" w:pos="618" w:val="left"/>
        </w:tabs>
        <w:numPr>
          <w:ilvl w:val="0"/>
          <w:numId w:val="11"/>
        </w:numPr>
        <w:rPr>
          <w:rFonts w:ascii="Calibri" w:cs="Calibri" w:eastAsia="Calibri" w:hAnsi="Calibri"/>
          <w:sz w:val="9"/>
          <w:szCs w:val="9"/>
          <w:color w:val="auto"/>
        </w:rPr>
      </w:pPr>
      <w:r>
        <w:rPr>
          <w:rFonts w:ascii="Arial" w:cs="Arial" w:eastAsia="Arial" w:hAnsi="Arial"/>
          <w:sz w:val="14"/>
          <w:szCs w:val="14"/>
          <w:color w:val="auto"/>
        </w:rPr>
        <w:t>Beginning in 2022, upfront and milestone-related R&amp;D expenses related to collaboration and licensing arrangements are no longer excluded from adjusted net earnings and adjusted EBITDA. This change had no impact on the three and nine months ended September 30, 2022. For all prior periods presented, these expenses and payments were excluded from adjusted net earnings and adjusted EBITDA. Prior period adjusted net earnings and adjusted EBITDA have not been recast to reflect this change in policy because the excluded amount was expense of approximately $3.7 million and income of approximately $2.1 million for the three and nine months ended September 30, 2021, respectively, and is considered immaterial.</w:t>
      </w:r>
    </w:p>
    <w:p>
      <w:pPr>
        <w:spacing w:after="0" w:line="79" w:lineRule="exact"/>
        <w:rPr>
          <w:rFonts w:ascii="Calibri" w:cs="Calibri" w:eastAsia="Calibri" w:hAnsi="Calibri"/>
          <w:sz w:val="9"/>
          <w:szCs w:val="9"/>
          <w:color w:val="auto"/>
        </w:rPr>
      </w:pPr>
    </w:p>
    <w:p>
      <w:pPr>
        <w:ind w:left="620" w:hanging="307"/>
        <w:spacing w:after="0" w:line="226" w:lineRule="auto"/>
        <w:tabs>
          <w:tab w:leader="none" w:pos="608"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U.S. GAAP earnings from operations is calculated as U.S. GAAP gross profit less U.S. GAAP total operating expenses. Adjusted earnings from operations is calculated as adjusted gross profit less adjusted total operating expenses.</w:t>
      </w:r>
    </w:p>
    <w:p>
      <w:pPr>
        <w:spacing w:after="0" w:line="78" w:lineRule="exact"/>
        <w:rPr>
          <w:rFonts w:ascii="Arial" w:cs="Arial" w:eastAsia="Arial" w:hAnsi="Arial"/>
          <w:sz w:val="18"/>
          <w:szCs w:val="18"/>
          <w:color w:val="auto"/>
          <w:vertAlign w:val="superscript"/>
        </w:rPr>
      </w:pPr>
    </w:p>
    <w:p>
      <w:pPr>
        <w:ind w:left="620" w:hanging="307"/>
        <w:spacing w:after="0" w:line="278" w:lineRule="auto"/>
        <w:tabs>
          <w:tab w:leader="none" w:pos="613" w:val="left"/>
        </w:tabs>
        <w:numPr>
          <w:ilvl w:val="0"/>
          <w:numId w:val="11"/>
        </w:numPr>
        <w:rPr>
          <w:rFonts w:ascii="Arial" w:cs="Arial" w:eastAsia="Arial" w:hAnsi="Arial"/>
          <w:sz w:val="9"/>
          <w:szCs w:val="9"/>
          <w:color w:val="auto"/>
        </w:rPr>
      </w:pPr>
      <w:r>
        <w:rPr>
          <w:rFonts w:ascii="Arial" w:cs="Arial" w:eastAsia="Arial" w:hAnsi="Arial"/>
          <w:sz w:val="14"/>
          <w:szCs w:val="14"/>
          <w:color w:val="auto"/>
        </w:rPr>
        <w:t>Adjustment represents exclusion of activity related to Viatris' clean energy investments, the activities of which qualify for income tax credits under section 45 of the U.S.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Estimated 2022 U.S. GAAP Net Cash Provided by Operating Activities to Free Cash Flow</w:t>
      </w:r>
    </w:p>
    <w:p>
      <w:pPr>
        <w:spacing w:after="0" w:line="11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(Unaudited)</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estimated 2022 U. S. GAAP Net Cash provided by Operating Activities to Free Cash Flow is presented below:</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(In millions)</w:t>
            </w:r>
          </w:p>
        </w:tc>
        <w:tc>
          <w:tcPr>
            <w:tcW w:w="1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5"/>
        </w:trPr>
        <w:tc>
          <w:tcPr>
            <w:tcW w:w="8740" w:type="dxa"/>
            <w:vAlign w:val="bottom"/>
          </w:tcPr>
          <w:p>
            <w:pPr>
              <w:ind w:left="20"/>
              <w:spacing w:after="0"/>
              <w:rPr>
                <w:sz w:val="20"/>
                <w:szCs w:val="20"/>
                <w:color w:val="auto"/>
              </w:rPr>
            </w:pPr>
            <w:r>
              <w:rPr>
                <w:rFonts w:ascii="Arial" w:cs="Arial" w:eastAsia="Arial" w:hAnsi="Arial"/>
                <w:sz w:val="15"/>
                <w:szCs w:val="15"/>
                <w:color w:val="auto"/>
              </w:rPr>
              <w:t>Estimated U. S. GAAP Net Cash provided by Operating Activities</w:t>
            </w:r>
          </w:p>
        </w:tc>
        <w:tc>
          <w:tcPr>
            <w:tcW w:w="1200" w:type="dxa"/>
            <w:vAlign w:val="bottom"/>
          </w:tcPr>
          <w:p>
            <w:pPr>
              <w:jc w:val="right"/>
              <w:spacing w:after="0"/>
              <w:rPr>
                <w:sz w:val="20"/>
                <w:szCs w:val="20"/>
                <w:color w:val="auto"/>
              </w:rPr>
            </w:pPr>
            <w:r>
              <w:rPr>
                <w:rFonts w:ascii="Arial" w:cs="Arial" w:eastAsia="Arial" w:hAnsi="Arial"/>
                <w:sz w:val="15"/>
                <w:szCs w:val="15"/>
                <w:color w:val="auto"/>
              </w:rPr>
              <w:t>$3,100</w:t>
            </w:r>
          </w:p>
        </w:tc>
        <w:tc>
          <w:tcPr>
            <w:tcW w:w="1300" w:type="dxa"/>
            <w:vAlign w:val="bottom"/>
          </w:tcPr>
          <w:p>
            <w:pPr>
              <w:ind w:left="20"/>
              <w:spacing w:after="0"/>
              <w:rPr>
                <w:sz w:val="20"/>
                <w:szCs w:val="20"/>
                <w:color w:val="auto"/>
              </w:rPr>
            </w:pPr>
            <w:r>
              <w:rPr>
                <w:rFonts w:ascii="Arial" w:cs="Arial" w:eastAsia="Arial" w:hAnsi="Arial"/>
                <w:sz w:val="15"/>
                <w:szCs w:val="15"/>
                <w:color w:val="auto"/>
              </w:rPr>
              <w:t>- $3,300</w:t>
            </w:r>
          </w:p>
        </w:tc>
      </w:tr>
      <w:tr>
        <w:trPr>
          <w:trHeight w:val="207"/>
        </w:trPr>
        <w:tc>
          <w:tcPr>
            <w:tcW w:w="87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5"/>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Less: Capital Expenditures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$(425)</w:t>
            </w:r>
          </w:p>
        </w:tc>
        <w:tc>
          <w:tcPr>
            <w:tcW w:w="13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 $(575)</w:t>
            </w:r>
          </w:p>
        </w:tc>
      </w:tr>
      <w:tr>
        <w:trPr>
          <w:trHeight w:val="187"/>
        </w:trPr>
        <w:tc>
          <w:tcPr>
            <w:tcW w:w="87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05"/>
        </w:trPr>
        <w:tc>
          <w:tcPr>
            <w:tcW w:w="8740" w:type="dxa"/>
            <w:vAlign w:val="bottom"/>
          </w:tcPr>
          <w:p>
            <w:pPr>
              <w:ind w:left="20"/>
              <w:spacing w:after="0"/>
              <w:rPr>
                <w:sz w:val="20"/>
                <w:szCs w:val="20"/>
                <w:color w:val="auto"/>
              </w:rPr>
            </w:pPr>
            <w:r>
              <w:rPr>
                <w:rFonts w:ascii="Arial" w:cs="Arial" w:eastAsia="Arial" w:hAnsi="Arial"/>
                <w:sz w:val="15"/>
                <w:szCs w:val="15"/>
                <w:color w:val="auto"/>
              </w:rPr>
              <w:t>Free Cash Flow</w:t>
            </w:r>
          </w:p>
        </w:tc>
        <w:tc>
          <w:tcPr>
            <w:tcW w:w="1200" w:type="dxa"/>
            <w:vAlign w:val="bottom"/>
          </w:tcPr>
          <w:p>
            <w:pPr>
              <w:jc w:val="right"/>
              <w:spacing w:after="0"/>
              <w:rPr>
                <w:sz w:val="20"/>
                <w:szCs w:val="20"/>
                <w:color w:val="auto"/>
              </w:rPr>
            </w:pPr>
            <w:r>
              <w:rPr>
                <w:rFonts w:ascii="Arial" w:cs="Arial" w:eastAsia="Arial" w:hAnsi="Arial"/>
                <w:sz w:val="15"/>
                <w:szCs w:val="15"/>
                <w:color w:val="auto"/>
              </w:rPr>
              <w:t>$2,500</w:t>
            </w:r>
          </w:p>
        </w:tc>
        <w:tc>
          <w:tcPr>
            <w:tcW w:w="1300" w:type="dxa"/>
            <w:vAlign w:val="bottom"/>
          </w:tcPr>
          <w:p>
            <w:pPr>
              <w:ind w:left="20"/>
              <w:spacing w:after="0"/>
              <w:rPr>
                <w:sz w:val="20"/>
                <w:szCs w:val="20"/>
                <w:color w:val="auto"/>
              </w:rPr>
            </w:pPr>
            <w:r>
              <w:rPr>
                <w:rFonts w:ascii="Arial" w:cs="Arial" w:eastAsia="Arial" w:hAnsi="Arial"/>
                <w:sz w:val="15"/>
                <w:szCs w:val="15"/>
                <w:color w:val="auto"/>
              </w:rPr>
              <w:t>- $2,900</w:t>
            </w: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2022-11-07T06:44:52Z</dcterms:created>
  <dcterms:modified xsi:type="dcterms:W3CDTF">2022-11-07T06:44:52Z</dcterms:modified>
</cp:coreProperties>
</file>