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t>As filed with the U.S. Securities and Exchange Commission on March 3, 2023</w:t>
      </w:r>
    </w:p>
    <w:p>
      <w:pPr>
        <w:spacing w:after="0" w:line="27" w:lineRule="exact"/>
        <w:rPr>
          <w:sz w:val="24"/>
          <w:szCs w:val="24"/>
          <w:color w:val="auto"/>
        </w:rPr>
      </w:pPr>
    </w:p>
    <w:p>
      <w:pPr>
        <w:ind w:left="9500"/>
        <w:spacing w:after="0"/>
        <w:rPr>
          <w:sz w:val="20"/>
          <w:szCs w:val="20"/>
          <w:color w:val="auto"/>
        </w:rPr>
      </w:pPr>
      <w:r>
        <w:rPr>
          <w:rFonts w:ascii="Arial" w:cs="Arial" w:eastAsia="Arial" w:hAnsi="Arial"/>
          <w:sz w:val="18"/>
          <w:szCs w:val="18"/>
          <w:b w:val="1"/>
          <w:bCs w:val="1"/>
          <w:color w:val="auto"/>
        </w:rPr>
        <w:t>File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4"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REGISTRATION STATEMENT</w:t>
      </w:r>
    </w:p>
    <w:p>
      <w:pPr>
        <w:jc w:val="center"/>
        <w:ind w:right="-3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VIATRIS INC.</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500" w:type="dxa"/>
        <w:tblCellMar>
          <w:top w:w="0" w:type="dxa"/>
          <w:left w:w="0" w:type="dxa"/>
          <w:bottom w:w="0" w:type="dxa"/>
          <w:right w:w="0" w:type="dxa"/>
        </w:tblCellMar>
      </w:tblPr>
      <w:tr>
        <w:trPr>
          <w:trHeight w:val="212"/>
        </w:trPr>
        <w:tc>
          <w:tcPr>
            <w:tcW w:w="6180" w:type="dxa"/>
            <w:vAlign w:val="bottom"/>
          </w:tcPr>
          <w:p>
            <w:pPr>
              <w:jc w:val="center"/>
              <w:ind w:right="3536"/>
              <w:spacing w:after="0"/>
              <w:rPr>
                <w:sz w:val="20"/>
                <w:szCs w:val="20"/>
                <w:color w:val="auto"/>
              </w:rPr>
            </w:pPr>
            <w:r>
              <w:rPr>
                <w:rFonts w:ascii="Arial" w:cs="Arial" w:eastAsia="Arial" w:hAnsi="Arial"/>
                <w:sz w:val="18"/>
                <w:szCs w:val="18"/>
                <w:b w:val="1"/>
                <w:bCs w:val="1"/>
                <w:color w:val="auto"/>
                <w:w w:val="91"/>
              </w:rPr>
              <w:t>Delaware</w:t>
            </w:r>
          </w:p>
        </w:tc>
        <w:tc>
          <w:tcPr>
            <w:tcW w:w="1220" w:type="dxa"/>
            <w:vAlign w:val="bottom"/>
          </w:tcPr>
          <w:p>
            <w:pPr>
              <w:jc w:val="right"/>
              <w:ind w:right="41"/>
              <w:spacing w:after="0"/>
              <w:rPr>
                <w:sz w:val="20"/>
                <w:szCs w:val="20"/>
                <w:color w:val="auto"/>
              </w:rPr>
            </w:pPr>
            <w:r>
              <w:rPr>
                <w:rFonts w:ascii="Arial" w:cs="Arial" w:eastAsia="Arial" w:hAnsi="Arial"/>
                <w:sz w:val="18"/>
                <w:szCs w:val="18"/>
                <w:b w:val="1"/>
                <w:bCs w:val="1"/>
                <w:color w:val="auto"/>
              </w:rPr>
              <w:t>83-4364296</w:t>
            </w:r>
          </w:p>
        </w:tc>
      </w:tr>
      <w:tr>
        <w:trPr>
          <w:trHeight w:val="148"/>
        </w:trPr>
        <w:tc>
          <w:tcPr>
            <w:tcW w:w="6180" w:type="dxa"/>
            <w:vAlign w:val="bottom"/>
          </w:tcPr>
          <w:p>
            <w:pPr>
              <w:jc w:val="center"/>
              <w:ind w:right="3536"/>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220" w:type="dxa"/>
            <w:vAlign w:val="bottom"/>
          </w:tcPr>
          <w:p>
            <w:pPr>
              <w:jc w:val="center"/>
              <w:ind w:left="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180" w:type="dxa"/>
            <w:vAlign w:val="bottom"/>
          </w:tcPr>
          <w:p>
            <w:pPr>
              <w:jc w:val="center"/>
              <w:ind w:right="3536"/>
              <w:spacing w:after="0"/>
              <w:rPr>
                <w:sz w:val="20"/>
                <w:szCs w:val="20"/>
                <w:color w:val="auto"/>
              </w:rPr>
            </w:pPr>
            <w:r>
              <w:rPr>
                <w:rFonts w:ascii="Arial" w:cs="Arial" w:eastAsia="Arial" w:hAnsi="Arial"/>
                <w:sz w:val="14"/>
                <w:szCs w:val="14"/>
                <w:b w:val="1"/>
                <w:bCs w:val="1"/>
                <w:color w:val="auto"/>
                <w:w w:val="94"/>
              </w:rPr>
              <w:t>incorporation or organization)</w:t>
            </w:r>
          </w:p>
        </w:tc>
        <w:tc>
          <w:tcPr>
            <w:tcW w:w="1220" w:type="dxa"/>
            <w:vAlign w:val="bottom"/>
          </w:tcPr>
          <w:p>
            <w:pPr>
              <w:jc w:val="center"/>
              <w:ind w:left="21"/>
              <w:spacing w:after="0"/>
              <w:rPr>
                <w:sz w:val="20"/>
                <w:szCs w:val="20"/>
                <w:color w:val="auto"/>
              </w:rPr>
            </w:pPr>
            <w:r>
              <w:rPr>
                <w:rFonts w:ascii="Arial" w:cs="Arial" w:eastAsia="Arial" w:hAnsi="Arial"/>
                <w:sz w:val="14"/>
                <w:szCs w:val="14"/>
                <w:b w:val="1"/>
                <w:bCs w:val="1"/>
                <w:color w:val="auto"/>
                <w:w w:val="94"/>
              </w:rPr>
              <w:t>Identification No.)</w:t>
            </w:r>
          </w:p>
        </w:tc>
      </w:tr>
      <w:tr>
        <w:trPr>
          <w:trHeight w:val="426"/>
        </w:trPr>
        <w:tc>
          <w:tcPr>
            <w:tcW w:w="6180" w:type="dxa"/>
            <w:vAlign w:val="bottom"/>
          </w:tcPr>
          <w:p>
            <w:pPr>
              <w:jc w:val="center"/>
              <w:ind w:right="3536"/>
              <w:spacing w:after="0"/>
              <w:rPr>
                <w:sz w:val="20"/>
                <w:szCs w:val="20"/>
                <w:color w:val="auto"/>
              </w:rPr>
            </w:pPr>
            <w:r>
              <w:rPr>
                <w:rFonts w:ascii="Arial" w:cs="Arial" w:eastAsia="Arial" w:hAnsi="Arial"/>
                <w:sz w:val="18"/>
                <w:szCs w:val="18"/>
                <w:b w:val="1"/>
                <w:bCs w:val="1"/>
                <w:color w:val="auto"/>
                <w:w w:val="93"/>
              </w:rPr>
              <w:t>1000 Mylan Boulevard</w:t>
            </w:r>
          </w:p>
        </w:tc>
        <w:tc>
          <w:tcPr>
            <w:tcW w:w="1220" w:type="dxa"/>
            <w:vAlign w:val="bottom"/>
          </w:tcPr>
          <w:p>
            <w:pPr>
              <w:spacing w:after="0"/>
              <w:rPr>
                <w:sz w:val="24"/>
                <w:szCs w:val="24"/>
                <w:color w:val="auto"/>
              </w:rPr>
            </w:pPr>
          </w:p>
        </w:tc>
      </w:tr>
      <w:tr>
        <w:trPr>
          <w:trHeight w:val="225"/>
        </w:trPr>
        <w:tc>
          <w:tcPr>
            <w:tcW w:w="6180" w:type="dxa"/>
            <w:vAlign w:val="bottom"/>
          </w:tcPr>
          <w:p>
            <w:pPr>
              <w:jc w:val="center"/>
              <w:ind w:right="3536"/>
              <w:spacing w:after="0"/>
              <w:rPr>
                <w:sz w:val="20"/>
                <w:szCs w:val="20"/>
                <w:color w:val="auto"/>
              </w:rPr>
            </w:pPr>
            <w:r>
              <w:rPr>
                <w:rFonts w:ascii="Arial" w:cs="Arial" w:eastAsia="Arial" w:hAnsi="Arial"/>
                <w:sz w:val="18"/>
                <w:szCs w:val="18"/>
                <w:b w:val="1"/>
                <w:bCs w:val="1"/>
                <w:color w:val="auto"/>
                <w:w w:val="89"/>
              </w:rPr>
              <w:t>Canonsburg, Pennsylvania 15317</w:t>
            </w:r>
          </w:p>
        </w:tc>
        <w:tc>
          <w:tcPr>
            <w:tcW w:w="1220" w:type="dxa"/>
            <w:vAlign w:val="bottom"/>
          </w:tcPr>
          <w:p>
            <w:pPr>
              <w:jc w:val="right"/>
              <w:ind w:right="261"/>
              <w:spacing w:after="0"/>
              <w:rPr>
                <w:sz w:val="20"/>
                <w:szCs w:val="20"/>
                <w:color w:val="auto"/>
              </w:rPr>
            </w:pPr>
            <w:r>
              <w:rPr>
                <w:rFonts w:ascii="Arial" w:cs="Arial" w:eastAsia="Arial" w:hAnsi="Arial"/>
                <w:sz w:val="18"/>
                <w:szCs w:val="18"/>
                <w:b w:val="1"/>
                <w:bCs w:val="1"/>
                <w:color w:val="auto"/>
              </w:rPr>
              <w:t>15317</w:t>
            </w:r>
          </w:p>
        </w:tc>
      </w:tr>
      <w:tr>
        <w:trPr>
          <w:trHeight w:val="186"/>
        </w:trPr>
        <w:tc>
          <w:tcPr>
            <w:tcW w:w="6180" w:type="dxa"/>
            <w:vAlign w:val="bottom"/>
          </w:tcPr>
          <w:p>
            <w:pPr>
              <w:jc w:val="center"/>
              <w:ind w:right="3556"/>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220" w:type="dxa"/>
            <w:vAlign w:val="bottom"/>
          </w:tcPr>
          <w:p>
            <w:pPr>
              <w:jc w:val="center"/>
              <w:ind w:left="21"/>
              <w:spacing w:after="0"/>
              <w:rPr>
                <w:sz w:val="20"/>
                <w:szCs w:val="20"/>
                <w:color w:val="auto"/>
              </w:rPr>
            </w:pPr>
            <w:r>
              <w:rPr>
                <w:rFonts w:ascii="Arial" w:cs="Arial" w:eastAsia="Arial" w:hAnsi="Arial"/>
                <w:sz w:val="14"/>
                <w:szCs w:val="14"/>
                <w:b w:val="1"/>
                <w:bCs w:val="1"/>
                <w:color w:val="auto"/>
                <w:w w:val="95"/>
              </w:rPr>
              <w:t>(Zip code)</w:t>
            </w:r>
          </w:p>
        </w:tc>
      </w:tr>
      <w:tr>
        <w:trPr>
          <w:trHeight w:val="399"/>
        </w:trPr>
        <w:tc>
          <w:tcPr>
            <w:tcW w:w="6180" w:type="dxa"/>
            <w:vAlign w:val="bottom"/>
          </w:tcPr>
          <w:p>
            <w:pPr>
              <w:jc w:val="center"/>
              <w:ind w:left="1756"/>
              <w:spacing w:after="0"/>
              <w:rPr>
                <w:sz w:val="20"/>
                <w:szCs w:val="20"/>
                <w:color w:val="auto"/>
              </w:rPr>
            </w:pPr>
            <w:r>
              <w:rPr>
                <w:rFonts w:ascii="Arial" w:cs="Arial" w:eastAsia="Arial" w:hAnsi="Arial"/>
                <w:sz w:val="18"/>
                <w:szCs w:val="18"/>
                <w:b w:val="1"/>
                <w:bCs w:val="1"/>
                <w:color w:val="auto"/>
                <w:w w:val="91"/>
              </w:rPr>
              <w:t>Oyster Point Pharma, Inc. 2016 Equity Incentive Plan</w:t>
            </w:r>
          </w:p>
        </w:tc>
        <w:tc>
          <w:tcPr>
            <w:tcW w:w="1220" w:type="dxa"/>
            <w:vAlign w:val="bottom"/>
          </w:tcPr>
          <w:p>
            <w:pPr>
              <w:spacing w:after="0"/>
              <w:rPr>
                <w:sz w:val="24"/>
                <w:szCs w:val="24"/>
                <w:color w:val="auto"/>
              </w:rPr>
            </w:pPr>
          </w:p>
        </w:tc>
      </w:tr>
      <w:tr>
        <w:trPr>
          <w:trHeight w:val="216"/>
        </w:trPr>
        <w:tc>
          <w:tcPr>
            <w:tcW w:w="6180" w:type="dxa"/>
            <w:vAlign w:val="bottom"/>
          </w:tcPr>
          <w:p>
            <w:pPr>
              <w:jc w:val="center"/>
              <w:ind w:left="1756"/>
              <w:spacing w:after="0"/>
              <w:rPr>
                <w:sz w:val="20"/>
                <w:szCs w:val="20"/>
                <w:color w:val="auto"/>
              </w:rPr>
            </w:pPr>
            <w:r>
              <w:rPr>
                <w:rFonts w:ascii="Arial" w:cs="Arial" w:eastAsia="Arial" w:hAnsi="Arial"/>
                <w:sz w:val="18"/>
                <w:szCs w:val="18"/>
                <w:b w:val="1"/>
                <w:bCs w:val="1"/>
                <w:color w:val="auto"/>
                <w:w w:val="91"/>
              </w:rPr>
              <w:t>Oyster Point Pharma, Inc. 2019 Equity Incentive Plan</w:t>
            </w:r>
          </w:p>
        </w:tc>
        <w:tc>
          <w:tcPr>
            <w:tcW w:w="1220" w:type="dxa"/>
            <w:vAlign w:val="bottom"/>
          </w:tcPr>
          <w:p>
            <w:pPr>
              <w:spacing w:after="0"/>
              <w:rPr>
                <w:sz w:val="18"/>
                <w:szCs w:val="18"/>
                <w:color w:val="auto"/>
              </w:rPr>
            </w:pPr>
          </w:p>
        </w:tc>
      </w:tr>
      <w:tr>
        <w:trPr>
          <w:trHeight w:val="212"/>
        </w:trPr>
        <w:tc>
          <w:tcPr>
            <w:tcW w:w="6180" w:type="dxa"/>
            <w:vAlign w:val="bottom"/>
          </w:tcPr>
          <w:p>
            <w:pPr>
              <w:jc w:val="center"/>
              <w:ind w:left="1736"/>
              <w:spacing w:after="0"/>
              <w:rPr>
                <w:sz w:val="20"/>
                <w:szCs w:val="20"/>
                <w:color w:val="auto"/>
              </w:rPr>
            </w:pPr>
            <w:r>
              <w:rPr>
                <w:rFonts w:ascii="Arial" w:cs="Arial" w:eastAsia="Arial" w:hAnsi="Arial"/>
                <w:sz w:val="18"/>
                <w:szCs w:val="18"/>
                <w:b w:val="1"/>
                <w:bCs w:val="1"/>
                <w:color w:val="auto"/>
                <w:w w:val="91"/>
              </w:rPr>
              <w:t>Oyster Point Pharma, Inc. 2021 Inducement Plan</w:t>
            </w:r>
          </w:p>
        </w:tc>
        <w:tc>
          <w:tcPr>
            <w:tcW w:w="1220" w:type="dxa"/>
            <w:vAlign w:val="bottom"/>
          </w:tcPr>
          <w:p>
            <w:pPr>
              <w:spacing w:after="0"/>
              <w:rPr>
                <w:sz w:val="18"/>
                <w:szCs w:val="18"/>
                <w:color w:val="auto"/>
              </w:rPr>
            </w:pPr>
          </w:p>
        </w:tc>
      </w:tr>
      <w:tr>
        <w:trPr>
          <w:trHeight w:val="186"/>
        </w:trPr>
        <w:tc>
          <w:tcPr>
            <w:tcW w:w="6180" w:type="dxa"/>
            <w:vAlign w:val="bottom"/>
          </w:tcPr>
          <w:p>
            <w:pPr>
              <w:jc w:val="center"/>
              <w:ind w:left="1736"/>
              <w:spacing w:after="0"/>
              <w:rPr>
                <w:sz w:val="20"/>
                <w:szCs w:val="20"/>
                <w:color w:val="auto"/>
              </w:rPr>
            </w:pPr>
            <w:r>
              <w:rPr>
                <w:rFonts w:ascii="Arial" w:cs="Arial" w:eastAsia="Arial" w:hAnsi="Arial"/>
                <w:sz w:val="14"/>
                <w:szCs w:val="14"/>
                <w:b w:val="1"/>
                <w:bCs w:val="1"/>
                <w:color w:val="auto"/>
                <w:w w:val="95"/>
              </w:rPr>
              <w:t>(Full title of the plan)</w:t>
            </w:r>
          </w:p>
        </w:tc>
        <w:tc>
          <w:tcPr>
            <w:tcW w:w="1220" w:type="dxa"/>
            <w:vAlign w:val="bottom"/>
          </w:tcPr>
          <w:p>
            <w:pPr>
              <w:spacing w:after="0"/>
              <w:rPr>
                <w:sz w:val="16"/>
                <w:szCs w:val="16"/>
                <w:color w:val="auto"/>
              </w:rPr>
            </w:pPr>
          </w:p>
        </w:tc>
      </w:tr>
      <w:tr>
        <w:trPr>
          <w:trHeight w:val="399"/>
        </w:trPr>
        <w:tc>
          <w:tcPr>
            <w:tcW w:w="6180" w:type="dxa"/>
            <w:vAlign w:val="bottom"/>
          </w:tcPr>
          <w:p>
            <w:pPr>
              <w:jc w:val="center"/>
              <w:ind w:left="1736"/>
              <w:spacing w:after="0"/>
              <w:rPr>
                <w:sz w:val="20"/>
                <w:szCs w:val="20"/>
                <w:color w:val="auto"/>
              </w:rPr>
            </w:pPr>
            <w:r>
              <w:rPr>
                <w:rFonts w:ascii="Arial" w:cs="Arial" w:eastAsia="Arial" w:hAnsi="Arial"/>
                <w:sz w:val="18"/>
                <w:szCs w:val="18"/>
                <w:b w:val="1"/>
                <w:bCs w:val="1"/>
                <w:color w:val="auto"/>
                <w:w w:val="92"/>
              </w:rPr>
              <w:t>Brian Roman</w:t>
            </w:r>
          </w:p>
        </w:tc>
        <w:tc>
          <w:tcPr>
            <w:tcW w:w="1220" w:type="dxa"/>
            <w:vAlign w:val="bottom"/>
          </w:tcPr>
          <w:p>
            <w:pPr>
              <w:spacing w:after="0"/>
              <w:rPr>
                <w:sz w:val="24"/>
                <w:szCs w:val="24"/>
                <w:color w:val="auto"/>
              </w:rPr>
            </w:pPr>
          </w:p>
        </w:tc>
      </w:tr>
      <w:tr>
        <w:trPr>
          <w:trHeight w:val="216"/>
        </w:trPr>
        <w:tc>
          <w:tcPr>
            <w:tcW w:w="6180" w:type="dxa"/>
            <w:vAlign w:val="bottom"/>
          </w:tcPr>
          <w:p>
            <w:pPr>
              <w:jc w:val="center"/>
              <w:ind w:left="1756"/>
              <w:spacing w:after="0"/>
              <w:rPr>
                <w:sz w:val="20"/>
                <w:szCs w:val="20"/>
                <w:color w:val="auto"/>
              </w:rPr>
            </w:pPr>
            <w:r>
              <w:rPr>
                <w:rFonts w:ascii="Arial" w:cs="Arial" w:eastAsia="Arial" w:hAnsi="Arial"/>
                <w:sz w:val="18"/>
                <w:szCs w:val="18"/>
                <w:b w:val="1"/>
                <w:bCs w:val="1"/>
                <w:color w:val="auto"/>
                <w:w w:val="94"/>
              </w:rPr>
              <w:t>Viatris Inc.</w:t>
            </w:r>
          </w:p>
        </w:tc>
        <w:tc>
          <w:tcPr>
            <w:tcW w:w="1220" w:type="dxa"/>
            <w:vAlign w:val="bottom"/>
          </w:tcPr>
          <w:p>
            <w:pPr>
              <w:spacing w:after="0"/>
              <w:rPr>
                <w:sz w:val="18"/>
                <w:szCs w:val="18"/>
                <w:color w:val="auto"/>
              </w:rPr>
            </w:pPr>
          </w:p>
        </w:tc>
      </w:tr>
      <w:tr>
        <w:trPr>
          <w:trHeight w:val="216"/>
        </w:trPr>
        <w:tc>
          <w:tcPr>
            <w:tcW w:w="6180" w:type="dxa"/>
            <w:vAlign w:val="bottom"/>
          </w:tcPr>
          <w:p>
            <w:pPr>
              <w:jc w:val="center"/>
              <w:ind w:left="1736"/>
              <w:spacing w:after="0"/>
              <w:rPr>
                <w:sz w:val="20"/>
                <w:szCs w:val="20"/>
                <w:color w:val="auto"/>
              </w:rPr>
            </w:pPr>
            <w:r>
              <w:rPr>
                <w:rFonts w:ascii="Arial" w:cs="Arial" w:eastAsia="Arial" w:hAnsi="Arial"/>
                <w:sz w:val="18"/>
                <w:szCs w:val="18"/>
                <w:b w:val="1"/>
                <w:bCs w:val="1"/>
                <w:color w:val="auto"/>
                <w:w w:val="93"/>
              </w:rPr>
              <w:t>1000 Mylan Boulevard</w:t>
            </w:r>
          </w:p>
        </w:tc>
        <w:tc>
          <w:tcPr>
            <w:tcW w:w="1220" w:type="dxa"/>
            <w:vAlign w:val="bottom"/>
          </w:tcPr>
          <w:p>
            <w:pPr>
              <w:spacing w:after="0"/>
              <w:rPr>
                <w:sz w:val="18"/>
                <w:szCs w:val="18"/>
                <w:color w:val="auto"/>
              </w:rPr>
            </w:pPr>
          </w:p>
        </w:tc>
      </w:tr>
      <w:tr>
        <w:trPr>
          <w:trHeight w:val="212"/>
        </w:trPr>
        <w:tc>
          <w:tcPr>
            <w:tcW w:w="6180" w:type="dxa"/>
            <w:vAlign w:val="bottom"/>
          </w:tcPr>
          <w:p>
            <w:pPr>
              <w:jc w:val="center"/>
              <w:ind w:left="1736"/>
              <w:spacing w:after="0"/>
              <w:rPr>
                <w:sz w:val="20"/>
                <w:szCs w:val="20"/>
                <w:color w:val="auto"/>
              </w:rPr>
            </w:pPr>
            <w:r>
              <w:rPr>
                <w:rFonts w:ascii="Arial" w:cs="Arial" w:eastAsia="Arial" w:hAnsi="Arial"/>
                <w:sz w:val="18"/>
                <w:szCs w:val="18"/>
                <w:b w:val="1"/>
                <w:bCs w:val="1"/>
                <w:color w:val="auto"/>
                <w:w w:val="89"/>
              </w:rPr>
              <w:t>Canonsburg, Pennsylvania 15317</w:t>
            </w:r>
          </w:p>
        </w:tc>
        <w:tc>
          <w:tcPr>
            <w:tcW w:w="1220" w:type="dxa"/>
            <w:vAlign w:val="bottom"/>
          </w:tcPr>
          <w:p>
            <w:pPr>
              <w:spacing w:after="0"/>
              <w:rPr>
                <w:sz w:val="18"/>
                <w:szCs w:val="18"/>
                <w:color w:val="auto"/>
              </w:rPr>
            </w:pPr>
          </w:p>
        </w:tc>
      </w:tr>
      <w:tr>
        <w:trPr>
          <w:trHeight w:val="186"/>
        </w:trPr>
        <w:tc>
          <w:tcPr>
            <w:tcW w:w="6180" w:type="dxa"/>
            <w:vAlign w:val="bottom"/>
          </w:tcPr>
          <w:p>
            <w:pPr>
              <w:jc w:val="center"/>
              <w:ind w:left="1736"/>
              <w:spacing w:after="0"/>
              <w:rPr>
                <w:sz w:val="20"/>
                <w:szCs w:val="20"/>
                <w:color w:val="auto"/>
              </w:rPr>
            </w:pPr>
            <w:r>
              <w:rPr>
                <w:rFonts w:ascii="Arial" w:cs="Arial" w:eastAsia="Arial" w:hAnsi="Arial"/>
                <w:sz w:val="14"/>
                <w:szCs w:val="14"/>
                <w:b w:val="1"/>
                <w:bCs w:val="1"/>
                <w:color w:val="auto"/>
                <w:w w:val="91"/>
              </w:rPr>
              <w:t>(Name and address of agent for service)</w:t>
            </w:r>
          </w:p>
        </w:tc>
        <w:tc>
          <w:tcPr>
            <w:tcW w:w="1220" w:type="dxa"/>
            <w:vAlign w:val="bottom"/>
          </w:tcPr>
          <w:p>
            <w:pPr>
              <w:spacing w:after="0"/>
              <w:rPr>
                <w:sz w:val="16"/>
                <w:szCs w:val="16"/>
                <w:color w:val="auto"/>
              </w:rPr>
            </w:pPr>
          </w:p>
        </w:tc>
      </w:tr>
      <w:tr>
        <w:trPr>
          <w:trHeight w:val="394"/>
        </w:trPr>
        <w:tc>
          <w:tcPr>
            <w:tcW w:w="6180" w:type="dxa"/>
            <w:vAlign w:val="bottom"/>
          </w:tcPr>
          <w:p>
            <w:pPr>
              <w:jc w:val="center"/>
              <w:ind w:left="1736"/>
              <w:spacing w:after="0"/>
              <w:rPr>
                <w:sz w:val="20"/>
                <w:szCs w:val="20"/>
                <w:color w:val="auto"/>
              </w:rPr>
            </w:pPr>
            <w:r>
              <w:rPr>
                <w:rFonts w:ascii="Arial" w:cs="Arial" w:eastAsia="Arial" w:hAnsi="Arial"/>
                <w:sz w:val="18"/>
                <w:szCs w:val="18"/>
                <w:b w:val="1"/>
                <w:bCs w:val="1"/>
                <w:color w:val="auto"/>
                <w:w w:val="90"/>
              </w:rPr>
              <w:t>(724) 514-1800</w:t>
            </w:r>
          </w:p>
        </w:tc>
        <w:tc>
          <w:tcPr>
            <w:tcW w:w="1220" w:type="dxa"/>
            <w:vAlign w:val="bottom"/>
          </w:tcPr>
          <w:p>
            <w:pPr>
              <w:spacing w:after="0"/>
              <w:rPr>
                <w:sz w:val="24"/>
                <w:szCs w:val="24"/>
                <w:color w:val="auto"/>
              </w:rPr>
            </w:pPr>
          </w:p>
        </w:tc>
      </w:tr>
      <w:tr>
        <w:trPr>
          <w:trHeight w:val="186"/>
        </w:trPr>
        <w:tc>
          <w:tcPr>
            <w:tcW w:w="6180" w:type="dxa"/>
            <w:vAlign w:val="bottom"/>
          </w:tcPr>
          <w:p>
            <w:pPr>
              <w:jc w:val="center"/>
              <w:ind w:left="1756"/>
              <w:spacing w:after="0"/>
              <w:rPr>
                <w:sz w:val="20"/>
                <w:szCs w:val="20"/>
                <w:color w:val="auto"/>
              </w:rPr>
            </w:pPr>
            <w:r>
              <w:rPr>
                <w:rFonts w:ascii="Arial" w:cs="Arial" w:eastAsia="Arial" w:hAnsi="Arial"/>
                <w:sz w:val="14"/>
                <w:szCs w:val="14"/>
                <w:b w:val="1"/>
                <w:bCs w:val="1"/>
                <w:color w:val="auto"/>
                <w:w w:val="91"/>
              </w:rPr>
              <w:t>(Telephone number, including area code, of agent for service)</w:t>
            </w:r>
          </w:p>
        </w:tc>
        <w:tc>
          <w:tcPr>
            <w:tcW w:w="122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222250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ind w:right="8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2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0"/>
          </w:cols>
          <w:pgMar w:left="440" w:top="229" w:right="49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January 3, 2023, Viatris, Inc., a Delaware corporation (“Viatris” or the “Registrant”), completed its previously announced acquisition of Oyster Point Pharma, Inc., a Delaware corporation (“Oyster Point”), pursuant to an Agreement and Plan of Merger (the “Merger Agreement”), by and among Viatris, Iris Purchaser Inc., a Delaware corporation and a wholly owned subsidiary of Viatris (“Purchaser”), and Oyster Point. Pursuant to the Merger Agreement, on January 3, 2023, Purchaser merged with and into Oyster Point (the “Merger”), with Oyster Point surviving the Merger as a wholly owned subsidiary of Viatris. Pursuant to the Merger Agreement, at the effective time of the Merger (the “Effective Time”), certain equity-based awards of Oyster Point were settled solely in cash, whereas the remainder were treated as described below:</w:t>
      </w:r>
    </w:p>
    <w:p>
      <w:pPr>
        <w:spacing w:after="0" w:line="83" w:lineRule="exact"/>
        <w:rPr>
          <w:sz w:val="20"/>
          <w:szCs w:val="20"/>
          <w:color w:val="auto"/>
        </w:rPr>
      </w:pPr>
    </w:p>
    <w:p>
      <w:pPr>
        <w:ind w:left="960" w:hanging="424"/>
        <w:spacing w:after="0" w:line="254"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Each Oyster Point option or portion thereof that was outstanding, unvested and unexercised with an exercise price less than $13.00 immediately prior to the Effective Time (each, a “Rollover Oyster Point Option”) was converted into a stock option to purchase a number of shares of common stock, par value $0.01 per share, of Viatris (“Viatris Common Stock”) (rounded down to the nearest whole share) (each, a “Viatris Option”) equal to the product of (i) 1.0127 (the “Equity Award Exchange Ratio”) and (ii) the number of shares of common stock, par value $0.001 per share, of Oyster Point (the “Oyster Point Shares”) subject to such Rollover Oyster Point Option, with an exercise price (rounded up to the nearest cent) equal to (i) the exercise price of such Rollover Oyster Point Option divided by (ii) the Equity Award Exchange Ratio; provided that each Rollover Oyster Point Option with an exercise price equal to or greater than $11.00 was canceled for no consideration;</w:t>
      </w:r>
    </w:p>
    <w:p>
      <w:pPr>
        <w:spacing w:after="0" w:line="97" w:lineRule="exact"/>
        <w:rPr>
          <w:rFonts w:ascii="Arial" w:cs="Arial" w:eastAsia="Arial" w:hAnsi="Arial"/>
          <w:sz w:val="18"/>
          <w:szCs w:val="18"/>
          <w:color w:val="auto"/>
        </w:rPr>
      </w:pPr>
    </w:p>
    <w:p>
      <w:pPr>
        <w:ind w:left="960" w:hanging="424"/>
        <w:spacing w:after="0" w:line="259"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Each Oyster Point restricted stock unit or portion thereof that was outstanding and unvested as of immediately prior to the Effective Time (each, an “Oyster Point RSU”) was assumed by Viatris and converted into a restricted stock unit of Viatris (a “Viatris RSU”) with respect to a number of shares of Viatris Common Stock (rounded down to the nearest whole share), equal to the product of (i) the number of shares deliverable under such Oyster Point RSU and (ii) the Equity Award Exchange Ratio;</w:t>
      </w:r>
    </w:p>
    <w:p>
      <w:pPr>
        <w:spacing w:after="0" w:line="92" w:lineRule="exact"/>
        <w:rPr>
          <w:rFonts w:ascii="Arial" w:cs="Arial" w:eastAsia="Arial" w:hAnsi="Arial"/>
          <w:sz w:val="18"/>
          <w:szCs w:val="18"/>
          <w:color w:val="auto"/>
        </w:rPr>
      </w:pPr>
    </w:p>
    <w:p>
      <w:pPr>
        <w:ind w:left="960" w:right="160" w:hanging="424"/>
        <w:spacing w:after="0" w:line="279" w:lineRule="auto"/>
        <w:tabs>
          <w:tab w:leader="none" w:pos="960" w:val="left"/>
        </w:tabs>
        <w:numPr>
          <w:ilvl w:val="0"/>
          <w:numId w:val="1"/>
        </w:numPr>
        <w:rPr>
          <w:rFonts w:ascii="Arial" w:cs="Arial" w:eastAsia="Arial" w:hAnsi="Arial"/>
          <w:sz w:val="17"/>
          <w:szCs w:val="17"/>
          <w:color w:val="auto"/>
        </w:rPr>
      </w:pPr>
      <w:r>
        <w:rPr>
          <w:rFonts w:ascii="Arial" w:cs="Arial" w:eastAsia="Arial" w:hAnsi="Arial"/>
          <w:sz w:val="17"/>
          <w:szCs w:val="17"/>
          <w:color w:val="auto"/>
        </w:rPr>
        <w:t>Each Oyster Point performance share unit or portion thereof that was outstanding and unvested pursuant to its terms immediately prior to the Effective Time (each, an “Oyster Point PSU”) was assumed by Viatris and converted into a Viatris RSU with respect to a number of shares of Viatris Common Stock (rounded down to the nearest whole share), equal to the product of (i) the target number of shares deliverable under such Oyster Point PSU and (ii) the Equity Award Exchange Ratio; and</w:t>
      </w:r>
    </w:p>
    <w:p>
      <w:pPr>
        <w:spacing w:after="0" w:line="76" w:lineRule="exact"/>
        <w:rPr>
          <w:rFonts w:ascii="Arial" w:cs="Arial" w:eastAsia="Arial" w:hAnsi="Arial"/>
          <w:sz w:val="17"/>
          <w:szCs w:val="17"/>
          <w:color w:val="auto"/>
        </w:rPr>
      </w:pPr>
    </w:p>
    <w:p>
      <w:pPr>
        <w:ind w:left="960" w:right="40" w:hanging="424"/>
        <w:spacing w:after="0" w:line="275" w:lineRule="auto"/>
        <w:tabs>
          <w:tab w:leader="none" w:pos="960" w:val="left"/>
        </w:tabs>
        <w:numPr>
          <w:ilvl w:val="0"/>
          <w:numId w:val="1"/>
        </w:numPr>
        <w:rPr>
          <w:rFonts w:ascii="Arial" w:cs="Arial" w:eastAsia="Arial" w:hAnsi="Arial"/>
          <w:sz w:val="17"/>
          <w:szCs w:val="17"/>
          <w:color w:val="auto"/>
        </w:rPr>
      </w:pPr>
      <w:r>
        <w:rPr>
          <w:rFonts w:ascii="Arial" w:cs="Arial" w:eastAsia="Arial" w:hAnsi="Arial"/>
          <w:sz w:val="17"/>
          <w:szCs w:val="17"/>
          <w:color w:val="auto"/>
        </w:rPr>
        <w:t>Each Oyster Point RSU and Oyster Point PSU granted on or about July 13, 2022 to the Chief Executive Officer of Oyster Point and the Chief Financial Officer of Oyster Point (each, a “Specified Oyster Point RSU/PSU Award”) that was outstanding and unvested, each as of immediately prior to the Effective Time, was assumed by Viatris and converted into a Viatris RSU with respect to a number of shares of Viatris Common Stock (rounded down to the nearest whole share), equal to the product of (i) the target number of shares deliverable under such Specified Oyster Point RSU/PSU Award and (ii) the Equity Award Exchange Ratio.</w:t>
      </w:r>
    </w:p>
    <w:p>
      <w:pPr>
        <w:spacing w:after="0" w:line="176"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The Viatris Options and Viatris RSUs will otherwise continue on the same terms and conditions as were applicable under such Rollover Oyster Point Options, Oyster Point RSUs, Oyster Point PSUs and Specified Oyster Point RSU/PSU Awards, as applicable, including any vesting conditions and service schedules, but excluding any performance-based vesting conditions applicable to Oyster Point PSUs or Specified Oyster Point RSU/PSU Award.</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Plan Information</w:t>
      </w:r>
    </w:p>
    <w:p>
      <w:pPr>
        <w:spacing w:after="0" w:line="121" w:lineRule="exact"/>
        <w:rPr>
          <w:sz w:val="20"/>
          <w:szCs w:val="20"/>
          <w:color w:val="auto"/>
        </w:rPr>
      </w:pPr>
    </w:p>
    <w:p>
      <w:pPr>
        <w:ind w:right="40" w:firstLine="440"/>
        <w:spacing w:after="0" w:line="275" w:lineRule="auto"/>
        <w:rPr>
          <w:sz w:val="20"/>
          <w:szCs w:val="20"/>
          <w:color w:val="auto"/>
        </w:rPr>
      </w:pPr>
      <w:r>
        <w:rPr>
          <w:rFonts w:ascii="Arial" w:cs="Arial" w:eastAsia="Arial" w:hAnsi="Arial"/>
          <w:sz w:val="17"/>
          <w:szCs w:val="17"/>
          <w:color w:val="auto"/>
        </w:rPr>
        <w:t>The documents containing the information specified in Part I of Form S-8 will be sent or given to employees as specified by Rule 428(b)(1) of the Securities Act of 1933, as amended (the “Securities Act”). Such documents need not be filed with the U.S. Securities and Exchange Commission (the “Commission”) either as part of this registration statement or as prospectuses or prospectus supplements pursuant to Rule 424 of the Securities Act. These documents and the documents incorporated by reference in this registration statement pursuant to Item 3 of Part II of this registration statement, taken together, constitute a prospectus that meets the requirements of Section 10(a) of the Securities Act.</w:t>
      </w:r>
    </w:p>
    <w:p>
      <w:pPr>
        <w:sectPr>
          <w:pgSz w:w="11900" w:h="16838" w:orient="portrait"/>
          <w:cols w:equalWidth="0" w:num="1">
            <w:col w:w="11000"/>
          </w:cols>
          <w:pgMar w:left="440" w:top="270" w:right="4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2. Registrant Information and Employee Plan Annual Information</w:t>
      </w:r>
    </w:p>
    <w:p>
      <w:pPr>
        <w:spacing w:after="0" w:line="121"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Upon written or oral request, any of the documents incorporated by reference in Item 3 of Part II of this registration statement (which documents are incorporated by reference in the Section 10(a) prospectus), any other document required to be delivered to employees pursuant to Rule 428(b) or additional information about the Plan is available without charge by contacting: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Viatris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1000 Mylan Boulevard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Canonsburg, Pennsylvania 15317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(724) 514-1813</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121"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We are incorporating by reference certain information that we have filed with the Commission pursuant to the Securities Exchange Act of 1934, as amended (the “Exchange Act”). The information contained in the documents that we are incorporating by reference is considered to be part of this registration statement, and the information that Viatris later files with the Commission will automatically update and supersede the information contained or incorporated by reference into this registration statement. We are incorporating by reference the following documents:</w:t>
      </w:r>
    </w:p>
    <w:p>
      <w:pPr>
        <w:spacing w:after="0" w:line="77" w:lineRule="exact"/>
        <w:rPr>
          <w:sz w:val="20"/>
          <w:szCs w:val="20"/>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Annual Report on </w:t>
      </w:r>
      <w:hyperlink r:id="rId18">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Viatris for the year ended December 31, 2022, filed on February 27, 2023;</w:t>
      </w:r>
    </w:p>
    <w:p>
      <w:pPr>
        <w:spacing w:after="0" w:line="252" w:lineRule="exact"/>
        <w:rPr>
          <w:rFonts w:ascii="Arial" w:cs="Arial" w:eastAsia="Arial" w:hAnsi="Arial"/>
          <w:sz w:val="18"/>
          <w:szCs w:val="18"/>
          <w:color w:val="auto"/>
        </w:rPr>
      </w:pPr>
    </w:p>
    <w:p>
      <w:pPr>
        <w:ind w:left="960" w:right="280" w:hanging="424"/>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Current Report on </w:t>
      </w:r>
      <w:hyperlink r:id="rId19">
        <w:r>
          <w:rPr>
            <w:rFonts w:ascii="Arial" w:cs="Arial" w:eastAsia="Arial" w:hAnsi="Arial"/>
            <w:sz w:val="18"/>
            <w:szCs w:val="18"/>
            <w:u w:val="single" w:color="auto"/>
            <w:color w:val="0000EE"/>
          </w:rPr>
          <w:t>Form 8-K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Viatris, filed on February 27, 2023 after the filing of the Annual Report on Form 10-K of Viatris for the year ended December 31, 2022;</w:t>
      </w:r>
    </w:p>
    <w:p>
      <w:pPr>
        <w:spacing w:after="0" w:line="197" w:lineRule="exact"/>
        <w:rPr>
          <w:rFonts w:ascii="Arial" w:cs="Arial" w:eastAsia="Arial" w:hAnsi="Arial"/>
          <w:sz w:val="18"/>
          <w:szCs w:val="18"/>
          <w:color w:val="auto"/>
        </w:rPr>
      </w:pPr>
    </w:p>
    <w:p>
      <w:pPr>
        <w:ind w:left="960" w:right="100" w:hanging="424"/>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Current Report on </w:t>
      </w:r>
      <w:hyperlink r:id="rId20">
        <w:r>
          <w:rPr>
            <w:rFonts w:ascii="Arial" w:cs="Arial" w:eastAsia="Arial" w:hAnsi="Arial"/>
            <w:sz w:val="18"/>
            <w:szCs w:val="18"/>
            <w:u w:val="single" w:color="auto"/>
            <w:color w:val="0000EE"/>
          </w:rPr>
          <w:t>Form 8-K/A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Viatris, filed on February 27, 2023 after the filing of the Annual Report on Form 10-K of Viatris for the year ended December 31, 2022; and</w:t>
      </w:r>
    </w:p>
    <w:p>
      <w:pPr>
        <w:spacing w:after="0" w:line="197" w:lineRule="exact"/>
        <w:rPr>
          <w:rFonts w:ascii="Arial" w:cs="Arial" w:eastAsia="Arial" w:hAnsi="Arial"/>
          <w:sz w:val="18"/>
          <w:szCs w:val="18"/>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description of our capital stock contained in </w:t>
      </w:r>
      <w:hyperlink r:id="rId21">
        <w:r>
          <w:rPr>
            <w:rFonts w:ascii="Arial" w:cs="Arial" w:eastAsia="Arial" w:hAnsi="Arial"/>
            <w:sz w:val="18"/>
            <w:szCs w:val="18"/>
            <w:u w:val="single" w:color="auto"/>
            <w:color w:val="0000EE"/>
          </w:rPr>
          <w:t>Exhibit 4.10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Annual Report on Form 10-K of Viatris for the year ended</w:t>
      </w:r>
    </w:p>
    <w:p>
      <w:pPr>
        <w:spacing w:after="0" w:line="23" w:lineRule="exact"/>
        <w:rPr>
          <w:rFonts w:ascii="Arial" w:cs="Arial" w:eastAsia="Arial" w:hAnsi="Arial"/>
          <w:sz w:val="18"/>
          <w:szCs w:val="18"/>
          <w:color w:val="auto"/>
        </w:rPr>
      </w:pPr>
    </w:p>
    <w:p>
      <w:pPr>
        <w:ind w:left="960" w:right="40"/>
        <w:spacing w:after="0" w:line="260" w:lineRule="auto"/>
        <w:rPr>
          <w:rFonts w:ascii="Arial" w:cs="Arial" w:eastAsia="Arial" w:hAnsi="Arial"/>
          <w:sz w:val="18"/>
          <w:szCs w:val="18"/>
          <w:color w:val="auto"/>
        </w:rPr>
      </w:pPr>
      <w:r>
        <w:rPr>
          <w:rFonts w:ascii="Arial" w:cs="Arial" w:eastAsia="Arial" w:hAnsi="Arial"/>
          <w:sz w:val="18"/>
          <w:szCs w:val="18"/>
          <w:color w:val="auto"/>
        </w:rPr>
        <w:t>December 31, 2020, filed on March 1, 2021, as supplemented by any subsequent amendments and reports filed for the purpose of updating such description.</w:t>
      </w:r>
    </w:p>
    <w:p>
      <w:pPr>
        <w:spacing w:after="0" w:line="185" w:lineRule="exact"/>
        <w:rPr>
          <w:rFonts w:ascii="Arial" w:cs="Arial" w:eastAsia="Arial" w:hAnsi="Arial"/>
          <w:sz w:val="18"/>
          <w:szCs w:val="18"/>
          <w:color w:val="auto"/>
        </w:rPr>
      </w:pPr>
    </w:p>
    <w:p>
      <w:pPr>
        <w:ind w:right="60"/>
        <w:spacing w:after="0" w:line="254" w:lineRule="auto"/>
        <w:rPr>
          <w:sz w:val="20"/>
          <w:szCs w:val="20"/>
          <w:color w:val="auto"/>
        </w:rPr>
      </w:pPr>
      <w:r>
        <w:rPr>
          <w:rFonts w:ascii="Arial" w:cs="Arial" w:eastAsia="Arial" w:hAnsi="Arial"/>
          <w:sz w:val="18"/>
          <w:szCs w:val="18"/>
          <w:color w:val="auto"/>
        </w:rPr>
        <w:t>All documents subsequently filed by Viatris pursuant to Sections 13(a), 13(c), 14 or 15(d) of the Exchange Act (other than the portions of those documents furnished or otherwise not deemed to be filed),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of such documents. Any statement contained herein or in a document incorporated or deemed to be incorporated by reference herein shall be deemed to be modified or superseded for purposes of this registration statement to the extent that a statement contained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w:t>
      </w:r>
    </w:p>
    <w:p>
      <w:pPr>
        <w:spacing w:after="0" w:line="296"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121" w:lineRule="exact"/>
        <w:rPr>
          <w:rFonts w:ascii="Arial" w:cs="Arial" w:eastAsia="Arial" w:hAnsi="Arial"/>
          <w:sz w:val="18"/>
          <w:szCs w:val="18"/>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29"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121" w:lineRule="exact"/>
        <w:rPr>
          <w:rFonts w:ascii="Arial" w:cs="Arial" w:eastAsia="Arial" w:hAnsi="Arial"/>
          <w:sz w:val="18"/>
          <w:szCs w:val="18"/>
          <w:color w:val="auto"/>
        </w:rPr>
      </w:pPr>
    </w:p>
    <w:p>
      <w:pPr>
        <w:ind w:left="44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000"/>
          </w:cols>
          <w:pgMar w:left="440" w:top="270" w:right="4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6. Indemnification of Directors and Officers</w:t>
      </w:r>
    </w:p>
    <w:p>
      <w:pPr>
        <w:spacing w:after="0" w:line="121"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Section 145 of the Delaware General Corporation Law (the “DGCL”) permits a corporation to indemnify any person who is or has been a director, officer, employee or agent of the corporation or who is or has been serving as director, officer, employee or agent of another corporation, partnership, joint venture, trust or other enterprise at the request of the corporation, against expenses (including, but not limited to, attorneys’ fees and disbursements and amounts paid in settlement or in satisfaction of judgments or as fines or penalties) actually and reasonably incurred in connection with any such action, suit or proceeding, whether civil, criminal, administrative or investigative, in which he/she may be involved by reason of the fact that he/she served or is serving in these capacities, if he/she acted in good faith and in a manner he/she reasonably believed to be in or not opposed to the best interest of the corporation and, with respect to any criminal action or proceeding, had no cause to believe his/her conduct was unlawful. In the case of an action, suit or proceeding made or brought by or in the right of the corporation to procure a judgment in its favor, the corporation shall not indemnify such person in respect of any claim, issue or matter as to which such person has been adjudged to be liable to the corporation, except for such expenses as the court may allow. Any such person who has been wholly successful on the merits or otherwise with respect to any such action, suit or proceeding or with respect to any such claim, issue or matter therein, shall be indemnified against all expenses actually and reasonably incurred in connection therewith.</w:t>
      </w:r>
    </w:p>
    <w:p>
      <w:pPr>
        <w:spacing w:after="0" w:line="179"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Section 102(b)(7) of the DGCL provides that a corporation may eliminate or limit the personal liability of a director or officer to the corporation or its stockholders for monetary damages for breach of fiduciary duty as a director or officer; provided that such provision shall not eliminate or limit the liability of (i) a director or officer for any breach of the director’s or officer’s duty of loyalty to the corporation or its stockholders, (ii) a director or officer for acts or omissions not in good faith or which involve intentional misconduct or a knowing violation of law, (iii) a director under Section 174 of the DGCL, (iv) a director or officer for any transaction from which the director or officer derived an improper personal benefit or (v) an officer in any action by or in the right of the corporation. No such provision shall eliminate or limit the liability of a director for any act or omission occurring prior to the date when such provision becomes effective.</w:t>
      </w:r>
    </w:p>
    <w:p>
      <w:pPr>
        <w:spacing w:after="0" w:line="195" w:lineRule="exact"/>
        <w:rPr>
          <w:sz w:val="20"/>
          <w:szCs w:val="20"/>
          <w:color w:val="auto"/>
        </w:rPr>
      </w:pPr>
    </w:p>
    <w:p>
      <w:pPr>
        <w:ind w:right="80" w:firstLine="440"/>
        <w:spacing w:after="0" w:line="290" w:lineRule="auto"/>
        <w:rPr>
          <w:sz w:val="20"/>
          <w:szCs w:val="20"/>
          <w:color w:val="auto"/>
        </w:rPr>
      </w:pPr>
      <w:r>
        <w:rPr>
          <w:rFonts w:ascii="Arial" w:cs="Arial" w:eastAsia="Arial" w:hAnsi="Arial"/>
          <w:sz w:val="16"/>
          <w:szCs w:val="16"/>
          <w:color w:val="auto"/>
        </w:rPr>
        <w:t>The Registrant’s Amended and Restated Certificate of Incorporation (the “Charter”) and Amended and Restated Bylaws (the “Bylaws”) include provisions that require the Registrant to indemnify, to the fullest extent allowable under the laws of the State of Delaware, directors or officers against monetary damages for actions taken as a director or officer of the Registrant, or for serving at the Registrant’s request in any capacity at another corporation or enterprise, as the case may be. The Charter and the Bylaws also provide that the Registrant must indemnify and advance reasonable expenses to its directors and officers, subject to the Registrant’s receipt of an undertaking from the indemnified party to repay all amounts advanced if it is determined ultimately that the indemnified party is not entitled to be indemnified. The Registrant is also expressly authorized to carry directors’ and officers’ insurance to protect the Registrant and its directors and officers for some liabilities. In addition, as permitted by Delaware law, the Charter provides that no director shall be liable to the Registrant or its stockholders for monetary damages for breach of fiduciary duty as a director.</w:t>
      </w:r>
    </w:p>
    <w:p>
      <w:pPr>
        <w:spacing w:after="0" w:line="165" w:lineRule="exact"/>
        <w:rPr>
          <w:sz w:val="20"/>
          <w:szCs w:val="20"/>
          <w:color w:val="auto"/>
        </w:rPr>
      </w:pPr>
    </w:p>
    <w:p>
      <w:pPr>
        <w:ind w:right="140" w:firstLine="440"/>
        <w:spacing w:after="0" w:line="270" w:lineRule="auto"/>
        <w:rPr>
          <w:sz w:val="20"/>
          <w:szCs w:val="20"/>
          <w:color w:val="auto"/>
        </w:rPr>
      </w:pPr>
      <w:r>
        <w:rPr>
          <w:rFonts w:ascii="Arial" w:cs="Arial" w:eastAsia="Arial" w:hAnsi="Arial"/>
          <w:sz w:val="17"/>
          <w:szCs w:val="17"/>
          <w:color w:val="auto"/>
        </w:rPr>
        <w:t>In connection with the transactions contemplated by the Business Combination Agreement, dated as of July 29, 2019, as amended from time to time, among the Registrant, Mylan N.V., Pfizer Inc. and certain of their affiliates, on November 20, 2020, the Registrant approved indemnification agreements with each of the directors and executive officers of the Registrant. The indemnification agreements provide indemnification, to the fullest extent permitted by applicable law, to each such director or officer who was, is or becomes or is threatened to be made, in their capacity as a director or officer of the Registrant or any of its subsidiaries or any capacity of any other corporation, partnership, joint venture, trust, employee benefit plan or other enterprise at the request of the Registrant, a party to any threatened, pending or completed claim, action, suit, arbitration, alternate dispute resolution process, investigation, inquiry, administrative hearing, appeal or any other proceeding (including, without limitation, stockholder claims, actions, demands, suits, proceedings, investigations and arbitrations), whether civil, criminal, administrative, arbitrative, investigative or otherwise, whether formal or informal.</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020"/>
          </w:cols>
          <w:pgMar w:left="440" w:top="270" w:right="439" w:bottom="1440" w:gutter="0" w:footer="0" w:header="0"/>
        </w:sectPr>
      </w:pPr>
    </w:p>
    <w:bookmarkStart w:id="4" w:name="page5"/>
    <w:bookmarkEnd w:id="4"/>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8. Exhibits</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80" w:type="dxa"/>
            <w:vAlign w:val="bottom"/>
            <w:gridSpan w:val="9"/>
            <w:vMerge w:val="restart"/>
          </w:tcPr>
          <w:p>
            <w:pPr>
              <w:ind w:left="6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220" w:type="dxa"/>
            <w:vAlign w:val="bottom"/>
            <w:gridSpan w:val="2"/>
          </w:tcPr>
          <w:p>
            <w:pPr>
              <w:spacing w:after="0"/>
              <w:rPr>
                <w:sz w:val="20"/>
                <w:szCs w:val="20"/>
                <w:color w:val="auto"/>
              </w:rPr>
            </w:pPr>
            <w:r>
              <w:rPr>
                <w:rFonts w:ascii="Arial" w:cs="Arial" w:eastAsia="Arial" w:hAnsi="Arial"/>
                <w:sz w:val="14"/>
                <w:szCs w:val="14"/>
                <w:b w:val="1"/>
                <w:bCs w:val="1"/>
                <w:color w:val="auto"/>
              </w:rPr>
              <w:t>Numbers</w:t>
            </w: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80" w:type="dxa"/>
            <w:vAlign w:val="bottom"/>
            <w:gridSpan w:val="9"/>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4.1</w:t>
            </w:r>
          </w:p>
        </w:tc>
        <w:tc>
          <w:tcPr>
            <w:tcW w:w="640" w:type="dxa"/>
            <w:vAlign w:val="bottom"/>
          </w:tcPr>
          <w:p>
            <w:pPr>
              <w:spacing w:after="0"/>
              <w:rPr>
                <w:sz w:val="22"/>
                <w:szCs w:val="22"/>
                <w:color w:val="auto"/>
              </w:rPr>
            </w:pPr>
          </w:p>
        </w:tc>
        <w:tc>
          <w:tcPr>
            <w:tcW w:w="9800" w:type="dxa"/>
            <w:vAlign w:val="bottom"/>
            <w:tcBorders>
              <w:top w:val="single" w:sz="8" w:color="auto"/>
            </w:tcBorders>
            <w:gridSpan w:val="16"/>
          </w:tcPr>
          <w:p>
            <w:pPr>
              <w:spacing w:after="0"/>
              <w:rPr>
                <w:rFonts w:ascii="Arial" w:cs="Arial" w:eastAsia="Arial" w:hAnsi="Arial"/>
                <w:sz w:val="18"/>
                <w:szCs w:val="18"/>
                <w:color w:val="0000EE"/>
                <w:w w:val="96"/>
              </w:rPr>
            </w:pPr>
            <w:hyperlink r:id="rId24">
              <w:r>
                <w:rPr>
                  <w:rFonts w:ascii="Arial" w:cs="Arial" w:eastAsia="Arial" w:hAnsi="Arial"/>
                  <w:sz w:val="18"/>
                  <w:szCs w:val="18"/>
                  <w:color w:val="0000EE"/>
                  <w:w w:val="96"/>
                </w:rPr>
                <w:t>Amended and Restated Certificate of Incorporation of Upjohn Inc., effective as of November 13, 2020, filed as Exhibit 3.1 to the</w:t>
              </w:r>
            </w:hyperlink>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98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1"/>
              </w:rPr>
            </w:pPr>
            <w:hyperlink r:id="rId24">
              <w:r>
                <w:rPr>
                  <w:rFonts w:ascii="Arial" w:cs="Arial" w:eastAsia="Arial" w:hAnsi="Arial"/>
                  <w:sz w:val="18"/>
                  <w:szCs w:val="18"/>
                  <w:color w:val="0000EE"/>
                  <w:w w:val="91"/>
                </w:rPr>
                <w:t>Report on Form 8-K filed by Viatris Inc. with the Commission on November 19, 2020, and incorporated herein by reference.</w:t>
              </w:r>
            </w:hyperlink>
          </w:p>
        </w:tc>
        <w:tc>
          <w:tcPr>
            <w:tcW w:w="340" w:type="dxa"/>
            <w:vAlign w:val="bottom"/>
            <w:tcBorders>
              <w:top w:val="single" w:sz="8" w:color="0000EE"/>
            </w:tcBorders>
          </w:tcPr>
          <w:p>
            <w:pPr>
              <w:spacing w:after="0"/>
              <w:rPr>
                <w:sz w:val="17"/>
                <w:szCs w:val="17"/>
                <w:color w:val="auto"/>
              </w:rPr>
            </w:pPr>
          </w:p>
        </w:tc>
        <w:tc>
          <w:tcPr>
            <w:tcW w:w="4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tcPr>
          <w:p>
            <w:pPr>
              <w:spacing w:after="0"/>
              <w:rPr>
                <w:sz w:val="20"/>
                <w:szCs w:val="20"/>
                <w:color w:val="auto"/>
              </w:rPr>
            </w:pPr>
            <w:r>
              <w:rPr>
                <w:rFonts w:ascii="Arial" w:cs="Arial" w:eastAsia="Arial" w:hAnsi="Arial"/>
                <w:sz w:val="18"/>
                <w:szCs w:val="18"/>
                <w:color w:val="auto"/>
              </w:rPr>
              <w:t>4.2</w:t>
            </w:r>
          </w:p>
        </w:tc>
        <w:tc>
          <w:tcPr>
            <w:tcW w:w="640" w:type="dxa"/>
            <w:vAlign w:val="bottom"/>
          </w:tcPr>
          <w:p>
            <w:pPr>
              <w:spacing w:after="0"/>
              <w:rPr>
                <w:sz w:val="24"/>
                <w:szCs w:val="24"/>
                <w:color w:val="auto"/>
              </w:rPr>
            </w:pPr>
          </w:p>
        </w:tc>
        <w:tc>
          <w:tcPr>
            <w:tcW w:w="9400" w:type="dxa"/>
            <w:vAlign w:val="bottom"/>
            <w:tcBorders>
              <w:bottom w:val="single" w:sz="8" w:color="0000EE"/>
            </w:tcBorders>
            <w:gridSpan w:val="14"/>
          </w:tcPr>
          <w:p>
            <w:pPr>
              <w:spacing w:after="0"/>
              <w:rPr>
                <w:rFonts w:ascii="Arial" w:cs="Arial" w:eastAsia="Arial" w:hAnsi="Arial"/>
                <w:sz w:val="18"/>
                <w:szCs w:val="18"/>
                <w:color w:val="0000EE"/>
                <w:w w:val="92"/>
              </w:rPr>
            </w:pPr>
            <w:hyperlink r:id="rId25">
              <w:r>
                <w:rPr>
                  <w:rFonts w:ascii="Arial" w:cs="Arial" w:eastAsia="Arial" w:hAnsi="Arial"/>
                  <w:sz w:val="18"/>
                  <w:szCs w:val="18"/>
                  <w:color w:val="0000EE"/>
                  <w:w w:val="92"/>
                </w:rPr>
                <w:t>Certificate of Amendment to the Amended and Restated Certificate of Incorporation of Upjohn Inc., effective as of November 16,</w:t>
              </w:r>
            </w:hyperlink>
          </w:p>
        </w:tc>
        <w:tc>
          <w:tcPr>
            <w:tcW w:w="4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00" w:type="dxa"/>
            <w:vAlign w:val="bottom"/>
            <w:gridSpan w:val="16"/>
          </w:tcPr>
          <w:p>
            <w:pPr>
              <w:spacing w:after="0" w:line="196" w:lineRule="exact"/>
              <w:rPr>
                <w:rFonts w:ascii="Arial" w:cs="Arial" w:eastAsia="Arial" w:hAnsi="Arial"/>
                <w:sz w:val="18"/>
                <w:szCs w:val="18"/>
                <w:color w:val="0000EE"/>
              </w:rPr>
            </w:pPr>
            <w:hyperlink r:id="rId25">
              <w:r>
                <w:rPr>
                  <w:rFonts w:ascii="Arial" w:cs="Arial" w:eastAsia="Arial" w:hAnsi="Arial"/>
                  <w:sz w:val="18"/>
                  <w:szCs w:val="18"/>
                  <w:color w:val="0000EE"/>
                </w:rPr>
                <w:t>2020, filed as Exhibit 3.3 to the Report on Form 8-K filed by Viatris Inc. with the Commission on November 19, 2020, and</w:t>
              </w:r>
            </w:hyperlink>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3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r:id="rId25">
              <w:r>
                <w:rPr>
                  <w:rFonts w:ascii="Arial" w:cs="Arial" w:eastAsia="Arial" w:hAnsi="Arial"/>
                  <w:sz w:val="18"/>
                  <w:szCs w:val="18"/>
                  <w:color w:val="0000EE"/>
                  <w:w w:val="88"/>
                </w:rPr>
                <w:t>incorporated herein by reference.</w:t>
              </w:r>
            </w:hyperlink>
          </w:p>
        </w:tc>
        <w:tc>
          <w:tcPr>
            <w:tcW w:w="6480" w:type="dxa"/>
            <w:vAlign w:val="bottom"/>
            <w:tcBorders>
              <w:top w:val="single" w:sz="8" w:color="0000EE"/>
            </w:tcBorders>
            <w:gridSpan w:val="9"/>
          </w:tcPr>
          <w:p>
            <w:pPr>
              <w:spacing w:after="0"/>
              <w:rPr>
                <w:sz w:val="17"/>
                <w:szCs w:val="17"/>
                <w:color w:val="auto"/>
              </w:rPr>
            </w:pPr>
          </w:p>
        </w:tc>
        <w:tc>
          <w:tcPr>
            <w:tcW w:w="9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tcPr>
          <w:p>
            <w:pPr>
              <w:spacing w:after="0"/>
              <w:rPr>
                <w:sz w:val="20"/>
                <w:szCs w:val="20"/>
                <w:color w:val="auto"/>
              </w:rPr>
            </w:pPr>
            <w:r>
              <w:rPr>
                <w:rFonts w:ascii="Arial" w:cs="Arial" w:eastAsia="Arial" w:hAnsi="Arial"/>
                <w:sz w:val="18"/>
                <w:szCs w:val="18"/>
                <w:color w:val="auto"/>
              </w:rPr>
              <w:t>4.3</w:t>
            </w:r>
          </w:p>
        </w:tc>
        <w:tc>
          <w:tcPr>
            <w:tcW w:w="640" w:type="dxa"/>
            <w:vAlign w:val="bottom"/>
          </w:tcPr>
          <w:p>
            <w:pPr>
              <w:spacing w:after="0"/>
              <w:rPr>
                <w:sz w:val="24"/>
                <w:szCs w:val="24"/>
                <w:color w:val="auto"/>
              </w:rPr>
            </w:pPr>
          </w:p>
        </w:tc>
        <w:tc>
          <w:tcPr>
            <w:tcW w:w="9800" w:type="dxa"/>
            <w:vAlign w:val="bottom"/>
            <w:gridSpan w:val="16"/>
          </w:tcPr>
          <w:p>
            <w:pPr>
              <w:spacing w:after="0"/>
              <w:rPr>
                <w:rFonts w:ascii="Arial" w:cs="Arial" w:eastAsia="Arial" w:hAnsi="Arial"/>
                <w:sz w:val="18"/>
                <w:szCs w:val="18"/>
                <w:color w:val="0000EE"/>
                <w:w w:val="92"/>
              </w:rPr>
            </w:pPr>
            <w:hyperlink r:id="rId26">
              <w:r>
                <w:rPr>
                  <w:rFonts w:ascii="Arial" w:cs="Arial" w:eastAsia="Arial" w:hAnsi="Arial"/>
                  <w:sz w:val="18"/>
                  <w:szCs w:val="18"/>
                  <w:color w:val="0000EE"/>
                  <w:w w:val="92"/>
                </w:rPr>
                <w:t>Amended and Restated Bylaws of Viatris Inc., effective as of November 16, 2020, filed as Exhibit 3.2 to the Report on Form 10-K filed</w:t>
              </w:r>
            </w:hyperlink>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76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26">
              <w:r>
                <w:rPr>
                  <w:rFonts w:ascii="Arial" w:cs="Arial" w:eastAsia="Arial" w:hAnsi="Arial"/>
                  <w:sz w:val="18"/>
                  <w:szCs w:val="18"/>
                  <w:color w:val="0000EE"/>
                </w:rPr>
                <w:t>by Viatris Inc. with the Commission on March 1, 2021, and incorporated herein by reference.</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tcPr>
          <w:p>
            <w:pPr>
              <w:spacing w:after="0"/>
              <w:rPr>
                <w:sz w:val="20"/>
                <w:szCs w:val="20"/>
                <w:color w:val="auto"/>
              </w:rPr>
            </w:pPr>
            <w:r>
              <w:rPr>
                <w:rFonts w:ascii="Arial" w:cs="Arial" w:eastAsia="Arial" w:hAnsi="Arial"/>
                <w:sz w:val="18"/>
                <w:szCs w:val="18"/>
                <w:color w:val="auto"/>
              </w:rPr>
              <w:t>5.1*</w:t>
            </w:r>
          </w:p>
        </w:tc>
        <w:tc>
          <w:tcPr>
            <w:tcW w:w="640" w:type="dxa"/>
            <w:vAlign w:val="bottom"/>
          </w:tcPr>
          <w:p>
            <w:pPr>
              <w:spacing w:after="0"/>
              <w:rPr>
                <w:sz w:val="24"/>
                <w:szCs w:val="24"/>
                <w:color w:val="auto"/>
              </w:rPr>
            </w:pPr>
          </w:p>
        </w:tc>
        <w:tc>
          <w:tcPr>
            <w:tcW w:w="6700" w:type="dxa"/>
            <w:vAlign w:val="bottom"/>
            <w:tcBorders>
              <w:top w:val="single" w:sz="8" w:color="0000EE"/>
            </w:tcBorders>
            <w:gridSpan w:val="10"/>
          </w:tcPr>
          <w:p>
            <w:pPr>
              <w:spacing w:after="0"/>
              <w:rPr>
                <w:sz w:val="20"/>
                <w:szCs w:val="20"/>
                <w:color w:val="auto"/>
              </w:rPr>
            </w:pPr>
            <w:r>
              <w:rPr>
                <w:rFonts w:ascii="Arial" w:cs="Arial" w:eastAsia="Arial" w:hAnsi="Arial"/>
                <w:sz w:val="18"/>
                <w:szCs w:val="18"/>
                <w:color w:val="0000EE"/>
              </w:rPr>
              <w:t>Opinion of Cravath, Swaine &amp; Moore LLP.</w:t>
            </w:r>
          </w:p>
        </w:tc>
        <w:tc>
          <w:tcPr>
            <w:tcW w:w="31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8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tcPr>
          <w:p>
            <w:pPr>
              <w:spacing w:after="0"/>
              <w:rPr>
                <w:sz w:val="20"/>
                <w:szCs w:val="20"/>
                <w:color w:val="auto"/>
              </w:rPr>
            </w:pPr>
            <w:r>
              <w:rPr>
                <w:rFonts w:ascii="Arial" w:cs="Arial" w:eastAsia="Arial" w:hAnsi="Arial"/>
                <w:sz w:val="18"/>
                <w:szCs w:val="18"/>
                <w:color w:val="auto"/>
              </w:rPr>
              <w:t>23.1*</w:t>
            </w:r>
          </w:p>
        </w:tc>
        <w:tc>
          <w:tcPr>
            <w:tcW w:w="640" w:type="dxa"/>
            <w:vAlign w:val="bottom"/>
          </w:tcPr>
          <w:p>
            <w:pPr>
              <w:spacing w:after="0"/>
              <w:rPr>
                <w:sz w:val="24"/>
                <w:szCs w:val="24"/>
                <w:color w:val="auto"/>
              </w:rPr>
            </w:pPr>
          </w:p>
        </w:tc>
        <w:tc>
          <w:tcPr>
            <w:tcW w:w="9800" w:type="dxa"/>
            <w:vAlign w:val="bottom"/>
            <w:gridSpan w:val="16"/>
          </w:tcPr>
          <w:p>
            <w:pPr>
              <w:spacing w:after="0"/>
              <w:rPr>
                <w:sz w:val="20"/>
                <w:szCs w:val="20"/>
                <w:color w:val="auto"/>
              </w:rPr>
            </w:pPr>
            <w:r>
              <w:rPr>
                <w:rFonts w:ascii="Arial" w:cs="Arial" w:eastAsia="Arial" w:hAnsi="Arial"/>
                <w:sz w:val="18"/>
                <w:szCs w:val="18"/>
                <w:color w:val="0000EE"/>
              </w:rPr>
              <w:t>Consent of Cravath, Swaine &amp; Moore LLP (included as part of Exhibit 5.1 hereto).</w:t>
            </w:r>
          </w:p>
        </w:tc>
        <w:tc>
          <w:tcPr>
            <w:tcW w:w="0" w:type="dxa"/>
            <w:vAlign w:val="bottom"/>
          </w:tcPr>
          <w:p>
            <w:pPr>
              <w:spacing w:after="0"/>
              <w:rPr>
                <w:sz w:val="1"/>
                <w:szCs w:val="1"/>
                <w:color w:val="auto"/>
              </w:rPr>
            </w:pPr>
          </w:p>
        </w:tc>
      </w:tr>
      <w:tr>
        <w:trPr>
          <w:trHeight w:val="304"/>
        </w:trPr>
        <w:tc>
          <w:tcPr>
            <w:tcW w:w="580" w:type="dxa"/>
            <w:vAlign w:val="bottom"/>
          </w:tcPr>
          <w:p>
            <w:pPr>
              <w:spacing w:after="0"/>
              <w:rPr>
                <w:sz w:val="20"/>
                <w:szCs w:val="20"/>
                <w:color w:val="auto"/>
              </w:rPr>
            </w:pPr>
            <w:r>
              <w:rPr>
                <w:rFonts w:ascii="Arial" w:cs="Arial" w:eastAsia="Arial" w:hAnsi="Arial"/>
                <w:sz w:val="18"/>
                <w:szCs w:val="18"/>
                <w:color w:val="auto"/>
              </w:rPr>
              <w:t>23.2*</w:t>
            </w:r>
          </w:p>
        </w:tc>
        <w:tc>
          <w:tcPr>
            <w:tcW w:w="640" w:type="dxa"/>
            <w:vAlign w:val="bottom"/>
          </w:tcPr>
          <w:p>
            <w:pPr>
              <w:spacing w:after="0"/>
              <w:rPr>
                <w:sz w:val="24"/>
                <w:szCs w:val="24"/>
                <w:color w:val="auto"/>
              </w:rPr>
            </w:pPr>
          </w:p>
        </w:tc>
        <w:tc>
          <w:tcPr>
            <w:tcW w:w="5960" w:type="dxa"/>
            <w:vAlign w:val="bottom"/>
            <w:tcBorders>
              <w:top w:val="single" w:sz="8" w:color="0000EE"/>
            </w:tcBorders>
            <w:gridSpan w:val="8"/>
          </w:tcPr>
          <w:p>
            <w:pPr>
              <w:spacing w:after="0"/>
              <w:rPr>
                <w:sz w:val="20"/>
                <w:szCs w:val="20"/>
                <w:color w:val="auto"/>
              </w:rPr>
            </w:pPr>
            <w:r>
              <w:rPr>
                <w:rFonts w:ascii="Arial" w:cs="Arial" w:eastAsia="Arial" w:hAnsi="Arial"/>
                <w:sz w:val="18"/>
                <w:szCs w:val="18"/>
                <w:color w:val="0000EE"/>
              </w:rPr>
              <w:t>Consent of Deloitte &amp; Touche LLP.</w:t>
            </w:r>
          </w:p>
        </w:tc>
        <w:tc>
          <w:tcPr>
            <w:tcW w:w="38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348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tcPr>
          <w:p>
            <w:pPr>
              <w:spacing w:after="0"/>
              <w:rPr>
                <w:sz w:val="20"/>
                <w:szCs w:val="20"/>
                <w:color w:val="auto"/>
              </w:rPr>
            </w:pPr>
            <w:r>
              <w:rPr>
                <w:rFonts w:ascii="Arial" w:cs="Arial" w:eastAsia="Arial" w:hAnsi="Arial"/>
                <w:sz w:val="18"/>
                <w:szCs w:val="18"/>
                <w:color w:val="auto"/>
              </w:rPr>
              <w:t>24.1*</w:t>
            </w:r>
          </w:p>
        </w:tc>
        <w:tc>
          <w:tcPr>
            <w:tcW w:w="640" w:type="dxa"/>
            <w:vAlign w:val="bottom"/>
          </w:tcPr>
          <w:p>
            <w:pPr>
              <w:spacing w:after="0"/>
              <w:rPr>
                <w:sz w:val="24"/>
                <w:szCs w:val="24"/>
                <w:color w:val="auto"/>
              </w:rPr>
            </w:pPr>
          </w:p>
        </w:tc>
        <w:tc>
          <w:tcPr>
            <w:tcW w:w="9800" w:type="dxa"/>
            <w:vAlign w:val="bottom"/>
            <w:gridSpan w:val="16"/>
          </w:tcPr>
          <w:p>
            <w:pPr>
              <w:spacing w:after="0"/>
              <w:rPr>
                <w:sz w:val="20"/>
                <w:szCs w:val="20"/>
                <w:color w:val="auto"/>
              </w:rPr>
            </w:pPr>
            <w:r>
              <w:rPr>
                <w:rFonts w:ascii="Arial" w:cs="Arial" w:eastAsia="Arial" w:hAnsi="Arial"/>
                <w:sz w:val="18"/>
                <w:szCs w:val="18"/>
                <w:color w:val="0000EE"/>
              </w:rPr>
              <w:t>Power of Attorney (included as part of the signature page of this registration statement).</w:t>
            </w:r>
          </w:p>
        </w:tc>
        <w:tc>
          <w:tcPr>
            <w:tcW w:w="0" w:type="dxa"/>
            <w:vAlign w:val="bottom"/>
          </w:tcPr>
          <w:p>
            <w:pPr>
              <w:spacing w:after="0"/>
              <w:rPr>
                <w:sz w:val="1"/>
                <w:szCs w:val="1"/>
                <w:color w:val="auto"/>
              </w:rPr>
            </w:pPr>
          </w:p>
        </w:tc>
      </w:tr>
      <w:tr>
        <w:trPr>
          <w:trHeight w:val="304"/>
        </w:trPr>
        <w:tc>
          <w:tcPr>
            <w:tcW w:w="580" w:type="dxa"/>
            <w:vAlign w:val="bottom"/>
          </w:tcPr>
          <w:p>
            <w:pPr>
              <w:spacing w:after="0"/>
              <w:rPr>
                <w:sz w:val="20"/>
                <w:szCs w:val="20"/>
                <w:color w:val="auto"/>
              </w:rPr>
            </w:pPr>
            <w:r>
              <w:rPr>
                <w:rFonts w:ascii="Arial" w:cs="Arial" w:eastAsia="Arial" w:hAnsi="Arial"/>
                <w:sz w:val="18"/>
                <w:szCs w:val="18"/>
                <w:color w:val="auto"/>
              </w:rPr>
              <w:t>99.1*</w:t>
            </w:r>
          </w:p>
        </w:tc>
        <w:tc>
          <w:tcPr>
            <w:tcW w:w="640" w:type="dxa"/>
            <w:vAlign w:val="bottom"/>
          </w:tcPr>
          <w:p>
            <w:pPr>
              <w:spacing w:after="0"/>
              <w:rPr>
                <w:sz w:val="24"/>
                <w:szCs w:val="24"/>
                <w:color w:val="auto"/>
              </w:rPr>
            </w:pPr>
          </w:p>
        </w:tc>
        <w:tc>
          <w:tcPr>
            <w:tcW w:w="3920" w:type="dxa"/>
            <w:vAlign w:val="bottom"/>
            <w:tcBorders>
              <w:top w:val="single" w:sz="8" w:color="0000EE"/>
              <w:bottom w:val="single" w:sz="8" w:color="0000EE"/>
            </w:tcBorders>
            <w:gridSpan w:val="7"/>
          </w:tcPr>
          <w:p>
            <w:pPr>
              <w:spacing w:after="0"/>
              <w:rPr>
                <w:sz w:val="20"/>
                <w:szCs w:val="20"/>
                <w:color w:val="auto"/>
              </w:rPr>
            </w:pPr>
            <w:r>
              <w:rPr>
                <w:rFonts w:ascii="Arial" w:cs="Arial" w:eastAsia="Arial" w:hAnsi="Arial"/>
                <w:sz w:val="18"/>
                <w:szCs w:val="18"/>
                <w:color w:val="0000EE"/>
                <w:w w:val="90"/>
              </w:rPr>
              <w:t>Oyster Point Pharma, Inc. 2016 Equity Incentive Plan.</w:t>
            </w:r>
          </w:p>
        </w:tc>
        <w:tc>
          <w:tcPr>
            <w:tcW w:w="2400" w:type="dxa"/>
            <w:vAlign w:val="bottom"/>
            <w:tcBorders>
              <w:top w:val="single" w:sz="8" w:color="0000EE"/>
            </w:tcBorders>
            <w:gridSpan w:val="2"/>
          </w:tcPr>
          <w:p>
            <w:pPr>
              <w:spacing w:after="0"/>
              <w:rPr>
                <w:sz w:val="24"/>
                <w:szCs w:val="24"/>
                <w:color w:val="auto"/>
              </w:rPr>
            </w:pPr>
          </w:p>
        </w:tc>
        <w:tc>
          <w:tcPr>
            <w:tcW w:w="34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0" w:type="dxa"/>
            <w:vAlign w:val="bottom"/>
          </w:tcPr>
          <w:p>
            <w:pPr>
              <w:spacing w:after="0"/>
              <w:rPr>
                <w:sz w:val="20"/>
                <w:szCs w:val="20"/>
                <w:color w:val="auto"/>
              </w:rPr>
            </w:pPr>
            <w:r>
              <w:rPr>
                <w:rFonts w:ascii="Arial" w:cs="Arial" w:eastAsia="Arial" w:hAnsi="Arial"/>
                <w:sz w:val="18"/>
                <w:szCs w:val="18"/>
                <w:color w:val="auto"/>
              </w:rPr>
              <w:t>99.2*</w:t>
            </w:r>
          </w:p>
        </w:tc>
        <w:tc>
          <w:tcPr>
            <w:tcW w:w="640" w:type="dxa"/>
            <w:vAlign w:val="bottom"/>
          </w:tcPr>
          <w:p>
            <w:pPr>
              <w:spacing w:after="0"/>
              <w:rPr>
                <w:sz w:val="24"/>
                <w:szCs w:val="24"/>
                <w:color w:val="auto"/>
              </w:rPr>
            </w:pPr>
          </w:p>
        </w:tc>
        <w:tc>
          <w:tcPr>
            <w:tcW w:w="9800" w:type="dxa"/>
            <w:vAlign w:val="bottom"/>
            <w:gridSpan w:val="16"/>
          </w:tcPr>
          <w:p>
            <w:pPr>
              <w:spacing w:after="0"/>
              <w:rPr>
                <w:sz w:val="20"/>
                <w:szCs w:val="20"/>
                <w:color w:val="auto"/>
              </w:rPr>
            </w:pPr>
            <w:r>
              <w:rPr>
                <w:rFonts w:ascii="Arial" w:cs="Arial" w:eastAsia="Arial" w:hAnsi="Arial"/>
                <w:sz w:val="18"/>
                <w:szCs w:val="18"/>
                <w:color w:val="0000EE"/>
              </w:rPr>
              <w:t>Oyster Point Pharma, Inc. 2019 Equity Incentive Plan.</w:t>
            </w:r>
          </w:p>
        </w:tc>
        <w:tc>
          <w:tcPr>
            <w:tcW w:w="0" w:type="dxa"/>
            <w:vAlign w:val="bottom"/>
          </w:tcPr>
          <w:p>
            <w:pPr>
              <w:spacing w:after="0"/>
              <w:rPr>
                <w:sz w:val="1"/>
                <w:szCs w:val="1"/>
                <w:color w:val="auto"/>
              </w:rPr>
            </w:pPr>
          </w:p>
        </w:tc>
      </w:tr>
      <w:tr>
        <w:trPr>
          <w:trHeight w:val="304"/>
        </w:trPr>
        <w:tc>
          <w:tcPr>
            <w:tcW w:w="580" w:type="dxa"/>
            <w:vAlign w:val="bottom"/>
          </w:tcPr>
          <w:p>
            <w:pPr>
              <w:spacing w:after="0"/>
              <w:rPr>
                <w:sz w:val="20"/>
                <w:szCs w:val="20"/>
                <w:color w:val="auto"/>
              </w:rPr>
            </w:pPr>
            <w:r>
              <w:rPr>
                <w:rFonts w:ascii="Arial" w:cs="Arial" w:eastAsia="Arial" w:hAnsi="Arial"/>
                <w:sz w:val="18"/>
                <w:szCs w:val="18"/>
                <w:color w:val="auto"/>
              </w:rPr>
              <w:t>99.3*</w:t>
            </w:r>
          </w:p>
        </w:tc>
        <w:tc>
          <w:tcPr>
            <w:tcW w:w="640" w:type="dxa"/>
            <w:vAlign w:val="bottom"/>
          </w:tcPr>
          <w:p>
            <w:pPr>
              <w:spacing w:after="0"/>
              <w:rPr>
                <w:sz w:val="24"/>
                <w:szCs w:val="24"/>
                <w:color w:val="auto"/>
              </w:rPr>
            </w:pPr>
          </w:p>
        </w:tc>
        <w:tc>
          <w:tcPr>
            <w:tcW w:w="390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0000EE"/>
                <w:w w:val="97"/>
              </w:rPr>
              <w:t>Oyster Point Pharma, Inc. 2021 Inducement Plan.</w:t>
            </w:r>
          </w:p>
        </w:tc>
        <w:tc>
          <w:tcPr>
            <w:tcW w:w="590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0" w:type="dxa"/>
            <w:vAlign w:val="bottom"/>
          </w:tcPr>
          <w:p>
            <w:pPr>
              <w:spacing w:after="0"/>
              <w:rPr>
                <w:sz w:val="20"/>
                <w:szCs w:val="20"/>
                <w:color w:val="auto"/>
              </w:rPr>
            </w:pPr>
            <w:r>
              <w:rPr>
                <w:rFonts w:ascii="Arial" w:cs="Arial" w:eastAsia="Arial" w:hAnsi="Arial"/>
                <w:sz w:val="18"/>
                <w:szCs w:val="18"/>
                <w:color w:val="auto"/>
              </w:rPr>
              <w:t>107*</w:t>
            </w:r>
          </w:p>
        </w:tc>
        <w:tc>
          <w:tcPr>
            <w:tcW w:w="640" w:type="dxa"/>
            <w:vAlign w:val="bottom"/>
          </w:tcPr>
          <w:p>
            <w:pPr>
              <w:spacing w:after="0"/>
              <w:rPr>
                <w:sz w:val="24"/>
                <w:szCs w:val="24"/>
                <w:color w:val="auto"/>
              </w:rPr>
            </w:pPr>
          </w:p>
        </w:tc>
        <w:tc>
          <w:tcPr>
            <w:tcW w:w="122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8"/>
                <w:szCs w:val="18"/>
                <w:color w:val="0000EE"/>
                <w:w w:val="89"/>
              </w:rPr>
              <w:t>Filing Fee Table.</w:t>
            </w:r>
          </w:p>
        </w:tc>
        <w:tc>
          <w:tcPr>
            <w:tcW w:w="2340" w:type="dxa"/>
            <w:vAlign w:val="bottom"/>
            <w:tcBorders>
              <w:top w:val="single" w:sz="8" w:color="0000EE"/>
            </w:tcBorders>
            <w:gridSpan w:val="4"/>
          </w:tcPr>
          <w:p>
            <w:pPr>
              <w:spacing w:after="0"/>
              <w:rPr>
                <w:sz w:val="24"/>
                <w:szCs w:val="24"/>
                <w:color w:val="auto"/>
              </w:rPr>
            </w:pPr>
          </w:p>
        </w:tc>
        <w:tc>
          <w:tcPr>
            <w:tcW w:w="624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111125</wp:posOffset>
            </wp:positionV>
            <wp:extent cx="7715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2" w:lineRule="exact"/>
        <w:rPr>
          <w:sz w:val="20"/>
          <w:szCs w:val="20"/>
          <w:color w:val="auto"/>
        </w:rPr>
      </w:pPr>
    </w:p>
    <w:p>
      <w:pPr>
        <w:ind w:left="4"/>
        <w:spacing w:after="0"/>
        <w:rPr>
          <w:sz w:val="20"/>
          <w:szCs w:val="20"/>
          <w:color w:val="auto"/>
        </w:rPr>
      </w:pPr>
      <w:r>
        <w:rPr>
          <w:rFonts w:ascii="Arial" w:cs="Arial" w:eastAsia="Arial" w:hAnsi="Arial"/>
          <w:sz w:val="18"/>
          <w:szCs w:val="18"/>
          <w:color w:val="auto"/>
        </w:rPr>
        <w:t>*  Filed herewith</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9. Undertakings</w:t>
      </w:r>
    </w:p>
    <w:p>
      <w:pPr>
        <w:spacing w:after="0" w:line="135" w:lineRule="exact"/>
        <w:rPr>
          <w:sz w:val="20"/>
          <w:szCs w:val="20"/>
          <w:color w:val="auto"/>
        </w:rPr>
      </w:pPr>
    </w:p>
    <w:p>
      <w:pPr>
        <w:ind w:left="424" w:hanging="424"/>
        <w:spacing w:after="0"/>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30" w:lineRule="exact"/>
        <w:rPr>
          <w:rFonts w:ascii="Arial" w:cs="Arial" w:eastAsia="Arial" w:hAnsi="Arial"/>
          <w:sz w:val="18"/>
          <w:szCs w:val="18"/>
          <w:color w:val="auto"/>
        </w:rPr>
      </w:pPr>
    </w:p>
    <w:p>
      <w:pPr>
        <w:ind w:left="1424" w:right="40" w:hanging="439"/>
        <w:spacing w:after="0" w:line="272" w:lineRule="auto"/>
        <w:tabs>
          <w:tab w:leader="none" w:pos="1424" w:val="left"/>
        </w:tabs>
        <w:numPr>
          <w:ilvl w:val="2"/>
          <w:numId w:val="3"/>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82" w:lineRule="exact"/>
        <w:rPr>
          <w:rFonts w:ascii="Arial" w:cs="Arial" w:eastAsia="Arial" w:hAnsi="Arial"/>
          <w:sz w:val="17"/>
          <w:szCs w:val="17"/>
          <w:color w:val="auto"/>
        </w:rPr>
      </w:pPr>
    </w:p>
    <w:p>
      <w:pPr>
        <w:ind w:left="1424" w:right="180" w:hanging="439"/>
        <w:spacing w:after="0" w:line="277" w:lineRule="auto"/>
        <w:tabs>
          <w:tab w:leader="none" w:pos="1424"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2" w:lineRule="exact"/>
        <w:rPr>
          <w:sz w:val="20"/>
          <w:szCs w:val="20"/>
          <w:color w:val="auto"/>
        </w:rPr>
      </w:pPr>
    </w:p>
    <w:p>
      <w:pPr>
        <w:ind w:left="444" w:right="40"/>
        <w:spacing w:after="0" w:line="263"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(a)(1)(i) and (a)(1)(ii) do not apply if the information required to be included in a post-effective amendment by</w:t>
      </w:r>
      <w:r>
        <w:rPr>
          <w:rFonts w:ascii="Arial" w:cs="Arial" w:eastAsia="Arial" w:hAnsi="Arial"/>
          <w:sz w:val="18"/>
          <w:szCs w:val="18"/>
          <w:i w:val="1"/>
          <w:iCs w:val="1"/>
          <w:color w:val="auto"/>
        </w:rPr>
        <w:t xml:space="preserve"> </w:t>
      </w:r>
      <w:r>
        <w:rPr>
          <w:rFonts w:ascii="Arial" w:cs="Arial" w:eastAsia="Arial" w:hAnsi="Arial"/>
          <w:sz w:val="18"/>
          <w:szCs w:val="18"/>
          <w:color w:val="auto"/>
        </w:rPr>
        <w:t>those paragraphs is contained in periodic reports filed with or furnished to the Commission by the Registrant pursuant to Section 13 or Section 15(d) of the Exchange Act that are incorporated by reference in the registration statement.</w:t>
      </w:r>
    </w:p>
    <w:p>
      <w:pPr>
        <w:sectPr>
          <w:pgSz w:w="11900" w:h="16838" w:orient="portrait"/>
          <w:cols w:equalWidth="0" w:num="1">
            <w:col w:w="11024"/>
          </w:cols>
          <w:pgMar w:left="436" w:top="270" w:right="439" w:bottom="1440" w:gutter="0" w:footer="0" w:header="0"/>
        </w:sectPr>
      </w:pPr>
    </w:p>
    <w:bookmarkStart w:id="5" w:name="page6"/>
    <w:bookmarkEnd w:id="5"/>
    <w:p>
      <w:pPr>
        <w:ind w:left="964" w:hanging="532"/>
        <w:spacing w:after="0" w:line="263" w:lineRule="auto"/>
        <w:tabs>
          <w:tab w:leader="none" w:pos="964" w:val="left"/>
        </w:tabs>
        <w:numPr>
          <w:ilvl w:val="1"/>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89" w:lineRule="exact"/>
        <w:rPr>
          <w:rFonts w:ascii="Arial" w:cs="Arial" w:eastAsia="Arial" w:hAnsi="Arial"/>
          <w:sz w:val="18"/>
          <w:szCs w:val="18"/>
          <w:color w:val="auto"/>
        </w:rPr>
      </w:pPr>
    </w:p>
    <w:p>
      <w:pPr>
        <w:ind w:left="964" w:right="360" w:hanging="532"/>
        <w:spacing w:after="0" w:line="277" w:lineRule="auto"/>
        <w:tabs>
          <w:tab w:leader="none" w:pos="964"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75" w:lineRule="exact"/>
        <w:rPr>
          <w:rFonts w:ascii="Arial" w:cs="Arial" w:eastAsia="Arial" w:hAnsi="Arial"/>
          <w:sz w:val="18"/>
          <w:szCs w:val="18"/>
          <w:color w:val="auto"/>
        </w:rPr>
      </w:pPr>
    </w:p>
    <w:p>
      <w:pPr>
        <w:ind w:left="424" w:right="80" w:hanging="424"/>
        <w:spacing w:after="0" w:line="257" w:lineRule="auto"/>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93" w:lineRule="exact"/>
        <w:rPr>
          <w:rFonts w:ascii="Arial" w:cs="Arial" w:eastAsia="Arial" w:hAnsi="Arial"/>
          <w:sz w:val="18"/>
          <w:szCs w:val="18"/>
          <w:color w:val="auto"/>
        </w:rPr>
      </w:pPr>
    </w:p>
    <w:p>
      <w:pPr>
        <w:ind w:left="424" w:right="160" w:hanging="424"/>
        <w:spacing w:after="0" w:line="271" w:lineRule="auto"/>
        <w:tabs>
          <w:tab w:leader="none" w:pos="424" w:val="left"/>
        </w:tabs>
        <w:numPr>
          <w:ilvl w:val="0"/>
          <w:numId w:val="5"/>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1004"/>
          </w:cols>
          <w:pgMar w:left="436" w:top="274" w:right="459" w:bottom="1440" w:gutter="0" w:footer="0" w:header="0"/>
        </w:sectPr>
      </w:pPr>
    </w:p>
    <w:bookmarkStart w:id="6" w:name="page7"/>
    <w:bookmarkEnd w:id="6"/>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jc w:val="both"/>
        <w:ind w:right="500"/>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Pittsburgh, State of Pennsylvania, on March 3, 2023.</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VIATRIS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Sanjeev Narula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Sanjeev Narula</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2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KNOW ALL PERSONS BY THESE PRESENTS, each person whose signature appears below, as a director or officer of Viatris Inc., a Delaware corporation, does hereby constitute and appoint each of Sanjeev Narula and Paul B. Campbell the true and lawful attorney-in-fact and agent, with full power of substitution and resubstitution, of the undersigned, to sign, in the name and on behalf of the undersigned, the Registration Statement on Form S-8 to which this power of attorney is filed as an exhibit, and any and all amendments thereto, including post-effective amendments, and to file or cause to be filed the same, with all exhibits thereto, and other documents in connection therewith, with the Securities and Exchange Commission, and hereby grants to such attorneys-in-fact and agents full power and authority to do and perform each and every act and thing requisite and necessary to be done, as fully to all intents and purposes as he or she might or could do in person, hereby ratifying and confirming all that said attorneys-in-fact and agents, or either of them, or their or his or her substitute or substitutes, may lawfully do or cause to be done by virtue hereof.</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80" w:type="dxa"/>
            <w:vAlign w:val="bottom"/>
          </w:tcPr>
          <w:p>
            <w:pPr>
              <w:jc w:val="center"/>
              <w:spacing w:after="0"/>
              <w:rPr>
                <w:sz w:val="20"/>
                <w:szCs w:val="20"/>
                <w:color w:val="auto"/>
              </w:rPr>
            </w:pPr>
            <w:r>
              <w:rPr>
                <w:rFonts w:ascii="Arial" w:cs="Arial" w:eastAsia="Arial" w:hAnsi="Arial"/>
                <w:sz w:val="14"/>
                <w:szCs w:val="14"/>
                <w:b w:val="1"/>
                <w:bCs w:val="1"/>
                <w:color w:val="auto"/>
                <w:w w:val="89"/>
              </w:rPr>
              <w:t>Signature</w:t>
            </w:r>
          </w:p>
        </w:tc>
        <w:tc>
          <w:tcPr>
            <w:tcW w:w="4920" w:type="dxa"/>
            <w:vAlign w:val="bottom"/>
          </w:tcPr>
          <w:p>
            <w:pPr>
              <w:jc w:val="center"/>
              <w:ind w:left="72"/>
              <w:spacing w:after="0"/>
              <w:rPr>
                <w:sz w:val="20"/>
                <w:szCs w:val="20"/>
                <w:color w:val="auto"/>
              </w:rPr>
            </w:pPr>
            <w:r>
              <w:rPr>
                <w:rFonts w:ascii="Arial" w:cs="Arial" w:eastAsia="Arial" w:hAnsi="Arial"/>
                <w:sz w:val="14"/>
                <w:szCs w:val="14"/>
                <w:b w:val="1"/>
                <w:bCs w:val="1"/>
                <w:color w:val="auto"/>
                <w:w w:val="97"/>
              </w:rPr>
              <w:t>Title</w:t>
            </w:r>
          </w:p>
        </w:tc>
        <w:tc>
          <w:tcPr>
            <w:tcW w:w="1560" w:type="dxa"/>
            <w:vAlign w:val="bottom"/>
          </w:tcPr>
          <w:p>
            <w:pPr>
              <w:jc w:val="center"/>
              <w:ind w:left="433"/>
              <w:spacing w:after="0"/>
              <w:rPr>
                <w:sz w:val="20"/>
                <w:szCs w:val="20"/>
                <w:color w:val="auto"/>
              </w:rPr>
            </w:pPr>
            <w:r>
              <w:rPr>
                <w:rFonts w:ascii="Arial" w:cs="Arial" w:eastAsia="Arial" w:hAnsi="Arial"/>
                <w:sz w:val="14"/>
                <w:szCs w:val="14"/>
                <w:b w:val="1"/>
                <w:bCs w:val="1"/>
                <w:color w:val="auto"/>
                <w:w w:val="92"/>
              </w:rPr>
              <w:t>Date</w:t>
            </w:r>
          </w:p>
        </w:tc>
      </w:tr>
      <w:tr>
        <w:trPr>
          <w:trHeight w:val="417"/>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Robert J. Coury</w:t>
            </w:r>
          </w:p>
        </w:tc>
        <w:tc>
          <w:tcPr>
            <w:tcW w:w="4920" w:type="dxa"/>
            <w:vAlign w:val="bottom"/>
          </w:tcPr>
          <w:p>
            <w:pPr>
              <w:jc w:val="center"/>
              <w:ind w:left="92"/>
              <w:spacing w:after="0"/>
              <w:rPr>
                <w:sz w:val="20"/>
                <w:szCs w:val="20"/>
                <w:color w:val="auto"/>
              </w:rPr>
            </w:pPr>
            <w:r>
              <w:rPr>
                <w:rFonts w:ascii="Arial" w:cs="Arial" w:eastAsia="Arial" w:hAnsi="Arial"/>
                <w:sz w:val="18"/>
                <w:szCs w:val="18"/>
                <w:color w:val="auto"/>
                <w:w w:val="91"/>
              </w:rPr>
              <w:t>Executive Chairman and Director</w:t>
            </w:r>
          </w:p>
        </w:tc>
        <w:tc>
          <w:tcPr>
            <w:tcW w:w="1560" w:type="dxa"/>
            <w:vAlign w:val="bottom"/>
          </w:tcPr>
          <w:p>
            <w:pPr>
              <w:jc w:val="center"/>
              <w:ind w:left="413"/>
              <w:spacing w:after="0"/>
              <w:rPr>
                <w:sz w:val="20"/>
                <w:szCs w:val="20"/>
                <w:color w:val="auto"/>
              </w:rPr>
            </w:pPr>
            <w:r>
              <w:rPr>
                <w:rFonts w:ascii="Arial" w:cs="Arial" w:eastAsia="Arial" w:hAnsi="Arial"/>
                <w:sz w:val="18"/>
                <w:szCs w:val="18"/>
                <w:color w:val="auto"/>
                <w:w w:val="92"/>
              </w:rPr>
              <w:t>March 3, 2023</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0"/>
              </w:rPr>
              <w:t>Robert J. Coury</w:t>
            </w:r>
          </w:p>
        </w:tc>
        <w:tc>
          <w:tcPr>
            <w:tcW w:w="49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Michael Goettler</w:t>
            </w:r>
          </w:p>
        </w:tc>
        <w:tc>
          <w:tcPr>
            <w:tcW w:w="4920" w:type="dxa"/>
            <w:vAlign w:val="bottom"/>
          </w:tcPr>
          <w:p>
            <w:pPr>
              <w:jc w:val="center"/>
              <w:ind w:left="72"/>
              <w:spacing w:after="0"/>
              <w:rPr>
                <w:sz w:val="20"/>
                <w:szCs w:val="20"/>
                <w:color w:val="auto"/>
              </w:rPr>
            </w:pPr>
            <w:r>
              <w:rPr>
                <w:rFonts w:ascii="Arial" w:cs="Arial" w:eastAsia="Arial" w:hAnsi="Arial"/>
                <w:sz w:val="18"/>
                <w:szCs w:val="18"/>
                <w:color w:val="auto"/>
                <w:w w:val="93"/>
              </w:rPr>
              <w:t>Chief Executive Officer and Director</w:t>
            </w:r>
          </w:p>
        </w:tc>
        <w:tc>
          <w:tcPr>
            <w:tcW w:w="1560" w:type="dxa"/>
            <w:vAlign w:val="bottom"/>
          </w:tcPr>
          <w:p>
            <w:pPr>
              <w:jc w:val="center"/>
              <w:ind w:left="413"/>
              <w:spacing w:after="0"/>
              <w:rPr>
                <w:sz w:val="20"/>
                <w:szCs w:val="20"/>
                <w:color w:val="auto"/>
              </w:rPr>
            </w:pPr>
            <w:r>
              <w:rPr>
                <w:rFonts w:ascii="Arial" w:cs="Arial" w:eastAsia="Arial" w:hAnsi="Arial"/>
                <w:sz w:val="18"/>
                <w:szCs w:val="18"/>
                <w:color w:val="auto"/>
                <w:w w:val="92"/>
              </w:rPr>
              <w:t>March 3, 2023</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3"/>
              </w:rPr>
              <w:t>Michael Goettler</w:t>
            </w:r>
          </w:p>
        </w:tc>
        <w:tc>
          <w:tcPr>
            <w:tcW w:w="4920" w:type="dxa"/>
            <w:vAlign w:val="bottom"/>
          </w:tcPr>
          <w:p>
            <w:pPr>
              <w:jc w:val="center"/>
              <w:ind w:left="92"/>
              <w:spacing w:after="0"/>
              <w:rPr>
                <w:sz w:val="20"/>
                <w:szCs w:val="20"/>
                <w:color w:val="auto"/>
              </w:rPr>
            </w:pPr>
            <w:r>
              <w:rPr>
                <w:rFonts w:ascii="Arial" w:cs="Arial" w:eastAsia="Arial" w:hAnsi="Arial"/>
                <w:sz w:val="18"/>
                <w:szCs w:val="18"/>
                <w:color w:val="auto"/>
                <w:w w:val="94"/>
              </w:rPr>
              <w:t>(Principal Executive Officer)</w:t>
            </w:r>
          </w:p>
        </w:tc>
        <w:tc>
          <w:tcPr>
            <w:tcW w:w="15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Sanjeev Narula</w:t>
            </w:r>
          </w:p>
        </w:tc>
        <w:tc>
          <w:tcPr>
            <w:tcW w:w="4920" w:type="dxa"/>
            <w:vAlign w:val="bottom"/>
          </w:tcPr>
          <w:p>
            <w:pPr>
              <w:jc w:val="center"/>
              <w:ind w:left="72"/>
              <w:spacing w:after="0"/>
              <w:rPr>
                <w:sz w:val="20"/>
                <w:szCs w:val="20"/>
                <w:color w:val="auto"/>
              </w:rPr>
            </w:pPr>
            <w:r>
              <w:rPr>
                <w:rFonts w:ascii="Arial" w:cs="Arial" w:eastAsia="Arial" w:hAnsi="Arial"/>
                <w:sz w:val="18"/>
                <w:szCs w:val="18"/>
                <w:color w:val="auto"/>
                <w:w w:val="94"/>
              </w:rPr>
              <w:t>Chief Financial Officer</w:t>
            </w:r>
          </w:p>
        </w:tc>
        <w:tc>
          <w:tcPr>
            <w:tcW w:w="1560" w:type="dxa"/>
            <w:vAlign w:val="bottom"/>
          </w:tcPr>
          <w:p>
            <w:pPr>
              <w:jc w:val="center"/>
              <w:ind w:left="413"/>
              <w:spacing w:after="0"/>
              <w:rPr>
                <w:sz w:val="20"/>
                <w:szCs w:val="20"/>
                <w:color w:val="auto"/>
              </w:rPr>
            </w:pPr>
            <w:r>
              <w:rPr>
                <w:rFonts w:ascii="Arial" w:cs="Arial" w:eastAsia="Arial" w:hAnsi="Arial"/>
                <w:sz w:val="18"/>
                <w:szCs w:val="18"/>
                <w:color w:val="auto"/>
                <w:w w:val="92"/>
              </w:rPr>
              <w:t>March 3, 2023</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89"/>
              </w:rPr>
              <w:t>Sanjeev Narula</w:t>
            </w:r>
          </w:p>
        </w:tc>
        <w:tc>
          <w:tcPr>
            <w:tcW w:w="4920" w:type="dxa"/>
            <w:vAlign w:val="bottom"/>
          </w:tcPr>
          <w:p>
            <w:pPr>
              <w:jc w:val="center"/>
              <w:ind w:left="72"/>
              <w:spacing w:after="0"/>
              <w:rPr>
                <w:sz w:val="20"/>
                <w:szCs w:val="20"/>
                <w:color w:val="auto"/>
              </w:rPr>
            </w:pPr>
            <w:r>
              <w:rPr>
                <w:rFonts w:ascii="Arial" w:cs="Arial" w:eastAsia="Arial" w:hAnsi="Arial"/>
                <w:sz w:val="18"/>
                <w:szCs w:val="18"/>
                <w:color w:val="auto"/>
                <w:w w:val="94"/>
              </w:rPr>
              <w:t>(Principal Financial Officer)</w:t>
            </w:r>
          </w:p>
        </w:tc>
        <w:tc>
          <w:tcPr>
            <w:tcW w:w="15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Paul B. Campbell</w:t>
            </w:r>
          </w:p>
        </w:tc>
        <w:tc>
          <w:tcPr>
            <w:tcW w:w="4920" w:type="dxa"/>
            <w:vAlign w:val="bottom"/>
          </w:tcPr>
          <w:p>
            <w:pPr>
              <w:jc w:val="center"/>
              <w:ind w:left="92"/>
              <w:spacing w:after="0"/>
              <w:rPr>
                <w:sz w:val="20"/>
                <w:szCs w:val="20"/>
                <w:color w:val="auto"/>
              </w:rPr>
            </w:pPr>
            <w:r>
              <w:rPr>
                <w:rFonts w:ascii="Arial" w:cs="Arial" w:eastAsia="Arial" w:hAnsi="Arial"/>
                <w:sz w:val="18"/>
                <w:szCs w:val="18"/>
                <w:color w:val="auto"/>
                <w:w w:val="93"/>
              </w:rPr>
              <w:t>Chief Accounting Officer and Corporate Controller</w:t>
            </w:r>
          </w:p>
        </w:tc>
        <w:tc>
          <w:tcPr>
            <w:tcW w:w="1560" w:type="dxa"/>
            <w:vAlign w:val="bottom"/>
          </w:tcPr>
          <w:p>
            <w:pPr>
              <w:jc w:val="center"/>
              <w:ind w:left="413"/>
              <w:spacing w:after="0"/>
              <w:rPr>
                <w:sz w:val="20"/>
                <w:szCs w:val="20"/>
                <w:color w:val="auto"/>
              </w:rPr>
            </w:pPr>
            <w:r>
              <w:rPr>
                <w:rFonts w:ascii="Arial" w:cs="Arial" w:eastAsia="Arial" w:hAnsi="Arial"/>
                <w:sz w:val="18"/>
                <w:szCs w:val="18"/>
                <w:color w:val="auto"/>
                <w:w w:val="92"/>
              </w:rPr>
              <w:t>March 3, 2023</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0"/>
              </w:rPr>
              <w:t>Paul B. Campbell</w:t>
            </w:r>
          </w:p>
        </w:tc>
        <w:tc>
          <w:tcPr>
            <w:tcW w:w="4920" w:type="dxa"/>
            <w:vAlign w:val="bottom"/>
          </w:tcPr>
          <w:p>
            <w:pPr>
              <w:jc w:val="center"/>
              <w:ind w:left="92"/>
              <w:spacing w:after="0"/>
              <w:rPr>
                <w:sz w:val="20"/>
                <w:szCs w:val="20"/>
                <w:color w:val="auto"/>
              </w:rPr>
            </w:pPr>
            <w:r>
              <w:rPr>
                <w:rFonts w:ascii="Arial" w:cs="Arial" w:eastAsia="Arial" w:hAnsi="Arial"/>
                <w:sz w:val="18"/>
                <w:szCs w:val="18"/>
                <w:color w:val="auto"/>
                <w:w w:val="95"/>
              </w:rPr>
              <w:t>(Principal Accounting Officer)</w:t>
            </w:r>
          </w:p>
        </w:tc>
        <w:tc>
          <w:tcPr>
            <w:tcW w:w="15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W. Don Cornwell</w:t>
            </w:r>
          </w:p>
        </w:tc>
        <w:tc>
          <w:tcPr>
            <w:tcW w:w="4920" w:type="dxa"/>
            <w:vAlign w:val="bottom"/>
          </w:tcPr>
          <w:p>
            <w:pPr>
              <w:jc w:val="center"/>
              <w:ind w:left="72"/>
              <w:spacing w:after="0"/>
              <w:rPr>
                <w:sz w:val="20"/>
                <w:szCs w:val="20"/>
                <w:color w:val="auto"/>
              </w:rPr>
            </w:pPr>
            <w:r>
              <w:rPr>
                <w:rFonts w:ascii="Arial" w:cs="Arial" w:eastAsia="Arial" w:hAnsi="Arial"/>
                <w:sz w:val="18"/>
                <w:szCs w:val="18"/>
                <w:color w:val="auto"/>
                <w:w w:val="95"/>
              </w:rPr>
              <w:t>Director</w:t>
            </w:r>
          </w:p>
        </w:tc>
        <w:tc>
          <w:tcPr>
            <w:tcW w:w="1560" w:type="dxa"/>
            <w:vAlign w:val="bottom"/>
          </w:tcPr>
          <w:p>
            <w:pPr>
              <w:jc w:val="center"/>
              <w:ind w:left="413"/>
              <w:spacing w:after="0"/>
              <w:rPr>
                <w:sz w:val="20"/>
                <w:szCs w:val="20"/>
                <w:color w:val="auto"/>
              </w:rPr>
            </w:pPr>
            <w:r>
              <w:rPr>
                <w:rFonts w:ascii="Arial" w:cs="Arial" w:eastAsia="Arial" w:hAnsi="Arial"/>
                <w:sz w:val="18"/>
                <w:szCs w:val="18"/>
                <w:color w:val="auto"/>
                <w:w w:val="92"/>
              </w:rPr>
              <w:t>March 3, 2023</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3"/>
              </w:rPr>
              <w:t>W. Don Cornwell</w:t>
            </w:r>
          </w:p>
        </w:tc>
        <w:tc>
          <w:tcPr>
            <w:tcW w:w="4920" w:type="dxa"/>
            <w:vAlign w:val="bottom"/>
          </w:tcPr>
          <w:p>
            <w:pPr>
              <w:spacing w:after="0"/>
              <w:rPr>
                <w:sz w:val="19"/>
                <w:szCs w:val="19"/>
                <w:color w:val="auto"/>
              </w:rPr>
            </w:pPr>
          </w:p>
        </w:tc>
        <w:tc>
          <w:tcPr>
            <w:tcW w:w="1560" w:type="dxa"/>
            <w:vAlign w:val="bottom"/>
          </w:tcPr>
          <w:p>
            <w:pPr>
              <w:spacing w:after="0"/>
              <w:rPr>
                <w:sz w:val="19"/>
                <w:szCs w:val="19"/>
                <w:color w:val="auto"/>
              </w:rPr>
            </w:pPr>
          </w:p>
        </w:tc>
      </w:tr>
    </w:tbl>
    <w:p>
      <w:pPr>
        <w:sectPr>
          <w:pgSz w:w="11900" w:h="16838" w:orient="portrait"/>
          <w:cols w:equalWidth="0" w:num="1">
            <w:col w:w="10940"/>
          </w:cols>
          <w:pgMar w:left="440" w:top="270" w:right="519" w:bottom="1440" w:gutter="0" w:footer="0" w:header="0"/>
        </w:sectPr>
      </w:pPr>
    </w:p>
    <w:bookmarkStart w:id="7" w:name="page8"/>
    <w:bookmarkEnd w:id="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JoEllen Lyons Dillon</w:t>
            </w:r>
          </w:p>
        </w:tc>
        <w:tc>
          <w:tcPr>
            <w:tcW w:w="4400" w:type="dxa"/>
            <w:vAlign w:val="bottom"/>
          </w:tcPr>
          <w:p>
            <w:pPr>
              <w:jc w:val="center"/>
              <w:ind w:left="590"/>
              <w:spacing w:after="0"/>
              <w:rPr>
                <w:sz w:val="20"/>
                <w:szCs w:val="20"/>
                <w:color w:val="auto"/>
              </w:rPr>
            </w:pPr>
            <w:r>
              <w:rPr>
                <w:rFonts w:ascii="Arial" w:cs="Arial" w:eastAsia="Arial" w:hAnsi="Arial"/>
                <w:sz w:val="18"/>
                <w:szCs w:val="18"/>
                <w:color w:val="auto"/>
                <w:w w:val="95"/>
              </w:rPr>
              <w:t>Director</w:t>
            </w:r>
          </w:p>
        </w:tc>
        <w:tc>
          <w:tcPr>
            <w:tcW w:w="2080" w:type="dxa"/>
            <w:vAlign w:val="bottom"/>
          </w:tcPr>
          <w:p>
            <w:pPr>
              <w:ind w:left="1020"/>
              <w:spacing w:after="0"/>
              <w:rPr>
                <w:sz w:val="20"/>
                <w:szCs w:val="20"/>
                <w:color w:val="auto"/>
              </w:rPr>
            </w:pPr>
            <w:r>
              <w:rPr>
                <w:rFonts w:ascii="Arial" w:cs="Arial" w:eastAsia="Arial" w:hAnsi="Arial"/>
                <w:sz w:val="18"/>
                <w:szCs w:val="18"/>
                <w:color w:val="auto"/>
                <w:w w:val="90"/>
              </w:rPr>
              <w:t>March 3, 2023</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4"/>
              </w:rPr>
              <w:t>JoEllen Lyons Dillon</w:t>
            </w:r>
          </w:p>
        </w:tc>
        <w:tc>
          <w:tcPr>
            <w:tcW w:w="440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Elisha W. Finney</w:t>
            </w:r>
          </w:p>
        </w:tc>
        <w:tc>
          <w:tcPr>
            <w:tcW w:w="4400" w:type="dxa"/>
            <w:vAlign w:val="bottom"/>
          </w:tcPr>
          <w:p>
            <w:pPr>
              <w:jc w:val="center"/>
              <w:ind w:left="590"/>
              <w:spacing w:after="0"/>
              <w:rPr>
                <w:sz w:val="20"/>
                <w:szCs w:val="20"/>
                <w:color w:val="auto"/>
              </w:rPr>
            </w:pPr>
            <w:r>
              <w:rPr>
                <w:rFonts w:ascii="Arial" w:cs="Arial" w:eastAsia="Arial" w:hAnsi="Arial"/>
                <w:sz w:val="18"/>
                <w:szCs w:val="18"/>
                <w:color w:val="auto"/>
                <w:w w:val="95"/>
              </w:rPr>
              <w:t>Director</w:t>
            </w:r>
          </w:p>
        </w:tc>
        <w:tc>
          <w:tcPr>
            <w:tcW w:w="2080" w:type="dxa"/>
            <w:vAlign w:val="bottom"/>
          </w:tcPr>
          <w:p>
            <w:pPr>
              <w:ind w:left="1020"/>
              <w:spacing w:after="0"/>
              <w:rPr>
                <w:sz w:val="20"/>
                <w:szCs w:val="20"/>
                <w:color w:val="auto"/>
              </w:rPr>
            </w:pPr>
            <w:r>
              <w:rPr>
                <w:rFonts w:ascii="Arial" w:cs="Arial" w:eastAsia="Arial" w:hAnsi="Arial"/>
                <w:sz w:val="18"/>
                <w:szCs w:val="18"/>
                <w:color w:val="auto"/>
                <w:w w:val="90"/>
              </w:rPr>
              <w:t>March 3, 2023</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1"/>
              </w:rPr>
              <w:t>Elisha W. Finney</w:t>
            </w:r>
          </w:p>
        </w:tc>
        <w:tc>
          <w:tcPr>
            <w:tcW w:w="440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Melina Higgins</w:t>
            </w:r>
          </w:p>
        </w:tc>
        <w:tc>
          <w:tcPr>
            <w:tcW w:w="4400" w:type="dxa"/>
            <w:vAlign w:val="bottom"/>
          </w:tcPr>
          <w:p>
            <w:pPr>
              <w:jc w:val="center"/>
              <w:ind w:left="590"/>
              <w:spacing w:after="0"/>
              <w:rPr>
                <w:sz w:val="20"/>
                <w:szCs w:val="20"/>
                <w:color w:val="auto"/>
              </w:rPr>
            </w:pPr>
            <w:r>
              <w:rPr>
                <w:rFonts w:ascii="Arial" w:cs="Arial" w:eastAsia="Arial" w:hAnsi="Arial"/>
                <w:sz w:val="18"/>
                <w:szCs w:val="18"/>
                <w:color w:val="auto"/>
                <w:w w:val="95"/>
              </w:rPr>
              <w:t>Director</w:t>
            </w:r>
          </w:p>
        </w:tc>
        <w:tc>
          <w:tcPr>
            <w:tcW w:w="2080" w:type="dxa"/>
            <w:vAlign w:val="bottom"/>
          </w:tcPr>
          <w:p>
            <w:pPr>
              <w:ind w:left="1020"/>
              <w:spacing w:after="0"/>
              <w:rPr>
                <w:sz w:val="20"/>
                <w:szCs w:val="20"/>
                <w:color w:val="auto"/>
              </w:rPr>
            </w:pPr>
            <w:r>
              <w:rPr>
                <w:rFonts w:ascii="Arial" w:cs="Arial" w:eastAsia="Arial" w:hAnsi="Arial"/>
                <w:sz w:val="18"/>
                <w:szCs w:val="18"/>
                <w:color w:val="auto"/>
                <w:w w:val="90"/>
              </w:rPr>
              <w:t>March 3, 2023</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6"/>
              </w:rPr>
              <w:t>Melina Higgins</w:t>
            </w:r>
          </w:p>
        </w:tc>
        <w:tc>
          <w:tcPr>
            <w:tcW w:w="440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James M. Kilts</w:t>
            </w:r>
          </w:p>
        </w:tc>
        <w:tc>
          <w:tcPr>
            <w:tcW w:w="4400" w:type="dxa"/>
            <w:vAlign w:val="bottom"/>
          </w:tcPr>
          <w:p>
            <w:pPr>
              <w:jc w:val="center"/>
              <w:ind w:left="590"/>
              <w:spacing w:after="0"/>
              <w:rPr>
                <w:sz w:val="20"/>
                <w:szCs w:val="20"/>
                <w:color w:val="auto"/>
              </w:rPr>
            </w:pPr>
            <w:r>
              <w:rPr>
                <w:rFonts w:ascii="Arial" w:cs="Arial" w:eastAsia="Arial" w:hAnsi="Arial"/>
                <w:sz w:val="18"/>
                <w:szCs w:val="18"/>
                <w:color w:val="auto"/>
                <w:w w:val="95"/>
              </w:rPr>
              <w:t>Director</w:t>
            </w:r>
          </w:p>
        </w:tc>
        <w:tc>
          <w:tcPr>
            <w:tcW w:w="2080" w:type="dxa"/>
            <w:vAlign w:val="bottom"/>
          </w:tcPr>
          <w:p>
            <w:pPr>
              <w:ind w:left="1020"/>
              <w:spacing w:after="0"/>
              <w:rPr>
                <w:sz w:val="20"/>
                <w:szCs w:val="20"/>
                <w:color w:val="auto"/>
              </w:rPr>
            </w:pPr>
            <w:r>
              <w:rPr>
                <w:rFonts w:ascii="Arial" w:cs="Arial" w:eastAsia="Arial" w:hAnsi="Arial"/>
                <w:sz w:val="18"/>
                <w:szCs w:val="18"/>
                <w:color w:val="auto"/>
                <w:w w:val="90"/>
              </w:rPr>
              <w:t>March 3, 2023</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3"/>
              </w:rPr>
              <w:t>James M. Kilts</w:t>
            </w:r>
          </w:p>
        </w:tc>
        <w:tc>
          <w:tcPr>
            <w:tcW w:w="440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Harry A. Korman</w:t>
            </w:r>
          </w:p>
        </w:tc>
        <w:tc>
          <w:tcPr>
            <w:tcW w:w="4400" w:type="dxa"/>
            <w:vAlign w:val="bottom"/>
          </w:tcPr>
          <w:p>
            <w:pPr>
              <w:jc w:val="center"/>
              <w:ind w:left="590"/>
              <w:spacing w:after="0"/>
              <w:rPr>
                <w:sz w:val="20"/>
                <w:szCs w:val="20"/>
                <w:color w:val="auto"/>
              </w:rPr>
            </w:pPr>
            <w:r>
              <w:rPr>
                <w:rFonts w:ascii="Arial" w:cs="Arial" w:eastAsia="Arial" w:hAnsi="Arial"/>
                <w:sz w:val="18"/>
                <w:szCs w:val="18"/>
                <w:color w:val="auto"/>
                <w:w w:val="95"/>
              </w:rPr>
              <w:t>Director</w:t>
            </w:r>
          </w:p>
        </w:tc>
        <w:tc>
          <w:tcPr>
            <w:tcW w:w="2080" w:type="dxa"/>
            <w:vAlign w:val="bottom"/>
          </w:tcPr>
          <w:p>
            <w:pPr>
              <w:ind w:left="1020"/>
              <w:spacing w:after="0"/>
              <w:rPr>
                <w:sz w:val="20"/>
                <w:szCs w:val="20"/>
                <w:color w:val="auto"/>
              </w:rPr>
            </w:pPr>
            <w:r>
              <w:rPr>
                <w:rFonts w:ascii="Arial" w:cs="Arial" w:eastAsia="Arial" w:hAnsi="Arial"/>
                <w:sz w:val="18"/>
                <w:szCs w:val="18"/>
                <w:color w:val="auto"/>
                <w:w w:val="90"/>
              </w:rPr>
              <w:t>March 3, 2023</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3"/>
              </w:rPr>
              <w:t>Harry A. Korman</w:t>
            </w:r>
          </w:p>
        </w:tc>
        <w:tc>
          <w:tcPr>
            <w:tcW w:w="440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Rajiv Malik</w:t>
            </w:r>
          </w:p>
        </w:tc>
        <w:tc>
          <w:tcPr>
            <w:tcW w:w="4400" w:type="dxa"/>
            <w:vAlign w:val="bottom"/>
          </w:tcPr>
          <w:p>
            <w:pPr>
              <w:jc w:val="center"/>
              <w:ind w:left="610"/>
              <w:spacing w:after="0"/>
              <w:rPr>
                <w:sz w:val="20"/>
                <w:szCs w:val="20"/>
                <w:color w:val="auto"/>
              </w:rPr>
            </w:pPr>
            <w:r>
              <w:rPr>
                <w:rFonts w:ascii="Arial" w:cs="Arial" w:eastAsia="Arial" w:hAnsi="Arial"/>
                <w:sz w:val="18"/>
                <w:szCs w:val="18"/>
                <w:color w:val="auto"/>
                <w:w w:val="90"/>
              </w:rPr>
              <w:t>President and Director</w:t>
            </w:r>
          </w:p>
        </w:tc>
        <w:tc>
          <w:tcPr>
            <w:tcW w:w="2080" w:type="dxa"/>
            <w:vAlign w:val="bottom"/>
          </w:tcPr>
          <w:p>
            <w:pPr>
              <w:ind w:left="1020"/>
              <w:spacing w:after="0"/>
              <w:rPr>
                <w:sz w:val="20"/>
                <w:szCs w:val="20"/>
                <w:color w:val="auto"/>
              </w:rPr>
            </w:pPr>
            <w:r>
              <w:rPr>
                <w:rFonts w:ascii="Arial" w:cs="Arial" w:eastAsia="Arial" w:hAnsi="Arial"/>
                <w:sz w:val="18"/>
                <w:szCs w:val="18"/>
                <w:color w:val="auto"/>
                <w:w w:val="90"/>
              </w:rPr>
              <w:t>March 3, 2023</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8"/>
              </w:rPr>
              <w:t>Rajiv Malik</w:t>
            </w:r>
          </w:p>
        </w:tc>
        <w:tc>
          <w:tcPr>
            <w:tcW w:w="440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Richard A. Mark</w:t>
            </w:r>
          </w:p>
        </w:tc>
        <w:tc>
          <w:tcPr>
            <w:tcW w:w="4400" w:type="dxa"/>
            <w:vAlign w:val="bottom"/>
          </w:tcPr>
          <w:p>
            <w:pPr>
              <w:jc w:val="center"/>
              <w:ind w:left="590"/>
              <w:spacing w:after="0"/>
              <w:rPr>
                <w:sz w:val="20"/>
                <w:szCs w:val="20"/>
                <w:color w:val="auto"/>
              </w:rPr>
            </w:pPr>
            <w:r>
              <w:rPr>
                <w:rFonts w:ascii="Arial" w:cs="Arial" w:eastAsia="Arial" w:hAnsi="Arial"/>
                <w:sz w:val="18"/>
                <w:szCs w:val="18"/>
                <w:color w:val="auto"/>
                <w:w w:val="95"/>
              </w:rPr>
              <w:t>Director</w:t>
            </w:r>
          </w:p>
        </w:tc>
        <w:tc>
          <w:tcPr>
            <w:tcW w:w="2080" w:type="dxa"/>
            <w:vAlign w:val="bottom"/>
          </w:tcPr>
          <w:p>
            <w:pPr>
              <w:ind w:left="1020"/>
              <w:spacing w:after="0"/>
              <w:rPr>
                <w:sz w:val="20"/>
                <w:szCs w:val="20"/>
                <w:color w:val="auto"/>
              </w:rPr>
            </w:pPr>
            <w:r>
              <w:rPr>
                <w:rFonts w:ascii="Arial" w:cs="Arial" w:eastAsia="Arial" w:hAnsi="Arial"/>
                <w:sz w:val="18"/>
                <w:szCs w:val="18"/>
                <w:color w:val="auto"/>
                <w:w w:val="90"/>
              </w:rPr>
              <w:t>March 3, 2023</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4"/>
              </w:rPr>
              <w:t>Richard A. Mark</w:t>
            </w:r>
          </w:p>
        </w:tc>
        <w:tc>
          <w:tcPr>
            <w:tcW w:w="440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Mark W. Parrish</w:t>
            </w:r>
          </w:p>
        </w:tc>
        <w:tc>
          <w:tcPr>
            <w:tcW w:w="4400" w:type="dxa"/>
            <w:vAlign w:val="bottom"/>
          </w:tcPr>
          <w:p>
            <w:pPr>
              <w:jc w:val="center"/>
              <w:ind w:left="590"/>
              <w:spacing w:after="0"/>
              <w:rPr>
                <w:sz w:val="20"/>
                <w:szCs w:val="20"/>
                <w:color w:val="auto"/>
              </w:rPr>
            </w:pPr>
            <w:r>
              <w:rPr>
                <w:rFonts w:ascii="Arial" w:cs="Arial" w:eastAsia="Arial" w:hAnsi="Arial"/>
                <w:sz w:val="18"/>
                <w:szCs w:val="18"/>
                <w:color w:val="auto"/>
                <w:w w:val="95"/>
              </w:rPr>
              <w:t>Director</w:t>
            </w:r>
          </w:p>
        </w:tc>
        <w:tc>
          <w:tcPr>
            <w:tcW w:w="2080" w:type="dxa"/>
            <w:vAlign w:val="bottom"/>
          </w:tcPr>
          <w:p>
            <w:pPr>
              <w:ind w:left="1020"/>
              <w:spacing w:after="0"/>
              <w:rPr>
                <w:sz w:val="20"/>
                <w:szCs w:val="20"/>
                <w:color w:val="auto"/>
              </w:rPr>
            </w:pPr>
            <w:r>
              <w:rPr>
                <w:rFonts w:ascii="Arial" w:cs="Arial" w:eastAsia="Arial" w:hAnsi="Arial"/>
                <w:sz w:val="18"/>
                <w:szCs w:val="18"/>
                <w:color w:val="auto"/>
                <w:w w:val="90"/>
              </w:rPr>
              <w:t>March 3, 2023</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1"/>
              </w:rPr>
              <w:t>Mark W. Parrish</w:t>
            </w:r>
          </w:p>
        </w:tc>
        <w:tc>
          <w:tcPr>
            <w:tcW w:w="440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Scott A. Smith</w:t>
            </w:r>
          </w:p>
        </w:tc>
        <w:tc>
          <w:tcPr>
            <w:tcW w:w="4400" w:type="dxa"/>
            <w:vAlign w:val="bottom"/>
          </w:tcPr>
          <w:p>
            <w:pPr>
              <w:jc w:val="center"/>
              <w:ind w:left="590"/>
              <w:spacing w:after="0"/>
              <w:rPr>
                <w:sz w:val="20"/>
                <w:szCs w:val="20"/>
                <w:color w:val="auto"/>
              </w:rPr>
            </w:pPr>
            <w:r>
              <w:rPr>
                <w:rFonts w:ascii="Arial" w:cs="Arial" w:eastAsia="Arial" w:hAnsi="Arial"/>
                <w:sz w:val="18"/>
                <w:szCs w:val="18"/>
                <w:color w:val="auto"/>
                <w:w w:val="95"/>
              </w:rPr>
              <w:t>Director</w:t>
            </w:r>
          </w:p>
        </w:tc>
        <w:tc>
          <w:tcPr>
            <w:tcW w:w="2080" w:type="dxa"/>
            <w:vAlign w:val="bottom"/>
          </w:tcPr>
          <w:p>
            <w:pPr>
              <w:ind w:left="1020"/>
              <w:spacing w:after="0"/>
              <w:rPr>
                <w:sz w:val="20"/>
                <w:szCs w:val="20"/>
                <w:color w:val="auto"/>
              </w:rPr>
            </w:pPr>
            <w:r>
              <w:rPr>
                <w:rFonts w:ascii="Arial" w:cs="Arial" w:eastAsia="Arial" w:hAnsi="Arial"/>
                <w:sz w:val="18"/>
                <w:szCs w:val="18"/>
                <w:color w:val="auto"/>
                <w:w w:val="90"/>
              </w:rPr>
              <w:t>March 3, 2023</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2"/>
              </w:rPr>
              <w:t>Scott A. Smith</w:t>
            </w:r>
          </w:p>
        </w:tc>
        <w:tc>
          <w:tcPr>
            <w:tcW w:w="440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Pauline van der Meer Mohr</w:t>
            </w:r>
          </w:p>
        </w:tc>
        <w:tc>
          <w:tcPr>
            <w:tcW w:w="4400" w:type="dxa"/>
            <w:vAlign w:val="bottom"/>
          </w:tcPr>
          <w:p>
            <w:pPr>
              <w:jc w:val="center"/>
              <w:ind w:left="590"/>
              <w:spacing w:after="0"/>
              <w:rPr>
                <w:sz w:val="20"/>
                <w:szCs w:val="20"/>
                <w:color w:val="auto"/>
              </w:rPr>
            </w:pPr>
            <w:r>
              <w:rPr>
                <w:rFonts w:ascii="Arial" w:cs="Arial" w:eastAsia="Arial" w:hAnsi="Arial"/>
                <w:sz w:val="18"/>
                <w:szCs w:val="18"/>
                <w:color w:val="auto"/>
                <w:w w:val="95"/>
              </w:rPr>
              <w:t>Director</w:t>
            </w:r>
          </w:p>
        </w:tc>
        <w:tc>
          <w:tcPr>
            <w:tcW w:w="2080" w:type="dxa"/>
            <w:vAlign w:val="bottom"/>
          </w:tcPr>
          <w:p>
            <w:pPr>
              <w:ind w:left="1020"/>
              <w:spacing w:after="0"/>
              <w:rPr>
                <w:sz w:val="20"/>
                <w:szCs w:val="20"/>
                <w:color w:val="auto"/>
              </w:rPr>
            </w:pPr>
            <w:r>
              <w:rPr>
                <w:rFonts w:ascii="Arial" w:cs="Arial" w:eastAsia="Arial" w:hAnsi="Arial"/>
                <w:sz w:val="18"/>
                <w:szCs w:val="18"/>
                <w:color w:val="auto"/>
                <w:w w:val="90"/>
              </w:rPr>
              <w:t>March 3, 2023</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1"/>
              </w:rPr>
              <w:t>Pauline van der Meer Mohr</w:t>
            </w:r>
          </w:p>
        </w:tc>
        <w:tc>
          <w:tcPr>
            <w:tcW w:w="4400" w:type="dxa"/>
            <w:vAlign w:val="bottom"/>
          </w:tcPr>
          <w:p>
            <w:pPr>
              <w:spacing w:after="0"/>
              <w:rPr>
                <w:sz w:val="19"/>
                <w:szCs w:val="19"/>
                <w:color w:val="auto"/>
              </w:rPr>
            </w:pPr>
          </w:p>
        </w:tc>
        <w:tc>
          <w:tcPr>
            <w:tcW w:w="2080" w:type="dxa"/>
            <w:vAlign w:val="bottom"/>
          </w:tcPr>
          <w:p>
            <w:pPr>
              <w:spacing w:after="0"/>
              <w:rPr>
                <w:sz w:val="19"/>
                <w:szCs w:val="19"/>
                <w:color w:val="auto"/>
              </w:rPr>
            </w:pPr>
          </w:p>
        </w:tc>
      </w:tr>
    </w:tbl>
    <w:p>
      <w:pPr>
        <w:sectPr>
          <w:pgSz w:w="11900" w:h="16838" w:orient="portrait"/>
          <w:cols w:equalWidth="0" w:num="1">
            <w:col w:w="10660"/>
          </w:cols>
          <w:pgMar w:left="440" w:top="274" w:right="79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5623560" cy="3943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562356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March 3,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Viatris,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Registration Statement on Form S-8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We have acted as counsel for Viatris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in connection with the registration statement on Form S-8 (the</w:t>
      </w:r>
    </w:p>
    <w:p>
      <w:pPr>
        <w:spacing w:after="0" w:line="3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filed by the Company with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under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relating to 5,317,073 shares of the Company’s common stock, par value $0.01 per share (the “</w:t>
      </w:r>
      <w:r>
        <w:rPr>
          <w:rFonts w:ascii="Arial" w:cs="Arial" w:eastAsia="Arial" w:hAnsi="Arial"/>
          <w:sz w:val="16"/>
          <w:szCs w:val="16"/>
          <w:u w:val="single" w:color="auto"/>
          <w:color w:val="auto"/>
        </w:rPr>
        <w:t>Shares</w:t>
      </w:r>
      <w:r>
        <w:rPr>
          <w:rFonts w:ascii="Arial" w:cs="Arial" w:eastAsia="Arial" w:hAnsi="Arial"/>
          <w:sz w:val="16"/>
          <w:szCs w:val="16"/>
          <w:color w:val="auto"/>
        </w:rPr>
        <w:t>”), issuable pursuant to (a) the Oyster Point Pharma, Inc. 2016 Equity Incentive Plan (the “</w:t>
      </w:r>
      <w:r>
        <w:rPr>
          <w:rFonts w:ascii="Arial" w:cs="Arial" w:eastAsia="Arial" w:hAnsi="Arial"/>
          <w:sz w:val="16"/>
          <w:szCs w:val="16"/>
          <w:u w:val="single" w:color="auto"/>
          <w:color w:val="auto"/>
        </w:rPr>
        <w:t>2016 Plan</w:t>
      </w:r>
      <w:r>
        <w:rPr>
          <w:rFonts w:ascii="Arial" w:cs="Arial" w:eastAsia="Arial" w:hAnsi="Arial"/>
          <w:sz w:val="16"/>
          <w:szCs w:val="16"/>
          <w:color w:val="auto"/>
        </w:rPr>
        <w:t>”); (b) the Oyster Point Pharma, Inc. 2019 Equity Incentive Plan (the “</w:t>
      </w:r>
      <w:r>
        <w:rPr>
          <w:rFonts w:ascii="Arial" w:cs="Arial" w:eastAsia="Arial" w:hAnsi="Arial"/>
          <w:sz w:val="16"/>
          <w:szCs w:val="16"/>
          <w:u w:val="single" w:color="auto"/>
          <w:color w:val="auto"/>
        </w:rPr>
        <w:t>2019 Plan</w:t>
      </w:r>
      <w:r>
        <w:rPr>
          <w:rFonts w:ascii="Arial" w:cs="Arial" w:eastAsia="Arial" w:hAnsi="Arial"/>
          <w:sz w:val="16"/>
          <w:szCs w:val="16"/>
          <w:color w:val="auto"/>
        </w:rPr>
        <w:t>”); and (c) the Oyster Point Pharma, Inc. 2021 Inducement Plan (the “</w:t>
      </w:r>
      <w:r>
        <w:rPr>
          <w:rFonts w:ascii="Arial" w:cs="Arial" w:eastAsia="Arial" w:hAnsi="Arial"/>
          <w:sz w:val="16"/>
          <w:szCs w:val="16"/>
          <w:u w:val="single" w:color="auto"/>
          <w:color w:val="auto"/>
        </w:rPr>
        <w:t>2021 Plan</w:t>
      </w:r>
      <w:r>
        <w:rPr>
          <w:rFonts w:ascii="Arial" w:cs="Arial" w:eastAsia="Arial" w:hAnsi="Arial"/>
          <w:sz w:val="16"/>
          <w:szCs w:val="16"/>
          <w:color w:val="auto"/>
        </w:rPr>
        <w:t>”, and together with the 2016 Plan and the 2019 Plan, the “</w:t>
      </w:r>
      <w:r>
        <w:rPr>
          <w:rFonts w:ascii="Arial" w:cs="Arial" w:eastAsia="Arial" w:hAnsi="Arial"/>
          <w:sz w:val="16"/>
          <w:szCs w:val="16"/>
          <w:u w:val="single" w:color="auto"/>
          <w:color w:val="auto"/>
        </w:rPr>
        <w:t>Plans</w:t>
      </w:r>
      <w:r>
        <w:rPr>
          <w:rFonts w:ascii="Arial" w:cs="Arial" w:eastAsia="Arial" w:hAnsi="Arial"/>
          <w:sz w:val="16"/>
          <w:szCs w:val="16"/>
          <w:color w:val="auto"/>
        </w:rPr>
        <w:t>”, which Plans were assumed by the Company pursuant to an Agreement and Plan of Merger, by and among the Company, Iris Purchaser Inc., a Delaware corporation and a wholly owned subsidiary of the Company, and Oyster Point Pharma, Inc., a Delaware corporation).</w:t>
      </w:r>
    </w:p>
    <w:p>
      <w:pPr>
        <w:spacing w:after="0" w:line="164"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In that connection, we have examined originals, or copies certified or otherwise identified to our satisfaction, of such documents, corporate records and other instruments as we have deemed necessary or appropriate for the purposes of this opinion, including: (a) the Amended and Restated Certificate of Incorporation of the Company; (b) the Certificate of Amendment to the Amended and Restated Certificate of Incorporation of the Company; (c) the Amended and Restated Bylaws of the Company; (d) certain resolutions adopted by the Compensation Committee of the Board of Directors of the Company; and (e) the Plans. In expressing the opinions set forth herein, we have assumed, with your consent and without independent investigation or verification, the genuineness of all signatures, the legal capacity and competency of all natural persons, the authenticity of all documents submitted to us as originals and the conformity to authentic original documents of all documents submitted to us as duplicates or copies. We have relied, with respect to factual matters, on statements of public officials and officers and other representatives of the Company.</w:t>
      </w:r>
    </w:p>
    <w:p>
      <w:pPr>
        <w:spacing w:after="0" w:line="165"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Based on the foregoing and subject to the qualifications set forth herein, and subject to compliance with applicable state securities laws, we are of the opinion that the Shares, when and if issued pursuant to the terms of the applicable Plan, will be validly issued, fully paid and non-assessable.</w:t>
      </w:r>
    </w:p>
    <w:p>
      <w:pPr>
        <w:spacing w:after="0" w:line="12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are admitted to practice in the State of New York, and we express no opinion as to matters governed by any laws other than the General Corporation Law of the State of Delaware and the Federal laws of the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211455</wp:posOffset>
            </wp:positionV>
            <wp:extent cx="5623560" cy="925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5623560" cy="925830"/>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9" w:name="page10"/>
    <w:bookmarkEnd w:id="9"/>
    <w:p>
      <w:pPr>
        <w:ind w:right="2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 hereby consent to the filing of this opinion with the Commission as Exhibit 5.1 to the Registration Statement. In giving this consent, we do not hereby admit that we are within the category of persons whose consent is required under Section 7 of the Securities Act or the rules and regulations of the Commission promulgated thereunder.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Cravath, Swaine &amp; Moore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Viatris Inc.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1000 Mylan Boulevard</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Canonsburg, Pennsylvania 15317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500"/>
        <w:spacing w:after="0" w:line="263" w:lineRule="auto"/>
        <w:rPr>
          <w:sz w:val="20"/>
          <w:szCs w:val="20"/>
          <w:color w:val="auto"/>
        </w:rPr>
      </w:pPr>
      <w:r>
        <w:rPr>
          <w:rFonts w:ascii="Arial" w:cs="Arial" w:eastAsia="Arial" w:hAnsi="Arial"/>
          <w:sz w:val="18"/>
          <w:szCs w:val="18"/>
          <w:color w:val="auto"/>
        </w:rPr>
        <w:t>We consent to the incorporation by reference in this Registration Statement on Form S-8, of our reports dated February 27, 2023 relating to the consolidated financial statements of Viatris Inc. (the “Company”) and the effectiveness of the Company’s internal control over financial reporting, appearing in the Annual Report on Form 10-K of Viatris Inc. for the year ended December 31, 2022.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Pittsburgh,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 2023</w:t>
      </w:r>
    </w:p>
    <w:p>
      <w:pPr>
        <w:sectPr>
          <w:pgSz w:w="11900" w:h="16838" w:orient="portrait"/>
          <w:cols w:equalWidth="0" w:num="1">
            <w:col w:w="11020"/>
          </w:cols>
          <w:pgMar w:left="440" w:top="121" w:right="4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OYSTER POINT PHARMA, INC.</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2016 EQUITY INCENTIVE PLAN</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(as of February 13, 2019)</w:t>
      </w:r>
    </w:p>
    <w:p>
      <w:pPr>
        <w:spacing w:after="0" w:line="256" w:lineRule="exact"/>
        <w:rPr>
          <w:sz w:val="20"/>
          <w:szCs w:val="20"/>
          <w:color w:val="auto"/>
        </w:rPr>
      </w:pPr>
    </w:p>
    <w:p>
      <w:pPr>
        <w:ind w:left="424" w:hanging="424"/>
        <w:spacing w:after="0"/>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Purposes of the Plan</w:t>
      </w:r>
      <w:r>
        <w:rPr>
          <w:rFonts w:ascii="Arial" w:cs="Arial" w:eastAsia="Arial" w:hAnsi="Arial"/>
          <w:sz w:val="18"/>
          <w:szCs w:val="18"/>
          <w:color w:val="auto"/>
        </w:rPr>
        <w:t>. The purposes of this Plan are:</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1"/>
          <w:numId w:val="6"/>
        </w:numPr>
        <w:rPr>
          <w:rFonts w:ascii="Arial" w:cs="Arial" w:eastAsia="Arial" w:hAnsi="Arial"/>
          <w:sz w:val="18"/>
          <w:szCs w:val="18"/>
          <w:color w:val="auto"/>
        </w:rPr>
      </w:pPr>
      <w:r>
        <w:rPr>
          <w:rFonts w:ascii="Arial" w:cs="Arial" w:eastAsia="Arial" w:hAnsi="Arial"/>
          <w:sz w:val="18"/>
          <w:szCs w:val="18"/>
          <w:color w:val="auto"/>
        </w:rPr>
        <w:t>to attract and retain the best available personnel for positions of substantial responsibility,</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1"/>
          <w:numId w:val="6"/>
        </w:numPr>
        <w:rPr>
          <w:rFonts w:ascii="Arial" w:cs="Arial" w:eastAsia="Arial" w:hAnsi="Arial"/>
          <w:sz w:val="18"/>
          <w:szCs w:val="18"/>
          <w:color w:val="auto"/>
        </w:rPr>
      </w:pPr>
      <w:r>
        <w:rPr>
          <w:rFonts w:ascii="Arial" w:cs="Arial" w:eastAsia="Arial" w:hAnsi="Arial"/>
          <w:sz w:val="18"/>
          <w:szCs w:val="18"/>
          <w:color w:val="auto"/>
        </w:rPr>
        <w:t>to provide additional incentive to Employees, Directors and Consultants, and</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1"/>
          <w:numId w:val="6"/>
        </w:numPr>
        <w:rPr>
          <w:rFonts w:ascii="Arial" w:cs="Arial" w:eastAsia="Arial" w:hAnsi="Arial"/>
          <w:sz w:val="18"/>
          <w:szCs w:val="18"/>
          <w:color w:val="auto"/>
        </w:rPr>
      </w:pPr>
      <w:r>
        <w:rPr>
          <w:rFonts w:ascii="Arial" w:cs="Arial" w:eastAsia="Arial" w:hAnsi="Arial"/>
          <w:sz w:val="18"/>
          <w:szCs w:val="18"/>
          <w:color w:val="auto"/>
        </w:rPr>
        <w:t>to promote the success of the Company’s business.</w:t>
      </w:r>
    </w:p>
    <w:p>
      <w:pPr>
        <w:spacing w:after="0" w:line="225" w:lineRule="exact"/>
        <w:rPr>
          <w:sz w:val="20"/>
          <w:szCs w:val="20"/>
          <w:color w:val="auto"/>
        </w:rPr>
      </w:pPr>
    </w:p>
    <w:p>
      <w:pPr>
        <w:ind w:left="4" w:right="240" w:firstLine="440"/>
        <w:spacing w:after="0" w:line="277" w:lineRule="auto"/>
        <w:rPr>
          <w:sz w:val="20"/>
          <w:szCs w:val="20"/>
          <w:color w:val="auto"/>
        </w:rPr>
      </w:pPr>
      <w:r>
        <w:rPr>
          <w:rFonts w:ascii="Arial" w:cs="Arial" w:eastAsia="Arial" w:hAnsi="Arial"/>
          <w:sz w:val="18"/>
          <w:szCs w:val="18"/>
          <w:color w:val="auto"/>
        </w:rPr>
        <w:t>The Plan permits the grant of Incentive Stock Options, Nonstatutory Stock Options, Stock Appreciation Rights, Restricted Stock and Restricted Stock Units.</w:t>
      </w:r>
    </w:p>
    <w:p>
      <w:pPr>
        <w:spacing w:after="0" w:line="76" w:lineRule="exact"/>
        <w:rPr>
          <w:sz w:val="20"/>
          <w:szCs w:val="20"/>
          <w:color w:val="auto"/>
        </w:rPr>
      </w:pPr>
    </w:p>
    <w:p>
      <w:pPr>
        <w:ind w:left="424" w:hanging="424"/>
        <w:spacing w:after="0"/>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As used herein, the following definitions will apply:</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Administrator</w:t>
      </w:r>
      <w:r>
        <w:rPr>
          <w:rFonts w:ascii="Arial" w:cs="Arial" w:eastAsia="Arial" w:hAnsi="Arial"/>
          <w:sz w:val="17"/>
          <w:szCs w:val="17"/>
          <w:color w:val="auto"/>
        </w:rPr>
        <w:t>” means the Board or any of its Committees as will be administering the Plan, in accordance with Section 4 of the Plan.</w:t>
      </w:r>
    </w:p>
    <w:p>
      <w:pPr>
        <w:spacing w:after="0" w:line="142" w:lineRule="exact"/>
        <w:rPr>
          <w:rFonts w:ascii="Arial" w:cs="Arial" w:eastAsia="Arial" w:hAnsi="Arial"/>
          <w:sz w:val="17"/>
          <w:szCs w:val="17"/>
          <w:color w:val="auto"/>
        </w:rPr>
      </w:pPr>
    </w:p>
    <w:p>
      <w:pPr>
        <w:ind w:left="964" w:right="40" w:hanging="532"/>
        <w:spacing w:after="0" w:line="286" w:lineRule="auto"/>
        <w:tabs>
          <w:tab w:leader="none" w:pos="964" w:val="left"/>
        </w:tabs>
        <w:numPr>
          <w:ilvl w:val="1"/>
          <w:numId w:val="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Laws</w:t>
      </w:r>
      <w:r>
        <w:rPr>
          <w:rFonts w:ascii="Arial" w:cs="Arial" w:eastAsia="Arial" w:hAnsi="Arial"/>
          <w:sz w:val="17"/>
          <w:szCs w:val="17"/>
          <w:color w:val="auto"/>
        </w:rPr>
        <w:t>” means the requirements relating to the administration of equity-based awards under U.S. state corporate laws, U.S. federal and state securities laws, the Code, any stock exchange or quotation system on which the Common Stock is listed or quoted and the applicable laws of any foreign country or jurisdiction where Awards are, or will be, granted under the Plan.</w:t>
      </w:r>
    </w:p>
    <w:p>
      <w:pPr>
        <w:spacing w:after="0" w:line="70" w:lineRule="exact"/>
        <w:rPr>
          <w:rFonts w:ascii="Arial" w:cs="Arial" w:eastAsia="Arial" w:hAnsi="Arial"/>
          <w:sz w:val="17"/>
          <w:szCs w:val="17"/>
          <w:color w:val="auto"/>
        </w:rPr>
      </w:pPr>
    </w:p>
    <w:p>
      <w:pPr>
        <w:ind w:left="964" w:right="140" w:hanging="532"/>
        <w:spacing w:after="0" w:line="277" w:lineRule="auto"/>
        <w:tabs>
          <w:tab w:leader="none" w:pos="964" w:val="left"/>
        </w:tabs>
        <w:numPr>
          <w:ilvl w:val="1"/>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means, individually or collectively, a grant under the Plan of Options, Stock Appreciation Rights, Restricted Stock, or Restricted Stock Units.</w:t>
      </w:r>
    </w:p>
    <w:p>
      <w:pPr>
        <w:spacing w:after="0" w:line="75" w:lineRule="exact"/>
        <w:rPr>
          <w:rFonts w:ascii="Arial" w:cs="Arial" w:eastAsia="Arial" w:hAnsi="Arial"/>
          <w:sz w:val="18"/>
          <w:szCs w:val="18"/>
          <w:color w:val="auto"/>
        </w:rPr>
      </w:pPr>
    </w:p>
    <w:p>
      <w:pPr>
        <w:ind w:left="964" w:right="340" w:hanging="532"/>
        <w:spacing w:after="0" w:line="277" w:lineRule="auto"/>
        <w:tabs>
          <w:tab w:leader="none" w:pos="964" w:val="left"/>
        </w:tabs>
        <w:numPr>
          <w:ilvl w:val="1"/>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 Agreement</w:t>
      </w:r>
      <w:r>
        <w:rPr>
          <w:rFonts w:ascii="Arial" w:cs="Arial" w:eastAsia="Arial" w:hAnsi="Arial"/>
          <w:sz w:val="18"/>
          <w:szCs w:val="18"/>
          <w:color w:val="auto"/>
        </w:rPr>
        <w:t>” means the written or electronic agreement setting forth the terms and provisions applicable to each Award granted under the Plan. The Award Agreement is subject to the terms and conditions of the Plan.</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1"/>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the occurrence of any of the following events:</w:t>
      </w:r>
    </w:p>
    <w:p>
      <w:pPr>
        <w:spacing w:after="0" w:line="130" w:lineRule="exact"/>
        <w:rPr>
          <w:rFonts w:ascii="Arial" w:cs="Arial" w:eastAsia="Arial" w:hAnsi="Arial"/>
          <w:sz w:val="18"/>
          <w:szCs w:val="18"/>
          <w:color w:val="auto"/>
        </w:rPr>
      </w:pPr>
    </w:p>
    <w:p>
      <w:pPr>
        <w:ind w:left="1424" w:right="80" w:hanging="439"/>
        <w:spacing w:after="0" w:line="257" w:lineRule="auto"/>
        <w:tabs>
          <w:tab w:leader="none" w:pos="1424" w:val="left"/>
        </w:tabs>
        <w:numPr>
          <w:ilvl w:val="2"/>
          <w:numId w:val="7"/>
        </w:numPr>
        <w:rPr>
          <w:rFonts w:ascii="Arial" w:cs="Arial" w:eastAsia="Arial" w:hAnsi="Arial"/>
          <w:sz w:val="18"/>
          <w:szCs w:val="18"/>
          <w:color w:val="auto"/>
        </w:rPr>
      </w:pPr>
      <w:r>
        <w:rPr>
          <w:rFonts w:ascii="Arial" w:cs="Arial" w:eastAsia="Arial" w:hAnsi="Arial"/>
          <w:sz w:val="18"/>
          <w:szCs w:val="18"/>
          <w:u w:val="single" w:color="auto"/>
          <w:color w:val="auto"/>
        </w:rPr>
        <w:t>Change in Ownership of the Company</w:t>
      </w:r>
      <w:r>
        <w:rPr>
          <w:rFonts w:ascii="Arial" w:cs="Arial" w:eastAsia="Arial" w:hAnsi="Arial"/>
          <w:sz w:val="18"/>
          <w:szCs w:val="18"/>
          <w:color w:val="auto"/>
        </w:rPr>
        <w:t>. A change in the ownership of the Company which occurs on the date that any one person, or more than one person acting as a group (“Person”), acquires ownership of the stock of the Company that, together with the stock held by such Person, constitutes more than 50% of the total voting power of the stock of the Company, except that any change in the ownership of the stock of the Company as a result of a private financing of the Company that is approved by the Board will not be considered a Change in Control; or</w:t>
      </w:r>
    </w:p>
    <w:p>
      <w:pPr>
        <w:sectPr>
          <w:pgSz w:w="11900" w:h="16838" w:orient="portrait"/>
          <w:cols w:equalWidth="0" w:num="1">
            <w:col w:w="11024"/>
          </w:cols>
          <w:pgMar w:left="436" w:top="121" w:right="439" w:bottom="1440" w:gutter="0" w:footer="0" w:header="0"/>
        </w:sectPr>
      </w:pPr>
    </w:p>
    <w:bookmarkStart w:id="12" w:name="page13"/>
    <w:bookmarkEnd w:id="12"/>
    <w:p>
      <w:pPr>
        <w:ind w:left="1420" w:hanging="439"/>
        <w:spacing w:after="0" w:line="255" w:lineRule="auto"/>
        <w:tabs>
          <w:tab w:leader="none" w:pos="142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Change in Effective Control of the Company</w:t>
      </w:r>
      <w:r>
        <w:rPr>
          <w:rFonts w:ascii="Arial" w:cs="Arial" w:eastAsia="Arial" w:hAnsi="Arial"/>
          <w:sz w:val="18"/>
          <w:szCs w:val="18"/>
          <w:color w:val="auto"/>
        </w:rPr>
        <w:t>. If the Company has a class of securities registered pursuant to Section 12 of the Exchange Act,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clause (ii), if any Person is considered to be in effective control of the Company, the acquisition of additional control of the Company by the same Person will not be considered a Change in Control; or</w:t>
      </w:r>
    </w:p>
    <w:p>
      <w:pPr>
        <w:spacing w:after="0" w:line="97" w:lineRule="exact"/>
        <w:rPr>
          <w:rFonts w:ascii="Arial" w:cs="Arial" w:eastAsia="Arial" w:hAnsi="Arial"/>
          <w:sz w:val="18"/>
          <w:szCs w:val="18"/>
          <w:color w:val="auto"/>
        </w:rPr>
      </w:pPr>
    </w:p>
    <w:p>
      <w:pPr>
        <w:ind w:left="1420" w:hanging="439"/>
        <w:spacing w:after="0" w:line="293" w:lineRule="auto"/>
        <w:tabs>
          <w:tab w:leader="none" w:pos="1420"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Change in Ownership of a Substantial Portion of the Company’s Assets</w:t>
      </w:r>
      <w:r>
        <w:rPr>
          <w:rFonts w:ascii="Arial" w:cs="Arial" w:eastAsia="Arial" w:hAnsi="Arial"/>
          <w:sz w:val="16"/>
          <w:szCs w:val="16"/>
          <w:color w:val="auto"/>
        </w:rPr>
        <w:t>. 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50% of the total gross fair market value of all of the assets of the Company immediately prior to such acquisition or acquisitions. For purposes of this subsection (iii), gross fair market value means the value of the assets of the Company, or the value of the assets being disposed of, determined without regard to any liabilities associated with such assets.</w:t>
      </w:r>
    </w:p>
    <w:p>
      <w:pPr>
        <w:spacing w:after="0" w:line="164"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For purposes of this Section 2(f), persons will be considered to be acting as a group if they are owners of a corporation that enters into a merger, consolidation, purchase or acquisition of stock, or similar business transaction with the Company.</w:t>
      </w:r>
    </w:p>
    <w:p>
      <w:pPr>
        <w:spacing w:after="0" w:line="170" w:lineRule="exact"/>
        <w:rPr>
          <w:sz w:val="20"/>
          <w:szCs w:val="20"/>
          <w:color w:val="auto"/>
        </w:rPr>
      </w:pPr>
    </w:p>
    <w:p>
      <w:pPr>
        <w:jc w:val="both"/>
        <w:ind w:right="80" w:firstLine="440"/>
        <w:spacing w:after="0" w:line="286" w:lineRule="auto"/>
        <w:rPr>
          <w:sz w:val="20"/>
          <w:szCs w:val="20"/>
          <w:color w:val="auto"/>
        </w:rPr>
      </w:pPr>
      <w:r>
        <w:rPr>
          <w:rFonts w:ascii="Arial" w:cs="Arial" w:eastAsia="Arial" w:hAnsi="Arial"/>
          <w:sz w:val="17"/>
          <w:szCs w:val="17"/>
          <w:color w:val="auto"/>
        </w:rPr>
        <w:t>Notwithstanding the foregoing, a transaction will not be deemed a Change in Control unless the transaction qualifies as a change in control event within the meaning of Code Section 409A, as it has been and may be amended from time to time, and any proposed or final Treasury Regulations and Internal Revenue Service guidance that has been promulgated or may be promulgated thereunder from time to time.</w:t>
      </w:r>
    </w:p>
    <w:p>
      <w:pPr>
        <w:spacing w:after="0" w:line="165"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Further and for the avoidance of doubt, a transaction will not constitute a Change in Control if: (i) its sole purpose is to change the jurisdiction of the Company’s incorporation, or (ii) its sole purpose is to create a holding company that will be owned in substantially the same proportions by the persons who held the Company’s securities immediately before such transaction.</w:t>
      </w:r>
    </w:p>
    <w:p>
      <w:pPr>
        <w:spacing w:after="0" w:line="89" w:lineRule="exact"/>
        <w:rPr>
          <w:sz w:val="20"/>
          <w:szCs w:val="20"/>
          <w:color w:val="auto"/>
        </w:rPr>
      </w:pPr>
    </w:p>
    <w:p>
      <w:pPr>
        <w:ind w:left="960" w:right="220" w:hanging="532"/>
        <w:spacing w:after="0" w:line="277"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Any reference to a section of the Code herein will be a reference to any successor or amended section of the Code.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40" w:top="274" w:right="499" w:bottom="1440" w:gutter="0" w:footer="0" w:header="0"/>
        </w:sectPr>
      </w:pPr>
    </w:p>
    <w:bookmarkStart w:id="13" w:name="page14"/>
    <w:bookmarkEnd w:id="13"/>
    <w:p>
      <w:pPr>
        <w:ind w:left="540" w:right="580" w:hanging="532"/>
        <w:spacing w:after="0" w:line="277"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Committee</w:t>
      </w:r>
      <w:r>
        <w:rPr>
          <w:rFonts w:ascii="Arial" w:cs="Arial" w:eastAsia="Arial" w:hAnsi="Arial"/>
          <w:sz w:val="18"/>
          <w:szCs w:val="18"/>
          <w:color w:val="auto"/>
        </w:rPr>
        <w:t>” means a committee of Directors or of other individuals satisfying Applicable Laws appointed by the Board, or by the compensation committee of the Board, in accordance with Section 4 hereof.</w:t>
      </w:r>
    </w:p>
    <w:p>
      <w:pPr>
        <w:spacing w:after="0" w:line="75" w:lineRule="exact"/>
        <w:rPr>
          <w:rFonts w:ascii="Arial" w:cs="Arial" w:eastAsia="Arial" w:hAnsi="Arial"/>
          <w:sz w:val="18"/>
          <w:szCs w:val="18"/>
          <w:color w:val="auto"/>
        </w:rPr>
      </w:pPr>
    </w:p>
    <w:p>
      <w:pPr>
        <w:ind w:left="540" w:hanging="532"/>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of the Company.</w:t>
      </w:r>
    </w:p>
    <w:p>
      <w:pPr>
        <w:spacing w:after="0" w:line="130" w:lineRule="exact"/>
        <w:rPr>
          <w:rFonts w:ascii="Arial" w:cs="Arial" w:eastAsia="Arial" w:hAnsi="Arial"/>
          <w:sz w:val="18"/>
          <w:szCs w:val="18"/>
          <w:color w:val="auto"/>
        </w:rPr>
      </w:pPr>
    </w:p>
    <w:p>
      <w:pPr>
        <w:ind w:left="540" w:hanging="532"/>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Oyster Point Pharma, Inc., a Delaware corporation, or any successor thereto.</w:t>
      </w:r>
    </w:p>
    <w:p>
      <w:pPr>
        <w:spacing w:after="0" w:line="130" w:lineRule="exact"/>
        <w:rPr>
          <w:rFonts w:ascii="Arial" w:cs="Arial" w:eastAsia="Arial" w:hAnsi="Arial"/>
          <w:sz w:val="18"/>
          <w:szCs w:val="18"/>
          <w:color w:val="auto"/>
        </w:rPr>
      </w:pPr>
    </w:p>
    <w:p>
      <w:pPr>
        <w:ind w:left="540" w:hanging="532"/>
        <w:spacing w:after="0"/>
        <w:tabs>
          <w:tab w:leader="none" w:pos="5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Consultant</w:t>
      </w:r>
      <w:r>
        <w:rPr>
          <w:rFonts w:ascii="Arial" w:cs="Arial" w:eastAsia="Arial" w:hAnsi="Arial"/>
          <w:sz w:val="16"/>
          <w:szCs w:val="16"/>
          <w:color w:val="auto"/>
        </w:rPr>
        <w:t>” means any person, including an advisor, engaged by the Company or a Parent or Subsidiary to render services to such entity.</w:t>
      </w:r>
    </w:p>
    <w:p>
      <w:pPr>
        <w:spacing w:after="0" w:line="153" w:lineRule="exact"/>
        <w:rPr>
          <w:rFonts w:ascii="Arial" w:cs="Arial" w:eastAsia="Arial" w:hAnsi="Arial"/>
          <w:sz w:val="16"/>
          <w:szCs w:val="16"/>
          <w:color w:val="auto"/>
        </w:rPr>
      </w:pPr>
    </w:p>
    <w:p>
      <w:pPr>
        <w:ind w:left="540" w:hanging="532"/>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w:t>
      </w:r>
      <w:r>
        <w:rPr>
          <w:rFonts w:ascii="Arial" w:cs="Arial" w:eastAsia="Arial" w:hAnsi="Arial"/>
          <w:sz w:val="18"/>
          <w:szCs w:val="18"/>
          <w:color w:val="auto"/>
        </w:rPr>
        <w:t>” means a member of the Board.</w:t>
      </w:r>
    </w:p>
    <w:p>
      <w:pPr>
        <w:spacing w:after="0" w:line="130" w:lineRule="exact"/>
        <w:rPr>
          <w:rFonts w:ascii="Arial" w:cs="Arial" w:eastAsia="Arial" w:hAnsi="Arial"/>
          <w:sz w:val="18"/>
          <w:szCs w:val="18"/>
          <w:color w:val="auto"/>
        </w:rPr>
      </w:pPr>
    </w:p>
    <w:p>
      <w:pPr>
        <w:ind w:left="540" w:right="200" w:hanging="532"/>
        <w:spacing w:after="0" w:line="286" w:lineRule="auto"/>
        <w:tabs>
          <w:tab w:leader="none" w:pos="5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Disability</w:t>
      </w:r>
      <w:r>
        <w:rPr>
          <w:rFonts w:ascii="Arial" w:cs="Arial" w:eastAsia="Arial" w:hAnsi="Arial"/>
          <w:sz w:val="17"/>
          <w:szCs w:val="17"/>
          <w:color w:val="auto"/>
        </w:rPr>
        <w:t>” means total and permanent disability as defined in Code Section 22(e)(3), provided that in the case of Awards other than Incentive Stock Options, the Administrator in its discretion may determine whether a permanent and total disability exists in accordance with uniform and non-discriminatory standards adopted by the Administrator from time to time.</w:t>
      </w:r>
    </w:p>
    <w:p>
      <w:pPr>
        <w:spacing w:after="0" w:line="70" w:lineRule="exact"/>
        <w:rPr>
          <w:rFonts w:ascii="Arial" w:cs="Arial" w:eastAsia="Arial" w:hAnsi="Arial"/>
          <w:sz w:val="17"/>
          <w:szCs w:val="17"/>
          <w:color w:val="auto"/>
        </w:rPr>
      </w:pPr>
    </w:p>
    <w:p>
      <w:pPr>
        <w:ind w:left="540" w:right="120" w:hanging="532"/>
        <w:spacing w:after="0" w:line="263"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w:t>
      </w:r>
      <w:r>
        <w:rPr>
          <w:rFonts w:ascii="Arial" w:cs="Arial" w:eastAsia="Arial" w:hAnsi="Arial"/>
          <w:sz w:val="18"/>
          <w:szCs w:val="18"/>
          <w:color w:val="auto"/>
        </w:rPr>
        <w:t>” means any person, including officers and Directors, employed by the Company or any Parent or Subsidiary of the Company. Neither service as a Director nor payment of a director’s fee by the Company will be sufficient to constitute “employment” by the Company.</w:t>
      </w:r>
    </w:p>
    <w:p>
      <w:pPr>
        <w:spacing w:after="0" w:line="89" w:lineRule="exact"/>
        <w:rPr>
          <w:rFonts w:ascii="Arial" w:cs="Arial" w:eastAsia="Arial" w:hAnsi="Arial"/>
          <w:sz w:val="18"/>
          <w:szCs w:val="18"/>
          <w:color w:val="auto"/>
        </w:rPr>
      </w:pPr>
    </w:p>
    <w:p>
      <w:pPr>
        <w:ind w:left="540" w:hanging="532"/>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w:t>
      </w:r>
    </w:p>
    <w:p>
      <w:pPr>
        <w:spacing w:after="0" w:line="130" w:lineRule="exact"/>
        <w:rPr>
          <w:rFonts w:ascii="Arial" w:cs="Arial" w:eastAsia="Arial" w:hAnsi="Arial"/>
          <w:sz w:val="18"/>
          <w:szCs w:val="18"/>
          <w:color w:val="auto"/>
        </w:rPr>
      </w:pPr>
    </w:p>
    <w:p>
      <w:pPr>
        <w:ind w:left="540" w:right="100" w:hanging="532"/>
        <w:spacing w:after="0" w:line="257"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Program</w:t>
      </w:r>
      <w:r>
        <w:rPr>
          <w:rFonts w:ascii="Arial" w:cs="Arial" w:eastAsia="Arial" w:hAnsi="Arial"/>
          <w:sz w:val="18"/>
          <w:szCs w:val="18"/>
          <w:color w:val="auto"/>
        </w:rPr>
        <w:t>” means a program under which (i) outstanding Awards are surrendered or cancelled in exchange for Awards of the same type (which may have higher or lower exercise prices and different terms), Awards of a different type, and/or cash, (ii) Participants would have the opportunity to transfer any outstanding Awards to a financial institution or other person or entity selected by the Administrator, and/or (iii) the exercise price of an outstanding Award is reduced or increased. The Administrator will determine the terms and conditions of any Exchange Program in its sole discretion.</w:t>
      </w:r>
    </w:p>
    <w:p>
      <w:pPr>
        <w:spacing w:after="0" w:line="93" w:lineRule="exact"/>
        <w:rPr>
          <w:rFonts w:ascii="Arial" w:cs="Arial" w:eastAsia="Arial" w:hAnsi="Arial"/>
          <w:sz w:val="18"/>
          <w:szCs w:val="18"/>
          <w:color w:val="auto"/>
        </w:rPr>
      </w:pPr>
    </w:p>
    <w:p>
      <w:pPr>
        <w:ind w:left="540" w:hanging="532"/>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 as of any date, the value of Common Stock determined as follows:</w:t>
      </w:r>
    </w:p>
    <w:p>
      <w:pPr>
        <w:spacing w:after="0" w:line="130" w:lineRule="exact"/>
        <w:rPr>
          <w:rFonts w:ascii="Arial" w:cs="Arial" w:eastAsia="Arial" w:hAnsi="Arial"/>
          <w:sz w:val="18"/>
          <w:szCs w:val="18"/>
          <w:color w:val="auto"/>
        </w:rPr>
      </w:pPr>
    </w:p>
    <w:p>
      <w:pPr>
        <w:ind w:left="1000" w:hanging="439"/>
        <w:spacing w:after="0" w:line="301" w:lineRule="auto"/>
        <w:tabs>
          <w:tab w:leader="none" w:pos="10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 xml:space="preserve">If the Common Stock is listed on any established stock exchange or a national market system, including without limitation the Nasdaq Global Select Market, the Nasdaq Global Market or the Nasdaq Capital Market of The Nasdaq Stock Market, its Fair Market Value will be the closing sales price for such stock (or the closing bid, if no sales were reported) as quoted on such exchange or system on the day of determination, as reported in </w:t>
      </w:r>
      <w:r>
        <w:rPr>
          <w:rFonts w:ascii="Arial" w:cs="Arial" w:eastAsia="Arial" w:hAnsi="Arial"/>
          <w:sz w:val="16"/>
          <w:szCs w:val="16"/>
          <w:i w:val="1"/>
          <w:iCs w:val="1"/>
          <w:color w:val="auto"/>
        </w:rPr>
        <w:t>The Wall Street Journal</w:t>
      </w:r>
      <w:r>
        <w:rPr>
          <w:rFonts w:ascii="Arial" w:cs="Arial" w:eastAsia="Arial" w:hAnsi="Arial"/>
          <w:sz w:val="16"/>
          <w:szCs w:val="16"/>
          <w:color w:val="auto"/>
        </w:rPr>
        <w:t xml:space="preserve"> or such other source as the Administrator deems reliable;</w:t>
      </w:r>
    </w:p>
    <w:p>
      <w:pPr>
        <w:spacing w:after="0" w:line="90"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60"/>
          </w:cols>
          <w:pgMar w:left="860" w:top="274" w:right="479" w:bottom="1440" w:gutter="0" w:footer="0" w:header="0"/>
        </w:sectPr>
      </w:pPr>
    </w:p>
    <w:bookmarkStart w:id="14" w:name="page15"/>
    <w:bookmarkEnd w:id="14"/>
    <w:p>
      <w:pPr>
        <w:jc w:val="both"/>
        <w:ind w:left="1000" w:right="20" w:hanging="439"/>
        <w:spacing w:after="0" w:line="279" w:lineRule="auto"/>
        <w:tabs>
          <w:tab w:leader="none" w:pos="1000" w:val="left"/>
        </w:tabs>
        <w:numPr>
          <w:ilvl w:val="1"/>
          <w:numId w:val="1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the Common Stock is regularly quoted by a recognized securities dealer but selling prices are not reported, the Fair Market Value of a Share will be the mean between the high bid and low asked prices for the Common Stock on the day of determination (or, if no bids and asks were reported on that date, as applicable, on the last trading date such bids and asks were reported), as reported in </w:t>
      </w:r>
      <w:r>
        <w:rPr>
          <w:rFonts w:ascii="Arial" w:cs="Arial" w:eastAsia="Arial" w:hAnsi="Arial"/>
          <w:sz w:val="17"/>
          <w:szCs w:val="17"/>
          <w:i w:val="1"/>
          <w:iCs w:val="1"/>
          <w:color w:val="auto"/>
        </w:rPr>
        <w:t>The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Wall Street Journal </w:t>
      </w:r>
      <w:r>
        <w:rPr>
          <w:rFonts w:ascii="Arial" w:cs="Arial" w:eastAsia="Arial" w:hAnsi="Arial"/>
          <w:sz w:val="17"/>
          <w:szCs w:val="17"/>
          <w:color w:val="auto"/>
        </w:rPr>
        <w:t>or such other source as the Administrator deems reliable; or</w:t>
      </w:r>
    </w:p>
    <w:p>
      <w:pPr>
        <w:spacing w:after="0" w:line="76" w:lineRule="exact"/>
        <w:rPr>
          <w:rFonts w:ascii="Arial" w:cs="Arial" w:eastAsia="Arial" w:hAnsi="Arial"/>
          <w:sz w:val="17"/>
          <w:szCs w:val="17"/>
          <w:color w:val="auto"/>
        </w:rPr>
      </w:pPr>
    </w:p>
    <w:p>
      <w:pPr>
        <w:ind w:left="1000" w:right="500" w:hanging="439"/>
        <w:spacing w:after="0" w:line="277" w:lineRule="auto"/>
        <w:tabs>
          <w:tab w:leader="none" w:pos="10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In the absence of an established market for the Common Stock, the Fair Market Value will be determined in good faith by the Administrator.</w:t>
      </w:r>
    </w:p>
    <w:p>
      <w:pPr>
        <w:spacing w:after="0" w:line="75" w:lineRule="exact"/>
        <w:rPr>
          <w:rFonts w:ascii="Arial" w:cs="Arial" w:eastAsia="Arial" w:hAnsi="Arial"/>
          <w:sz w:val="18"/>
          <w:szCs w:val="18"/>
          <w:color w:val="auto"/>
        </w:rPr>
      </w:pPr>
    </w:p>
    <w:p>
      <w:pPr>
        <w:ind w:left="540" w:right="360" w:hanging="532"/>
        <w:spacing w:after="0" w:line="277"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Incentive Stock Option</w:t>
      </w:r>
      <w:r>
        <w:rPr>
          <w:rFonts w:ascii="Arial" w:cs="Arial" w:eastAsia="Arial" w:hAnsi="Arial"/>
          <w:sz w:val="18"/>
          <w:szCs w:val="18"/>
          <w:color w:val="auto"/>
        </w:rPr>
        <w:t>” means an Option that by its terms qualifies and is otherwise intended to qualify as an incentive stock option within the meaning of Code Section 422 and the regulations promulgated thereunder.</w:t>
      </w:r>
    </w:p>
    <w:p>
      <w:pPr>
        <w:spacing w:after="0" w:line="75" w:lineRule="exact"/>
        <w:rPr>
          <w:rFonts w:ascii="Arial" w:cs="Arial" w:eastAsia="Arial" w:hAnsi="Arial"/>
          <w:sz w:val="18"/>
          <w:szCs w:val="18"/>
          <w:color w:val="auto"/>
        </w:rPr>
      </w:pPr>
    </w:p>
    <w:p>
      <w:pPr>
        <w:ind w:left="540" w:hanging="532"/>
        <w:spacing w:after="0"/>
        <w:tabs>
          <w:tab w:leader="none" w:pos="5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Nonstatutory Stock Option</w:t>
      </w:r>
      <w:r>
        <w:rPr>
          <w:rFonts w:ascii="Arial" w:cs="Arial" w:eastAsia="Arial" w:hAnsi="Arial"/>
          <w:sz w:val="16"/>
          <w:szCs w:val="16"/>
          <w:color w:val="auto"/>
        </w:rPr>
        <w:t>” means an Option that by its terms does not qualify or is not intended to qualify as an Incentive Stock Option.</w:t>
      </w:r>
    </w:p>
    <w:p>
      <w:pPr>
        <w:spacing w:after="0" w:line="153" w:lineRule="exact"/>
        <w:rPr>
          <w:rFonts w:ascii="Arial" w:cs="Arial" w:eastAsia="Arial" w:hAnsi="Arial"/>
          <w:sz w:val="16"/>
          <w:szCs w:val="16"/>
          <w:color w:val="auto"/>
        </w:rPr>
      </w:pPr>
    </w:p>
    <w:p>
      <w:pPr>
        <w:ind w:left="540" w:hanging="532"/>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w:t>
      </w:r>
      <w:r>
        <w:rPr>
          <w:rFonts w:ascii="Arial" w:cs="Arial" w:eastAsia="Arial" w:hAnsi="Arial"/>
          <w:sz w:val="18"/>
          <w:szCs w:val="18"/>
          <w:color w:val="auto"/>
        </w:rPr>
        <w:t>” means a stock option granted pursuant to the Plan.</w:t>
      </w:r>
    </w:p>
    <w:p>
      <w:pPr>
        <w:spacing w:after="0" w:line="130" w:lineRule="exact"/>
        <w:rPr>
          <w:rFonts w:ascii="Arial" w:cs="Arial" w:eastAsia="Arial" w:hAnsi="Arial"/>
          <w:sz w:val="18"/>
          <w:szCs w:val="18"/>
          <w:color w:val="auto"/>
        </w:rPr>
      </w:pPr>
    </w:p>
    <w:p>
      <w:pPr>
        <w:ind w:left="540" w:hanging="532"/>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means a “parent corporation,” whether now or hereafter existing, as defined in Code Section 424(e).</w:t>
      </w:r>
    </w:p>
    <w:p>
      <w:pPr>
        <w:spacing w:after="0" w:line="130" w:lineRule="exact"/>
        <w:rPr>
          <w:rFonts w:ascii="Arial" w:cs="Arial" w:eastAsia="Arial" w:hAnsi="Arial"/>
          <w:sz w:val="18"/>
          <w:szCs w:val="18"/>
          <w:color w:val="auto"/>
        </w:rPr>
      </w:pPr>
    </w:p>
    <w:p>
      <w:pPr>
        <w:ind w:left="540" w:hanging="532"/>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the holder of an outstanding Award.</w:t>
      </w:r>
    </w:p>
    <w:p>
      <w:pPr>
        <w:spacing w:after="0" w:line="130" w:lineRule="exact"/>
        <w:rPr>
          <w:rFonts w:ascii="Arial" w:cs="Arial" w:eastAsia="Arial" w:hAnsi="Arial"/>
          <w:sz w:val="18"/>
          <w:szCs w:val="18"/>
          <w:color w:val="auto"/>
        </w:rPr>
      </w:pPr>
    </w:p>
    <w:p>
      <w:pPr>
        <w:jc w:val="both"/>
        <w:ind w:left="540" w:right="140" w:hanging="532"/>
        <w:spacing w:after="0" w:line="286" w:lineRule="auto"/>
        <w:tabs>
          <w:tab w:leader="none" w:pos="5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Period of Restriction</w:t>
      </w:r>
      <w:r>
        <w:rPr>
          <w:rFonts w:ascii="Arial" w:cs="Arial" w:eastAsia="Arial" w:hAnsi="Arial"/>
          <w:sz w:val="17"/>
          <w:szCs w:val="17"/>
          <w:color w:val="auto"/>
        </w:rPr>
        <w:t>” means the period during which the transfer of Shares of Restricted Stock are subject to restrictions and therefore, the Shares are subject to a substantial risk of forfeiture. Such restrictions may be based on the passage of time, the achievement of target levels of performance, or the occurrence of other events as determined by the Administrator.</w:t>
      </w:r>
    </w:p>
    <w:p>
      <w:pPr>
        <w:spacing w:after="0" w:line="70" w:lineRule="exact"/>
        <w:rPr>
          <w:rFonts w:ascii="Arial" w:cs="Arial" w:eastAsia="Arial" w:hAnsi="Arial"/>
          <w:sz w:val="17"/>
          <w:szCs w:val="17"/>
          <w:color w:val="auto"/>
        </w:rPr>
      </w:pPr>
    </w:p>
    <w:p>
      <w:pPr>
        <w:ind w:left="540" w:hanging="532"/>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this 2016 Equity Incentive Plan.</w:t>
      </w:r>
    </w:p>
    <w:p>
      <w:pPr>
        <w:spacing w:after="0" w:line="130" w:lineRule="exact"/>
        <w:rPr>
          <w:rFonts w:ascii="Arial" w:cs="Arial" w:eastAsia="Arial" w:hAnsi="Arial"/>
          <w:sz w:val="18"/>
          <w:szCs w:val="18"/>
          <w:color w:val="auto"/>
        </w:rPr>
      </w:pPr>
    </w:p>
    <w:p>
      <w:pPr>
        <w:ind w:left="540" w:right="240" w:hanging="532"/>
        <w:spacing w:after="0" w:line="277"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w:t>
      </w:r>
      <w:r>
        <w:rPr>
          <w:rFonts w:ascii="Arial" w:cs="Arial" w:eastAsia="Arial" w:hAnsi="Arial"/>
          <w:sz w:val="18"/>
          <w:szCs w:val="18"/>
          <w:color w:val="auto"/>
        </w:rPr>
        <w:t>” means Shares issued pursuant to an Award of Restricted Stock under Section 8 of the Plan, or issued pursuant to the early exercise of an Option.</w:t>
      </w:r>
    </w:p>
    <w:p>
      <w:pPr>
        <w:spacing w:after="0" w:line="75" w:lineRule="exact"/>
        <w:rPr>
          <w:rFonts w:ascii="Arial" w:cs="Arial" w:eastAsia="Arial" w:hAnsi="Arial"/>
          <w:sz w:val="18"/>
          <w:szCs w:val="18"/>
          <w:color w:val="auto"/>
        </w:rPr>
      </w:pPr>
    </w:p>
    <w:p>
      <w:pPr>
        <w:ind w:left="540" w:right="20" w:hanging="532"/>
        <w:spacing w:after="0" w:line="308" w:lineRule="auto"/>
        <w:tabs>
          <w:tab w:leader="none" w:pos="5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Restricted Stock Unit</w:t>
      </w:r>
      <w:r>
        <w:rPr>
          <w:rFonts w:ascii="Arial" w:cs="Arial" w:eastAsia="Arial" w:hAnsi="Arial"/>
          <w:sz w:val="17"/>
          <w:szCs w:val="17"/>
          <w:color w:val="auto"/>
        </w:rPr>
        <w:t>” means a bookkeeping entry representing an amount equal to the Fair Market Value of one Share, granted pursuant to Section 9. Each Restricted Stock Unit represents an unfunded and unsecured obligation of the Company.</w:t>
      </w:r>
    </w:p>
    <w:p>
      <w:pPr>
        <w:spacing w:after="0" w:line="52" w:lineRule="exact"/>
        <w:rPr>
          <w:sz w:val="20"/>
          <w:szCs w:val="20"/>
          <w:color w:val="auto"/>
        </w:rPr>
      </w:pPr>
    </w:p>
    <w:p>
      <w:pPr>
        <w:ind w:left="540" w:hanging="532"/>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 Provider</w:t>
      </w:r>
      <w:r>
        <w:rPr>
          <w:rFonts w:ascii="Arial" w:cs="Arial" w:eastAsia="Arial" w:hAnsi="Arial"/>
          <w:sz w:val="18"/>
          <w:szCs w:val="18"/>
          <w:color w:val="auto"/>
        </w:rPr>
        <w:t>” means an Employee, Director or Consultant.</w:t>
      </w:r>
    </w:p>
    <w:p>
      <w:pPr>
        <w:spacing w:after="0" w:line="130" w:lineRule="exact"/>
        <w:rPr>
          <w:rFonts w:ascii="Arial" w:cs="Arial" w:eastAsia="Arial" w:hAnsi="Arial"/>
          <w:sz w:val="18"/>
          <w:szCs w:val="18"/>
          <w:color w:val="auto"/>
        </w:rPr>
      </w:pPr>
    </w:p>
    <w:p>
      <w:pPr>
        <w:ind w:left="540" w:hanging="532"/>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w:t>
      </w:r>
      <w:r>
        <w:rPr>
          <w:rFonts w:ascii="Arial" w:cs="Arial" w:eastAsia="Arial" w:hAnsi="Arial"/>
          <w:sz w:val="18"/>
          <w:szCs w:val="18"/>
          <w:color w:val="auto"/>
        </w:rPr>
        <w:t>” means a share of the Common Stock, as adjusted in accordance with Section 13 of the Plan.</w:t>
      </w:r>
    </w:p>
    <w:p>
      <w:pPr>
        <w:spacing w:after="0" w:line="130" w:lineRule="exact"/>
        <w:rPr>
          <w:rFonts w:ascii="Arial" w:cs="Arial" w:eastAsia="Arial" w:hAnsi="Arial"/>
          <w:sz w:val="18"/>
          <w:szCs w:val="18"/>
          <w:color w:val="auto"/>
        </w:rPr>
      </w:pPr>
    </w:p>
    <w:p>
      <w:pPr>
        <w:ind w:left="540" w:right="100" w:hanging="532"/>
        <w:spacing w:after="0" w:line="277"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Appreciation Right</w:t>
      </w:r>
      <w:r>
        <w:rPr>
          <w:rFonts w:ascii="Arial" w:cs="Arial" w:eastAsia="Arial" w:hAnsi="Arial"/>
          <w:sz w:val="18"/>
          <w:szCs w:val="18"/>
          <w:color w:val="auto"/>
        </w:rPr>
        <w:t>” means an Award, granted alone or in connection with an Option, that pursuant to Section 7 is designated as a Stock Appreciation Right.</w:t>
      </w:r>
    </w:p>
    <w:p>
      <w:pPr>
        <w:spacing w:after="0" w:line="75" w:lineRule="exact"/>
        <w:rPr>
          <w:rFonts w:ascii="Arial" w:cs="Arial" w:eastAsia="Arial" w:hAnsi="Arial"/>
          <w:sz w:val="18"/>
          <w:szCs w:val="18"/>
          <w:color w:val="auto"/>
        </w:rPr>
      </w:pPr>
    </w:p>
    <w:p>
      <w:pPr>
        <w:ind w:left="540" w:hanging="532"/>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 “subsidiary corporation,” whether now or hereafter existing, as defined in Code Section 424(f).</w:t>
      </w:r>
    </w:p>
    <w:p>
      <w:pPr>
        <w:spacing w:after="0" w:line="158"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20"/>
          </w:cols>
          <w:pgMar w:left="860" w:top="274" w:right="519" w:bottom="1440" w:gutter="0" w:footer="0" w:header="0"/>
        </w:sectPr>
      </w:pPr>
    </w:p>
    <w:bookmarkStart w:id="15" w:name="page16"/>
    <w:bookmarkEnd w:id="15"/>
    <w:p>
      <w:pPr>
        <w:ind w:left="424" w:hanging="424"/>
        <w:spacing w:after="0"/>
        <w:tabs>
          <w:tab w:leader="none" w:pos="424"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Stock Subject to the Plan.</w:t>
      </w:r>
    </w:p>
    <w:p>
      <w:pPr>
        <w:spacing w:after="0" w:line="130" w:lineRule="exact"/>
        <w:rPr>
          <w:rFonts w:ascii="Arial" w:cs="Arial" w:eastAsia="Arial" w:hAnsi="Arial"/>
          <w:sz w:val="18"/>
          <w:szCs w:val="18"/>
          <w:color w:val="auto"/>
        </w:rPr>
      </w:pPr>
    </w:p>
    <w:p>
      <w:pPr>
        <w:ind w:left="964" w:right="100" w:hanging="532"/>
        <w:spacing w:after="0" w:line="342" w:lineRule="auto"/>
        <w:tabs>
          <w:tab w:leader="none" w:pos="964" w:val="left"/>
        </w:tabs>
        <w:numPr>
          <w:ilvl w:val="1"/>
          <w:numId w:val="14"/>
        </w:numPr>
        <w:rPr>
          <w:rFonts w:ascii="Arial" w:cs="Arial" w:eastAsia="Arial" w:hAnsi="Arial"/>
          <w:sz w:val="16"/>
          <w:szCs w:val="16"/>
          <w:color w:val="auto"/>
        </w:rPr>
      </w:pPr>
      <w:r>
        <w:rPr>
          <w:rFonts w:ascii="Arial" w:cs="Arial" w:eastAsia="Arial" w:hAnsi="Arial"/>
          <w:sz w:val="16"/>
          <w:szCs w:val="16"/>
          <w:u w:val="single" w:color="auto"/>
          <w:color w:val="auto"/>
        </w:rPr>
        <w:t>Stock Subject to the Plan</w:t>
      </w:r>
      <w:r>
        <w:rPr>
          <w:rFonts w:ascii="Arial" w:cs="Arial" w:eastAsia="Arial" w:hAnsi="Arial"/>
          <w:sz w:val="16"/>
          <w:szCs w:val="16"/>
          <w:color w:val="auto"/>
        </w:rPr>
        <w:t>. Subject to the provisions of Section 13 of the Plan, the maximum aggregate number of Shares that may be subject to Awards and sold under the Plan is 7,801,347 Shares. The Shares may be authorized but unissued, or reacquired Common Stock.</w:t>
      </w:r>
    </w:p>
    <w:p>
      <w:pPr>
        <w:spacing w:after="0" w:line="29" w:lineRule="exact"/>
        <w:rPr>
          <w:rFonts w:ascii="Arial" w:cs="Arial" w:eastAsia="Arial" w:hAnsi="Arial"/>
          <w:sz w:val="16"/>
          <w:szCs w:val="16"/>
          <w:color w:val="auto"/>
        </w:rPr>
      </w:pPr>
    </w:p>
    <w:p>
      <w:pPr>
        <w:ind w:left="964" w:right="20" w:hanging="532"/>
        <w:spacing w:after="0" w:line="268" w:lineRule="auto"/>
        <w:tabs>
          <w:tab w:leader="none" w:pos="964" w:val="left"/>
        </w:tabs>
        <w:numPr>
          <w:ilvl w:val="1"/>
          <w:numId w:val="14"/>
        </w:numPr>
        <w:rPr>
          <w:rFonts w:ascii="Arial" w:cs="Arial" w:eastAsia="Arial" w:hAnsi="Arial"/>
          <w:sz w:val="17"/>
          <w:szCs w:val="17"/>
          <w:color w:val="auto"/>
        </w:rPr>
      </w:pPr>
      <w:r>
        <w:rPr>
          <w:rFonts w:ascii="Arial" w:cs="Arial" w:eastAsia="Arial" w:hAnsi="Arial"/>
          <w:sz w:val="17"/>
          <w:szCs w:val="17"/>
          <w:u w:val="single" w:color="auto"/>
          <w:color w:val="auto"/>
        </w:rPr>
        <w:t>Lapsed Awards</w:t>
      </w:r>
      <w:r>
        <w:rPr>
          <w:rFonts w:ascii="Arial" w:cs="Arial" w:eastAsia="Arial" w:hAnsi="Arial"/>
          <w:sz w:val="17"/>
          <w:szCs w:val="17"/>
          <w:color w:val="auto"/>
        </w:rPr>
        <w:t>. If an Award expires or becomes unexercisable without having been exercised in full, is surrendered pursuant to an Exchange Program, or, with respect to Restricted Stock or Restricted Stock Units, is forfeited to or repurchased by the Company due to the failure to vest, the unpurchased Shares (or for Awards other than Options or Stock Appreciation Rights the forfeited or repurchased Shares) which were subject thereto will become available for future grant or sale under the Plan (unless the Plan has terminated). With respect to Stock Appreciation Rights, only Shares actually issued pursuant to a Stock Appreciation Right will cease to be available under the Plan; all remaining Shares under Stock Appreciation Rights will remain available for future grant or sale under the Plan (unless the Plan has terminated). Shares that have actually been issued under the Plan under any Award will not be returned to the Plan and will not become available for future distribution under the Plan; provided, however, that if Shares issued pursuant to Awards of Restricted Stock or Restricted Stock Units are repurchased by the Company or are forfeited to the Company due to the failure to vest, such Shares will become available for future grant under the Plan. Shares used to pay the exercise price of an Award or to satisfy the tax withholding obligations related to an Award will become available for future grant or sale under the Plan. To the extent an Award under the Plan is paid out in cash rather than Shares, such cash payment will not result in reducing the number of Shares available for issuance under the Plan. Notwithstanding the foregoing and, subject to adjustment as provided in Section 13, the maximum number of Shares that may be issued upon the exercise of Incentive Stock Options will equal the aggregate Share number stated in Section 3(a), plus, to the extent allowable under Code Section 422 and the Treasury Regulations promulgated thereunder, any Shares that become available for issuance under the Plan pursuant to Section 3(b).</w:t>
      </w:r>
    </w:p>
    <w:p>
      <w:pPr>
        <w:spacing w:after="0" w:line="85" w:lineRule="exact"/>
        <w:rPr>
          <w:rFonts w:ascii="Arial" w:cs="Arial" w:eastAsia="Arial" w:hAnsi="Arial"/>
          <w:sz w:val="17"/>
          <w:szCs w:val="17"/>
          <w:color w:val="auto"/>
        </w:rPr>
      </w:pPr>
    </w:p>
    <w:p>
      <w:pPr>
        <w:ind w:left="964" w:right="280" w:hanging="532"/>
        <w:spacing w:after="0" w:line="277" w:lineRule="auto"/>
        <w:tabs>
          <w:tab w:leader="none" w:pos="964" w:val="left"/>
        </w:tabs>
        <w:numPr>
          <w:ilvl w:val="1"/>
          <w:numId w:val="14"/>
        </w:numPr>
        <w:rPr>
          <w:rFonts w:ascii="Arial" w:cs="Arial" w:eastAsia="Arial" w:hAnsi="Arial"/>
          <w:sz w:val="18"/>
          <w:szCs w:val="18"/>
          <w:color w:val="auto"/>
        </w:rPr>
      </w:pPr>
      <w:r>
        <w:rPr>
          <w:rFonts w:ascii="Arial" w:cs="Arial" w:eastAsia="Arial" w:hAnsi="Arial"/>
          <w:sz w:val="18"/>
          <w:szCs w:val="18"/>
          <w:u w:val="single" w:color="auto"/>
          <w:color w:val="auto"/>
        </w:rPr>
        <w:t>Share Reserve</w:t>
      </w:r>
      <w:r>
        <w:rPr>
          <w:rFonts w:ascii="Arial" w:cs="Arial" w:eastAsia="Arial" w:hAnsi="Arial"/>
          <w:sz w:val="18"/>
          <w:szCs w:val="18"/>
          <w:color w:val="auto"/>
        </w:rPr>
        <w:t>. The Company, during the term of this Plan, will at all times reserve and keep available such number of Shares as will be sufficient to satisfy the requirements of the Plan.</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Administration of the Plan.</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14"/>
        </w:numPr>
        <w:rPr>
          <w:rFonts w:ascii="Arial" w:cs="Arial" w:eastAsia="Arial" w:hAnsi="Arial"/>
          <w:sz w:val="18"/>
          <w:szCs w:val="18"/>
          <w:color w:val="auto"/>
        </w:rPr>
      </w:pPr>
      <w:r>
        <w:rPr>
          <w:rFonts w:ascii="Arial" w:cs="Arial" w:eastAsia="Arial" w:hAnsi="Arial"/>
          <w:sz w:val="18"/>
          <w:szCs w:val="18"/>
          <w:color w:val="auto"/>
        </w:rPr>
        <w:t>Procedure.</w:t>
      </w:r>
    </w:p>
    <w:p>
      <w:pPr>
        <w:spacing w:after="0" w:line="130" w:lineRule="exact"/>
        <w:rPr>
          <w:rFonts w:ascii="Arial" w:cs="Arial" w:eastAsia="Arial" w:hAnsi="Arial"/>
          <w:sz w:val="18"/>
          <w:szCs w:val="18"/>
          <w:color w:val="auto"/>
        </w:rPr>
      </w:pPr>
    </w:p>
    <w:p>
      <w:pPr>
        <w:ind w:left="5404" w:hanging="4419"/>
        <w:spacing w:after="0" w:line="449" w:lineRule="auto"/>
        <w:tabs>
          <w:tab w:leader="none" w:pos="1418" w:val="left"/>
        </w:tabs>
        <w:numPr>
          <w:ilvl w:val="2"/>
          <w:numId w:val="14"/>
        </w:numPr>
        <w:rPr>
          <w:rFonts w:ascii="Arial" w:cs="Arial" w:eastAsia="Arial" w:hAnsi="Arial"/>
          <w:sz w:val="18"/>
          <w:szCs w:val="18"/>
          <w:color w:val="auto"/>
        </w:rPr>
      </w:pPr>
      <w:r>
        <w:rPr>
          <w:rFonts w:ascii="Arial" w:cs="Arial" w:eastAsia="Arial" w:hAnsi="Arial"/>
          <w:sz w:val="18"/>
          <w:szCs w:val="18"/>
          <w:u w:val="single" w:color="auto"/>
          <w:color w:val="auto"/>
        </w:rPr>
        <w:t>Multiple Administrative Bodies</w:t>
      </w:r>
      <w:r>
        <w:rPr>
          <w:rFonts w:ascii="Arial" w:cs="Arial" w:eastAsia="Arial" w:hAnsi="Arial"/>
          <w:sz w:val="18"/>
          <w:szCs w:val="18"/>
          <w:color w:val="auto"/>
        </w:rPr>
        <w:t>. Different Committees with respect to different groups of Service Providers may administer the Plan. -5-</w:t>
      </w:r>
    </w:p>
    <w:p>
      <w:pPr>
        <w:sectPr>
          <w:pgSz w:w="11900" w:h="16838" w:orient="portrait"/>
          <w:cols w:equalWidth="0" w:num="1">
            <w:col w:w="11024"/>
          </w:cols>
          <w:pgMar w:left="436" w:top="274" w:right="439" w:bottom="1440" w:gutter="0" w:footer="0" w:header="0"/>
        </w:sectPr>
      </w:pPr>
    </w:p>
    <w:bookmarkStart w:id="16" w:name="page17"/>
    <w:bookmarkEnd w:id="16"/>
    <w:p>
      <w:pPr>
        <w:ind w:left="1000" w:right="320" w:hanging="439"/>
        <w:spacing w:after="0" w:line="277" w:lineRule="auto"/>
        <w:tabs>
          <w:tab w:leader="none" w:pos="1000" w:val="left"/>
        </w:tabs>
        <w:numPr>
          <w:ilvl w:val="1"/>
          <w:numId w:val="1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Administration</w:t>
      </w:r>
      <w:r>
        <w:rPr>
          <w:rFonts w:ascii="Arial" w:cs="Arial" w:eastAsia="Arial" w:hAnsi="Arial"/>
          <w:sz w:val="18"/>
          <w:szCs w:val="18"/>
          <w:color w:val="auto"/>
        </w:rPr>
        <w:t>. Other than as provided above, the Plan will be administered by (A) the Board or (B) a Committee, which Committee will be constituted to satisfy Applicable Laws.</w:t>
      </w:r>
    </w:p>
    <w:p>
      <w:pPr>
        <w:spacing w:after="0" w:line="75" w:lineRule="exact"/>
        <w:rPr>
          <w:rFonts w:ascii="Arial" w:cs="Arial" w:eastAsia="Arial" w:hAnsi="Arial"/>
          <w:sz w:val="18"/>
          <w:szCs w:val="18"/>
          <w:color w:val="auto"/>
        </w:rPr>
      </w:pPr>
    </w:p>
    <w:p>
      <w:pPr>
        <w:ind w:left="540" w:right="20" w:hanging="532"/>
        <w:spacing w:after="0" w:line="277"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Powers of the Administrator</w:t>
      </w:r>
      <w:r>
        <w:rPr>
          <w:rFonts w:ascii="Arial" w:cs="Arial" w:eastAsia="Arial" w:hAnsi="Arial"/>
          <w:sz w:val="18"/>
          <w:szCs w:val="18"/>
          <w:color w:val="auto"/>
        </w:rPr>
        <w:t>. Subject to the provisions of the Plan, and in the case of a Committee, subject to the specific duties delegated by the Board to such Committee, the Administrator will have the authority, in its discretion:</w:t>
      </w:r>
    </w:p>
    <w:p>
      <w:pPr>
        <w:spacing w:after="0" w:line="75" w:lineRule="exact"/>
        <w:rPr>
          <w:rFonts w:ascii="Arial" w:cs="Arial" w:eastAsia="Arial" w:hAnsi="Arial"/>
          <w:sz w:val="18"/>
          <w:szCs w:val="18"/>
          <w:color w:val="auto"/>
        </w:rPr>
      </w:pPr>
    </w:p>
    <w:p>
      <w:pPr>
        <w:ind w:left="1000" w:hanging="439"/>
        <w:spacing w:after="0"/>
        <w:tabs>
          <w:tab w:leader="none" w:pos="10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to determine the Fair Market Value;</w:t>
      </w:r>
    </w:p>
    <w:p>
      <w:pPr>
        <w:spacing w:after="0" w:line="131" w:lineRule="exact"/>
        <w:rPr>
          <w:sz w:val="20"/>
          <w:szCs w:val="20"/>
          <w:color w:val="auto"/>
        </w:rPr>
      </w:pPr>
    </w:p>
    <w:p>
      <w:pPr>
        <w:ind w:left="1000" w:hanging="439"/>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select the Service Providers to whom Awards may be granted hereunder;</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determine the number of Shares to be covered by each Award granted hereunder;</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approve forms of Award Agreements for use under the Plan;</w:t>
      </w:r>
    </w:p>
    <w:p>
      <w:pPr>
        <w:spacing w:after="0" w:line="130" w:lineRule="exact"/>
        <w:rPr>
          <w:rFonts w:ascii="Arial" w:cs="Arial" w:eastAsia="Arial" w:hAnsi="Arial"/>
          <w:sz w:val="18"/>
          <w:szCs w:val="18"/>
          <w:color w:val="auto"/>
        </w:rPr>
      </w:pPr>
    </w:p>
    <w:p>
      <w:pPr>
        <w:jc w:val="both"/>
        <w:ind w:left="1000" w:right="20" w:hanging="439"/>
        <w:spacing w:after="0" w:line="301" w:lineRule="auto"/>
        <w:tabs>
          <w:tab w:leader="none" w:pos="10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to determine the terms and conditions, not inconsistent with the terms of the Plan, of any Award granted hereunder. Such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thereto, based in each case on such factors as the Administrator will determine;</w:t>
      </w:r>
    </w:p>
    <w:p>
      <w:pPr>
        <w:spacing w:after="0" w:line="62" w:lineRule="exact"/>
        <w:rPr>
          <w:rFonts w:ascii="Arial" w:cs="Arial" w:eastAsia="Arial" w:hAnsi="Arial"/>
          <w:sz w:val="16"/>
          <w:szCs w:val="16"/>
          <w:color w:val="auto"/>
        </w:rPr>
      </w:pPr>
    </w:p>
    <w:p>
      <w:pPr>
        <w:ind w:left="1000" w:hanging="439"/>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institute and determine the terms and conditions of an Exchange Program;</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construe and interpret the terms of the Plan and Awards granted pursuant to the Plan;</w:t>
      </w:r>
    </w:p>
    <w:p>
      <w:pPr>
        <w:spacing w:after="0" w:line="130" w:lineRule="exact"/>
        <w:rPr>
          <w:rFonts w:ascii="Arial" w:cs="Arial" w:eastAsia="Arial" w:hAnsi="Arial"/>
          <w:sz w:val="18"/>
          <w:szCs w:val="18"/>
          <w:color w:val="auto"/>
        </w:rPr>
      </w:pPr>
    </w:p>
    <w:p>
      <w:pPr>
        <w:jc w:val="both"/>
        <w:ind w:left="1000" w:right="440" w:hanging="439"/>
        <w:spacing w:after="0" w:line="263"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prescribe, amend and rescind rules and regulations relating to the Plan, including rules and regulations relating to sub-plans established for the purpose of satisfying applicable foreign laws or for qualifying for favorable tax treatment under applicable foreign laws;</w:t>
      </w:r>
    </w:p>
    <w:p>
      <w:pPr>
        <w:spacing w:after="0" w:line="89" w:lineRule="exact"/>
        <w:rPr>
          <w:rFonts w:ascii="Arial" w:cs="Arial" w:eastAsia="Arial" w:hAnsi="Arial"/>
          <w:sz w:val="18"/>
          <w:szCs w:val="18"/>
          <w:color w:val="auto"/>
        </w:rPr>
      </w:pPr>
    </w:p>
    <w:p>
      <w:pPr>
        <w:ind w:left="1000" w:hanging="439"/>
        <w:spacing w:after="0" w:line="342" w:lineRule="auto"/>
        <w:tabs>
          <w:tab w:leader="none" w:pos="10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to modify or amend each Award (subject to Section 18(c) of the Plan), including but not limited to the discretionary authority to extend the post-termination exercisability period of Awards and to extend the maximum term of an Option (subject to Section 6(d));</w:t>
      </w:r>
    </w:p>
    <w:p>
      <w:pPr>
        <w:spacing w:after="0" w:line="29" w:lineRule="exact"/>
        <w:rPr>
          <w:rFonts w:ascii="Arial" w:cs="Arial" w:eastAsia="Arial" w:hAnsi="Arial"/>
          <w:sz w:val="16"/>
          <w:szCs w:val="16"/>
          <w:color w:val="auto"/>
        </w:rPr>
      </w:pPr>
    </w:p>
    <w:p>
      <w:pPr>
        <w:ind w:left="1000" w:hanging="439"/>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allow Participants to satisfy withholding tax obligations in a manner prescribed in Section 14;</w:t>
      </w:r>
    </w:p>
    <w:p>
      <w:pPr>
        <w:spacing w:after="0" w:line="158"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00"/>
          </w:cols>
          <w:pgMar w:left="860" w:top="274" w:right="539" w:bottom="1440" w:gutter="0" w:footer="0" w:header="0"/>
        </w:sectPr>
      </w:pPr>
    </w:p>
    <w:bookmarkStart w:id="17" w:name="page18"/>
    <w:bookmarkEnd w:id="17"/>
    <w:p>
      <w:pPr>
        <w:ind w:left="1424" w:right="400" w:hanging="439"/>
        <w:spacing w:after="0" w:line="277" w:lineRule="auto"/>
        <w:tabs>
          <w:tab w:leader="none" w:pos="1424" w:val="left"/>
        </w:tabs>
        <w:numPr>
          <w:ilvl w:val="3"/>
          <w:numId w:val="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authorize any person to execute on behalf of the Company any instrument required to effect the grant of an Award previously granted by the Administrator;</w:t>
      </w:r>
    </w:p>
    <w:p>
      <w:pPr>
        <w:spacing w:after="0" w:line="75" w:lineRule="exact"/>
        <w:rPr>
          <w:rFonts w:ascii="Arial" w:cs="Arial" w:eastAsia="Arial" w:hAnsi="Arial"/>
          <w:sz w:val="18"/>
          <w:szCs w:val="18"/>
          <w:color w:val="auto"/>
        </w:rPr>
      </w:pPr>
    </w:p>
    <w:p>
      <w:pPr>
        <w:ind w:left="1424" w:right="520" w:hanging="439"/>
        <w:spacing w:after="0" w:line="277" w:lineRule="auto"/>
        <w:tabs>
          <w:tab w:leader="none" w:pos="1424" w:val="left"/>
        </w:tabs>
        <w:numPr>
          <w:ilvl w:val="3"/>
          <w:numId w:val="18"/>
        </w:numPr>
        <w:rPr>
          <w:rFonts w:ascii="Arial" w:cs="Arial" w:eastAsia="Arial" w:hAnsi="Arial"/>
          <w:sz w:val="18"/>
          <w:szCs w:val="18"/>
          <w:color w:val="auto"/>
        </w:rPr>
      </w:pPr>
      <w:r>
        <w:rPr>
          <w:rFonts w:ascii="Arial" w:cs="Arial" w:eastAsia="Arial" w:hAnsi="Arial"/>
          <w:sz w:val="18"/>
          <w:szCs w:val="18"/>
          <w:color w:val="auto"/>
        </w:rPr>
        <w:t>to allow a Participant to defer the receipt of the payment of cash or the delivery of Shares that otherwise would be due to such Participant under an Award; and</w:t>
      </w:r>
    </w:p>
    <w:p>
      <w:pPr>
        <w:spacing w:after="0" w:line="75" w:lineRule="exact"/>
        <w:rPr>
          <w:rFonts w:ascii="Arial" w:cs="Arial" w:eastAsia="Arial" w:hAnsi="Arial"/>
          <w:sz w:val="18"/>
          <w:szCs w:val="18"/>
          <w:color w:val="auto"/>
        </w:rPr>
      </w:pPr>
    </w:p>
    <w:p>
      <w:pPr>
        <w:ind w:left="1424" w:hanging="439"/>
        <w:spacing w:after="0"/>
        <w:tabs>
          <w:tab w:leader="none" w:pos="1424" w:val="left"/>
        </w:tabs>
        <w:numPr>
          <w:ilvl w:val="3"/>
          <w:numId w:val="18"/>
        </w:numPr>
        <w:rPr>
          <w:rFonts w:ascii="Arial" w:cs="Arial" w:eastAsia="Arial" w:hAnsi="Arial"/>
          <w:sz w:val="18"/>
          <w:szCs w:val="18"/>
          <w:color w:val="auto"/>
        </w:rPr>
      </w:pPr>
      <w:r>
        <w:rPr>
          <w:rFonts w:ascii="Arial" w:cs="Arial" w:eastAsia="Arial" w:hAnsi="Arial"/>
          <w:sz w:val="18"/>
          <w:szCs w:val="18"/>
          <w:color w:val="auto"/>
        </w:rPr>
        <w:t>to make all other determinations deemed necessary or advisable for administering the Plan.</w:t>
      </w:r>
    </w:p>
    <w:p>
      <w:pPr>
        <w:spacing w:after="0" w:line="130" w:lineRule="exact"/>
        <w:rPr>
          <w:rFonts w:ascii="Arial" w:cs="Arial" w:eastAsia="Arial" w:hAnsi="Arial"/>
          <w:sz w:val="18"/>
          <w:szCs w:val="18"/>
          <w:color w:val="auto"/>
        </w:rPr>
      </w:pPr>
    </w:p>
    <w:p>
      <w:pPr>
        <w:ind w:left="964" w:right="460" w:hanging="532"/>
        <w:spacing w:after="0" w:line="277" w:lineRule="auto"/>
        <w:tabs>
          <w:tab w:leader="none" w:pos="964"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Effect of Administrator’s Decision</w:t>
      </w:r>
      <w:r>
        <w:rPr>
          <w:rFonts w:ascii="Arial" w:cs="Arial" w:eastAsia="Arial" w:hAnsi="Arial"/>
          <w:sz w:val="18"/>
          <w:szCs w:val="18"/>
          <w:color w:val="auto"/>
        </w:rPr>
        <w:t>. The Administrator’s decisions, determinations and interpretations will be final and binding on all Participants and any other holders of Awards.</w:t>
      </w:r>
    </w:p>
    <w:p>
      <w:pPr>
        <w:spacing w:after="0" w:line="75" w:lineRule="exact"/>
        <w:rPr>
          <w:rFonts w:ascii="Arial" w:cs="Arial" w:eastAsia="Arial" w:hAnsi="Arial"/>
          <w:sz w:val="18"/>
          <w:szCs w:val="18"/>
          <w:color w:val="auto"/>
        </w:rPr>
      </w:pPr>
    </w:p>
    <w:p>
      <w:pPr>
        <w:ind w:left="424" w:right="540" w:hanging="424"/>
        <w:spacing w:after="0" w:line="277" w:lineRule="auto"/>
        <w:tabs>
          <w:tab w:leader="none" w:pos="424"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 Nonstatutory Stock Options, Stock Appreciation Rights, Restricted Stock, and Restricted Stock Units may be granted to Service Providers. Incentive Stock Options may be granted only to Employees.</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Stock Options.</w:t>
      </w:r>
    </w:p>
    <w:p>
      <w:pPr>
        <w:spacing w:after="0" w:line="130" w:lineRule="exact"/>
        <w:rPr>
          <w:rFonts w:ascii="Arial" w:cs="Arial" w:eastAsia="Arial" w:hAnsi="Arial"/>
          <w:sz w:val="18"/>
          <w:szCs w:val="18"/>
          <w:color w:val="auto"/>
        </w:rPr>
      </w:pPr>
    </w:p>
    <w:p>
      <w:pPr>
        <w:ind w:left="964" w:right="80" w:hanging="532"/>
        <w:spacing w:after="0" w:line="277" w:lineRule="auto"/>
        <w:tabs>
          <w:tab w:leader="none" w:pos="964" w:val="left"/>
        </w:tabs>
        <w:numPr>
          <w:ilvl w:val="1"/>
          <w:numId w:val="20"/>
        </w:numPr>
        <w:rPr>
          <w:rFonts w:ascii="Arial" w:cs="Arial" w:eastAsia="Arial" w:hAnsi="Arial"/>
          <w:sz w:val="18"/>
          <w:szCs w:val="18"/>
          <w:color w:val="auto"/>
        </w:rPr>
      </w:pPr>
      <w:r>
        <w:rPr>
          <w:rFonts w:ascii="Arial" w:cs="Arial" w:eastAsia="Arial" w:hAnsi="Arial"/>
          <w:sz w:val="18"/>
          <w:szCs w:val="18"/>
          <w:u w:val="single" w:color="auto"/>
          <w:color w:val="auto"/>
        </w:rPr>
        <w:t>Grant of Options</w:t>
      </w:r>
      <w:r>
        <w:rPr>
          <w:rFonts w:ascii="Arial" w:cs="Arial" w:eastAsia="Arial" w:hAnsi="Arial"/>
          <w:sz w:val="18"/>
          <w:szCs w:val="18"/>
          <w:color w:val="auto"/>
        </w:rPr>
        <w:t>. Subject to the terms and provisions of the Plan, the Administrator, at any time and from time to time, may grant Options in such amounts as the Administrator, in its sole discretion, will determine.</w:t>
      </w:r>
    </w:p>
    <w:p>
      <w:pPr>
        <w:spacing w:after="0" w:line="75" w:lineRule="exact"/>
        <w:rPr>
          <w:rFonts w:ascii="Arial" w:cs="Arial" w:eastAsia="Arial" w:hAnsi="Arial"/>
          <w:sz w:val="18"/>
          <w:szCs w:val="18"/>
          <w:color w:val="auto"/>
        </w:rPr>
      </w:pPr>
    </w:p>
    <w:p>
      <w:pPr>
        <w:ind w:left="964" w:hanging="532"/>
        <w:spacing w:after="0" w:line="263" w:lineRule="auto"/>
        <w:tabs>
          <w:tab w:leader="none" w:pos="964" w:val="left"/>
        </w:tabs>
        <w:numPr>
          <w:ilvl w:val="1"/>
          <w:numId w:val="20"/>
        </w:numPr>
        <w:rPr>
          <w:rFonts w:ascii="Arial" w:cs="Arial" w:eastAsia="Arial" w:hAnsi="Arial"/>
          <w:sz w:val="18"/>
          <w:szCs w:val="18"/>
          <w:color w:val="auto"/>
        </w:rPr>
      </w:pPr>
      <w:r>
        <w:rPr>
          <w:rFonts w:ascii="Arial" w:cs="Arial" w:eastAsia="Arial" w:hAnsi="Arial"/>
          <w:sz w:val="18"/>
          <w:szCs w:val="18"/>
          <w:u w:val="single" w:color="auto"/>
          <w:color w:val="auto"/>
        </w:rPr>
        <w:t>Option Agreement</w:t>
      </w:r>
      <w:r>
        <w:rPr>
          <w:rFonts w:ascii="Arial" w:cs="Arial" w:eastAsia="Arial" w:hAnsi="Arial"/>
          <w:sz w:val="18"/>
          <w:szCs w:val="18"/>
          <w:color w:val="auto"/>
        </w:rPr>
        <w:t>. Each Award of an Option will be evidenced by an Award Agreement that will specify the exercise price, the term of the Option, the number of Shares subject to the Option, the exercise restrictions, if any, applicable to the Option, and such other terms and conditions as the Administrator, in its sole discretion, will determine.</w:t>
      </w:r>
    </w:p>
    <w:p>
      <w:pPr>
        <w:spacing w:after="0" w:line="89" w:lineRule="exact"/>
        <w:rPr>
          <w:rFonts w:ascii="Arial" w:cs="Arial" w:eastAsia="Arial" w:hAnsi="Arial"/>
          <w:sz w:val="18"/>
          <w:szCs w:val="18"/>
          <w:color w:val="auto"/>
        </w:rPr>
      </w:pPr>
    </w:p>
    <w:p>
      <w:pPr>
        <w:ind w:left="964" w:right="120" w:hanging="532"/>
        <w:spacing w:after="0" w:line="291" w:lineRule="auto"/>
        <w:tabs>
          <w:tab w:leader="none" w:pos="964" w:val="left"/>
        </w:tabs>
        <w:numPr>
          <w:ilvl w:val="1"/>
          <w:numId w:val="20"/>
        </w:numPr>
        <w:rPr>
          <w:rFonts w:ascii="Arial" w:cs="Arial" w:eastAsia="Arial" w:hAnsi="Arial"/>
          <w:sz w:val="16"/>
          <w:szCs w:val="16"/>
          <w:color w:val="auto"/>
        </w:rPr>
      </w:pPr>
      <w:r>
        <w:rPr>
          <w:rFonts w:ascii="Arial" w:cs="Arial" w:eastAsia="Arial" w:hAnsi="Arial"/>
          <w:sz w:val="16"/>
          <w:szCs w:val="16"/>
          <w:u w:val="single" w:color="auto"/>
          <w:color w:val="auto"/>
        </w:rPr>
        <w:t>Limitations</w:t>
      </w:r>
      <w:r>
        <w:rPr>
          <w:rFonts w:ascii="Arial" w:cs="Arial" w:eastAsia="Arial" w:hAnsi="Arial"/>
          <w:sz w:val="16"/>
          <w:szCs w:val="16"/>
          <w:color w:val="auto"/>
        </w:rPr>
        <w:t>. Each Option will be designated in the Award Agreement as either an Incentive Stock Option or a Nonstatutory Stock Option. Notwithstanding such designation, however, to the extent that the aggregate Fair Market Value of the Shares with respect to which Incentive Stock Options are exercisable for the first time by the Participant during any calendar year (under all plans of the Company and any Parent or Subsidiary) exceeds one hundred thousand dollars ($100,000), such Options will be treated as Nonstatutory Stock Options. For purposes of this Section 6(c), Incentive Stock Options will be taken into account in the order in which they were granted, the Fair Market Value of the Shares will be determined as of the time the Option with respect to such Shares is granted, and calculation will be performed in accordance with Code Section 422 and Treasury Regulations promulgated thereunder.</w:t>
      </w:r>
    </w:p>
    <w:p>
      <w:pPr>
        <w:spacing w:after="0" w:line="71" w:lineRule="exact"/>
        <w:rPr>
          <w:rFonts w:ascii="Arial" w:cs="Arial" w:eastAsia="Arial" w:hAnsi="Arial"/>
          <w:sz w:val="16"/>
          <w:szCs w:val="16"/>
          <w:color w:val="auto"/>
        </w:rPr>
      </w:pPr>
    </w:p>
    <w:p>
      <w:pPr>
        <w:ind w:left="964" w:hanging="532"/>
        <w:spacing w:after="0"/>
        <w:tabs>
          <w:tab w:leader="none" w:pos="964" w:val="left"/>
        </w:tabs>
        <w:numPr>
          <w:ilvl w:val="1"/>
          <w:numId w:val="20"/>
        </w:numPr>
        <w:rPr>
          <w:rFonts w:ascii="Arial" w:cs="Arial" w:eastAsia="Arial" w:hAnsi="Arial"/>
          <w:sz w:val="16"/>
          <w:szCs w:val="16"/>
          <w:color w:val="auto"/>
        </w:rPr>
      </w:pPr>
      <w:r>
        <w:rPr>
          <w:rFonts w:ascii="Arial" w:cs="Arial" w:eastAsia="Arial" w:hAnsi="Arial"/>
          <w:sz w:val="16"/>
          <w:szCs w:val="16"/>
          <w:u w:val="single" w:color="auto"/>
          <w:color w:val="auto"/>
        </w:rPr>
        <w:t>Term of Option</w:t>
      </w:r>
      <w:r>
        <w:rPr>
          <w:rFonts w:ascii="Arial" w:cs="Arial" w:eastAsia="Arial" w:hAnsi="Arial"/>
          <w:sz w:val="16"/>
          <w:szCs w:val="16"/>
          <w:color w:val="auto"/>
        </w:rPr>
        <w:t>. The term of each Option will be stated in the Award Agreement; provided, however, that the term will be no more than ten</w:t>
      </w:r>
    </w:p>
    <w:p>
      <w:pPr>
        <w:spacing w:after="0" w:line="46" w:lineRule="exact"/>
        <w:rPr>
          <w:rFonts w:ascii="Arial" w:cs="Arial" w:eastAsia="Arial" w:hAnsi="Arial"/>
          <w:sz w:val="16"/>
          <w:szCs w:val="16"/>
          <w:color w:val="auto"/>
        </w:rPr>
      </w:pPr>
    </w:p>
    <w:p>
      <w:pPr>
        <w:ind w:left="964" w:right="40" w:firstLine="8"/>
        <w:spacing w:after="0" w:line="253" w:lineRule="auto"/>
        <w:tabs>
          <w:tab w:leader="none" w:pos="1309" w:val="left"/>
        </w:tabs>
        <w:numPr>
          <w:ilvl w:val="2"/>
          <w:numId w:val="20"/>
        </w:numPr>
        <w:rPr>
          <w:rFonts w:ascii="Arial" w:cs="Arial" w:eastAsia="Arial" w:hAnsi="Arial"/>
          <w:sz w:val="18"/>
          <w:szCs w:val="18"/>
          <w:color w:val="auto"/>
        </w:rPr>
      </w:pPr>
      <w:r>
        <w:rPr>
          <w:rFonts w:ascii="Arial" w:cs="Arial" w:eastAsia="Arial" w:hAnsi="Arial"/>
          <w:sz w:val="18"/>
          <w:szCs w:val="18"/>
          <w:color w:val="auto"/>
        </w:rPr>
        <w:t>years from the date of grant thereof. In the case of an Incentive Stock Option granted to a Participant who, at the time the Incentive Stock Option is granted, owns stock representing more than ten percent (10%) of the total combined voting power of all classes of stock of the Company or any Parent or Subsidiary, the term of the Incentive Stock Option will be five (5) years from the date of grant or such shorter term as may be provided in the Award Agreement.</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274" w:right="459" w:bottom="1440" w:gutter="0" w:footer="0" w:header="0"/>
        </w:sectPr>
      </w:pPr>
    </w:p>
    <w:bookmarkStart w:id="18" w:name="page19"/>
    <w:bookmarkEnd w:id="18"/>
    <w:p>
      <w:pPr>
        <w:ind w:left="540" w:hanging="532"/>
        <w:spacing w:after="0"/>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Option Exercise Price and Consideration.</w:t>
      </w:r>
    </w:p>
    <w:p>
      <w:pPr>
        <w:spacing w:after="0" w:line="130" w:lineRule="exact"/>
        <w:rPr>
          <w:rFonts w:ascii="Arial" w:cs="Arial" w:eastAsia="Arial" w:hAnsi="Arial"/>
          <w:sz w:val="18"/>
          <w:szCs w:val="18"/>
          <w:color w:val="auto"/>
        </w:rPr>
      </w:pPr>
    </w:p>
    <w:p>
      <w:pPr>
        <w:ind w:left="1000" w:right="20" w:hanging="439"/>
        <w:spacing w:after="0" w:line="271" w:lineRule="auto"/>
        <w:tabs>
          <w:tab w:leader="none" w:pos="1000" w:val="left"/>
        </w:tabs>
        <w:numPr>
          <w:ilvl w:val="1"/>
          <w:numId w:val="21"/>
        </w:numPr>
        <w:rPr>
          <w:rFonts w:ascii="Arial" w:cs="Arial" w:eastAsia="Arial" w:hAnsi="Arial"/>
          <w:sz w:val="17"/>
          <w:szCs w:val="17"/>
          <w:color w:val="auto"/>
        </w:rPr>
      </w:pPr>
      <w:r>
        <w:rPr>
          <w:rFonts w:ascii="Arial" w:cs="Arial" w:eastAsia="Arial" w:hAnsi="Arial"/>
          <w:sz w:val="17"/>
          <w:szCs w:val="17"/>
          <w:u w:val="single" w:color="auto"/>
          <w:color w:val="auto"/>
        </w:rPr>
        <w:t>Exercise Price</w:t>
      </w:r>
      <w:r>
        <w:rPr>
          <w:rFonts w:ascii="Arial" w:cs="Arial" w:eastAsia="Arial" w:hAnsi="Arial"/>
          <w:sz w:val="17"/>
          <w:szCs w:val="17"/>
          <w:color w:val="auto"/>
        </w:rPr>
        <w:t>. The per Share exercise price for the Shares to be issued pursuant to the exercise of an Option will be determined by the Administrator, but will be no less than one hundred percent (100%) of the Fair Market Value per Share on the date of grant. In addition, in the case of an Incentive Stock Option granted to an Employee who owns stock representing more than ten percent (10%) of the voting power of all classes of stock of the Company or any Parent or Subsidiary, the per Share exercise price will be no less than one hundred ten percent (110%) of the Fair Market Value per Share on the date of grant. Notwithstanding the foregoing provisions of this Section 6(e)(i), Options may be granted with a per Share exercise price of less than one hundred percent (100%) of the Fair Market Value per Share on the date of grant pursuant to a transaction described in, and in a manner consistent with, Code Section 424(a).</w:t>
      </w:r>
    </w:p>
    <w:p>
      <w:pPr>
        <w:spacing w:after="0" w:line="83" w:lineRule="exact"/>
        <w:rPr>
          <w:rFonts w:ascii="Arial" w:cs="Arial" w:eastAsia="Arial" w:hAnsi="Arial"/>
          <w:sz w:val="17"/>
          <w:szCs w:val="17"/>
          <w:color w:val="auto"/>
        </w:rPr>
      </w:pPr>
    </w:p>
    <w:p>
      <w:pPr>
        <w:ind w:left="1000" w:right="180" w:hanging="439"/>
        <w:spacing w:after="0" w:line="308" w:lineRule="auto"/>
        <w:tabs>
          <w:tab w:leader="none" w:pos="1000" w:val="left"/>
        </w:tabs>
        <w:numPr>
          <w:ilvl w:val="1"/>
          <w:numId w:val="21"/>
        </w:numPr>
        <w:rPr>
          <w:rFonts w:ascii="Arial" w:cs="Arial" w:eastAsia="Arial" w:hAnsi="Arial"/>
          <w:sz w:val="17"/>
          <w:szCs w:val="17"/>
          <w:color w:val="auto"/>
        </w:rPr>
      </w:pPr>
      <w:r>
        <w:rPr>
          <w:rFonts w:ascii="Arial" w:cs="Arial" w:eastAsia="Arial" w:hAnsi="Arial"/>
          <w:sz w:val="17"/>
          <w:szCs w:val="17"/>
          <w:u w:val="single" w:color="auto"/>
          <w:color w:val="auto"/>
        </w:rPr>
        <w:t>Waiting Period and Exercise Dates</w:t>
      </w:r>
      <w:r>
        <w:rPr>
          <w:rFonts w:ascii="Arial" w:cs="Arial" w:eastAsia="Arial" w:hAnsi="Arial"/>
          <w:sz w:val="17"/>
          <w:szCs w:val="17"/>
          <w:color w:val="auto"/>
        </w:rPr>
        <w:t>. At the time an Option is granted, the Administrator will fix the period within which the Option may be exercised and will determine any conditions that must be satisfied before the Option may be exercised.</w:t>
      </w:r>
    </w:p>
    <w:p>
      <w:pPr>
        <w:spacing w:after="0" w:line="51" w:lineRule="exact"/>
        <w:rPr>
          <w:rFonts w:ascii="Arial" w:cs="Arial" w:eastAsia="Arial" w:hAnsi="Arial"/>
          <w:sz w:val="17"/>
          <w:szCs w:val="17"/>
          <w:color w:val="auto"/>
        </w:rPr>
      </w:pPr>
    </w:p>
    <w:p>
      <w:pPr>
        <w:ind w:left="1000" w:hanging="439"/>
        <w:spacing w:after="0" w:line="284" w:lineRule="auto"/>
        <w:tabs>
          <w:tab w:leader="none" w:pos="1000" w:val="left"/>
        </w:tabs>
        <w:numPr>
          <w:ilvl w:val="1"/>
          <w:numId w:val="21"/>
        </w:numPr>
        <w:rPr>
          <w:rFonts w:ascii="Arial" w:cs="Arial" w:eastAsia="Arial" w:hAnsi="Arial"/>
          <w:sz w:val="16"/>
          <w:szCs w:val="16"/>
          <w:color w:val="auto"/>
        </w:rPr>
      </w:pPr>
      <w:r>
        <w:rPr>
          <w:rFonts w:ascii="Arial" w:cs="Arial" w:eastAsia="Arial" w:hAnsi="Arial"/>
          <w:sz w:val="16"/>
          <w:szCs w:val="16"/>
          <w:u w:val="single" w:color="auto"/>
          <w:color w:val="auto"/>
        </w:rPr>
        <w:t>Form of Consideration</w:t>
      </w:r>
      <w:r>
        <w:rPr>
          <w:rFonts w:ascii="Arial" w:cs="Arial" w:eastAsia="Arial" w:hAnsi="Arial"/>
          <w:sz w:val="16"/>
          <w:szCs w:val="16"/>
          <w:color w:val="auto"/>
        </w:rPr>
        <w:t>. The Administrator will determine the acceptable form of consideration for exercising an Option, including the method of payment. In the case of an Incentive Stock Option, the Administrator will determine the acceptable form of consideration at the time of grant. Such consideration may consist entirely of: (1) cash; (2) check; (3) promissory note, to the extent permitted by Applicable Laws, (4) other Shares, provided that such Shares have a Fair Market Value on the date of surrender equal to the aggregate exercise price of the Shares as to which such Option will be exercised and provided further that accepting such Shares will not result in any adverse accounting consequences to the Company, as the Administrator determines in its sole discretion;</w:t>
      </w:r>
    </w:p>
    <w:p>
      <w:pPr>
        <w:spacing w:after="0" w:line="4" w:lineRule="exact"/>
        <w:rPr>
          <w:rFonts w:ascii="Arial" w:cs="Arial" w:eastAsia="Arial" w:hAnsi="Arial"/>
          <w:sz w:val="16"/>
          <w:szCs w:val="16"/>
          <w:color w:val="auto"/>
        </w:rPr>
      </w:pPr>
    </w:p>
    <w:p>
      <w:pPr>
        <w:ind w:left="1000" w:right="180"/>
        <w:spacing w:after="0" w:line="253" w:lineRule="auto"/>
        <w:rPr>
          <w:rFonts w:ascii="Arial" w:cs="Arial" w:eastAsia="Arial" w:hAnsi="Arial"/>
          <w:sz w:val="16"/>
          <w:szCs w:val="16"/>
          <w:color w:val="auto"/>
        </w:rPr>
      </w:pPr>
      <w:r>
        <w:rPr>
          <w:rFonts w:ascii="Arial" w:cs="Arial" w:eastAsia="Arial" w:hAnsi="Arial"/>
          <w:sz w:val="18"/>
          <w:szCs w:val="18"/>
          <w:color w:val="auto"/>
        </w:rPr>
        <w:t>(5) consideration received by the Company under cashless exercise program (whether through a broker or otherwise) implemented by the Company in connection with the Plan; (6) by net exercise, (7) such other consideration and method of payment for the issuance of Shares to the extent permitted by Applicable Laws, or (8) any combination of the foregoing methods of payment. In making its determination as to the type of consideration to accept, the Administrator will consider if acceptance of such consideration may be reasonably expected to benefit the Company.</w:t>
      </w:r>
    </w:p>
    <w:p>
      <w:pPr>
        <w:spacing w:after="0" w:line="12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80"/>
          </w:cols>
          <w:pgMar w:left="860" w:top="274" w:right="459" w:bottom="1440" w:gutter="0" w:footer="0" w:header="0"/>
        </w:sectPr>
      </w:pPr>
    </w:p>
    <w:bookmarkStart w:id="19" w:name="page20"/>
    <w:bookmarkEnd w:id="19"/>
    <w:p>
      <w:pPr>
        <w:ind w:left="960" w:hanging="532"/>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Exercise of Option.</w:t>
      </w:r>
    </w:p>
    <w:p>
      <w:pPr>
        <w:spacing w:after="0" w:line="130" w:lineRule="exact"/>
        <w:rPr>
          <w:rFonts w:ascii="Arial" w:cs="Arial" w:eastAsia="Arial" w:hAnsi="Arial"/>
          <w:sz w:val="18"/>
          <w:szCs w:val="18"/>
          <w:color w:val="auto"/>
        </w:rPr>
      </w:pPr>
    </w:p>
    <w:p>
      <w:pPr>
        <w:jc w:val="both"/>
        <w:ind w:left="1420" w:right="320" w:hanging="439"/>
        <w:spacing w:after="0" w:line="263" w:lineRule="auto"/>
        <w:tabs>
          <w:tab w:leader="none" w:pos="1420"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Procedure for Exercise; Rights as a Stockholder</w:t>
      </w:r>
      <w:r>
        <w:rPr>
          <w:rFonts w:ascii="Arial" w:cs="Arial" w:eastAsia="Arial" w:hAnsi="Arial"/>
          <w:sz w:val="18"/>
          <w:szCs w:val="18"/>
          <w:color w:val="auto"/>
        </w:rPr>
        <w:t>. Any Option granted hereunder will be exercisable according to the terms of the Plan and at such times and under such conditions as determined by the Administrator and set forth in the Award Agreement. An Option may not be exercised for a fraction of a Share.</w:t>
      </w:r>
    </w:p>
    <w:p>
      <w:pPr>
        <w:spacing w:after="0" w:line="184" w:lineRule="exact"/>
        <w:rPr>
          <w:sz w:val="20"/>
          <w:szCs w:val="20"/>
          <w:color w:val="auto"/>
        </w:rPr>
      </w:pPr>
    </w:p>
    <w:p>
      <w:pPr>
        <w:ind w:right="40" w:firstLine="440"/>
        <w:spacing w:after="0" w:line="270" w:lineRule="auto"/>
        <w:rPr>
          <w:sz w:val="20"/>
          <w:szCs w:val="20"/>
          <w:color w:val="auto"/>
        </w:rPr>
      </w:pPr>
      <w:r>
        <w:rPr>
          <w:rFonts w:ascii="Arial" w:cs="Arial" w:eastAsia="Arial" w:hAnsi="Arial"/>
          <w:sz w:val="17"/>
          <w:szCs w:val="17"/>
          <w:color w:val="auto"/>
        </w:rPr>
        <w:t>An Option will be deemed exercised when the Company receives: (i) notice of exercise (in such form as the Administrator may specify from time to time) from the person entitled to exercise the Option, and (ii) full payment for the Shares with respect to which the Option is exercised (together with applicable tax withholding). Full payment may consist of any consideration and method of payment authorized by the Administrator and permitted by the Award Agreement and the Plan. Shares issued upon exercise of an Option will be issued in the name of the Participant or, if requested by the Participant, in the name of the Participant and his or her spouse. Until the Shares are issued (as evidenced by the appropriate entry on the books of the Company or of a duly authorized transfer agent 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13 of the Plan.</w:t>
      </w:r>
    </w:p>
    <w:p>
      <w:pPr>
        <w:spacing w:after="0" w:line="181"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Exercising an Option in any manner will decrease the number of Shares thereafter available, both for purposes of the Plan and for sale under the Option, by the number of Shares as to which the Option is exercised.</w:t>
      </w:r>
    </w:p>
    <w:p>
      <w:pPr>
        <w:spacing w:after="0" w:line="76" w:lineRule="exact"/>
        <w:rPr>
          <w:sz w:val="20"/>
          <w:szCs w:val="20"/>
          <w:color w:val="auto"/>
        </w:rPr>
      </w:pPr>
    </w:p>
    <w:p>
      <w:pPr>
        <w:ind w:left="1420" w:hanging="439"/>
        <w:spacing w:after="0" w:line="254" w:lineRule="auto"/>
        <w:tabs>
          <w:tab w:leader="none" w:pos="142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Termination of Relationship as a Service Provider</w:t>
      </w:r>
      <w:r>
        <w:rPr>
          <w:rFonts w:ascii="Arial" w:cs="Arial" w:eastAsia="Arial" w:hAnsi="Arial"/>
          <w:sz w:val="18"/>
          <w:szCs w:val="18"/>
          <w:color w:val="auto"/>
        </w:rPr>
        <w:t>. If a Participant ceases to be a Service Provider, other than upon the Participant’s termination as the result of the Participant’s death or Disability, the Participant may exercise his or her Option within thirty (30) days of termination, or such longer period of time as is specified in the Award Agreement (but in no event later than the expiration of the term of such Option as set forth in the Award Agreement) to the extent that the Option is vested on the date of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by the Administrator, the Option will terminate, and the Shares covered by such Option will revert to the Plan.</w:t>
      </w:r>
    </w:p>
    <w:p>
      <w:pPr>
        <w:spacing w:after="0" w:line="97" w:lineRule="exact"/>
        <w:rPr>
          <w:rFonts w:ascii="Arial" w:cs="Arial" w:eastAsia="Arial" w:hAnsi="Arial"/>
          <w:sz w:val="18"/>
          <w:szCs w:val="18"/>
          <w:color w:val="auto"/>
        </w:rPr>
      </w:pPr>
    </w:p>
    <w:p>
      <w:pPr>
        <w:ind w:left="1420" w:hanging="439"/>
        <w:spacing w:after="0" w:line="279" w:lineRule="auto"/>
        <w:tabs>
          <w:tab w:leader="none" w:pos="1420"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Disability of Participant</w:t>
      </w:r>
      <w:r>
        <w:rPr>
          <w:rFonts w:ascii="Arial" w:cs="Arial" w:eastAsia="Arial" w:hAnsi="Arial"/>
          <w:sz w:val="17"/>
          <w:szCs w:val="17"/>
          <w:color w:val="auto"/>
        </w:rPr>
        <w:t>. If a Participant ceases to be a Service Provider as a result of the Participant’s Disability, the Participant may exercise his or her Option within six (6) months of termination, or such longer period of time as is specified in the Award Agreement (but in no event later than the expiration of the term of such Option as set forth in the Award Agreement) to the extent the Option is vested on the date of termination. Unless otherwise provided by the Administrator, if on the date of</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274" w:right="479" w:bottom="1440" w:gutter="0" w:footer="0" w:header="0"/>
        </w:sectPr>
      </w:pPr>
    </w:p>
    <w:bookmarkStart w:id="20" w:name="page21"/>
    <w:bookmarkEnd w:id="20"/>
    <w:p>
      <w:pPr>
        <w:jc w:val="both"/>
        <w:ind w:left="1424" w:right="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termination the Participant is not vested as to his or her entire Option, the Shares covered by the unvested portion of the Option will revert to the Plan. If after termination the Participant does not exercise his or her Option within the time specified herein, the Option will terminate, and the Shares covered by such Option will revert to the Plan.</w:t>
      </w:r>
    </w:p>
    <w:p>
      <w:pPr>
        <w:spacing w:after="0" w:line="89" w:lineRule="exact"/>
        <w:rPr>
          <w:sz w:val="20"/>
          <w:szCs w:val="20"/>
          <w:color w:val="auto"/>
        </w:rPr>
      </w:pPr>
    </w:p>
    <w:p>
      <w:pPr>
        <w:ind w:left="1424" w:right="60" w:hanging="439"/>
        <w:spacing w:after="0" w:line="269" w:lineRule="auto"/>
        <w:tabs>
          <w:tab w:leader="none" w:pos="1424" w:val="left"/>
        </w:tabs>
        <w:numPr>
          <w:ilvl w:val="2"/>
          <w:numId w:val="24"/>
        </w:numPr>
        <w:rPr>
          <w:rFonts w:ascii="Arial" w:cs="Arial" w:eastAsia="Arial" w:hAnsi="Arial"/>
          <w:sz w:val="17"/>
          <w:szCs w:val="17"/>
          <w:color w:val="auto"/>
        </w:rPr>
      </w:pPr>
      <w:r>
        <w:rPr>
          <w:rFonts w:ascii="Arial" w:cs="Arial" w:eastAsia="Arial" w:hAnsi="Arial"/>
          <w:sz w:val="17"/>
          <w:szCs w:val="17"/>
          <w:u w:val="single" w:color="auto"/>
          <w:color w:val="auto"/>
        </w:rPr>
        <w:t>Death of Participant</w:t>
      </w:r>
      <w:r>
        <w:rPr>
          <w:rFonts w:ascii="Arial" w:cs="Arial" w:eastAsia="Arial" w:hAnsi="Arial"/>
          <w:sz w:val="17"/>
          <w:szCs w:val="17"/>
          <w:color w:val="auto"/>
        </w:rPr>
        <w:t>. If a Participant dies while a Service Provider, the Option may be exercised within six (6) months following the Participant’s death, or within such longer period of time as is specified in the Award Agreement (but in no event later than the expiration of the term of such Option as set forth in the Award Agreement) to the extent that the Option is vested on the date of death, by the Participant’s designated beneficiary, provided such beneficiary has been designated prior to the Participant’s death in a form acceptable to the Administrator.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Unless otherwise provided by the Administrator, if at the time of death Participant is not vested as to his or her entire Option, the Shares covered by the unvested portion of the Option will immediately revert to the Plan. If the Option is not so exercised within the time specified herein, the Option will terminate, and the Shares covered by such Option will revert to the Plan.</w:t>
      </w:r>
    </w:p>
    <w:p>
      <w:pPr>
        <w:spacing w:after="0" w:line="90" w:lineRule="exact"/>
        <w:rPr>
          <w:rFonts w:ascii="Arial" w:cs="Arial" w:eastAsia="Arial" w:hAnsi="Arial"/>
          <w:sz w:val="17"/>
          <w:szCs w:val="17"/>
          <w:color w:val="auto"/>
        </w:rPr>
      </w:pPr>
    </w:p>
    <w:p>
      <w:pPr>
        <w:ind w:left="424" w:hanging="424"/>
        <w:spacing w:after="0"/>
        <w:tabs>
          <w:tab w:leader="none" w:pos="424"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Stock Appreciation Rights.</w:t>
      </w:r>
    </w:p>
    <w:p>
      <w:pPr>
        <w:spacing w:after="0" w:line="130" w:lineRule="exact"/>
        <w:rPr>
          <w:rFonts w:ascii="Arial" w:cs="Arial" w:eastAsia="Arial" w:hAnsi="Arial"/>
          <w:sz w:val="18"/>
          <w:szCs w:val="18"/>
          <w:color w:val="auto"/>
        </w:rPr>
      </w:pPr>
    </w:p>
    <w:p>
      <w:pPr>
        <w:ind w:left="964" w:right="40" w:hanging="532"/>
        <w:spacing w:after="0" w:line="308" w:lineRule="auto"/>
        <w:tabs>
          <w:tab w:leader="none" w:pos="964" w:val="left"/>
        </w:tabs>
        <w:numPr>
          <w:ilvl w:val="1"/>
          <w:numId w:val="25"/>
        </w:numPr>
        <w:rPr>
          <w:rFonts w:ascii="Arial" w:cs="Arial" w:eastAsia="Arial" w:hAnsi="Arial"/>
          <w:sz w:val="17"/>
          <w:szCs w:val="17"/>
          <w:color w:val="auto"/>
        </w:rPr>
      </w:pPr>
      <w:r>
        <w:rPr>
          <w:rFonts w:ascii="Arial" w:cs="Arial" w:eastAsia="Arial" w:hAnsi="Arial"/>
          <w:sz w:val="17"/>
          <w:szCs w:val="17"/>
          <w:u w:val="single" w:color="auto"/>
          <w:color w:val="auto"/>
        </w:rPr>
        <w:t>Grant of Stock Appreciation Rights</w:t>
      </w:r>
      <w:r>
        <w:rPr>
          <w:rFonts w:ascii="Arial" w:cs="Arial" w:eastAsia="Arial" w:hAnsi="Arial"/>
          <w:sz w:val="17"/>
          <w:szCs w:val="17"/>
          <w:color w:val="auto"/>
        </w:rPr>
        <w:t>. Subject to the terms and conditions of the Plan, a Stock Appreciation Right may be granted to Service Providers at any time and from time to time as will be determined by the Administrator, in its sole discretion.</w:t>
      </w:r>
    </w:p>
    <w:p>
      <w:pPr>
        <w:spacing w:after="0" w:line="51" w:lineRule="exact"/>
        <w:rPr>
          <w:rFonts w:ascii="Arial" w:cs="Arial" w:eastAsia="Arial" w:hAnsi="Arial"/>
          <w:sz w:val="17"/>
          <w:szCs w:val="17"/>
          <w:color w:val="auto"/>
        </w:rPr>
      </w:pPr>
    </w:p>
    <w:p>
      <w:pPr>
        <w:ind w:left="964" w:right="360" w:hanging="532"/>
        <w:spacing w:after="0" w:line="277" w:lineRule="auto"/>
        <w:tabs>
          <w:tab w:leader="none" w:pos="964" w:val="left"/>
        </w:tabs>
        <w:numPr>
          <w:ilvl w:val="1"/>
          <w:numId w:val="25"/>
        </w:numPr>
        <w:rPr>
          <w:rFonts w:ascii="Arial" w:cs="Arial" w:eastAsia="Arial" w:hAnsi="Arial"/>
          <w:sz w:val="18"/>
          <w:szCs w:val="18"/>
          <w:color w:val="auto"/>
        </w:rPr>
      </w:pPr>
      <w:r>
        <w:rPr>
          <w:rFonts w:ascii="Arial" w:cs="Arial" w:eastAsia="Arial" w:hAnsi="Arial"/>
          <w:sz w:val="18"/>
          <w:szCs w:val="18"/>
          <w:u w:val="single" w:color="auto"/>
          <w:color w:val="auto"/>
        </w:rPr>
        <w:t>Number of Shares</w:t>
      </w:r>
      <w:r>
        <w:rPr>
          <w:rFonts w:ascii="Arial" w:cs="Arial" w:eastAsia="Arial" w:hAnsi="Arial"/>
          <w:sz w:val="18"/>
          <w:szCs w:val="18"/>
          <w:color w:val="auto"/>
        </w:rPr>
        <w:t>. The Administrator will have complete discretion to determine the number of Shares subject to any Award of Stock Appreciation Rights.</w:t>
      </w:r>
    </w:p>
    <w:p>
      <w:pPr>
        <w:spacing w:after="0" w:line="75" w:lineRule="exact"/>
        <w:rPr>
          <w:rFonts w:ascii="Arial" w:cs="Arial" w:eastAsia="Arial" w:hAnsi="Arial"/>
          <w:sz w:val="18"/>
          <w:szCs w:val="18"/>
          <w:color w:val="auto"/>
        </w:rPr>
      </w:pPr>
    </w:p>
    <w:p>
      <w:pPr>
        <w:ind w:left="964" w:right="20" w:hanging="532"/>
        <w:spacing w:after="0" w:line="257" w:lineRule="auto"/>
        <w:tabs>
          <w:tab w:leader="none" w:pos="964" w:val="left"/>
        </w:tabs>
        <w:numPr>
          <w:ilvl w:val="1"/>
          <w:numId w:val="25"/>
        </w:numPr>
        <w:rPr>
          <w:rFonts w:ascii="Arial" w:cs="Arial" w:eastAsia="Arial" w:hAnsi="Arial"/>
          <w:sz w:val="18"/>
          <w:szCs w:val="18"/>
          <w:color w:val="auto"/>
        </w:rPr>
      </w:pPr>
      <w:r>
        <w:rPr>
          <w:rFonts w:ascii="Arial" w:cs="Arial" w:eastAsia="Arial" w:hAnsi="Arial"/>
          <w:sz w:val="18"/>
          <w:szCs w:val="18"/>
          <w:u w:val="single" w:color="auto"/>
          <w:color w:val="auto"/>
        </w:rPr>
        <w:t>Exercise Price and Other Terms</w:t>
      </w:r>
      <w:r>
        <w:rPr>
          <w:rFonts w:ascii="Arial" w:cs="Arial" w:eastAsia="Arial" w:hAnsi="Arial"/>
          <w:sz w:val="18"/>
          <w:szCs w:val="18"/>
          <w:color w:val="auto"/>
        </w:rPr>
        <w:t>. The per Share exercise price for the Shares that will determine the amount of the payment to be received upon exercise of a Stock Appreciation Right as set forth in Section 7(f) will be determined by the Administrator and will be no less than one hundred percent (100%) of the Fair Market Value per Share on the date of grant. Otherwise, the Administrator, subject to the provisions of the Plan, will have complete discretion to determine the terms and conditions of Stock Appreciation Rights granted under the Plan.</w:t>
      </w:r>
    </w:p>
    <w:p>
      <w:pPr>
        <w:spacing w:after="0" w:line="93" w:lineRule="exact"/>
        <w:rPr>
          <w:rFonts w:ascii="Arial" w:cs="Arial" w:eastAsia="Arial" w:hAnsi="Arial"/>
          <w:sz w:val="18"/>
          <w:szCs w:val="18"/>
          <w:color w:val="auto"/>
        </w:rPr>
      </w:pPr>
    </w:p>
    <w:p>
      <w:pPr>
        <w:ind w:left="964" w:hanging="532"/>
        <w:spacing w:after="0" w:line="263" w:lineRule="auto"/>
        <w:tabs>
          <w:tab w:leader="none" w:pos="964" w:val="left"/>
        </w:tabs>
        <w:numPr>
          <w:ilvl w:val="1"/>
          <w:numId w:val="25"/>
        </w:numPr>
        <w:rPr>
          <w:rFonts w:ascii="Arial" w:cs="Arial" w:eastAsia="Arial" w:hAnsi="Arial"/>
          <w:sz w:val="18"/>
          <w:szCs w:val="18"/>
          <w:color w:val="auto"/>
        </w:rPr>
      </w:pPr>
      <w:r>
        <w:rPr>
          <w:rFonts w:ascii="Arial" w:cs="Arial" w:eastAsia="Arial" w:hAnsi="Arial"/>
          <w:sz w:val="18"/>
          <w:szCs w:val="18"/>
          <w:u w:val="single" w:color="auto"/>
          <w:color w:val="auto"/>
        </w:rPr>
        <w:t>Stock Appreciation Right Agreement</w:t>
      </w:r>
      <w:r>
        <w:rPr>
          <w:rFonts w:ascii="Arial" w:cs="Arial" w:eastAsia="Arial" w:hAnsi="Arial"/>
          <w:sz w:val="18"/>
          <w:szCs w:val="18"/>
          <w:color w:val="auto"/>
        </w:rPr>
        <w:t>. Each Stock Appreciation Right grant will be evidenced by an Award Agreement that will specify the exercise price, the term of the Stock Appreciation Right, the conditions of exercise, and such other terms and conditions as the Administrator, in its sole discretion, will determine.</w:t>
      </w:r>
    </w:p>
    <w:p>
      <w:pPr>
        <w:spacing w:after="0" w:line="11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4"/>
          </w:cols>
          <w:pgMar w:left="436" w:top="274" w:right="479" w:bottom="1440" w:gutter="0" w:footer="0" w:header="0"/>
        </w:sectPr>
      </w:pPr>
    </w:p>
    <w:bookmarkStart w:id="21" w:name="page22"/>
    <w:bookmarkEnd w:id="21"/>
    <w:p>
      <w:pPr>
        <w:ind w:left="964" w:right="180" w:hanging="532"/>
        <w:spacing w:after="0" w:line="286" w:lineRule="auto"/>
        <w:tabs>
          <w:tab w:leader="none" w:pos="964"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Expiration of Stock Appreciation Rights</w:t>
      </w:r>
      <w:r>
        <w:rPr>
          <w:rFonts w:ascii="Arial" w:cs="Arial" w:eastAsia="Arial" w:hAnsi="Arial"/>
          <w:sz w:val="17"/>
          <w:szCs w:val="17"/>
          <w:color w:val="auto"/>
        </w:rPr>
        <w:t>. A Stock Appreciation Right granted under the Plan will expire upon the date determined by the Administrator, in its sole discretion, and set forth in the Award Agreement. Notwithstanding the foregoing, the rules of Section 6(d) relating to the maximum term and Section 6(f) relating to exercise also will apply to Stock Appreciation Rights.</w:t>
      </w:r>
    </w:p>
    <w:p>
      <w:pPr>
        <w:spacing w:after="0" w:line="70" w:lineRule="exact"/>
        <w:rPr>
          <w:rFonts w:ascii="Arial" w:cs="Arial" w:eastAsia="Arial" w:hAnsi="Arial"/>
          <w:sz w:val="17"/>
          <w:szCs w:val="17"/>
          <w:color w:val="auto"/>
        </w:rPr>
      </w:pPr>
    </w:p>
    <w:p>
      <w:pPr>
        <w:ind w:left="964" w:right="500" w:hanging="532"/>
        <w:spacing w:after="0" w:line="277" w:lineRule="auto"/>
        <w:tabs>
          <w:tab w:leader="none" w:pos="964"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Payment of Stock Appreciation Right Amount</w:t>
      </w:r>
      <w:r>
        <w:rPr>
          <w:rFonts w:ascii="Arial" w:cs="Arial" w:eastAsia="Arial" w:hAnsi="Arial"/>
          <w:sz w:val="18"/>
          <w:szCs w:val="18"/>
          <w:color w:val="auto"/>
        </w:rPr>
        <w:t>. Upon exercise of a Stock Appreciation Right, a Participant will be entitled to receive payment from the Company in an amount determined by multiplying:</w:t>
      </w:r>
    </w:p>
    <w:p>
      <w:pPr>
        <w:spacing w:after="0" w:line="75" w:lineRule="exact"/>
        <w:rPr>
          <w:rFonts w:ascii="Arial" w:cs="Arial" w:eastAsia="Arial" w:hAnsi="Arial"/>
          <w:sz w:val="18"/>
          <w:szCs w:val="18"/>
          <w:color w:val="auto"/>
        </w:rPr>
      </w:pPr>
    </w:p>
    <w:p>
      <w:pPr>
        <w:ind w:left="1424" w:hanging="439"/>
        <w:spacing w:after="0"/>
        <w:tabs>
          <w:tab w:leader="none" w:pos="1424"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difference between the Fair Market Value of a Share on the date of exercise over the exercise price; times</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number of Shares with respect to which the Stock Appreciation Right is exercised.</w:t>
      </w:r>
    </w:p>
    <w:p>
      <w:pPr>
        <w:spacing w:after="0" w:line="225" w:lineRule="exact"/>
        <w:rPr>
          <w:sz w:val="20"/>
          <w:szCs w:val="20"/>
          <w:color w:val="auto"/>
        </w:rPr>
      </w:pPr>
    </w:p>
    <w:p>
      <w:pPr>
        <w:ind w:left="4" w:right="240" w:firstLine="440"/>
        <w:spacing w:after="0" w:line="277" w:lineRule="auto"/>
        <w:rPr>
          <w:sz w:val="20"/>
          <w:szCs w:val="20"/>
          <w:color w:val="auto"/>
        </w:rPr>
      </w:pPr>
      <w:r>
        <w:rPr>
          <w:rFonts w:ascii="Arial" w:cs="Arial" w:eastAsia="Arial" w:hAnsi="Arial"/>
          <w:sz w:val="18"/>
          <w:szCs w:val="18"/>
          <w:color w:val="auto"/>
        </w:rPr>
        <w:t>At the discretion of the Administrator, the payment upon Stock Appreciation Right exercise may be in cash, in Shares of equivalent value, or in some combination thereof.</w:t>
      </w:r>
    </w:p>
    <w:p>
      <w:pPr>
        <w:spacing w:after="0" w:line="76" w:lineRule="exact"/>
        <w:rPr>
          <w:sz w:val="20"/>
          <w:szCs w:val="20"/>
          <w:color w:val="auto"/>
        </w:rPr>
      </w:pPr>
    </w:p>
    <w:p>
      <w:pPr>
        <w:ind w:left="424" w:hanging="424"/>
        <w:spacing w:after="0"/>
        <w:tabs>
          <w:tab w:leader="none" w:pos="424"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Restricted Stock.</w:t>
      </w:r>
    </w:p>
    <w:p>
      <w:pPr>
        <w:spacing w:after="0" w:line="130" w:lineRule="exact"/>
        <w:rPr>
          <w:rFonts w:ascii="Arial" w:cs="Arial" w:eastAsia="Arial" w:hAnsi="Arial"/>
          <w:sz w:val="18"/>
          <w:szCs w:val="18"/>
          <w:color w:val="auto"/>
        </w:rPr>
      </w:pPr>
    </w:p>
    <w:p>
      <w:pPr>
        <w:ind w:left="964" w:right="80" w:hanging="532"/>
        <w:spacing w:after="0" w:line="308" w:lineRule="auto"/>
        <w:tabs>
          <w:tab w:leader="none" w:pos="964" w:val="left"/>
        </w:tabs>
        <w:numPr>
          <w:ilvl w:val="1"/>
          <w:numId w:val="27"/>
        </w:numPr>
        <w:rPr>
          <w:rFonts w:ascii="Arial" w:cs="Arial" w:eastAsia="Arial" w:hAnsi="Arial"/>
          <w:sz w:val="17"/>
          <w:szCs w:val="17"/>
          <w:color w:val="auto"/>
        </w:rPr>
      </w:pPr>
      <w:r>
        <w:rPr>
          <w:rFonts w:ascii="Arial" w:cs="Arial" w:eastAsia="Arial" w:hAnsi="Arial"/>
          <w:sz w:val="17"/>
          <w:szCs w:val="17"/>
          <w:u w:val="single" w:color="auto"/>
          <w:color w:val="auto"/>
        </w:rPr>
        <w:t>Grant of Restricted Stock</w:t>
      </w:r>
      <w:r>
        <w:rPr>
          <w:rFonts w:ascii="Arial" w:cs="Arial" w:eastAsia="Arial" w:hAnsi="Arial"/>
          <w:sz w:val="17"/>
          <w:szCs w:val="17"/>
          <w:color w:val="auto"/>
        </w:rPr>
        <w:t>. Subject to the terms and provisions of the Plan, the Administrator, at any time and from time to time, may grant Shares of Restricted Stock to Service Providers in such amounts as the Administrator, in its sole discretion, will determine.</w:t>
      </w:r>
    </w:p>
    <w:p>
      <w:pPr>
        <w:spacing w:after="0" w:line="51" w:lineRule="exact"/>
        <w:rPr>
          <w:rFonts w:ascii="Arial" w:cs="Arial" w:eastAsia="Arial" w:hAnsi="Arial"/>
          <w:sz w:val="17"/>
          <w:szCs w:val="17"/>
          <w:color w:val="auto"/>
        </w:rPr>
      </w:pPr>
    </w:p>
    <w:p>
      <w:pPr>
        <w:ind w:left="964" w:right="60" w:hanging="532"/>
        <w:spacing w:after="0" w:line="259" w:lineRule="auto"/>
        <w:tabs>
          <w:tab w:leader="none" w:pos="964" w:val="left"/>
        </w:tabs>
        <w:numPr>
          <w:ilvl w:val="1"/>
          <w:numId w:val="27"/>
        </w:numPr>
        <w:rPr>
          <w:rFonts w:ascii="Arial" w:cs="Arial" w:eastAsia="Arial" w:hAnsi="Arial"/>
          <w:sz w:val="18"/>
          <w:szCs w:val="18"/>
          <w:color w:val="auto"/>
        </w:rPr>
      </w:pPr>
      <w:r>
        <w:rPr>
          <w:rFonts w:ascii="Arial" w:cs="Arial" w:eastAsia="Arial" w:hAnsi="Arial"/>
          <w:sz w:val="18"/>
          <w:szCs w:val="18"/>
          <w:u w:val="single" w:color="auto"/>
          <w:color w:val="auto"/>
        </w:rPr>
        <w:t>Restricted Stock Agreement</w:t>
      </w:r>
      <w:r>
        <w:rPr>
          <w:rFonts w:ascii="Arial" w:cs="Arial" w:eastAsia="Arial" w:hAnsi="Arial"/>
          <w:sz w:val="18"/>
          <w:szCs w:val="18"/>
          <w:color w:val="auto"/>
        </w:rPr>
        <w:t>. Each Award of Restricted Stock will be evidenced by an Award Agreement that will specify the Period of Restriction, the number of Shares granted, and such other terms and conditions as the Administrator, in its sole discretion, will determine. Unless the Administrator determines otherwise, the Company as escrow agent will hold Shares of Restricted Stock until the restrictions on such Shares have lapsed.</w:t>
      </w:r>
    </w:p>
    <w:p>
      <w:pPr>
        <w:spacing w:after="0" w:line="92" w:lineRule="exact"/>
        <w:rPr>
          <w:rFonts w:ascii="Arial" w:cs="Arial" w:eastAsia="Arial" w:hAnsi="Arial"/>
          <w:sz w:val="18"/>
          <w:szCs w:val="18"/>
          <w:color w:val="auto"/>
        </w:rPr>
      </w:pPr>
    </w:p>
    <w:p>
      <w:pPr>
        <w:ind w:left="964" w:right="520" w:hanging="532"/>
        <w:spacing w:after="0" w:line="342" w:lineRule="auto"/>
        <w:tabs>
          <w:tab w:leader="none" w:pos="964" w:val="left"/>
        </w:tabs>
        <w:numPr>
          <w:ilvl w:val="1"/>
          <w:numId w:val="27"/>
        </w:numPr>
        <w:rPr>
          <w:rFonts w:ascii="Arial" w:cs="Arial" w:eastAsia="Arial" w:hAnsi="Arial"/>
          <w:sz w:val="16"/>
          <w:szCs w:val="16"/>
          <w:color w:val="auto"/>
        </w:rPr>
      </w:pPr>
      <w:r>
        <w:rPr>
          <w:rFonts w:ascii="Arial" w:cs="Arial" w:eastAsia="Arial" w:hAnsi="Arial"/>
          <w:sz w:val="16"/>
          <w:szCs w:val="16"/>
          <w:u w:val="single" w:color="auto"/>
          <w:color w:val="auto"/>
        </w:rPr>
        <w:t>Transferability</w:t>
      </w:r>
      <w:r>
        <w:rPr>
          <w:rFonts w:ascii="Arial" w:cs="Arial" w:eastAsia="Arial" w:hAnsi="Arial"/>
          <w:sz w:val="16"/>
          <w:szCs w:val="16"/>
          <w:color w:val="auto"/>
        </w:rPr>
        <w:t>. Except as provided in this Section 8 or as the Administrator determines, Shares of Restricted Stock may not be sold, transferred, pledged, assigned, or otherwise alienated or hypothecated until the end of the applicable Period of Restriction.</w:t>
      </w:r>
    </w:p>
    <w:p>
      <w:pPr>
        <w:spacing w:after="0" w:line="29" w:lineRule="exact"/>
        <w:rPr>
          <w:rFonts w:ascii="Arial" w:cs="Arial" w:eastAsia="Arial" w:hAnsi="Arial"/>
          <w:sz w:val="16"/>
          <w:szCs w:val="16"/>
          <w:color w:val="auto"/>
        </w:rPr>
      </w:pPr>
    </w:p>
    <w:p>
      <w:pPr>
        <w:ind w:left="964" w:right="300" w:hanging="532"/>
        <w:spacing w:after="0" w:line="277" w:lineRule="auto"/>
        <w:tabs>
          <w:tab w:leader="none" w:pos="964" w:val="left"/>
        </w:tabs>
        <w:numPr>
          <w:ilvl w:val="1"/>
          <w:numId w:val="27"/>
        </w:numPr>
        <w:rPr>
          <w:rFonts w:ascii="Arial" w:cs="Arial" w:eastAsia="Arial" w:hAnsi="Arial"/>
          <w:sz w:val="18"/>
          <w:szCs w:val="18"/>
          <w:color w:val="auto"/>
        </w:rPr>
      </w:pPr>
      <w:r>
        <w:rPr>
          <w:rFonts w:ascii="Arial" w:cs="Arial" w:eastAsia="Arial" w:hAnsi="Arial"/>
          <w:sz w:val="18"/>
          <w:szCs w:val="18"/>
          <w:u w:val="single" w:color="auto"/>
          <w:color w:val="auto"/>
        </w:rPr>
        <w:t>Other Restrictions</w:t>
      </w:r>
      <w:r>
        <w:rPr>
          <w:rFonts w:ascii="Arial" w:cs="Arial" w:eastAsia="Arial" w:hAnsi="Arial"/>
          <w:sz w:val="18"/>
          <w:szCs w:val="18"/>
          <w:color w:val="auto"/>
        </w:rPr>
        <w:t>. The Administrator, in its sole discretion, may impose such other restrictions on Shares of Restricted Stock as it may deem advisable or appropriate.</w:t>
      </w:r>
    </w:p>
    <w:p>
      <w:pPr>
        <w:spacing w:after="0" w:line="75" w:lineRule="exact"/>
        <w:rPr>
          <w:rFonts w:ascii="Arial" w:cs="Arial" w:eastAsia="Arial" w:hAnsi="Arial"/>
          <w:sz w:val="18"/>
          <w:szCs w:val="18"/>
          <w:color w:val="auto"/>
        </w:rPr>
      </w:pPr>
    </w:p>
    <w:p>
      <w:pPr>
        <w:jc w:val="both"/>
        <w:ind w:left="964" w:hanging="532"/>
        <w:spacing w:after="0" w:line="259" w:lineRule="auto"/>
        <w:tabs>
          <w:tab w:leader="none" w:pos="964" w:val="left"/>
        </w:tabs>
        <w:numPr>
          <w:ilvl w:val="1"/>
          <w:numId w:val="27"/>
        </w:numPr>
        <w:rPr>
          <w:rFonts w:ascii="Arial" w:cs="Arial" w:eastAsia="Arial" w:hAnsi="Arial"/>
          <w:sz w:val="18"/>
          <w:szCs w:val="18"/>
          <w:color w:val="auto"/>
        </w:rPr>
      </w:pPr>
      <w:r>
        <w:rPr>
          <w:rFonts w:ascii="Arial" w:cs="Arial" w:eastAsia="Arial" w:hAnsi="Arial"/>
          <w:sz w:val="18"/>
          <w:szCs w:val="18"/>
          <w:u w:val="single" w:color="auto"/>
          <w:color w:val="auto"/>
        </w:rPr>
        <w:t>Removal of Restrictions</w:t>
      </w:r>
      <w:r>
        <w:rPr>
          <w:rFonts w:ascii="Arial" w:cs="Arial" w:eastAsia="Arial" w:hAnsi="Arial"/>
          <w:sz w:val="18"/>
          <w:szCs w:val="18"/>
          <w:color w:val="auto"/>
        </w:rPr>
        <w:t>. Except as otherwise provided in this Section 8, Shares of Restricted Stock covered by each Restricted Stock grant made under the Plan will be released from escrow as soon as practicable after the last day of the Period of Restriction or at such other time as the Administrator may determine. The Administrator, in its discretion, may accelerate the time at which any restrictions will lapse or be removed.</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4"/>
          </w:cols>
          <w:pgMar w:left="436" w:top="274" w:right="459" w:bottom="1440" w:gutter="0" w:footer="0" w:header="0"/>
        </w:sectPr>
      </w:pPr>
    </w:p>
    <w:bookmarkStart w:id="22" w:name="page23"/>
    <w:bookmarkEnd w:id="22"/>
    <w:p>
      <w:pPr>
        <w:ind w:left="964" w:right="100" w:hanging="532"/>
        <w:spacing w:after="0" w:line="277" w:lineRule="auto"/>
        <w:tabs>
          <w:tab w:leader="none" w:pos="964" w:val="left"/>
        </w:tabs>
        <w:numPr>
          <w:ilvl w:val="1"/>
          <w:numId w:val="2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Voting Rights</w:t>
      </w:r>
      <w:r>
        <w:rPr>
          <w:rFonts w:ascii="Arial" w:cs="Arial" w:eastAsia="Arial" w:hAnsi="Arial"/>
          <w:sz w:val="18"/>
          <w:szCs w:val="18"/>
          <w:color w:val="auto"/>
        </w:rPr>
        <w:t>. During the Period of Restriction, Service Providers holding Shares of Restricted Stock granted hereunder may exercise full voting rights with respect to those Shares, unless the Administrator determines otherwise.</w:t>
      </w:r>
    </w:p>
    <w:p>
      <w:pPr>
        <w:spacing w:after="0" w:line="75" w:lineRule="exact"/>
        <w:rPr>
          <w:rFonts w:ascii="Arial" w:cs="Arial" w:eastAsia="Arial" w:hAnsi="Arial"/>
          <w:sz w:val="18"/>
          <w:szCs w:val="18"/>
          <w:color w:val="auto"/>
        </w:rPr>
      </w:pPr>
    </w:p>
    <w:p>
      <w:pPr>
        <w:ind w:left="964" w:right="100" w:hanging="532"/>
        <w:spacing w:after="0" w:line="259" w:lineRule="auto"/>
        <w:tabs>
          <w:tab w:leader="none" w:pos="964" w:val="left"/>
        </w:tabs>
        <w:numPr>
          <w:ilvl w:val="1"/>
          <w:numId w:val="28"/>
        </w:numPr>
        <w:rPr>
          <w:rFonts w:ascii="Arial" w:cs="Arial" w:eastAsia="Arial" w:hAnsi="Arial"/>
          <w:sz w:val="18"/>
          <w:szCs w:val="18"/>
          <w:color w:val="auto"/>
        </w:rPr>
      </w:pPr>
      <w:r>
        <w:rPr>
          <w:rFonts w:ascii="Arial" w:cs="Arial" w:eastAsia="Arial" w:hAnsi="Arial"/>
          <w:sz w:val="18"/>
          <w:szCs w:val="18"/>
          <w:u w:val="single" w:color="auto"/>
          <w:color w:val="auto"/>
        </w:rPr>
        <w:t>Dividends and Other Distributions</w:t>
      </w:r>
      <w:r>
        <w:rPr>
          <w:rFonts w:ascii="Arial" w:cs="Arial" w:eastAsia="Arial" w:hAnsi="Arial"/>
          <w:sz w:val="18"/>
          <w:szCs w:val="18"/>
          <w:color w:val="auto"/>
        </w:rPr>
        <w:t>. During the Period of Restriction, Service Providers holding Shares of Restricted Stock will be entitled to receive all dividends and other distributions paid with respect to such Shares, unless the Administrator provides otherwise. If any such dividends or distributions are paid in Shares, the Shares will be subject to the same restrictions on transferability and forfeitability as the Shares of Restricted Stock with respect to which they were paid.</w:t>
      </w:r>
    </w:p>
    <w:p>
      <w:pPr>
        <w:spacing w:after="0" w:line="92" w:lineRule="exact"/>
        <w:rPr>
          <w:rFonts w:ascii="Arial" w:cs="Arial" w:eastAsia="Arial" w:hAnsi="Arial"/>
          <w:sz w:val="18"/>
          <w:szCs w:val="18"/>
          <w:color w:val="auto"/>
        </w:rPr>
      </w:pPr>
    </w:p>
    <w:p>
      <w:pPr>
        <w:ind w:left="964" w:right="40" w:hanging="532"/>
        <w:spacing w:after="0" w:line="277" w:lineRule="auto"/>
        <w:tabs>
          <w:tab w:leader="none" w:pos="964" w:val="left"/>
        </w:tabs>
        <w:numPr>
          <w:ilvl w:val="1"/>
          <w:numId w:val="28"/>
        </w:numPr>
        <w:rPr>
          <w:rFonts w:ascii="Arial" w:cs="Arial" w:eastAsia="Arial" w:hAnsi="Arial"/>
          <w:sz w:val="18"/>
          <w:szCs w:val="18"/>
          <w:color w:val="auto"/>
        </w:rPr>
      </w:pPr>
      <w:r>
        <w:rPr>
          <w:rFonts w:ascii="Arial" w:cs="Arial" w:eastAsia="Arial" w:hAnsi="Arial"/>
          <w:sz w:val="18"/>
          <w:szCs w:val="18"/>
          <w:u w:val="single" w:color="auto"/>
          <w:color w:val="auto"/>
        </w:rPr>
        <w:t>Return of Restricted Stock to Company</w:t>
      </w:r>
      <w:r>
        <w:rPr>
          <w:rFonts w:ascii="Arial" w:cs="Arial" w:eastAsia="Arial" w:hAnsi="Arial"/>
          <w:sz w:val="18"/>
          <w:szCs w:val="18"/>
          <w:color w:val="auto"/>
        </w:rPr>
        <w:t>. On the date set forth in the Award Agreement, the Restricted Stock for which restrictions have not lapsed will revert to the Company and again will become available for grant under the Plan.</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Restricted Stock Units.</w:t>
      </w:r>
    </w:p>
    <w:p>
      <w:pPr>
        <w:spacing w:after="0" w:line="130" w:lineRule="exact"/>
        <w:rPr>
          <w:rFonts w:ascii="Arial" w:cs="Arial" w:eastAsia="Arial" w:hAnsi="Arial"/>
          <w:sz w:val="18"/>
          <w:szCs w:val="18"/>
          <w:color w:val="auto"/>
        </w:rPr>
      </w:pPr>
    </w:p>
    <w:p>
      <w:pPr>
        <w:ind w:left="964" w:right="500" w:hanging="532"/>
        <w:spacing w:after="0" w:line="263" w:lineRule="auto"/>
        <w:tabs>
          <w:tab w:leader="none" w:pos="964" w:val="left"/>
        </w:tabs>
        <w:numPr>
          <w:ilvl w:val="1"/>
          <w:numId w:val="29"/>
        </w:numPr>
        <w:rPr>
          <w:rFonts w:ascii="Arial" w:cs="Arial" w:eastAsia="Arial" w:hAnsi="Arial"/>
          <w:sz w:val="18"/>
          <w:szCs w:val="18"/>
          <w:color w:val="auto"/>
        </w:rPr>
      </w:pPr>
      <w:r>
        <w:rPr>
          <w:rFonts w:ascii="Arial" w:cs="Arial" w:eastAsia="Arial" w:hAnsi="Arial"/>
          <w:sz w:val="18"/>
          <w:szCs w:val="18"/>
          <w:u w:val="single" w:color="auto"/>
          <w:color w:val="auto"/>
        </w:rPr>
        <w:t>Grant</w:t>
      </w:r>
      <w:r>
        <w:rPr>
          <w:rFonts w:ascii="Arial" w:cs="Arial" w:eastAsia="Arial" w:hAnsi="Arial"/>
          <w:sz w:val="18"/>
          <w:szCs w:val="18"/>
          <w:color w:val="auto"/>
        </w:rPr>
        <w:t>. Restricted Stock Units may be granted at any time and from time to time as determined by the Administrator. After the Administrator determines that it will grant Restricted Stock Units, it will advise the Participant in an Award Agreement of the terms, conditions, and restrictions related to the grant, including the number of Restricted Stock Units.</w:t>
      </w:r>
    </w:p>
    <w:p>
      <w:pPr>
        <w:spacing w:after="0" w:line="89" w:lineRule="exact"/>
        <w:rPr>
          <w:rFonts w:ascii="Arial" w:cs="Arial" w:eastAsia="Arial" w:hAnsi="Arial"/>
          <w:sz w:val="18"/>
          <w:szCs w:val="18"/>
          <w:color w:val="auto"/>
        </w:rPr>
      </w:pPr>
    </w:p>
    <w:p>
      <w:pPr>
        <w:ind w:left="964" w:right="100" w:hanging="532"/>
        <w:spacing w:after="0" w:line="279" w:lineRule="auto"/>
        <w:tabs>
          <w:tab w:leader="none" w:pos="964" w:val="left"/>
        </w:tabs>
        <w:numPr>
          <w:ilvl w:val="1"/>
          <w:numId w:val="29"/>
        </w:numPr>
        <w:rPr>
          <w:rFonts w:ascii="Arial" w:cs="Arial" w:eastAsia="Arial" w:hAnsi="Arial"/>
          <w:sz w:val="17"/>
          <w:szCs w:val="17"/>
          <w:color w:val="auto"/>
        </w:rPr>
      </w:pPr>
      <w:r>
        <w:rPr>
          <w:rFonts w:ascii="Arial" w:cs="Arial" w:eastAsia="Arial" w:hAnsi="Arial"/>
          <w:sz w:val="17"/>
          <w:szCs w:val="17"/>
          <w:u w:val="single" w:color="auto"/>
          <w:color w:val="auto"/>
        </w:rPr>
        <w:t>Vesting Criteria and Other Terms</w:t>
      </w:r>
      <w:r>
        <w:rPr>
          <w:rFonts w:ascii="Arial" w:cs="Arial" w:eastAsia="Arial" w:hAnsi="Arial"/>
          <w:sz w:val="17"/>
          <w:szCs w:val="17"/>
          <w:color w:val="auto"/>
        </w:rPr>
        <w:t>. The Administrator will set vesting criteria in its discretion, which, depending on the extent to which the criteria are met, will determine the number of Restricted Stock Units that will be paid out to the Participant. The Administrator may set vesting criteria based upon the achievement of Company-wide, business unit, or individual goals (including, but not limited to, continued employment or service), or any other basis determined by the Administrator in its discretion.</w:t>
      </w:r>
    </w:p>
    <w:p>
      <w:pPr>
        <w:spacing w:after="0" w:line="76" w:lineRule="exact"/>
        <w:rPr>
          <w:rFonts w:ascii="Arial" w:cs="Arial" w:eastAsia="Arial" w:hAnsi="Arial"/>
          <w:sz w:val="17"/>
          <w:szCs w:val="17"/>
          <w:color w:val="auto"/>
        </w:rPr>
      </w:pPr>
    </w:p>
    <w:p>
      <w:pPr>
        <w:ind w:left="964" w:hanging="532"/>
        <w:spacing w:after="0" w:line="263" w:lineRule="auto"/>
        <w:tabs>
          <w:tab w:leader="none" w:pos="964" w:val="left"/>
        </w:tabs>
        <w:numPr>
          <w:ilvl w:val="1"/>
          <w:numId w:val="29"/>
        </w:numPr>
        <w:rPr>
          <w:rFonts w:ascii="Arial" w:cs="Arial" w:eastAsia="Arial" w:hAnsi="Arial"/>
          <w:sz w:val="18"/>
          <w:szCs w:val="18"/>
          <w:color w:val="auto"/>
        </w:rPr>
      </w:pPr>
      <w:r>
        <w:rPr>
          <w:rFonts w:ascii="Arial" w:cs="Arial" w:eastAsia="Arial" w:hAnsi="Arial"/>
          <w:sz w:val="18"/>
          <w:szCs w:val="18"/>
          <w:u w:val="single" w:color="auto"/>
          <w:color w:val="auto"/>
        </w:rPr>
        <w:t>Earning Restricted Stock Units</w:t>
      </w:r>
      <w:r>
        <w:rPr>
          <w:rFonts w:ascii="Arial" w:cs="Arial" w:eastAsia="Arial" w:hAnsi="Arial"/>
          <w:sz w:val="18"/>
          <w:szCs w:val="18"/>
          <w:color w:val="auto"/>
        </w:rPr>
        <w:t>. 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w:t>
      </w:r>
    </w:p>
    <w:p>
      <w:pPr>
        <w:spacing w:after="0" w:line="89" w:lineRule="exact"/>
        <w:rPr>
          <w:rFonts w:ascii="Arial" w:cs="Arial" w:eastAsia="Arial" w:hAnsi="Arial"/>
          <w:sz w:val="18"/>
          <w:szCs w:val="18"/>
          <w:color w:val="auto"/>
        </w:rPr>
      </w:pPr>
    </w:p>
    <w:p>
      <w:pPr>
        <w:ind w:left="964" w:right="180" w:hanging="532"/>
        <w:spacing w:after="0" w:line="263" w:lineRule="auto"/>
        <w:tabs>
          <w:tab w:leader="none" w:pos="964" w:val="left"/>
        </w:tabs>
        <w:numPr>
          <w:ilvl w:val="1"/>
          <w:numId w:val="29"/>
        </w:numPr>
        <w:rPr>
          <w:rFonts w:ascii="Arial" w:cs="Arial" w:eastAsia="Arial" w:hAnsi="Arial"/>
          <w:sz w:val="18"/>
          <w:szCs w:val="18"/>
          <w:color w:val="auto"/>
        </w:rPr>
      </w:pPr>
      <w:r>
        <w:rPr>
          <w:rFonts w:ascii="Arial" w:cs="Arial" w:eastAsia="Arial" w:hAnsi="Arial"/>
          <w:sz w:val="18"/>
          <w:szCs w:val="18"/>
          <w:u w:val="single" w:color="auto"/>
          <w:color w:val="auto"/>
        </w:rPr>
        <w:t>Form and Timing of Payment</w:t>
      </w:r>
      <w:r>
        <w:rPr>
          <w:rFonts w:ascii="Arial" w:cs="Arial" w:eastAsia="Arial" w:hAnsi="Arial"/>
          <w:sz w:val="18"/>
          <w:szCs w:val="18"/>
          <w:color w:val="auto"/>
        </w:rPr>
        <w:t>. Payment of earned Restricted Stock Units will be made as soon as practicable after the date(s) determined by the Administrator and set forth in the Award Agreement. The Administrator, in its sole discretion, may settle earned Restricted Stock Units in cash, Shares, or a combination of both.</w:t>
      </w:r>
    </w:p>
    <w:p>
      <w:pPr>
        <w:spacing w:after="0" w:line="89" w:lineRule="exact"/>
        <w:rPr>
          <w:rFonts w:ascii="Arial" w:cs="Arial" w:eastAsia="Arial" w:hAnsi="Arial"/>
          <w:sz w:val="18"/>
          <w:szCs w:val="18"/>
          <w:color w:val="auto"/>
        </w:rPr>
      </w:pPr>
    </w:p>
    <w:p>
      <w:pPr>
        <w:ind w:left="964" w:hanging="532"/>
        <w:spacing w:after="0"/>
        <w:tabs>
          <w:tab w:leader="none" w:pos="964" w:val="left"/>
        </w:tabs>
        <w:numPr>
          <w:ilvl w:val="1"/>
          <w:numId w:val="29"/>
        </w:numPr>
        <w:rPr>
          <w:rFonts w:ascii="Arial" w:cs="Arial" w:eastAsia="Arial" w:hAnsi="Arial"/>
          <w:sz w:val="17"/>
          <w:szCs w:val="17"/>
          <w:color w:val="auto"/>
        </w:rPr>
      </w:pPr>
      <w:r>
        <w:rPr>
          <w:rFonts w:ascii="Arial" w:cs="Arial" w:eastAsia="Arial" w:hAnsi="Arial"/>
          <w:sz w:val="17"/>
          <w:szCs w:val="17"/>
          <w:u w:val="single" w:color="auto"/>
          <w:color w:val="auto"/>
        </w:rPr>
        <w:t>Cancellation</w:t>
      </w:r>
      <w:r>
        <w:rPr>
          <w:rFonts w:ascii="Arial" w:cs="Arial" w:eastAsia="Arial" w:hAnsi="Arial"/>
          <w:sz w:val="17"/>
          <w:szCs w:val="17"/>
          <w:color w:val="auto"/>
        </w:rPr>
        <w:t>. On the date set forth in the Award Agreement, all unearned Restricted Stock Units will be forfeited to the Company.</w:t>
      </w:r>
    </w:p>
    <w:p>
      <w:pPr>
        <w:spacing w:after="0" w:line="16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4"/>
          </w:cols>
          <w:pgMar w:left="436" w:top="274" w:right="459" w:bottom="1440" w:gutter="0" w:footer="0" w:header="0"/>
        </w:sectPr>
      </w:pPr>
    </w:p>
    <w:bookmarkStart w:id="23" w:name="page24"/>
    <w:bookmarkEnd w:id="23"/>
    <w:p>
      <w:pPr>
        <w:ind w:left="424" w:hanging="424"/>
        <w:spacing w:after="0" w:line="254" w:lineRule="auto"/>
        <w:tabs>
          <w:tab w:leader="none" w:pos="424"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Compliance With Code Section 409A</w:t>
      </w:r>
      <w:r>
        <w:rPr>
          <w:rFonts w:ascii="Arial" w:cs="Arial" w:eastAsia="Arial" w:hAnsi="Arial"/>
          <w:sz w:val="18"/>
          <w:szCs w:val="18"/>
          <w:color w:val="auto"/>
        </w:rPr>
        <w:t>. Awards will be designed and operated in such a manner that they are either exempt from the application of, or comply with, the requirements of Code Section 409A, except as otherwise determined in the sole discretion of the Administrator. The Plan and each Award Agreement under the Plan is intended to meet the requirements of Code Section 409A and will be construed and interpreted in accordance with such intent, except as otherwise determined in the sole discretion of the Administrator. To the extent that an Award or payment, or the settlement or deferral thereof, is subject to Code Section 409A the Award will be granted, paid, settled or deferred in a manner that will meet the requirements of Code Section 409A, such that the grant, payment, settlement or deferral will not be subject to the additional tax or interest applicable under Code Section 409A.</w:t>
      </w:r>
    </w:p>
    <w:p>
      <w:pPr>
        <w:spacing w:after="0" w:line="100" w:lineRule="exact"/>
        <w:rPr>
          <w:rFonts w:ascii="Arial" w:cs="Arial" w:eastAsia="Arial" w:hAnsi="Arial"/>
          <w:sz w:val="18"/>
          <w:szCs w:val="18"/>
          <w:color w:val="auto"/>
        </w:rPr>
      </w:pPr>
    </w:p>
    <w:p>
      <w:pPr>
        <w:ind w:left="424" w:right="40" w:hanging="424"/>
        <w:spacing w:after="0" w:line="254" w:lineRule="auto"/>
        <w:tabs>
          <w:tab w:leader="none" w:pos="424"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Leaves of Absence/Transfer Between Locations</w:t>
      </w:r>
      <w:r>
        <w:rPr>
          <w:rFonts w:ascii="Arial" w:cs="Arial" w:eastAsia="Arial" w:hAnsi="Arial"/>
          <w:sz w:val="18"/>
          <w:szCs w:val="18"/>
          <w:color w:val="auto"/>
        </w:rPr>
        <w:t>. Unless the Administrator provides otherwise, vesting of Awards granted hereunder will be suspended during any unpaid leave of absence. A Participant will not cease to be an Employee in the case of (i) any leave of absence approved by the Company or (ii) transfers between locations of the Company or between the Company, its Parent, or any Subsidiary. For purposes of Incentive Stock Options, no such leave may exceed three (3) months, unless reemployment upon expiration of such leave is guaranteed by statute or contract. If reemployment upon expiration of a leave of absence approved by the Company is not so guaranteed, then six (6) months following the first (1st) day of such leave, any Incentive Stock Option held by the Participant will cease to be treated as an Incentive Stock Option and will be treated for tax purposes as a Nonstatutory Stock Option.</w:t>
      </w:r>
    </w:p>
    <w:p>
      <w:pPr>
        <w:spacing w:after="0" w:line="100" w:lineRule="exact"/>
        <w:rPr>
          <w:rFonts w:ascii="Arial" w:cs="Arial" w:eastAsia="Arial" w:hAnsi="Arial"/>
          <w:sz w:val="18"/>
          <w:szCs w:val="18"/>
          <w:color w:val="auto"/>
        </w:rPr>
      </w:pPr>
    </w:p>
    <w:p>
      <w:pPr>
        <w:ind w:left="424" w:hanging="424"/>
        <w:spacing w:after="0"/>
        <w:tabs>
          <w:tab w:leader="none" w:pos="424"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Limited Transferability of Awards.</w:t>
      </w:r>
    </w:p>
    <w:p>
      <w:pPr>
        <w:spacing w:after="0" w:line="130" w:lineRule="exact"/>
        <w:rPr>
          <w:rFonts w:ascii="Arial" w:cs="Arial" w:eastAsia="Arial" w:hAnsi="Arial"/>
          <w:sz w:val="18"/>
          <w:szCs w:val="18"/>
          <w:color w:val="auto"/>
        </w:rPr>
      </w:pPr>
    </w:p>
    <w:p>
      <w:pPr>
        <w:ind w:left="964" w:right="80" w:hanging="532"/>
        <w:spacing w:after="0" w:line="301" w:lineRule="auto"/>
        <w:tabs>
          <w:tab w:leader="none" w:pos="964" w:val="left"/>
        </w:tabs>
        <w:numPr>
          <w:ilvl w:val="1"/>
          <w:numId w:val="30"/>
        </w:numPr>
        <w:rPr>
          <w:rFonts w:ascii="Arial" w:cs="Arial" w:eastAsia="Arial" w:hAnsi="Arial"/>
          <w:sz w:val="16"/>
          <w:szCs w:val="16"/>
          <w:color w:val="auto"/>
        </w:rPr>
      </w:pPr>
      <w:r>
        <w:rPr>
          <w:rFonts w:ascii="Arial" w:cs="Arial" w:eastAsia="Arial" w:hAnsi="Arial"/>
          <w:sz w:val="16"/>
          <w:szCs w:val="16"/>
          <w:color w:val="auto"/>
        </w:rPr>
        <w:t>Unless determined otherwise by the Administrator, Awards may not be sold, pledged, assigned, hypothecated, or otherwise transferred in any manner other than by will or by the laws of descent and distribution, and may be exercised, during the lifetime of the Participant, only by the Participant. If the Administrator makes an Award transferable, such Award may only be transferred (i) by will, (ii) by the laws of descent and distribution, or (iii) as permitted by Rule 701 of the Securities Act of 1933, as amended (the “Securities Act”).</w:t>
      </w:r>
    </w:p>
    <w:p>
      <w:pPr>
        <w:spacing w:after="0" w:line="62" w:lineRule="exact"/>
        <w:rPr>
          <w:rFonts w:ascii="Arial" w:cs="Arial" w:eastAsia="Arial" w:hAnsi="Arial"/>
          <w:sz w:val="16"/>
          <w:szCs w:val="16"/>
          <w:color w:val="auto"/>
        </w:rPr>
      </w:pPr>
    </w:p>
    <w:p>
      <w:pPr>
        <w:ind w:left="964" w:right="80" w:hanging="532"/>
        <w:spacing w:after="0" w:line="289" w:lineRule="auto"/>
        <w:tabs>
          <w:tab w:leader="none" w:pos="964" w:val="left"/>
        </w:tabs>
        <w:numPr>
          <w:ilvl w:val="1"/>
          <w:numId w:val="30"/>
        </w:numPr>
        <w:rPr>
          <w:rFonts w:ascii="Arial" w:cs="Arial" w:eastAsia="Arial" w:hAnsi="Arial"/>
          <w:sz w:val="16"/>
          <w:szCs w:val="16"/>
          <w:color w:val="auto"/>
        </w:rPr>
      </w:pPr>
      <w:r>
        <w:rPr>
          <w:rFonts w:ascii="Arial" w:cs="Arial" w:eastAsia="Arial" w:hAnsi="Arial"/>
          <w:sz w:val="16"/>
          <w:szCs w:val="16"/>
          <w:color w:val="auto"/>
        </w:rPr>
        <w:t>Further, until the Company becomes subject to the reporting requirements of Section 13 or 15(d) of the Exchange Act, or after the Administrator determines that it is, will, or may no longer be relying upon the exemption from registration under the Exchange Act as set forth in Rule 12h-1(f) promulgated under the Exchange Act, an Option, or prior to exercise, the Shares subject to the Option, may not be pledged, hypothecated or otherwise transferred or disposed of, in any manner, including by entering into any short position, any “put equivalent position” or any “call equivalent position” (as defined in Rule 16a-1(h) and Rule 16a-1(b) of the Exchange Act, respectively), other than to (i) persons who are “family members” (as defined in Rule 701(c)(3) of the Securities Act) through gifts or domestic relations orders, or (ii) to an executor or guardian of the Participant upon the death or disability of the Participant. Notwithstanding the foregoing sentence, the Administrator, in its sole discretion, may determine to permit transfers to the Company or in connection with a Change in Control or other acquisition transactions involving the Company to the extent permitted by Rule 12h-1(f).</w:t>
      </w:r>
    </w:p>
    <w:p>
      <w:pPr>
        <w:spacing w:after="0" w:line="9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4"/>
          </w:cols>
          <w:pgMar w:left="436" w:top="274" w:right="459" w:bottom="1440" w:gutter="0" w:footer="0" w:header="0"/>
        </w:sectPr>
      </w:pPr>
    </w:p>
    <w:bookmarkStart w:id="24" w:name="page25"/>
    <w:bookmarkEnd w:id="24"/>
    <w:p>
      <w:pPr>
        <w:ind w:left="424" w:hanging="424"/>
        <w:spacing w:after="0"/>
        <w:tabs>
          <w:tab w:leader="none" w:pos="424"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Adjustments; Dissolution or Liquidation; Merger or Change in Control.</w:t>
      </w:r>
    </w:p>
    <w:p>
      <w:pPr>
        <w:spacing w:after="0" w:line="130" w:lineRule="exact"/>
        <w:rPr>
          <w:rFonts w:ascii="Arial" w:cs="Arial" w:eastAsia="Arial" w:hAnsi="Arial"/>
          <w:sz w:val="18"/>
          <w:szCs w:val="18"/>
          <w:color w:val="auto"/>
        </w:rPr>
      </w:pPr>
    </w:p>
    <w:p>
      <w:pPr>
        <w:ind w:left="964" w:hanging="532"/>
        <w:spacing w:after="0" w:line="254" w:lineRule="auto"/>
        <w:tabs>
          <w:tab w:leader="none" w:pos="964" w:val="left"/>
        </w:tabs>
        <w:numPr>
          <w:ilvl w:val="1"/>
          <w:numId w:val="31"/>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In the event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or other change in the corporate structure of the Company affecting the Shares occurs, the Administrator, in order to prevent diminution or enlargement of the benefits or potential benefits intended to be made available under the Plan, will adjust the number and class of Shares that may be delivered under the Plan and/or the number, class, and price of Shares covered by each outstanding Award; provided, however, that the Administrator will make such adjustments to an Award required by Section 25102(o) of the California Corporations Code to the extent the Company is relying upon the exemption afforded thereby with respect to the Award.</w:t>
      </w:r>
    </w:p>
    <w:p>
      <w:pPr>
        <w:spacing w:after="0" w:line="97" w:lineRule="exact"/>
        <w:rPr>
          <w:rFonts w:ascii="Arial" w:cs="Arial" w:eastAsia="Arial" w:hAnsi="Arial"/>
          <w:sz w:val="18"/>
          <w:szCs w:val="18"/>
          <w:color w:val="auto"/>
        </w:rPr>
      </w:pPr>
    </w:p>
    <w:p>
      <w:pPr>
        <w:ind w:left="964" w:right="440" w:hanging="532"/>
        <w:spacing w:after="0" w:line="286" w:lineRule="auto"/>
        <w:tabs>
          <w:tab w:leader="none" w:pos="964" w:val="left"/>
        </w:tabs>
        <w:numPr>
          <w:ilvl w:val="1"/>
          <w:numId w:val="31"/>
        </w:numPr>
        <w:rPr>
          <w:rFonts w:ascii="Arial" w:cs="Arial" w:eastAsia="Arial" w:hAnsi="Arial"/>
          <w:sz w:val="17"/>
          <w:szCs w:val="17"/>
          <w:color w:val="auto"/>
        </w:rPr>
      </w:pPr>
      <w:r>
        <w:rPr>
          <w:rFonts w:ascii="Arial" w:cs="Arial" w:eastAsia="Arial" w:hAnsi="Arial"/>
          <w:sz w:val="17"/>
          <w:szCs w:val="17"/>
          <w:u w:val="single" w:color="auto"/>
          <w:color w:val="auto"/>
        </w:rPr>
        <w:t>Dissolution or Liquidation</w:t>
      </w:r>
      <w:r>
        <w:rPr>
          <w:rFonts w:ascii="Arial" w:cs="Arial" w:eastAsia="Arial" w:hAnsi="Arial"/>
          <w:sz w:val="17"/>
          <w:szCs w:val="17"/>
          <w:color w:val="auto"/>
        </w:rPr>
        <w:t>. In the event of the proposed dissolution or liquidation of the Company, the Administrator will notify each Participant as soon as practicable prior to the effective date of such proposed transaction. To the extent it has not been previously exercised, an Award will terminate immediately prior to the consummation of such proposed action.</w:t>
      </w:r>
    </w:p>
    <w:p>
      <w:pPr>
        <w:spacing w:after="0" w:line="70" w:lineRule="exact"/>
        <w:rPr>
          <w:rFonts w:ascii="Arial" w:cs="Arial" w:eastAsia="Arial" w:hAnsi="Arial"/>
          <w:sz w:val="17"/>
          <w:szCs w:val="17"/>
          <w:color w:val="auto"/>
        </w:rPr>
      </w:pPr>
    </w:p>
    <w:p>
      <w:pPr>
        <w:ind w:left="964" w:hanging="532"/>
        <w:spacing w:after="0"/>
        <w:tabs>
          <w:tab w:leader="none" w:pos="964" w:val="left"/>
        </w:tabs>
        <w:numPr>
          <w:ilvl w:val="1"/>
          <w:numId w:val="31"/>
        </w:numPr>
        <w:rPr>
          <w:rFonts w:ascii="Arial" w:cs="Arial" w:eastAsia="Arial" w:hAnsi="Arial"/>
          <w:sz w:val="18"/>
          <w:szCs w:val="18"/>
          <w:color w:val="auto"/>
        </w:rPr>
      </w:pPr>
      <w:r>
        <w:rPr>
          <w:rFonts w:ascii="Arial" w:cs="Arial" w:eastAsia="Arial" w:hAnsi="Arial"/>
          <w:sz w:val="18"/>
          <w:szCs w:val="18"/>
          <w:color w:val="auto"/>
        </w:rPr>
        <w:t>Merger or Change in Control.</w:t>
      </w:r>
    </w:p>
    <w:p>
      <w:pPr>
        <w:spacing w:after="0" w:line="130" w:lineRule="exact"/>
        <w:rPr>
          <w:rFonts w:ascii="Arial" w:cs="Arial" w:eastAsia="Arial" w:hAnsi="Arial"/>
          <w:sz w:val="18"/>
          <w:szCs w:val="18"/>
          <w:color w:val="auto"/>
        </w:rPr>
      </w:pPr>
    </w:p>
    <w:p>
      <w:pPr>
        <w:ind w:left="1424" w:right="20" w:hanging="439"/>
        <w:spacing w:after="0" w:line="254" w:lineRule="auto"/>
        <w:tabs>
          <w:tab w:leader="none" w:pos="1424" w:val="left"/>
        </w:tabs>
        <w:numPr>
          <w:ilvl w:val="2"/>
          <w:numId w:val="31"/>
        </w:numPr>
        <w:rPr>
          <w:rFonts w:ascii="Arial" w:cs="Arial" w:eastAsia="Arial" w:hAnsi="Arial"/>
          <w:sz w:val="18"/>
          <w:szCs w:val="18"/>
          <w:color w:val="auto"/>
        </w:rPr>
      </w:pPr>
      <w:r>
        <w:rPr>
          <w:rFonts w:ascii="Arial" w:cs="Arial" w:eastAsia="Arial" w:hAnsi="Arial"/>
          <w:sz w:val="18"/>
          <w:szCs w:val="18"/>
          <w:color w:val="auto"/>
        </w:rPr>
        <w:t>With respect to Awards granted prior to October 11, 2017, in the event of a merger or a Change in Control, and with respect solely to any Participant who has been a Service Provider during the twelve (12) month period preceding the closing date of a merger or Change in Control, such Participant will fully vest in and have the right to exercise all of his or her outstanding Options and Stock Appreciation Rights, including Shares as to which such Awards would not otherwise be vested or exercisable, all restrictions on outstanding Restricted Stock and Restricted Stock Units will lapse, and, with respect to Awards with performance-based vesting, all performance goals or other vesting criteria will be deemed achieved at one hundred percent (100%) of target levels and all other terms and conditions met.</w:t>
      </w:r>
    </w:p>
    <w:p>
      <w:pPr>
        <w:spacing w:after="0" w:line="100" w:lineRule="exact"/>
        <w:rPr>
          <w:rFonts w:ascii="Arial" w:cs="Arial" w:eastAsia="Arial" w:hAnsi="Arial"/>
          <w:sz w:val="18"/>
          <w:szCs w:val="18"/>
          <w:color w:val="auto"/>
        </w:rPr>
      </w:pPr>
    </w:p>
    <w:p>
      <w:pPr>
        <w:ind w:left="1424" w:right="220" w:hanging="439"/>
        <w:spacing w:after="0" w:line="301" w:lineRule="auto"/>
        <w:tabs>
          <w:tab w:leader="none" w:pos="1424" w:val="left"/>
        </w:tabs>
        <w:numPr>
          <w:ilvl w:val="2"/>
          <w:numId w:val="31"/>
        </w:numPr>
        <w:rPr>
          <w:rFonts w:ascii="Arial" w:cs="Arial" w:eastAsia="Arial" w:hAnsi="Arial"/>
          <w:sz w:val="16"/>
          <w:szCs w:val="16"/>
          <w:color w:val="auto"/>
        </w:rPr>
      </w:pPr>
      <w:r>
        <w:rPr>
          <w:rFonts w:ascii="Arial" w:cs="Arial" w:eastAsia="Arial" w:hAnsi="Arial"/>
          <w:sz w:val="16"/>
          <w:szCs w:val="16"/>
          <w:color w:val="auto"/>
        </w:rPr>
        <w:t>Except as set forth in subsection 13(c)(i), in the event of a merger or Change in Control, each outstanding Award will be treated as the Administrator determines (subject to the provisions of the following paragraph) without a Participant’s consent, including, without limitation, that (A) Awards will be assumed, or substantially equivalent Awards will be substituted, by the acquiring or succeeding corporation (or an affiliate thereof) with appropriate adjustments as to the number and kind of shares</w:t>
      </w:r>
    </w:p>
    <w:p>
      <w:pPr>
        <w:spacing w:after="0" w:line="9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4"/>
          </w:cols>
          <w:pgMar w:left="436" w:top="274" w:right="459" w:bottom="1440" w:gutter="0" w:footer="0" w:header="0"/>
        </w:sectPr>
      </w:pPr>
    </w:p>
    <w:bookmarkStart w:id="25" w:name="page26"/>
    <w:bookmarkEnd w:id="25"/>
    <w:p>
      <w:pPr>
        <w:ind w:left="14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prices; (B) upon written notice to a Participant, that the Participant’s Awards will terminate upon or immediately prior to the consummation of such merger or Change in Control; (C) outstanding Awards will vest and become exercisable, realizable, or payable, or restrictions applicable to an Award will lapse, in whole or in part prior to or upon consummation of such merger or Change in Control, and, to the extent the Administrator determines, terminate upon or immediately prior to the effectiveness of such merger or Change in Control; (D) (1) the termination of an Award in exchange for an amount of cash and/or property, if any, equal to the amount that would have been attained upon the exercise of such Award or realization of the Participant’s rights as of the date of the occurrence of the transaction (and, for the avoidance of doubt, if as of the date of the occurrence of the transaction the Administrator determines in good faith that no amount would have been attained upon the exercise of such Award or realization of the Participant’s rights, then such Award may be terminated by the Company without payment), or (2) the replacement of such Award with other rights or property selected by the Administrator in its sole discretion; or (D) any combination of the foregoing. In taking any of the actions permitted under this subsection 13(c)(ii), the Administrator will not be obligated to treat all Awards, all Awards held by a Participant, or all Awards of the same type, similarly.</w:t>
      </w:r>
    </w:p>
    <w:p>
      <w:pPr>
        <w:spacing w:after="0" w:line="179" w:lineRule="exact"/>
        <w:rPr>
          <w:sz w:val="20"/>
          <w:szCs w:val="20"/>
          <w:color w:val="auto"/>
        </w:rPr>
      </w:pPr>
    </w:p>
    <w:p>
      <w:pPr>
        <w:ind w:right="80" w:firstLine="440"/>
        <w:spacing w:after="0" w:line="270" w:lineRule="auto"/>
        <w:rPr>
          <w:sz w:val="20"/>
          <w:szCs w:val="20"/>
          <w:color w:val="auto"/>
        </w:rPr>
      </w:pPr>
      <w:r>
        <w:rPr>
          <w:rFonts w:ascii="Arial" w:cs="Arial" w:eastAsia="Arial" w:hAnsi="Arial"/>
          <w:sz w:val="17"/>
          <w:szCs w:val="17"/>
          <w:color w:val="auto"/>
        </w:rPr>
        <w:t>For the purposes of this subsection 13(c)(ii), an Award will be considered assumed if, following the merger or Change in Control, the Award confers the right to purchase or receive, for each Share subject to the Award immediately prior to the merger or Change in Control, the consideration (whether stock, cash, or other securities or property) received in the merger or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merger or Change in Control is not solely common stock of the successor corporation or its Parent, the Administrator may, with the consent of the successor corporation, provide for the consideration to be received upon the exercise of an Option or Stock Appreciation Right or upon the payout of a Restricted Stock Unit, for each Share subject to such Award, to be solely common stock of the successor corporation or its Parent equal in fair market value to the per share consideration received by holders of Common Stock in the merger or Change in Control.</w:t>
      </w:r>
    </w:p>
    <w:p>
      <w:pPr>
        <w:spacing w:after="0" w:line="181"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Notwithstanding anything in this Section 13(c)(ii) to the contrary, an Award that vests, is earned or paid-out upon the satisfaction of one or more performance goals will not be considered assumed if the Company or its successor modifies any of such performance goals without the Participant’s consent; provided, however, a modification to such performance goals only to reflect the successor corporation’s post-Change in Control corporate structure will not be deemed to invalidate an otherwise valid Award assumption.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26" w:name="page27"/>
    <w:bookmarkEnd w:id="26"/>
    <w:p>
      <w:pPr>
        <w:ind w:left="1424" w:right="440" w:hanging="439"/>
        <w:spacing w:after="0" w:line="275" w:lineRule="auto"/>
        <w:tabs>
          <w:tab w:leader="none" w:pos="1424" w:val="left"/>
        </w:tabs>
        <w:numPr>
          <w:ilvl w:val="2"/>
          <w:numId w:val="3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anything in this Section 13(c) to the contrary, if a payment under an Award Agreement is subject to Code Section 409A and if the change in control definition contained in the Award Agreement does not comply with the definition of “change of control” for purposes of a distribution under Code Section 409A, then any payment of an amount that is otherwise accelerated under this Section will be delayed until the earliest time that such payment would be permissible under Code Section 409A without triggering any penalties applicable under Code Section 409A.</w:t>
      </w:r>
    </w:p>
    <w:p>
      <w:pPr>
        <w:spacing w:after="0" w:line="81" w:lineRule="exact"/>
        <w:rPr>
          <w:rFonts w:ascii="Arial" w:cs="Arial" w:eastAsia="Arial" w:hAnsi="Arial"/>
          <w:sz w:val="17"/>
          <w:szCs w:val="17"/>
          <w:color w:val="auto"/>
        </w:rPr>
      </w:pPr>
    </w:p>
    <w:p>
      <w:pPr>
        <w:ind w:left="424" w:hanging="424"/>
        <w:spacing w:after="0"/>
        <w:tabs>
          <w:tab w:leader="none" w:pos="424"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Tax Withholding.</w:t>
      </w:r>
    </w:p>
    <w:p>
      <w:pPr>
        <w:spacing w:after="0" w:line="130" w:lineRule="exact"/>
        <w:rPr>
          <w:rFonts w:ascii="Arial" w:cs="Arial" w:eastAsia="Arial" w:hAnsi="Arial"/>
          <w:sz w:val="18"/>
          <w:szCs w:val="18"/>
          <w:color w:val="auto"/>
        </w:rPr>
      </w:pPr>
    </w:p>
    <w:p>
      <w:pPr>
        <w:ind w:left="964" w:right="80" w:hanging="532"/>
        <w:spacing w:after="0" w:line="259" w:lineRule="auto"/>
        <w:tabs>
          <w:tab w:leader="none" w:pos="964" w:val="left"/>
        </w:tabs>
        <w:numPr>
          <w:ilvl w:val="1"/>
          <w:numId w:val="33"/>
        </w:numPr>
        <w:rPr>
          <w:rFonts w:ascii="Arial" w:cs="Arial" w:eastAsia="Arial" w:hAnsi="Arial"/>
          <w:sz w:val="18"/>
          <w:szCs w:val="18"/>
          <w:color w:val="auto"/>
        </w:rPr>
      </w:pPr>
      <w:r>
        <w:rPr>
          <w:rFonts w:ascii="Arial" w:cs="Arial" w:eastAsia="Arial" w:hAnsi="Arial"/>
          <w:sz w:val="18"/>
          <w:szCs w:val="18"/>
          <w:u w:val="single" w:color="auto"/>
          <w:color w:val="auto"/>
        </w:rPr>
        <w:t>Withholding Requirements</w:t>
      </w:r>
      <w:r>
        <w:rPr>
          <w:rFonts w:ascii="Arial" w:cs="Arial" w:eastAsia="Arial" w:hAnsi="Arial"/>
          <w:sz w:val="18"/>
          <w:szCs w:val="18"/>
          <w:color w:val="auto"/>
        </w:rPr>
        <w:t>. Prior to the delivery of any Shares or cash pursuant to an Award (or exercise thereof), the Company will have the power and the right to deduct or withhold, or require a Participant to remit to the Company, an amount sufficient to satisfy federal, state, local, foreign or other taxes (including the Participant’s FICA obligation) required to be withheld with respect to such Award (or exercise thereof).</w:t>
      </w:r>
    </w:p>
    <w:p>
      <w:pPr>
        <w:spacing w:after="0" w:line="92" w:lineRule="exact"/>
        <w:rPr>
          <w:rFonts w:ascii="Arial" w:cs="Arial" w:eastAsia="Arial" w:hAnsi="Arial"/>
          <w:sz w:val="18"/>
          <w:szCs w:val="18"/>
          <w:color w:val="auto"/>
        </w:rPr>
      </w:pPr>
    </w:p>
    <w:p>
      <w:pPr>
        <w:ind w:left="964" w:hanging="532"/>
        <w:spacing w:after="0" w:line="287" w:lineRule="auto"/>
        <w:tabs>
          <w:tab w:leader="none" w:pos="964" w:val="left"/>
        </w:tabs>
        <w:numPr>
          <w:ilvl w:val="1"/>
          <w:numId w:val="33"/>
        </w:numPr>
        <w:rPr>
          <w:rFonts w:ascii="Arial" w:cs="Arial" w:eastAsia="Arial" w:hAnsi="Arial"/>
          <w:sz w:val="16"/>
          <w:szCs w:val="16"/>
          <w:color w:val="auto"/>
        </w:rPr>
      </w:pPr>
      <w:r>
        <w:rPr>
          <w:rFonts w:ascii="Arial" w:cs="Arial" w:eastAsia="Arial" w:hAnsi="Arial"/>
          <w:sz w:val="16"/>
          <w:szCs w:val="16"/>
          <w:u w:val="single" w:color="auto"/>
          <w:color w:val="auto"/>
        </w:rPr>
        <w:t>Withholding Arrangements</w:t>
      </w:r>
      <w:r>
        <w:rPr>
          <w:rFonts w:ascii="Arial" w:cs="Arial" w:eastAsia="Arial" w:hAnsi="Arial"/>
          <w:sz w:val="16"/>
          <w:szCs w:val="16"/>
          <w:color w:val="auto"/>
        </w:rPr>
        <w:t>. The Administrator, in its sole discretion and pursuant to such procedures as it may specify from time to time, may permit a Participant to satisfy such tax withholding obligation, in whole or in part by (without limitation) (i) paying cash, (ii) electing to have the Company withhold otherwise deliverable Shares having a Fair Market Value equal to the minimum statutory amount required to be withheld, (iii) delivering to the Company already-owned Shares having a Fair Market Value equal to the statutory amount required to be withheld, provided the delivery of such Shares will not result in any adverse accounting consequences, as the Administrator determines in its sole discretion, or (iv) selling a sufficient number of Shares otherwise deliverable to the Participant through such means as the Administrator may determine in its sole discretion (whether through a broker or otherwise) equal to the amount required to be withheld. The amount of the withholding requirement will be deemed to include any amount which the Administrator agrees may be withheld at the time the election is made, not to exceed the amount determined by using the maximum federal, state or local marginal income tax rates applicable to the Participant with respect to the Award on the date that the amount of tax to be withheld is to be determined. The Fair Market Value of the Shares to be withheld or delivered will be determined as of the date that the taxes are required to be withheld.</w:t>
      </w:r>
    </w:p>
    <w:p>
      <w:pPr>
        <w:spacing w:after="0" w:line="77" w:lineRule="exact"/>
        <w:rPr>
          <w:rFonts w:ascii="Arial" w:cs="Arial" w:eastAsia="Arial" w:hAnsi="Arial"/>
          <w:sz w:val="16"/>
          <w:szCs w:val="16"/>
          <w:color w:val="auto"/>
        </w:rPr>
      </w:pPr>
    </w:p>
    <w:p>
      <w:pPr>
        <w:ind w:left="424" w:right="20" w:hanging="424"/>
        <w:spacing w:after="0" w:line="286" w:lineRule="auto"/>
        <w:tabs>
          <w:tab w:leader="none" w:pos="424"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No Effect on Employment or Service</w:t>
      </w:r>
      <w:r>
        <w:rPr>
          <w:rFonts w:ascii="Arial" w:cs="Arial" w:eastAsia="Arial" w:hAnsi="Arial"/>
          <w:sz w:val="17"/>
          <w:szCs w:val="17"/>
          <w:color w:val="auto"/>
        </w:rPr>
        <w:t>. Neither the Plan nor any Award will confer upon a Participant any right with respect to continuing the Participant’s relationship as a Service Provider with the Company, nor will they interfere in any way with the Participant’s right or the Company’s right to terminate such relationship at any time, with or without cause, to the extent permitted by Applicable Laws.</w:t>
      </w:r>
    </w:p>
    <w:p>
      <w:pPr>
        <w:spacing w:after="0" w:line="70" w:lineRule="exact"/>
        <w:rPr>
          <w:rFonts w:ascii="Arial" w:cs="Arial" w:eastAsia="Arial" w:hAnsi="Arial"/>
          <w:sz w:val="17"/>
          <w:szCs w:val="17"/>
          <w:color w:val="auto"/>
        </w:rPr>
      </w:pPr>
    </w:p>
    <w:p>
      <w:pPr>
        <w:ind w:left="424" w:right="40" w:hanging="424"/>
        <w:spacing w:after="0" w:line="263" w:lineRule="auto"/>
        <w:tabs>
          <w:tab w:leader="none" w:pos="424"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Date of Grant</w:t>
      </w:r>
      <w:r>
        <w:rPr>
          <w:rFonts w:ascii="Arial" w:cs="Arial" w:eastAsia="Arial" w:hAnsi="Arial"/>
          <w:sz w:val="18"/>
          <w:szCs w:val="18"/>
          <w:color w:val="auto"/>
        </w:rPr>
        <w:t>. The date of grant of an Award will be, for all purposes, the date on which the Administrator makes the determination granting such Award, or such other later date as is determined by the Administrator. Notice of the determination will be provided to each Participant within a reasonable time after the date of such grant.</w:t>
      </w:r>
    </w:p>
    <w:p>
      <w:pPr>
        <w:spacing w:after="0" w:line="116"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4"/>
          </w:cols>
          <w:pgMar w:left="436" w:top="274" w:right="499" w:bottom="1440" w:gutter="0" w:footer="0" w:header="0"/>
        </w:sectPr>
      </w:pPr>
    </w:p>
    <w:bookmarkStart w:id="27" w:name="page28"/>
    <w:bookmarkEnd w:id="27"/>
    <w:p>
      <w:pPr>
        <w:jc w:val="both"/>
        <w:ind w:left="424" w:right="180" w:hanging="424"/>
        <w:spacing w:after="0" w:line="286" w:lineRule="auto"/>
        <w:tabs>
          <w:tab w:leader="none" w:pos="424"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Term of Plan</w:t>
      </w:r>
      <w:r>
        <w:rPr>
          <w:rFonts w:ascii="Arial" w:cs="Arial" w:eastAsia="Arial" w:hAnsi="Arial"/>
          <w:sz w:val="17"/>
          <w:szCs w:val="17"/>
          <w:color w:val="auto"/>
        </w:rPr>
        <w:t>. Subject to Section 21 of the Plan, the Plan will become effective upon its adoption by the Board. Unless sooner terminated under Section 18, it will continue in effect for a term of ten (10) years from the later of (a) the effective date of the Plan, or (b) the earlier of the most recent Board or stockholder approval of an increase in the number of Shares reserved for issuance under the Plan.</w:t>
      </w:r>
    </w:p>
    <w:p>
      <w:pPr>
        <w:spacing w:after="0" w:line="70" w:lineRule="exact"/>
        <w:rPr>
          <w:rFonts w:ascii="Arial" w:cs="Arial" w:eastAsia="Arial" w:hAnsi="Arial"/>
          <w:sz w:val="17"/>
          <w:szCs w:val="17"/>
          <w:color w:val="auto"/>
        </w:rPr>
      </w:pPr>
    </w:p>
    <w:p>
      <w:pPr>
        <w:ind w:left="424" w:hanging="424"/>
        <w:spacing w:after="0"/>
        <w:tabs>
          <w:tab w:leader="none" w:pos="424"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 of the Plan.</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34"/>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w:t>
      </w:r>
      <w:r>
        <w:rPr>
          <w:rFonts w:ascii="Arial" w:cs="Arial" w:eastAsia="Arial" w:hAnsi="Arial"/>
          <w:sz w:val="18"/>
          <w:szCs w:val="18"/>
          <w:color w:val="auto"/>
        </w:rPr>
        <w:t>. The Board may at any time amend, alter, suspend or terminate the Plan.</w:t>
      </w:r>
    </w:p>
    <w:p>
      <w:pPr>
        <w:spacing w:after="0" w:line="130" w:lineRule="exact"/>
        <w:rPr>
          <w:rFonts w:ascii="Arial" w:cs="Arial" w:eastAsia="Arial" w:hAnsi="Arial"/>
          <w:sz w:val="18"/>
          <w:szCs w:val="18"/>
          <w:color w:val="auto"/>
        </w:rPr>
      </w:pPr>
    </w:p>
    <w:p>
      <w:pPr>
        <w:ind w:left="964" w:right="260" w:hanging="532"/>
        <w:spacing w:after="0" w:line="277" w:lineRule="auto"/>
        <w:tabs>
          <w:tab w:leader="none" w:pos="964" w:val="left"/>
        </w:tabs>
        <w:numPr>
          <w:ilvl w:val="1"/>
          <w:numId w:val="34"/>
        </w:numPr>
        <w:rPr>
          <w:rFonts w:ascii="Arial" w:cs="Arial" w:eastAsia="Arial" w:hAnsi="Arial"/>
          <w:sz w:val="18"/>
          <w:szCs w:val="18"/>
          <w:color w:val="auto"/>
        </w:rPr>
      </w:pPr>
      <w:r>
        <w:rPr>
          <w:rFonts w:ascii="Arial" w:cs="Arial" w:eastAsia="Arial" w:hAnsi="Arial"/>
          <w:sz w:val="18"/>
          <w:szCs w:val="18"/>
          <w:u w:val="single" w:color="auto"/>
          <w:color w:val="auto"/>
        </w:rPr>
        <w:t>Stockholder Approval</w:t>
      </w:r>
      <w:r>
        <w:rPr>
          <w:rFonts w:ascii="Arial" w:cs="Arial" w:eastAsia="Arial" w:hAnsi="Arial"/>
          <w:sz w:val="18"/>
          <w:szCs w:val="18"/>
          <w:color w:val="auto"/>
        </w:rPr>
        <w:t>. The Company will obtain stockholder approval of any Plan amendment to the extent necessary and desirable to comply with Applicable Laws.</w:t>
      </w:r>
    </w:p>
    <w:p>
      <w:pPr>
        <w:spacing w:after="0" w:line="75" w:lineRule="exact"/>
        <w:rPr>
          <w:rFonts w:ascii="Arial" w:cs="Arial" w:eastAsia="Arial" w:hAnsi="Arial"/>
          <w:sz w:val="18"/>
          <w:szCs w:val="18"/>
          <w:color w:val="auto"/>
        </w:rPr>
      </w:pPr>
    </w:p>
    <w:p>
      <w:pPr>
        <w:ind w:left="964" w:right="340" w:hanging="532"/>
        <w:spacing w:after="0" w:line="279" w:lineRule="auto"/>
        <w:tabs>
          <w:tab w:leader="none" w:pos="964" w:val="left"/>
        </w:tabs>
        <w:numPr>
          <w:ilvl w:val="1"/>
          <w:numId w:val="34"/>
        </w:numPr>
        <w:rPr>
          <w:rFonts w:ascii="Arial" w:cs="Arial" w:eastAsia="Arial" w:hAnsi="Arial"/>
          <w:sz w:val="17"/>
          <w:szCs w:val="17"/>
          <w:color w:val="auto"/>
        </w:rPr>
      </w:pPr>
      <w:r>
        <w:rPr>
          <w:rFonts w:ascii="Arial" w:cs="Arial" w:eastAsia="Arial" w:hAnsi="Arial"/>
          <w:sz w:val="17"/>
          <w:szCs w:val="17"/>
          <w:u w:val="single" w:color="auto"/>
          <w:color w:val="auto"/>
        </w:rPr>
        <w:t>Effect of Amendment or Termination</w:t>
      </w:r>
      <w:r>
        <w:rPr>
          <w:rFonts w:ascii="Arial" w:cs="Arial" w:eastAsia="Arial" w:hAnsi="Arial"/>
          <w:sz w:val="17"/>
          <w:szCs w:val="17"/>
          <w:color w:val="auto"/>
        </w:rPr>
        <w:t>. No amendment, alteration, suspension or termination of the Plan will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w:t>
      </w:r>
    </w:p>
    <w:p>
      <w:pPr>
        <w:spacing w:after="0" w:line="76" w:lineRule="exact"/>
        <w:rPr>
          <w:rFonts w:ascii="Arial" w:cs="Arial" w:eastAsia="Arial" w:hAnsi="Arial"/>
          <w:sz w:val="17"/>
          <w:szCs w:val="17"/>
          <w:color w:val="auto"/>
        </w:rPr>
      </w:pPr>
    </w:p>
    <w:p>
      <w:pPr>
        <w:ind w:left="424" w:hanging="424"/>
        <w:spacing w:after="0"/>
        <w:tabs>
          <w:tab w:leader="none" w:pos="424"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Conditions Upon Issuance of Shares.</w:t>
      </w:r>
    </w:p>
    <w:p>
      <w:pPr>
        <w:spacing w:after="0" w:line="130" w:lineRule="exact"/>
        <w:rPr>
          <w:rFonts w:ascii="Arial" w:cs="Arial" w:eastAsia="Arial" w:hAnsi="Arial"/>
          <w:sz w:val="18"/>
          <w:szCs w:val="18"/>
          <w:color w:val="auto"/>
        </w:rPr>
      </w:pPr>
    </w:p>
    <w:p>
      <w:pPr>
        <w:ind w:left="964" w:right="60" w:hanging="532"/>
        <w:spacing w:after="0" w:line="263" w:lineRule="auto"/>
        <w:tabs>
          <w:tab w:leader="none" w:pos="964" w:val="left"/>
        </w:tabs>
        <w:numPr>
          <w:ilvl w:val="1"/>
          <w:numId w:val="34"/>
        </w:numPr>
        <w:rPr>
          <w:rFonts w:ascii="Arial" w:cs="Arial" w:eastAsia="Arial" w:hAnsi="Arial"/>
          <w:sz w:val="18"/>
          <w:szCs w:val="18"/>
          <w:color w:val="auto"/>
        </w:rPr>
      </w:pPr>
      <w:r>
        <w:rPr>
          <w:rFonts w:ascii="Arial" w:cs="Arial" w:eastAsia="Arial" w:hAnsi="Arial"/>
          <w:sz w:val="18"/>
          <w:szCs w:val="18"/>
          <w:u w:val="single" w:color="auto"/>
          <w:color w:val="auto"/>
        </w:rPr>
        <w:t>Legal Compliance</w:t>
      </w:r>
      <w:r>
        <w:rPr>
          <w:rFonts w:ascii="Arial" w:cs="Arial" w:eastAsia="Arial" w:hAnsi="Arial"/>
          <w:sz w:val="18"/>
          <w:szCs w:val="18"/>
          <w:color w:val="auto"/>
        </w:rPr>
        <w:t>. Shares will not be issued pursuant to the exercise of an Award unless the exercise of such Award and the issuance and delivery of such Shares will comply with Applicable Laws and will be further subject to the approval of counsel for the Company with respect to such compliance.</w:t>
      </w:r>
    </w:p>
    <w:p>
      <w:pPr>
        <w:spacing w:after="0" w:line="89" w:lineRule="exact"/>
        <w:rPr>
          <w:rFonts w:ascii="Arial" w:cs="Arial" w:eastAsia="Arial" w:hAnsi="Arial"/>
          <w:sz w:val="18"/>
          <w:szCs w:val="18"/>
          <w:color w:val="auto"/>
        </w:rPr>
      </w:pPr>
    </w:p>
    <w:p>
      <w:pPr>
        <w:ind w:left="964" w:right="200" w:hanging="532"/>
        <w:spacing w:after="0" w:line="311" w:lineRule="auto"/>
        <w:tabs>
          <w:tab w:leader="none" w:pos="964" w:val="left"/>
        </w:tabs>
        <w:numPr>
          <w:ilvl w:val="1"/>
          <w:numId w:val="34"/>
        </w:numPr>
        <w:rPr>
          <w:rFonts w:ascii="Arial" w:cs="Arial" w:eastAsia="Arial" w:hAnsi="Arial"/>
          <w:sz w:val="16"/>
          <w:szCs w:val="16"/>
          <w:color w:val="auto"/>
        </w:rPr>
      </w:pPr>
      <w:r>
        <w:rPr>
          <w:rFonts w:ascii="Arial" w:cs="Arial" w:eastAsia="Arial" w:hAnsi="Arial"/>
          <w:sz w:val="16"/>
          <w:szCs w:val="16"/>
          <w:u w:val="single" w:color="auto"/>
          <w:color w:val="auto"/>
        </w:rPr>
        <w:t>Investment Representations</w:t>
      </w:r>
      <w:r>
        <w:rPr>
          <w:rFonts w:ascii="Arial" w:cs="Arial" w:eastAsia="Arial" w:hAnsi="Arial"/>
          <w:sz w:val="16"/>
          <w:szCs w:val="16"/>
          <w:color w:val="auto"/>
        </w:rPr>
        <w:t>. 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54" w:lineRule="exact"/>
        <w:rPr>
          <w:rFonts w:ascii="Arial" w:cs="Arial" w:eastAsia="Arial" w:hAnsi="Arial"/>
          <w:sz w:val="16"/>
          <w:szCs w:val="16"/>
          <w:color w:val="auto"/>
        </w:rPr>
      </w:pPr>
    </w:p>
    <w:p>
      <w:pPr>
        <w:ind w:left="424" w:right="140" w:hanging="424"/>
        <w:spacing w:after="0" w:line="286" w:lineRule="auto"/>
        <w:tabs>
          <w:tab w:leader="none" w:pos="424"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Inability to Obtain Authority</w:t>
      </w:r>
      <w:r>
        <w:rPr>
          <w:rFonts w:ascii="Arial" w:cs="Arial" w:eastAsia="Arial" w:hAnsi="Arial"/>
          <w:sz w:val="17"/>
          <w:szCs w:val="17"/>
          <w:color w:val="auto"/>
        </w:rPr>
        <w:t>. The inability of the Company to obtain authority from any regulatory body having jurisdiction, which authority is deemed by the Company’s counsel to be necessary to the lawful issuance and sale of any Shares hereunder, will relieve the Company of any liability in respect of the failure to issue or sell such Shares as to which such requisite authority will not have been obtained.</w:t>
      </w:r>
    </w:p>
    <w:p>
      <w:pPr>
        <w:spacing w:after="0" w:line="70" w:lineRule="exact"/>
        <w:rPr>
          <w:rFonts w:ascii="Arial" w:cs="Arial" w:eastAsia="Arial" w:hAnsi="Arial"/>
          <w:sz w:val="17"/>
          <w:szCs w:val="17"/>
          <w:color w:val="auto"/>
        </w:rPr>
      </w:pPr>
    </w:p>
    <w:p>
      <w:pPr>
        <w:ind w:left="424" w:hanging="424"/>
        <w:spacing w:after="0" w:line="308" w:lineRule="auto"/>
        <w:tabs>
          <w:tab w:leader="none" w:pos="424"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Stockholder Approval</w:t>
      </w:r>
      <w:r>
        <w:rPr>
          <w:rFonts w:ascii="Arial" w:cs="Arial" w:eastAsia="Arial" w:hAnsi="Arial"/>
          <w:sz w:val="17"/>
          <w:szCs w:val="17"/>
          <w:color w:val="auto"/>
        </w:rPr>
        <w:t>. The Plan will be subject to approval by the stockholders of the Company within twelve (12) months after the date the Plan is adopted by the Board. Such stockholder approval will be obtained in the manner and to the degree required under Applicable Laws.</w:t>
      </w:r>
    </w:p>
    <w:p>
      <w:pPr>
        <w:spacing w:after="0" w:line="79"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24"/>
          </w:cols>
          <w:pgMar w:left="436" w:top="274" w:right="539" w:bottom="1440" w:gutter="0" w:footer="0" w:header="0"/>
        </w:sectPr>
      </w:pPr>
    </w:p>
    <w:bookmarkStart w:id="28" w:name="page29"/>
    <w:bookmarkEnd w:id="28"/>
    <w:p>
      <w:pPr>
        <w:ind w:left="424" w:hanging="424"/>
        <w:spacing w:after="0" w:line="269" w:lineRule="auto"/>
        <w:tabs>
          <w:tab w:leader="none" w:pos="424"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Information to Participants</w:t>
      </w:r>
      <w:r>
        <w:rPr>
          <w:rFonts w:ascii="Arial" w:cs="Arial" w:eastAsia="Arial" w:hAnsi="Arial"/>
          <w:sz w:val="17"/>
          <w:szCs w:val="17"/>
          <w:color w:val="auto"/>
        </w:rPr>
        <w:t>. Beginning on the earlier of (i) the date that the aggregate number of Participants under this Plan is five hundred (500) or more and the Company is relying on the exemption provided by Rule 12h-1(f)(1) under the Exchange Act and (ii) the date that the Company is required to deliver information to Participants pursuant to Rule 701 under the Securities Act, and until such time as the Company becomes subject to the reporting requirements of Section 13 or 15(d) of the Exchange Act, is no longer relying on the exemption provided by Rule 12h-1(f)(1) under the Exchange Act or is no longer required to deliver information to Participants pursuant to Rule 701 under the Securities Act, the Company shall provide to each Participant the information described in paragraphs (e)(3), (4), and (5) of Rule 701 under the Securities Act not less frequently than every six (6) months with the financial statements being not more than 180 days old and with such information provided either by physical or electronic delivery to the Participants or by written notice to the Participants of the availability of the information on an Internet site that may be password-protected and of any password needed to access the information. The Company may request that Participants agree to keep the information to be provided pursuant to this section confidential. If a Participant does not agree to keep the information to be provided pursuant to this section confidential, then the Company will not be required to provide the information unless otherwise required pursuant to Rule 12h-1(f)(1) under the Exchange Act or Rule 701 of the Securities Act.</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4"/>
          </w:cols>
          <w:pgMar w:left="436" w:top="274" w:right="45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ind w:left="4164"/>
        <w:spacing w:after="0"/>
        <w:rPr>
          <w:sz w:val="20"/>
          <w:szCs w:val="20"/>
          <w:color w:val="auto"/>
        </w:rPr>
      </w:pPr>
      <w:r>
        <w:rPr>
          <w:rFonts w:ascii="Arial" w:cs="Arial" w:eastAsia="Arial" w:hAnsi="Arial"/>
          <w:sz w:val="18"/>
          <w:szCs w:val="18"/>
          <w:b w:val="1"/>
          <w:bCs w:val="1"/>
          <w:color w:val="auto"/>
        </w:rPr>
        <w:t>OYSTER POINT PHARMA, INC.</w:t>
      </w:r>
    </w:p>
    <w:p>
      <w:pPr>
        <w:spacing w:after="0" w:line="117" w:lineRule="exact"/>
        <w:rPr>
          <w:sz w:val="20"/>
          <w:szCs w:val="20"/>
          <w:color w:val="auto"/>
        </w:rPr>
      </w:pPr>
    </w:p>
    <w:p>
      <w:pPr>
        <w:ind w:left="4144"/>
        <w:spacing w:after="0"/>
        <w:rPr>
          <w:sz w:val="20"/>
          <w:szCs w:val="20"/>
          <w:color w:val="auto"/>
        </w:rPr>
      </w:pPr>
      <w:r>
        <w:rPr>
          <w:rFonts w:ascii="Arial" w:cs="Arial" w:eastAsia="Arial" w:hAnsi="Arial"/>
          <w:sz w:val="18"/>
          <w:szCs w:val="18"/>
          <w:b w:val="1"/>
          <w:bCs w:val="1"/>
          <w:color w:val="auto"/>
        </w:rPr>
        <w:t>2019 EQUITY INCENTIVE PLAN</w:t>
      </w:r>
    </w:p>
    <w:p>
      <w:pPr>
        <w:spacing w:after="0" w:line="256" w:lineRule="exact"/>
        <w:rPr>
          <w:sz w:val="20"/>
          <w:szCs w:val="20"/>
          <w:color w:val="auto"/>
        </w:rPr>
      </w:pPr>
    </w:p>
    <w:p>
      <w:pPr>
        <w:ind w:left="424" w:hanging="424"/>
        <w:spacing w:after="0"/>
        <w:tabs>
          <w:tab w:leader="none" w:pos="424"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Purposes of the Plan</w:t>
      </w:r>
      <w:r>
        <w:rPr>
          <w:rFonts w:ascii="Arial" w:cs="Arial" w:eastAsia="Arial" w:hAnsi="Arial"/>
          <w:sz w:val="18"/>
          <w:szCs w:val="18"/>
          <w:color w:val="auto"/>
        </w:rPr>
        <w:t>. The purposes of this Plan are:</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1"/>
          <w:numId w:val="36"/>
        </w:numPr>
        <w:rPr>
          <w:rFonts w:ascii="Arial" w:cs="Arial" w:eastAsia="Arial" w:hAnsi="Arial"/>
          <w:sz w:val="18"/>
          <w:szCs w:val="18"/>
          <w:color w:val="auto"/>
        </w:rPr>
      </w:pPr>
      <w:r>
        <w:rPr>
          <w:rFonts w:ascii="Arial" w:cs="Arial" w:eastAsia="Arial" w:hAnsi="Arial"/>
          <w:sz w:val="18"/>
          <w:szCs w:val="18"/>
          <w:color w:val="auto"/>
        </w:rPr>
        <w:t>to attract and retain the best available personnel for positions of substantial responsibility,</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1"/>
          <w:numId w:val="36"/>
        </w:numPr>
        <w:rPr>
          <w:rFonts w:ascii="Arial" w:cs="Arial" w:eastAsia="Arial" w:hAnsi="Arial"/>
          <w:sz w:val="18"/>
          <w:szCs w:val="18"/>
          <w:color w:val="auto"/>
        </w:rPr>
      </w:pPr>
      <w:r>
        <w:rPr>
          <w:rFonts w:ascii="Arial" w:cs="Arial" w:eastAsia="Arial" w:hAnsi="Arial"/>
          <w:sz w:val="18"/>
          <w:szCs w:val="18"/>
          <w:color w:val="auto"/>
        </w:rPr>
        <w:t>to provide additional incentive to Employees, Directors and Consultants, and</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1"/>
          <w:numId w:val="36"/>
        </w:numPr>
        <w:rPr>
          <w:rFonts w:ascii="Arial" w:cs="Arial" w:eastAsia="Arial" w:hAnsi="Arial"/>
          <w:sz w:val="18"/>
          <w:szCs w:val="18"/>
          <w:color w:val="auto"/>
        </w:rPr>
      </w:pPr>
      <w:r>
        <w:rPr>
          <w:rFonts w:ascii="Arial" w:cs="Arial" w:eastAsia="Arial" w:hAnsi="Arial"/>
          <w:sz w:val="18"/>
          <w:szCs w:val="18"/>
          <w:color w:val="auto"/>
        </w:rPr>
        <w:t>to promote the success of the Company’s business.</w:t>
      </w:r>
    </w:p>
    <w:p>
      <w:pPr>
        <w:spacing w:after="0" w:line="225" w:lineRule="exact"/>
        <w:rPr>
          <w:sz w:val="20"/>
          <w:szCs w:val="20"/>
          <w:color w:val="auto"/>
        </w:rPr>
      </w:pPr>
    </w:p>
    <w:p>
      <w:pPr>
        <w:ind w:left="4" w:right="140" w:firstLine="440"/>
        <w:spacing w:after="0" w:line="277" w:lineRule="auto"/>
        <w:rPr>
          <w:sz w:val="20"/>
          <w:szCs w:val="20"/>
          <w:color w:val="auto"/>
        </w:rPr>
      </w:pPr>
      <w:r>
        <w:rPr>
          <w:rFonts w:ascii="Arial" w:cs="Arial" w:eastAsia="Arial" w:hAnsi="Arial"/>
          <w:sz w:val="18"/>
          <w:szCs w:val="18"/>
          <w:color w:val="auto"/>
        </w:rPr>
        <w:t>The Plan permits the grant of Incentive Stock Options, Nonstatutory Stock Options, Restricted Stock, Restricted Stock Units, Stock Appreciation Rights, Performance Units and Performance Shares.</w:t>
      </w:r>
    </w:p>
    <w:p>
      <w:pPr>
        <w:spacing w:after="0" w:line="76" w:lineRule="exact"/>
        <w:rPr>
          <w:sz w:val="20"/>
          <w:szCs w:val="20"/>
          <w:color w:val="auto"/>
        </w:rPr>
      </w:pPr>
    </w:p>
    <w:p>
      <w:pPr>
        <w:ind w:left="424" w:hanging="424"/>
        <w:spacing w:after="0"/>
        <w:tabs>
          <w:tab w:leader="none" w:pos="424"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As used herein, the following definitions will apply:</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3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Administrator</w:t>
      </w:r>
      <w:r>
        <w:rPr>
          <w:rFonts w:ascii="Arial" w:cs="Arial" w:eastAsia="Arial" w:hAnsi="Arial"/>
          <w:sz w:val="17"/>
          <w:szCs w:val="17"/>
          <w:color w:val="auto"/>
        </w:rPr>
        <w:t>” means the Board or any of its Committees as will be administering the Plan, in accordance with Section 4 of the Plan.</w:t>
      </w:r>
    </w:p>
    <w:p>
      <w:pPr>
        <w:spacing w:after="0" w:line="142" w:lineRule="exact"/>
        <w:rPr>
          <w:rFonts w:ascii="Arial" w:cs="Arial" w:eastAsia="Arial" w:hAnsi="Arial"/>
          <w:sz w:val="17"/>
          <w:szCs w:val="17"/>
          <w:color w:val="auto"/>
        </w:rPr>
      </w:pPr>
    </w:p>
    <w:p>
      <w:pPr>
        <w:ind w:left="964" w:right="120" w:hanging="532"/>
        <w:spacing w:after="0" w:line="259" w:lineRule="auto"/>
        <w:tabs>
          <w:tab w:leader="none" w:pos="964" w:val="left"/>
        </w:tabs>
        <w:numPr>
          <w:ilvl w:val="1"/>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Laws</w:t>
      </w:r>
      <w:r>
        <w:rPr>
          <w:rFonts w:ascii="Arial" w:cs="Arial" w:eastAsia="Arial" w:hAnsi="Arial"/>
          <w:sz w:val="18"/>
          <w:szCs w:val="18"/>
          <w:color w:val="auto"/>
        </w:rPr>
        <w:t>” means the legal and regulatory requirements relating to the administration of equity-based awards and the related issuance of Shares thereunder, including but not limited to U.S. federal and state corporate laws, U.S. federal and state securities laws, the Code, any stock exchange or quotation system on which the Common Stock is listed or quoted and the applicable laws of any non-U.S. country or jurisdiction where Awards are, or will be, granted under the Plan.</w:t>
      </w:r>
    </w:p>
    <w:p>
      <w:pPr>
        <w:spacing w:after="0" w:line="92" w:lineRule="exact"/>
        <w:rPr>
          <w:rFonts w:ascii="Arial" w:cs="Arial" w:eastAsia="Arial" w:hAnsi="Arial"/>
          <w:sz w:val="18"/>
          <w:szCs w:val="18"/>
          <w:color w:val="auto"/>
        </w:rPr>
      </w:pPr>
    </w:p>
    <w:p>
      <w:pPr>
        <w:ind w:left="964" w:right="320" w:hanging="532"/>
        <w:spacing w:after="0" w:line="277" w:lineRule="auto"/>
        <w:tabs>
          <w:tab w:leader="none" w:pos="964" w:val="left"/>
        </w:tabs>
        <w:numPr>
          <w:ilvl w:val="1"/>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means, individually or collectively, a grant under the Plan of Options, Stock Appreciation Rights, Restricted Stock, Restricted Stock Units, Performance Units or Performance Shares.</w:t>
      </w:r>
    </w:p>
    <w:p>
      <w:pPr>
        <w:spacing w:after="0" w:line="75" w:lineRule="exact"/>
        <w:rPr>
          <w:rFonts w:ascii="Arial" w:cs="Arial" w:eastAsia="Arial" w:hAnsi="Arial"/>
          <w:sz w:val="18"/>
          <w:szCs w:val="18"/>
          <w:color w:val="auto"/>
        </w:rPr>
      </w:pPr>
    </w:p>
    <w:p>
      <w:pPr>
        <w:ind w:left="964" w:right="340" w:hanging="532"/>
        <w:spacing w:after="0" w:line="277" w:lineRule="auto"/>
        <w:tabs>
          <w:tab w:leader="none" w:pos="964" w:val="left"/>
        </w:tabs>
        <w:numPr>
          <w:ilvl w:val="1"/>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 Agreement</w:t>
      </w:r>
      <w:r>
        <w:rPr>
          <w:rFonts w:ascii="Arial" w:cs="Arial" w:eastAsia="Arial" w:hAnsi="Arial"/>
          <w:sz w:val="18"/>
          <w:szCs w:val="18"/>
          <w:color w:val="auto"/>
        </w:rPr>
        <w:t>” means the written or electronic agreement setting forth the terms and provisions applicable to each Award granted under the Plan. The Award Agreement is subject to the terms and conditions of the Plan.</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1"/>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the occurrence of any of the following events:</w:t>
      </w:r>
    </w:p>
    <w:p>
      <w:pPr>
        <w:spacing w:after="0" w:line="130" w:lineRule="exact"/>
        <w:rPr>
          <w:rFonts w:ascii="Arial" w:cs="Arial" w:eastAsia="Arial" w:hAnsi="Arial"/>
          <w:sz w:val="18"/>
          <w:szCs w:val="18"/>
          <w:color w:val="auto"/>
        </w:rPr>
      </w:pPr>
    </w:p>
    <w:p>
      <w:pPr>
        <w:jc w:val="both"/>
        <w:ind w:left="1424" w:right="80" w:hanging="439"/>
        <w:spacing w:after="0" w:line="286" w:lineRule="auto"/>
        <w:tabs>
          <w:tab w:leader="none" w:pos="1424" w:val="left"/>
        </w:tabs>
        <w:numPr>
          <w:ilvl w:val="2"/>
          <w:numId w:val="37"/>
        </w:numPr>
        <w:rPr>
          <w:rFonts w:ascii="Arial" w:cs="Arial" w:eastAsia="Arial" w:hAnsi="Arial"/>
          <w:sz w:val="17"/>
          <w:szCs w:val="17"/>
          <w:color w:val="auto"/>
        </w:rPr>
      </w:pPr>
      <w:r>
        <w:rPr>
          <w:rFonts w:ascii="Arial" w:cs="Arial" w:eastAsia="Arial" w:hAnsi="Arial"/>
          <w:sz w:val="17"/>
          <w:szCs w:val="17"/>
          <w:color w:val="auto"/>
        </w:rPr>
        <w:t>A change in the ownership of the Company which occurs on the date that any one person, or more than one person acting as a group (“</w:t>
      </w:r>
      <w:r>
        <w:rPr>
          <w:rFonts w:ascii="Arial" w:cs="Arial" w:eastAsia="Arial" w:hAnsi="Arial"/>
          <w:sz w:val="17"/>
          <w:szCs w:val="17"/>
          <w:u w:val="single" w:color="auto"/>
          <w:color w:val="auto"/>
        </w:rPr>
        <w:t>Person</w:t>
      </w:r>
      <w:r>
        <w:rPr>
          <w:rFonts w:ascii="Arial" w:cs="Arial" w:eastAsia="Arial" w:hAnsi="Arial"/>
          <w:sz w:val="17"/>
          <w:szCs w:val="17"/>
          <w:color w:val="auto"/>
        </w:rPr>
        <w:t>”), acquires ownership of the stock of the Company that, together with the stock held by such Person, constitutes more than fifty percent (50%) of the total voting power of the stock of the Company; provided, however, that for</w:t>
      </w:r>
    </w:p>
    <w:p>
      <w:pPr>
        <w:sectPr>
          <w:pgSz w:w="11900" w:h="16838" w:orient="portrait"/>
          <w:cols w:equalWidth="0" w:num="1">
            <w:col w:w="11024"/>
          </w:cols>
          <w:pgMar w:left="436" w:top="121" w:right="439" w:bottom="1440" w:gutter="0" w:footer="0" w:header="0"/>
        </w:sectPr>
      </w:pPr>
    </w:p>
    <w:bookmarkStart w:id="30" w:name="page31"/>
    <w:bookmarkEnd w:id="30"/>
    <w:p>
      <w:pPr>
        <w:ind w:left="4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purposes of this subsection, (A) the acquisition of additional stock by any one Person, who is considered to own more than fifty percent (50%) of the total voting power of the stock of the Company will not be considered a Change in Control, and (B)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the direct or indirect beneficial ownership of fifty percent (50%) or more of the total voting power of the stock of the Company or of the ultimate parent entity of the Company, such event will not be considered a Change in Control under this subsection (i). For this purpose, indirect beneficial ownership will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spacing w:after="0" w:line="208" w:lineRule="exact"/>
        <w:rPr>
          <w:sz w:val="20"/>
          <w:szCs w:val="20"/>
          <w:color w:val="auto"/>
        </w:rPr>
      </w:pPr>
    </w:p>
    <w:p>
      <w:pPr>
        <w:ind w:left="440" w:right="160" w:hanging="439"/>
        <w:spacing w:after="0" w:line="257" w:lineRule="auto"/>
        <w:tabs>
          <w:tab w:leader="none" w:pos="4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change in the effective control of the Company which occurs on the date that a majority of members of the Board is replaced during any twelve (12)-month period by Directors whose appointment or election is not endorsed by a majority of the members of the Board prior to the date of the appointment or election. For purposes of this subsection (ii), if any Person is considered to be in effective control of the Company, the acquisition of additional control of the Company by the same Person will not be considered a Change in Control; or</w:t>
      </w:r>
    </w:p>
    <w:p>
      <w:pPr>
        <w:spacing w:after="0" w:line="214" w:lineRule="exact"/>
        <w:rPr>
          <w:rFonts w:ascii="Arial" w:cs="Arial" w:eastAsia="Arial" w:hAnsi="Arial"/>
          <w:sz w:val="18"/>
          <w:szCs w:val="18"/>
          <w:color w:val="auto"/>
        </w:rPr>
      </w:pPr>
    </w:p>
    <w:p>
      <w:pPr>
        <w:ind w:left="440" w:right="20" w:hanging="439"/>
        <w:spacing w:after="0" w:line="285" w:lineRule="auto"/>
        <w:tabs>
          <w:tab w:leader="none" w:pos="4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 change in the ownership of a substantial portion of the Company’s assets which occurs on the date that any Person acquires (or has acquired during the twelve (12)-month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w:t>
      </w:r>
    </w:p>
    <w:p>
      <w:pPr>
        <w:spacing w:after="0" w:line="1" w:lineRule="exact"/>
        <w:rPr>
          <w:rFonts w:ascii="Arial" w:cs="Arial" w:eastAsia="Arial" w:hAnsi="Arial"/>
          <w:sz w:val="16"/>
          <w:szCs w:val="16"/>
          <w:color w:val="auto"/>
        </w:rPr>
      </w:pPr>
    </w:p>
    <w:p>
      <w:pPr>
        <w:ind w:left="440" w:right="80"/>
        <w:spacing w:after="0" w:line="268" w:lineRule="auto"/>
        <w:rPr>
          <w:rFonts w:ascii="Arial" w:cs="Arial" w:eastAsia="Arial" w:hAnsi="Arial"/>
          <w:sz w:val="16"/>
          <w:szCs w:val="16"/>
          <w:color w:val="auto"/>
        </w:rPr>
      </w:pPr>
      <w:r>
        <w:rPr>
          <w:rFonts w:ascii="Arial" w:cs="Arial" w:eastAsia="Arial" w:hAnsi="Arial"/>
          <w:sz w:val="17"/>
          <w:szCs w:val="17"/>
          <w:color w:val="auto"/>
        </w:rPr>
        <w:t>(A)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fifty percent (50%) or more of the total value or voting power of which is owned, directly or indirectly, by the Company, (3) a Person, that owns, directly or indirectly, fifty percent (50%) or more of the total value or voting power of all the outstanding stock of the Company, or (4) an entity, at least fifty percent (50%) of the total value or voting power of which is owned, directly or indirectly, by a Person described in this subsection (iii)(B)(3). For purposes of this subsection (iii), gross fair market value means the value of the assets of the Company, or the value of the assets being disposed of, determined without regard to any liabilities associated with such assets.</w:t>
      </w:r>
    </w:p>
    <w:p>
      <w:pPr>
        <w:spacing w:after="0" w:line="18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Notwithstanding the foregoing, a transaction will not be deemed a Change in Control unless the transaction qualifies as a change in control event within the meaning of Section 409A.</w:t>
      </w:r>
    </w:p>
    <w:p>
      <w:pPr>
        <w:spacing w:after="0" w:line="10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040"/>
          </w:cols>
          <w:pgMar w:left="1420" w:top="274" w:right="439" w:bottom="1440" w:gutter="0" w:footer="0" w:header="0"/>
        </w:sectPr>
      </w:pPr>
    </w:p>
    <w:bookmarkStart w:id="31" w:name="page32"/>
    <w:bookmarkEnd w:id="31"/>
    <w:p>
      <w:pPr>
        <w:ind w:left="560"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Further and for the avoidance of doubt, a transaction will not constitute a Change in Control if: (i) its sole purpose is to change the state of the Company’s incorporation, or (ii) its sole purpose is to create a holding company that will be owned in substantially the same proportions by the persons who held the Company’s securities immediately before such transaction.</w:t>
      </w:r>
    </w:p>
    <w:p>
      <w:pPr>
        <w:spacing w:after="0" w:line="89" w:lineRule="exact"/>
        <w:rPr>
          <w:sz w:val="20"/>
          <w:szCs w:val="20"/>
          <w:color w:val="auto"/>
        </w:rPr>
      </w:pPr>
    </w:p>
    <w:p>
      <w:pPr>
        <w:ind w:left="540" w:right="200" w:hanging="532"/>
        <w:spacing w:after="0" w:line="286" w:lineRule="auto"/>
        <w:tabs>
          <w:tab w:leader="none" w:pos="5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Code</w:t>
      </w:r>
      <w:r>
        <w:rPr>
          <w:rFonts w:ascii="Arial" w:cs="Arial" w:eastAsia="Arial" w:hAnsi="Arial"/>
          <w:sz w:val="17"/>
          <w:szCs w:val="17"/>
          <w:color w:val="auto"/>
        </w:rPr>
        <w:t>” means the Internal Revenue Code of 1986, as amended. Reference to a specific section of the Code or regulation thereunder will include such section or regulation, any valid regulation promulgated under such section, and any comparable provision of any future legislation or regulation amending, supplementing or superseding such section or regulation.</w:t>
      </w:r>
    </w:p>
    <w:p>
      <w:pPr>
        <w:spacing w:after="0" w:line="70" w:lineRule="exact"/>
        <w:rPr>
          <w:rFonts w:ascii="Arial" w:cs="Arial" w:eastAsia="Arial" w:hAnsi="Arial"/>
          <w:sz w:val="17"/>
          <w:szCs w:val="17"/>
          <w:color w:val="auto"/>
        </w:rPr>
      </w:pPr>
    </w:p>
    <w:p>
      <w:pPr>
        <w:ind w:left="540" w:right="600" w:hanging="532"/>
        <w:spacing w:after="0" w:line="277" w:lineRule="auto"/>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a committee of Directors or of other individuals satisfying Applicable Laws appointed by the Board, or a duly authorized committee of the Board, in accordance with Section 4 hereof.</w:t>
      </w:r>
    </w:p>
    <w:p>
      <w:pPr>
        <w:spacing w:after="0" w:line="75" w:lineRule="exact"/>
        <w:rPr>
          <w:rFonts w:ascii="Arial" w:cs="Arial" w:eastAsia="Arial" w:hAnsi="Arial"/>
          <w:sz w:val="18"/>
          <w:szCs w:val="18"/>
          <w:color w:val="auto"/>
        </w:rPr>
      </w:pPr>
    </w:p>
    <w:p>
      <w:pPr>
        <w:ind w:left="540" w:hanging="532"/>
        <w:spacing w:after="0"/>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of the Company.</w:t>
      </w:r>
    </w:p>
    <w:p>
      <w:pPr>
        <w:spacing w:after="0" w:line="130" w:lineRule="exact"/>
        <w:rPr>
          <w:rFonts w:ascii="Arial" w:cs="Arial" w:eastAsia="Arial" w:hAnsi="Arial"/>
          <w:sz w:val="18"/>
          <w:szCs w:val="18"/>
          <w:color w:val="auto"/>
        </w:rPr>
      </w:pPr>
    </w:p>
    <w:p>
      <w:pPr>
        <w:ind w:left="540" w:hanging="532"/>
        <w:spacing w:after="0"/>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Oyster Point Pharma, Inc., a Delaware corporation, or any successor thereto.</w:t>
      </w:r>
    </w:p>
    <w:p>
      <w:pPr>
        <w:spacing w:after="0" w:line="130" w:lineRule="exact"/>
        <w:rPr>
          <w:rFonts w:ascii="Arial" w:cs="Arial" w:eastAsia="Arial" w:hAnsi="Arial"/>
          <w:sz w:val="18"/>
          <w:szCs w:val="18"/>
          <w:color w:val="auto"/>
        </w:rPr>
      </w:pPr>
    </w:p>
    <w:p>
      <w:pPr>
        <w:ind w:left="540" w:right="20" w:hanging="532"/>
        <w:spacing w:after="0" w:line="257" w:lineRule="auto"/>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Consultant</w:t>
      </w:r>
      <w:r>
        <w:rPr>
          <w:rFonts w:ascii="Arial" w:cs="Arial" w:eastAsia="Arial" w:hAnsi="Arial"/>
          <w:sz w:val="18"/>
          <w:szCs w:val="18"/>
          <w:color w:val="auto"/>
        </w:rPr>
        <w:t>” means any natural person, including an advisor, engaged by the Company or a Parent or Subsidiary to render bona fide services to such entity, provided the services (i) are not in connection with the offer or sale of securities in a capital-raising transaction, and (ii) do not directly promote or maintain a market for the Company’s securities, in each case, within the meaning of Form S-8 promulgated under the Securities Act, and provided, further, that a Consultant will include only those persons to whom the issuance of Shares may be registered under Form S-8 promulgated under the Securities Act.</w:t>
      </w:r>
    </w:p>
    <w:p>
      <w:pPr>
        <w:spacing w:after="0" w:line="93" w:lineRule="exact"/>
        <w:rPr>
          <w:rFonts w:ascii="Arial" w:cs="Arial" w:eastAsia="Arial" w:hAnsi="Arial"/>
          <w:sz w:val="18"/>
          <w:szCs w:val="18"/>
          <w:color w:val="auto"/>
        </w:rPr>
      </w:pPr>
    </w:p>
    <w:p>
      <w:pPr>
        <w:ind w:left="540" w:hanging="532"/>
        <w:spacing w:after="0"/>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w:t>
      </w:r>
      <w:r>
        <w:rPr>
          <w:rFonts w:ascii="Arial" w:cs="Arial" w:eastAsia="Arial" w:hAnsi="Arial"/>
          <w:sz w:val="18"/>
          <w:szCs w:val="18"/>
          <w:color w:val="auto"/>
        </w:rPr>
        <w:t>” means a member of the Board.</w:t>
      </w:r>
    </w:p>
    <w:p>
      <w:pPr>
        <w:spacing w:after="0" w:line="130" w:lineRule="exact"/>
        <w:rPr>
          <w:rFonts w:ascii="Arial" w:cs="Arial" w:eastAsia="Arial" w:hAnsi="Arial"/>
          <w:sz w:val="18"/>
          <w:szCs w:val="18"/>
          <w:color w:val="auto"/>
        </w:rPr>
      </w:pPr>
    </w:p>
    <w:p>
      <w:pPr>
        <w:ind w:left="540" w:hanging="532"/>
        <w:spacing w:after="0" w:line="263" w:lineRule="auto"/>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 total and permanent disability as defined in Section 22(e)(3) of the Code, provided that in the case of Awards other than Incentive Stock Options, the Administrator in its discretion may determine whether a permanent and total disability exists in accordance with uniform and non-discriminatory standards adopted by the Administrator from time to time.</w:t>
      </w:r>
    </w:p>
    <w:p>
      <w:pPr>
        <w:spacing w:after="0" w:line="89" w:lineRule="exact"/>
        <w:rPr>
          <w:rFonts w:ascii="Arial" w:cs="Arial" w:eastAsia="Arial" w:hAnsi="Arial"/>
          <w:sz w:val="18"/>
          <w:szCs w:val="18"/>
          <w:color w:val="auto"/>
        </w:rPr>
      </w:pPr>
    </w:p>
    <w:p>
      <w:pPr>
        <w:ind w:left="540" w:right="100" w:hanging="532"/>
        <w:spacing w:after="0" w:line="263" w:lineRule="auto"/>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w:t>
      </w:r>
      <w:r>
        <w:rPr>
          <w:rFonts w:ascii="Arial" w:cs="Arial" w:eastAsia="Arial" w:hAnsi="Arial"/>
          <w:sz w:val="18"/>
          <w:szCs w:val="18"/>
          <w:color w:val="auto"/>
        </w:rPr>
        <w:t>” means any person, including Officers and Directors, employed by the Company or any Parent or Subsidiary of the Company. Neither service as a Director nor payment of a director’s fee by the Company will be sufficient to constitute “employment” by the Company.</w:t>
      </w:r>
    </w:p>
    <w:p>
      <w:pPr>
        <w:spacing w:after="0" w:line="89" w:lineRule="exact"/>
        <w:rPr>
          <w:rFonts w:ascii="Arial" w:cs="Arial" w:eastAsia="Arial" w:hAnsi="Arial"/>
          <w:sz w:val="18"/>
          <w:szCs w:val="18"/>
          <w:color w:val="auto"/>
        </w:rPr>
      </w:pPr>
    </w:p>
    <w:p>
      <w:pPr>
        <w:ind w:left="540" w:hanging="532"/>
        <w:spacing w:after="0"/>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w:t>
      </w:r>
    </w:p>
    <w:p>
      <w:pPr>
        <w:spacing w:after="0" w:line="15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80"/>
          </w:cols>
          <w:pgMar w:left="860" w:top="274" w:right="459" w:bottom="1440" w:gutter="0" w:footer="0" w:header="0"/>
        </w:sectPr>
      </w:pPr>
    </w:p>
    <w:bookmarkStart w:id="32" w:name="page33"/>
    <w:bookmarkEnd w:id="32"/>
    <w:p>
      <w:pPr>
        <w:ind w:left="960" w:right="120" w:hanging="532"/>
        <w:spacing w:after="0" w:line="257" w:lineRule="auto"/>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Exchange Program</w:t>
      </w:r>
      <w:r>
        <w:rPr>
          <w:rFonts w:ascii="Arial" w:cs="Arial" w:eastAsia="Arial" w:hAnsi="Arial"/>
          <w:sz w:val="18"/>
          <w:szCs w:val="18"/>
          <w:color w:val="auto"/>
        </w:rPr>
        <w:t>” means a program under which (i) outstanding Awards are surrendered or cancelled in exchange for awards of the same type (which may have higher or lower exercise prices and different terms), awards of a different type, and/or cash, (ii) Participants would have the opportunity to transfer any outstanding Awards to a financial institution or other person or entity selected by the Administrator, and/or (iii) the exercise price of an outstanding Award is increased or reduced. The Administrator will determine the terms and conditions of any Exchange Program in its sole discretion.</w:t>
      </w:r>
    </w:p>
    <w:p>
      <w:pPr>
        <w:spacing w:after="0" w:line="93" w:lineRule="exact"/>
        <w:rPr>
          <w:rFonts w:ascii="Arial" w:cs="Arial" w:eastAsia="Arial" w:hAnsi="Arial"/>
          <w:sz w:val="18"/>
          <w:szCs w:val="18"/>
          <w:color w:val="auto"/>
        </w:rPr>
      </w:pPr>
    </w:p>
    <w:p>
      <w:pPr>
        <w:ind w:left="960" w:hanging="532"/>
        <w:spacing w:after="0"/>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 as of any date, the value of Common Stock determined as follows:</w:t>
      </w:r>
    </w:p>
    <w:p>
      <w:pPr>
        <w:spacing w:after="0" w:line="130" w:lineRule="exact"/>
        <w:rPr>
          <w:rFonts w:ascii="Arial" w:cs="Arial" w:eastAsia="Arial" w:hAnsi="Arial"/>
          <w:sz w:val="18"/>
          <w:szCs w:val="18"/>
          <w:color w:val="auto"/>
        </w:rPr>
      </w:pPr>
    </w:p>
    <w:p>
      <w:pPr>
        <w:jc w:val="both"/>
        <w:ind w:left="1420" w:right="20" w:hanging="439"/>
        <w:spacing w:after="0" w:line="263" w:lineRule="auto"/>
        <w:tabs>
          <w:tab w:leader="none" w:pos="14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For purposes of any Awards granted on the Registration Date, the Fair Market Value will be the initial price to the public as set forth in the final prospectus included within the registration statement in Form S-1 filed with the Securities and Exchange Commission for the initial public offering of the Company’s Common Stock.</w:t>
      </w:r>
    </w:p>
    <w:p>
      <w:pPr>
        <w:spacing w:after="0" w:line="89" w:lineRule="exact"/>
        <w:rPr>
          <w:rFonts w:ascii="Arial" w:cs="Arial" w:eastAsia="Arial" w:hAnsi="Arial"/>
          <w:sz w:val="18"/>
          <w:szCs w:val="18"/>
          <w:color w:val="auto"/>
        </w:rPr>
      </w:pPr>
    </w:p>
    <w:p>
      <w:pPr>
        <w:ind w:left="1420" w:hanging="439"/>
        <w:spacing w:after="0" w:line="271" w:lineRule="auto"/>
        <w:tabs>
          <w:tab w:leader="none" w:pos="1420" w:val="left"/>
        </w:tabs>
        <w:numPr>
          <w:ilvl w:val="1"/>
          <w:numId w:val="40"/>
        </w:numPr>
        <w:rPr>
          <w:rFonts w:ascii="Arial" w:cs="Arial" w:eastAsia="Arial" w:hAnsi="Arial"/>
          <w:sz w:val="17"/>
          <w:szCs w:val="17"/>
          <w:color w:val="auto"/>
        </w:rPr>
      </w:pPr>
      <w:r>
        <w:rPr>
          <w:rFonts w:ascii="Arial" w:cs="Arial" w:eastAsia="Arial" w:hAnsi="Arial"/>
          <w:sz w:val="17"/>
          <w:szCs w:val="17"/>
          <w:color w:val="auto"/>
        </w:rPr>
        <w:t xml:space="preserve">For purposes of any Awards granted on any other date, the Fair Market Value will be the closing sales price for Common Stock as quoted on any established stock exchange or national market system (including without limitation the New York Stock Exchange, NASDAQ Global Select Market, the NASDAQ Global Market or the NASDAQ Capital Market of The NASDAQ Stock Market) on which the Common Stock is listed on the date of determination (or the closing bid, if no sales were reported), as reported in </w:t>
      </w:r>
      <w:r>
        <w:rPr>
          <w:rFonts w:ascii="Arial" w:cs="Arial" w:eastAsia="Arial" w:hAnsi="Arial"/>
          <w:sz w:val="17"/>
          <w:szCs w:val="17"/>
          <w:i w:val="1"/>
          <w:iCs w:val="1"/>
          <w:color w:val="auto"/>
        </w:rPr>
        <w:t>The Wall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Street Journal </w:t>
      </w:r>
      <w:r>
        <w:rPr>
          <w:rFonts w:ascii="Arial" w:cs="Arial" w:eastAsia="Arial" w:hAnsi="Arial"/>
          <w:sz w:val="17"/>
          <w:szCs w:val="17"/>
          <w:color w:val="auto"/>
        </w:rPr>
        <w:t>or such other source as the Administrator deems reliable. If the determination date for the Fair Market Value occurs on</w:t>
      </w:r>
      <w:r>
        <w:rPr>
          <w:rFonts w:ascii="Arial" w:cs="Arial" w:eastAsia="Arial" w:hAnsi="Arial"/>
          <w:sz w:val="17"/>
          <w:szCs w:val="17"/>
          <w:i w:val="1"/>
          <w:iCs w:val="1"/>
          <w:color w:val="auto"/>
        </w:rPr>
        <w:t xml:space="preserve"> </w:t>
      </w:r>
      <w:r>
        <w:rPr>
          <w:rFonts w:ascii="Arial" w:cs="Arial" w:eastAsia="Arial" w:hAnsi="Arial"/>
          <w:sz w:val="17"/>
          <w:szCs w:val="17"/>
          <w:color w:val="auto"/>
        </w:rPr>
        <w:t>a non-trading day (i.e., a weekend or holiday), the Fair Market Value will be such price on the immediately preceding trading day, unless otherwise determined by the Administrator. In the absence of an established market for the Common Stock, the Fair Market Value thereof will be determined in good faith by the Administrator.</w:t>
      </w:r>
    </w:p>
    <w:p>
      <w:pPr>
        <w:spacing w:after="0" w:line="178"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The determination of fair market value for purposes of tax withholding may be made in the Administrator’s discretion subject to Applicable Laws and is not required to be consistent with the determination of Fair Market Value for other purposes.</w:t>
      </w:r>
    </w:p>
    <w:p>
      <w:pPr>
        <w:spacing w:after="0" w:line="76" w:lineRule="exact"/>
        <w:rPr>
          <w:sz w:val="20"/>
          <w:szCs w:val="20"/>
          <w:color w:val="auto"/>
        </w:rPr>
      </w:pPr>
    </w:p>
    <w:p>
      <w:pPr>
        <w:ind w:left="960" w:hanging="532"/>
        <w:spacing w:after="0"/>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Fiscal Year</w:t>
      </w:r>
      <w:r>
        <w:rPr>
          <w:rFonts w:ascii="Arial" w:cs="Arial" w:eastAsia="Arial" w:hAnsi="Arial"/>
          <w:sz w:val="18"/>
          <w:szCs w:val="18"/>
          <w:color w:val="auto"/>
        </w:rPr>
        <w:t>” means the fiscal year of the Company.</w:t>
      </w:r>
    </w:p>
    <w:p>
      <w:pPr>
        <w:spacing w:after="0" w:line="130" w:lineRule="exact"/>
        <w:rPr>
          <w:rFonts w:ascii="Arial" w:cs="Arial" w:eastAsia="Arial" w:hAnsi="Arial"/>
          <w:sz w:val="18"/>
          <w:szCs w:val="18"/>
          <w:color w:val="auto"/>
        </w:rPr>
      </w:pPr>
    </w:p>
    <w:p>
      <w:pPr>
        <w:ind w:left="960" w:right="80" w:hanging="532"/>
        <w:spacing w:after="0" w:line="277" w:lineRule="auto"/>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Incentive Stock Option</w:t>
      </w:r>
      <w:r>
        <w:rPr>
          <w:rFonts w:ascii="Arial" w:cs="Arial" w:eastAsia="Arial" w:hAnsi="Arial"/>
          <w:sz w:val="18"/>
          <w:szCs w:val="18"/>
          <w:color w:val="auto"/>
        </w:rPr>
        <w:t>” means an Option intended to qualify as an incentive stock option within the meaning of Section 422 of the Code and the regulations promulgated thereunder.</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Inside Director</w:t>
      </w:r>
      <w:r>
        <w:rPr>
          <w:rFonts w:ascii="Arial" w:cs="Arial" w:eastAsia="Arial" w:hAnsi="Arial"/>
          <w:sz w:val="18"/>
          <w:szCs w:val="18"/>
          <w:color w:val="auto"/>
        </w:rPr>
        <w:t>” means a Director who is an Employee.</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Nonstatutory Stock Option</w:t>
      </w:r>
      <w:r>
        <w:rPr>
          <w:rFonts w:ascii="Arial" w:cs="Arial" w:eastAsia="Arial" w:hAnsi="Arial"/>
          <w:sz w:val="16"/>
          <w:szCs w:val="16"/>
          <w:color w:val="auto"/>
        </w:rPr>
        <w:t>” means an Option that by its terms does not qualify or is not intended to qualify as an Incentive Stock Option.</w:t>
      </w:r>
    </w:p>
    <w:p>
      <w:pPr>
        <w:spacing w:after="0" w:line="153" w:lineRule="exact"/>
        <w:rPr>
          <w:rFonts w:ascii="Arial" w:cs="Arial" w:eastAsia="Arial" w:hAnsi="Arial"/>
          <w:sz w:val="16"/>
          <w:szCs w:val="16"/>
          <w:color w:val="auto"/>
        </w:rPr>
      </w:pPr>
    </w:p>
    <w:p>
      <w:pPr>
        <w:ind w:left="960" w:right="520" w:hanging="532"/>
        <w:spacing w:after="0" w:line="277" w:lineRule="auto"/>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w:t>
      </w:r>
      <w:r>
        <w:rPr>
          <w:rFonts w:ascii="Arial" w:cs="Arial" w:eastAsia="Arial" w:hAnsi="Arial"/>
          <w:sz w:val="18"/>
          <w:szCs w:val="18"/>
          <w:color w:val="auto"/>
        </w:rPr>
        <w:t>” means a person who is an officer of the Company within the meaning of Section 16 of the Exchange Act and the rules and regulations promulgated thereunder.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33" w:name="page34"/>
    <w:bookmarkEnd w:id="33"/>
    <w:p>
      <w:pPr>
        <w:ind w:left="540" w:hanging="532"/>
        <w:spacing w:after="0"/>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Option</w:t>
      </w:r>
      <w:r>
        <w:rPr>
          <w:rFonts w:ascii="Arial" w:cs="Arial" w:eastAsia="Arial" w:hAnsi="Arial"/>
          <w:sz w:val="18"/>
          <w:szCs w:val="18"/>
          <w:color w:val="auto"/>
        </w:rPr>
        <w:t>” means a stock option granted pursuant to the Plan.</w:t>
      </w:r>
    </w:p>
    <w:p>
      <w:pPr>
        <w:spacing w:after="0" w:line="130" w:lineRule="exact"/>
        <w:rPr>
          <w:rFonts w:ascii="Arial" w:cs="Arial" w:eastAsia="Arial" w:hAnsi="Arial"/>
          <w:sz w:val="18"/>
          <w:szCs w:val="18"/>
          <w:color w:val="auto"/>
        </w:rPr>
      </w:pPr>
    </w:p>
    <w:p>
      <w:pPr>
        <w:ind w:left="540" w:hanging="532"/>
        <w:spacing w:after="0"/>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Outside Director</w:t>
      </w:r>
      <w:r>
        <w:rPr>
          <w:rFonts w:ascii="Arial" w:cs="Arial" w:eastAsia="Arial" w:hAnsi="Arial"/>
          <w:sz w:val="18"/>
          <w:szCs w:val="18"/>
          <w:color w:val="auto"/>
        </w:rPr>
        <w:t>” means a Director who is not an Employee.</w:t>
      </w:r>
    </w:p>
    <w:p>
      <w:pPr>
        <w:spacing w:after="0" w:line="130" w:lineRule="exact"/>
        <w:rPr>
          <w:rFonts w:ascii="Arial" w:cs="Arial" w:eastAsia="Arial" w:hAnsi="Arial"/>
          <w:sz w:val="18"/>
          <w:szCs w:val="18"/>
          <w:color w:val="auto"/>
        </w:rPr>
      </w:pPr>
    </w:p>
    <w:p>
      <w:pPr>
        <w:ind w:left="540" w:hanging="532"/>
        <w:spacing w:after="0"/>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means a “parent corporation,” whether now or hereafter existing, as defined in Section 424(e) of the Code.</w:t>
      </w:r>
    </w:p>
    <w:p>
      <w:pPr>
        <w:spacing w:after="0" w:line="130" w:lineRule="exact"/>
        <w:rPr>
          <w:rFonts w:ascii="Arial" w:cs="Arial" w:eastAsia="Arial" w:hAnsi="Arial"/>
          <w:sz w:val="18"/>
          <w:szCs w:val="18"/>
          <w:color w:val="auto"/>
        </w:rPr>
      </w:pPr>
    </w:p>
    <w:p>
      <w:pPr>
        <w:ind w:left="540" w:hanging="532"/>
        <w:spacing w:after="0"/>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the holder of an outstanding Award.</w:t>
      </w:r>
    </w:p>
    <w:p>
      <w:pPr>
        <w:spacing w:after="0" w:line="131" w:lineRule="exact"/>
        <w:rPr>
          <w:sz w:val="20"/>
          <w:szCs w:val="20"/>
          <w:color w:val="auto"/>
        </w:rPr>
      </w:pPr>
    </w:p>
    <w:p>
      <w:pPr>
        <w:ind w:left="540" w:right="240" w:hanging="532"/>
        <w:spacing w:after="0" w:line="277" w:lineRule="auto"/>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Share</w:t>
      </w:r>
      <w:r>
        <w:rPr>
          <w:rFonts w:ascii="Arial" w:cs="Arial" w:eastAsia="Arial" w:hAnsi="Arial"/>
          <w:sz w:val="18"/>
          <w:szCs w:val="18"/>
          <w:color w:val="auto"/>
        </w:rPr>
        <w:t>” means an Award denominated in Shares which may be earned in whole or in part upon attainment of performance goals or other vesting criteria as the Administrator may determine pursuant to Section 10.</w:t>
      </w:r>
    </w:p>
    <w:p>
      <w:pPr>
        <w:spacing w:after="0" w:line="75" w:lineRule="exact"/>
        <w:rPr>
          <w:rFonts w:ascii="Arial" w:cs="Arial" w:eastAsia="Arial" w:hAnsi="Arial"/>
          <w:sz w:val="18"/>
          <w:szCs w:val="18"/>
          <w:color w:val="auto"/>
        </w:rPr>
      </w:pPr>
    </w:p>
    <w:p>
      <w:pPr>
        <w:ind w:left="540" w:hanging="532"/>
        <w:spacing w:after="0" w:line="263" w:lineRule="auto"/>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Unit</w:t>
      </w:r>
      <w:r>
        <w:rPr>
          <w:rFonts w:ascii="Arial" w:cs="Arial" w:eastAsia="Arial" w:hAnsi="Arial"/>
          <w:sz w:val="18"/>
          <w:szCs w:val="18"/>
          <w:color w:val="auto"/>
        </w:rPr>
        <w:t>” means an Award which may be earned in whole or in part upon attainment of performance goals or other vesting criteria as the Administrator may determine and which may be settled for cash, Shares or other securities or a combination of the foregoing pursuant to Section 10.</w:t>
      </w:r>
    </w:p>
    <w:p>
      <w:pPr>
        <w:spacing w:after="0" w:line="89" w:lineRule="exact"/>
        <w:rPr>
          <w:rFonts w:ascii="Arial" w:cs="Arial" w:eastAsia="Arial" w:hAnsi="Arial"/>
          <w:sz w:val="18"/>
          <w:szCs w:val="18"/>
          <w:color w:val="auto"/>
        </w:rPr>
      </w:pPr>
    </w:p>
    <w:p>
      <w:pPr>
        <w:jc w:val="both"/>
        <w:ind w:left="540" w:right="180" w:hanging="532"/>
        <w:spacing w:after="0" w:line="286" w:lineRule="auto"/>
        <w:tabs>
          <w:tab w:leader="none" w:pos="5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Period of Restriction</w:t>
      </w:r>
      <w:r>
        <w:rPr>
          <w:rFonts w:ascii="Arial" w:cs="Arial" w:eastAsia="Arial" w:hAnsi="Arial"/>
          <w:sz w:val="17"/>
          <w:szCs w:val="17"/>
          <w:color w:val="auto"/>
        </w:rPr>
        <w:t>” means the period during which the transfer of Shares of Restricted Stock are subject to restrictions and therefore, the Shares are subject to a substantial risk of forfeiture. Such restrictions may be based on the passage of time, the achievement of target levels of performance, or the occurrence of other events as determined by the Administrator.</w:t>
      </w:r>
    </w:p>
    <w:p>
      <w:pPr>
        <w:spacing w:after="0" w:line="70" w:lineRule="exact"/>
        <w:rPr>
          <w:rFonts w:ascii="Arial" w:cs="Arial" w:eastAsia="Arial" w:hAnsi="Arial"/>
          <w:sz w:val="17"/>
          <w:szCs w:val="17"/>
          <w:color w:val="auto"/>
        </w:rPr>
      </w:pPr>
    </w:p>
    <w:p>
      <w:pPr>
        <w:ind w:left="540" w:hanging="532"/>
        <w:spacing w:after="0"/>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this 2019 Equity Incentive Plan.</w:t>
      </w:r>
    </w:p>
    <w:p>
      <w:pPr>
        <w:spacing w:after="0" w:line="130" w:lineRule="exact"/>
        <w:rPr>
          <w:rFonts w:ascii="Arial" w:cs="Arial" w:eastAsia="Arial" w:hAnsi="Arial"/>
          <w:sz w:val="18"/>
          <w:szCs w:val="18"/>
          <w:color w:val="auto"/>
        </w:rPr>
      </w:pPr>
    </w:p>
    <w:p>
      <w:pPr>
        <w:ind w:left="540" w:right="20" w:hanging="532"/>
        <w:spacing w:after="0" w:line="277" w:lineRule="auto"/>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Date</w:t>
      </w:r>
      <w:r>
        <w:rPr>
          <w:rFonts w:ascii="Arial" w:cs="Arial" w:eastAsia="Arial" w:hAnsi="Arial"/>
          <w:sz w:val="18"/>
          <w:szCs w:val="18"/>
          <w:color w:val="auto"/>
        </w:rPr>
        <w:t>” means the effective date of the first registration statement that is filed by the Company and declared effective pursuant to Section 12(b) of the Exchange Act, with respect to any class of the Company’s securities.</w:t>
      </w:r>
    </w:p>
    <w:p>
      <w:pPr>
        <w:spacing w:after="0" w:line="75" w:lineRule="exact"/>
        <w:rPr>
          <w:rFonts w:ascii="Arial" w:cs="Arial" w:eastAsia="Arial" w:hAnsi="Arial"/>
          <w:sz w:val="18"/>
          <w:szCs w:val="18"/>
          <w:color w:val="auto"/>
        </w:rPr>
      </w:pPr>
    </w:p>
    <w:p>
      <w:pPr>
        <w:ind w:left="540" w:right="200" w:hanging="532"/>
        <w:spacing w:after="0" w:line="277" w:lineRule="auto"/>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w:t>
      </w:r>
      <w:r>
        <w:rPr>
          <w:rFonts w:ascii="Arial" w:cs="Arial" w:eastAsia="Arial" w:hAnsi="Arial"/>
          <w:sz w:val="18"/>
          <w:szCs w:val="18"/>
          <w:color w:val="auto"/>
        </w:rPr>
        <w:t>” means Shares issued pursuant to a Restricted Stock award under Section 7 of the Plan, or issued pursuant to the early exercise of an Option.</w:t>
      </w:r>
    </w:p>
    <w:p>
      <w:pPr>
        <w:spacing w:after="0" w:line="75" w:lineRule="exact"/>
        <w:rPr>
          <w:rFonts w:ascii="Arial" w:cs="Arial" w:eastAsia="Arial" w:hAnsi="Arial"/>
          <w:sz w:val="18"/>
          <w:szCs w:val="18"/>
          <w:color w:val="auto"/>
        </w:rPr>
      </w:pPr>
    </w:p>
    <w:p>
      <w:pPr>
        <w:ind w:left="540" w:right="60" w:hanging="532"/>
        <w:spacing w:after="0" w:line="308" w:lineRule="auto"/>
        <w:tabs>
          <w:tab w:leader="none" w:pos="5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Restricted Stock Unit</w:t>
      </w:r>
      <w:r>
        <w:rPr>
          <w:rFonts w:ascii="Arial" w:cs="Arial" w:eastAsia="Arial" w:hAnsi="Arial"/>
          <w:sz w:val="17"/>
          <w:szCs w:val="17"/>
          <w:color w:val="auto"/>
        </w:rPr>
        <w:t>” means a bookkeeping entry representing an amount equal to the Fair Market Value of one Share, granted pursuant to Section 8. Each Restricted Stock Unit represents an unfunded and unsecured obligation of the Company.</w:t>
      </w:r>
    </w:p>
    <w:p>
      <w:pPr>
        <w:spacing w:after="0" w:line="51" w:lineRule="exact"/>
        <w:rPr>
          <w:rFonts w:ascii="Arial" w:cs="Arial" w:eastAsia="Arial" w:hAnsi="Arial"/>
          <w:sz w:val="17"/>
          <w:szCs w:val="17"/>
          <w:color w:val="auto"/>
        </w:rPr>
      </w:pPr>
    </w:p>
    <w:p>
      <w:pPr>
        <w:ind w:left="540" w:right="140" w:hanging="532"/>
        <w:spacing w:after="0" w:line="277" w:lineRule="auto"/>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16b-3</w:t>
      </w:r>
      <w:r>
        <w:rPr>
          <w:rFonts w:ascii="Arial" w:cs="Arial" w:eastAsia="Arial" w:hAnsi="Arial"/>
          <w:sz w:val="18"/>
          <w:szCs w:val="18"/>
          <w:color w:val="auto"/>
        </w:rPr>
        <w:t>” means Rule 16b-3 of the Exchange Act or any successor to Rule 16b-3, as in effect when discretion is being exercised with respect to the Plan.</w:t>
      </w:r>
    </w:p>
    <w:p>
      <w:pPr>
        <w:spacing w:after="0" w:line="75" w:lineRule="exact"/>
        <w:rPr>
          <w:rFonts w:ascii="Arial" w:cs="Arial" w:eastAsia="Arial" w:hAnsi="Arial"/>
          <w:sz w:val="18"/>
          <w:szCs w:val="18"/>
          <w:color w:val="auto"/>
        </w:rPr>
      </w:pPr>
    </w:p>
    <w:p>
      <w:pPr>
        <w:ind w:left="540" w:hanging="532"/>
        <w:spacing w:after="0"/>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Section 16(b)</w:t>
      </w:r>
      <w:r>
        <w:rPr>
          <w:rFonts w:ascii="Arial" w:cs="Arial" w:eastAsia="Arial" w:hAnsi="Arial"/>
          <w:sz w:val="18"/>
          <w:szCs w:val="18"/>
          <w:color w:val="auto"/>
        </w:rPr>
        <w:t>” means Section 16(b) of the Exchange Act.</w:t>
      </w:r>
    </w:p>
    <w:p>
      <w:pPr>
        <w:spacing w:after="0" w:line="130" w:lineRule="exact"/>
        <w:rPr>
          <w:rFonts w:ascii="Arial" w:cs="Arial" w:eastAsia="Arial" w:hAnsi="Arial"/>
          <w:sz w:val="18"/>
          <w:szCs w:val="18"/>
          <w:color w:val="auto"/>
        </w:rPr>
      </w:pPr>
    </w:p>
    <w:p>
      <w:pPr>
        <w:ind w:left="540" w:right="380" w:hanging="532"/>
        <w:spacing w:after="0" w:line="342" w:lineRule="auto"/>
        <w:tabs>
          <w:tab w:leader="none" w:pos="5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Section 409A</w:t>
      </w:r>
      <w:r>
        <w:rPr>
          <w:rFonts w:ascii="Arial" w:cs="Arial" w:eastAsia="Arial" w:hAnsi="Arial"/>
          <w:sz w:val="16"/>
          <w:szCs w:val="16"/>
          <w:color w:val="auto"/>
        </w:rPr>
        <w:t>” means Code Section 409A, as it has been and may be amended from time to time, and any proposed or final Treasury Regulations and Internal Revenue Service guidance that has been promulgated or may be promulgated thereunder from time to time.</w:t>
      </w:r>
    </w:p>
    <w:p>
      <w:pPr>
        <w:spacing w:after="0" w:line="56"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60"/>
          </w:cols>
          <w:pgMar w:left="860" w:top="274" w:right="479" w:bottom="1440" w:gutter="0" w:footer="0" w:header="0"/>
        </w:sectPr>
      </w:pPr>
    </w:p>
    <w:bookmarkStart w:id="34" w:name="page35"/>
    <w:bookmarkEnd w:id="34"/>
    <w:p>
      <w:pPr>
        <w:ind w:left="964" w:hanging="532"/>
        <w:spacing w:after="0"/>
        <w:tabs>
          <w:tab w:leader="none" w:pos="964" w:val="left"/>
        </w:tabs>
        <w:numPr>
          <w:ilvl w:val="1"/>
          <w:numId w:val="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 Provider</w:t>
      </w:r>
      <w:r>
        <w:rPr>
          <w:rFonts w:ascii="Arial" w:cs="Arial" w:eastAsia="Arial" w:hAnsi="Arial"/>
          <w:sz w:val="18"/>
          <w:szCs w:val="18"/>
          <w:color w:val="auto"/>
        </w:rPr>
        <w:t>” means an Employee, Director or Consultant.</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w:t>
      </w:r>
      <w:r>
        <w:rPr>
          <w:rFonts w:ascii="Arial" w:cs="Arial" w:eastAsia="Arial" w:hAnsi="Arial"/>
          <w:sz w:val="18"/>
          <w:szCs w:val="18"/>
          <w:color w:val="auto"/>
        </w:rPr>
        <w:t>” means a share of the Common Stock, as adjusted in accordance with Section 14 of the Plan.</w:t>
      </w:r>
    </w:p>
    <w:p>
      <w:pPr>
        <w:spacing w:after="0" w:line="130" w:lineRule="exact"/>
        <w:rPr>
          <w:rFonts w:ascii="Arial" w:cs="Arial" w:eastAsia="Arial" w:hAnsi="Arial"/>
          <w:sz w:val="18"/>
          <w:szCs w:val="18"/>
          <w:color w:val="auto"/>
        </w:rPr>
      </w:pPr>
    </w:p>
    <w:p>
      <w:pPr>
        <w:ind w:left="964" w:right="180" w:hanging="532"/>
        <w:spacing w:after="0" w:line="277" w:lineRule="auto"/>
        <w:tabs>
          <w:tab w:leader="none" w:pos="964" w:val="left"/>
        </w:tabs>
        <w:numPr>
          <w:ilvl w:val="1"/>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Appreciation Right</w:t>
      </w:r>
      <w:r>
        <w:rPr>
          <w:rFonts w:ascii="Arial" w:cs="Arial" w:eastAsia="Arial" w:hAnsi="Arial"/>
          <w:sz w:val="18"/>
          <w:szCs w:val="18"/>
          <w:color w:val="auto"/>
        </w:rPr>
        <w:t>” means an Award, granted alone or in connection with an Option, that pursuant to Section 9 is designated as a Stock Appreciation Right.</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1"/>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 “subsidiary corporation,” whether now or hereafter existing, as defined in Section 424(f) of the Code.</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45"/>
        </w:numPr>
        <w:rPr>
          <w:rFonts w:ascii="Arial" w:cs="Arial" w:eastAsia="Arial" w:hAnsi="Arial"/>
          <w:sz w:val="18"/>
          <w:szCs w:val="18"/>
          <w:color w:val="auto"/>
        </w:rPr>
      </w:pPr>
      <w:r>
        <w:rPr>
          <w:rFonts w:ascii="Arial" w:cs="Arial" w:eastAsia="Arial" w:hAnsi="Arial"/>
          <w:sz w:val="18"/>
          <w:szCs w:val="18"/>
          <w:color w:val="auto"/>
        </w:rPr>
        <w:t>Stock Subject to the Plan.</w:t>
      </w:r>
    </w:p>
    <w:p>
      <w:pPr>
        <w:spacing w:after="0" w:line="130" w:lineRule="exact"/>
        <w:rPr>
          <w:rFonts w:ascii="Arial" w:cs="Arial" w:eastAsia="Arial" w:hAnsi="Arial"/>
          <w:sz w:val="18"/>
          <w:szCs w:val="18"/>
          <w:color w:val="auto"/>
        </w:rPr>
      </w:pPr>
    </w:p>
    <w:p>
      <w:pPr>
        <w:ind w:left="964" w:right="80" w:hanging="532"/>
        <w:spacing w:after="0" w:line="253" w:lineRule="auto"/>
        <w:tabs>
          <w:tab w:leader="none" w:pos="964" w:val="left"/>
        </w:tabs>
        <w:numPr>
          <w:ilvl w:val="1"/>
          <w:numId w:val="45"/>
        </w:numPr>
        <w:rPr>
          <w:rFonts w:ascii="Arial" w:cs="Arial" w:eastAsia="Arial" w:hAnsi="Arial"/>
          <w:sz w:val="18"/>
          <w:szCs w:val="18"/>
          <w:color w:val="auto"/>
        </w:rPr>
      </w:pPr>
      <w:r>
        <w:rPr>
          <w:rFonts w:ascii="Arial" w:cs="Arial" w:eastAsia="Arial" w:hAnsi="Arial"/>
          <w:sz w:val="18"/>
          <w:szCs w:val="18"/>
          <w:u w:val="single" w:color="auto"/>
          <w:color w:val="auto"/>
        </w:rPr>
        <w:t>Stock Subject to the Plan</w:t>
      </w:r>
      <w:r>
        <w:rPr>
          <w:rFonts w:ascii="Arial" w:cs="Arial" w:eastAsia="Arial" w:hAnsi="Arial"/>
          <w:sz w:val="18"/>
          <w:szCs w:val="18"/>
          <w:color w:val="auto"/>
        </w:rPr>
        <w:t>. Subject to the provisions of Section 14 of the Plan and the automatic increase set forth in Section 3(b) of the Plan, the maximum aggregate number of Shares that may be issued under the Plan is 2,700,000 Shares, plus the sum of (i) any Shares that, as of the Registration Date, have been reserved but not issued pursuant to any awards granted under the Company’s 2016 Equity Incentive Plan, as amended (the “Existing Plan”) and are not subject to any awards granted thereunder, and (ii) any Shares subject to stock options, restricted stock units, or similar awards granted under the Existing Plan that, on or after the Registration Date, expire or otherwise terminate without having been exercised in full, are tendered to or withheld by the Company for payment of an exercise price or for tax withholding obligations, or are forfeited to or repurchased by the Company due to failure to vest, with the maximum number of Shares to be added to the Plan pursuant to clauses (i) and (ii) equal to 2,859,775 Shares. The Shares may be authorized, but unissued, or reacquired Common Stock.</w:t>
      </w:r>
    </w:p>
    <w:p>
      <w:pPr>
        <w:spacing w:after="0" w:line="101" w:lineRule="exact"/>
        <w:rPr>
          <w:rFonts w:ascii="Arial" w:cs="Arial" w:eastAsia="Arial" w:hAnsi="Arial"/>
          <w:sz w:val="18"/>
          <w:szCs w:val="18"/>
          <w:color w:val="auto"/>
        </w:rPr>
      </w:pPr>
    </w:p>
    <w:p>
      <w:pPr>
        <w:ind w:left="964" w:right="180" w:hanging="532"/>
        <w:spacing w:after="0" w:line="259" w:lineRule="auto"/>
        <w:tabs>
          <w:tab w:leader="none" w:pos="964" w:val="left"/>
        </w:tabs>
        <w:numPr>
          <w:ilvl w:val="1"/>
          <w:numId w:val="45"/>
        </w:numPr>
        <w:rPr>
          <w:rFonts w:ascii="Arial" w:cs="Arial" w:eastAsia="Arial" w:hAnsi="Arial"/>
          <w:sz w:val="18"/>
          <w:szCs w:val="18"/>
          <w:color w:val="auto"/>
        </w:rPr>
      </w:pPr>
      <w:r>
        <w:rPr>
          <w:rFonts w:ascii="Arial" w:cs="Arial" w:eastAsia="Arial" w:hAnsi="Arial"/>
          <w:sz w:val="18"/>
          <w:szCs w:val="18"/>
          <w:u w:val="single" w:color="auto"/>
          <w:color w:val="auto"/>
        </w:rPr>
        <w:t>Automatic Share Reserve Increase</w:t>
      </w:r>
      <w:r>
        <w:rPr>
          <w:rFonts w:ascii="Arial" w:cs="Arial" w:eastAsia="Arial" w:hAnsi="Arial"/>
          <w:sz w:val="18"/>
          <w:szCs w:val="18"/>
          <w:color w:val="auto"/>
        </w:rPr>
        <w:t>. Subject to the provisions of Section 14 of the Plan, the number of Shares available for issuance under the Plan will be increased on the first day of each Fiscal Year beginning with the 2021 Fiscal Year, in an amount equal to the least of (i) 4,000,000 Shares, (ii) four percent (4%) of the outstanding Shares on the last day of the immediately preceding Fiscal Year or (iii) such number of Shares determined by the Board.</w:t>
      </w:r>
    </w:p>
    <w:p>
      <w:pPr>
        <w:spacing w:after="0" w:line="92" w:lineRule="exact"/>
        <w:rPr>
          <w:rFonts w:ascii="Arial" w:cs="Arial" w:eastAsia="Arial" w:hAnsi="Arial"/>
          <w:sz w:val="18"/>
          <w:szCs w:val="18"/>
          <w:color w:val="auto"/>
        </w:rPr>
      </w:pPr>
    </w:p>
    <w:p>
      <w:pPr>
        <w:ind w:left="964" w:hanging="532"/>
        <w:spacing w:after="0" w:line="272" w:lineRule="auto"/>
        <w:tabs>
          <w:tab w:leader="none" w:pos="964" w:val="left"/>
        </w:tabs>
        <w:numPr>
          <w:ilvl w:val="1"/>
          <w:numId w:val="45"/>
        </w:numPr>
        <w:rPr>
          <w:rFonts w:ascii="Arial" w:cs="Arial" w:eastAsia="Arial" w:hAnsi="Arial"/>
          <w:sz w:val="17"/>
          <w:szCs w:val="17"/>
          <w:color w:val="auto"/>
        </w:rPr>
      </w:pPr>
      <w:r>
        <w:rPr>
          <w:rFonts w:ascii="Arial" w:cs="Arial" w:eastAsia="Arial" w:hAnsi="Arial"/>
          <w:sz w:val="17"/>
          <w:szCs w:val="17"/>
          <w:u w:val="single" w:color="auto"/>
          <w:color w:val="auto"/>
        </w:rPr>
        <w:t>Lapsed Awards</w:t>
      </w:r>
      <w:r>
        <w:rPr>
          <w:rFonts w:ascii="Arial" w:cs="Arial" w:eastAsia="Arial" w:hAnsi="Arial"/>
          <w:sz w:val="17"/>
          <w:szCs w:val="17"/>
          <w:color w:val="auto"/>
        </w:rPr>
        <w:t>. If an Award expires or becomes unexercisable without having been exercised in full, is surrendered pursuant to an Exchange Program, or, with respect to Restricted Stock, Restricted Stock Units, Performance Units or Performance Shares, is forfeited to or repurchased by the Company due to failure to vest, the unpurchased Shares (or for Awards other than Options or Stock Appreciation Rights the forfeited or repurchased Shares), which were subject thereto will become available for future grant or sale under the Plan (unless the Plan has terminated). With respect to Stock Appreciation Rights, only Shares actually issued (i.e., the net Shares issued) pursuant to a Stock Appreciation Right will cease to be available under the Plan; all remaining Shares under Stock Appreciation Rights will remain available for future grant or sale under the Plan</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4"/>
          </w:cols>
          <w:pgMar w:left="436" w:top="274" w:right="439" w:bottom="1440" w:gutter="0" w:footer="0" w:header="0"/>
        </w:sectPr>
      </w:pPr>
    </w:p>
    <w:bookmarkStart w:id="35" w:name="page36"/>
    <w:bookmarkEnd w:id="35"/>
    <w:p>
      <w:pPr>
        <w:ind w:left="984" w:right="2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(unless the Plan has terminated). Shares that have actually been issued under the Plan under any Award will not be returned to the Plan and will not become available for future distribution under the Plan; provided, however, that if Shares issued pursuant to Awards of Restricted Stock, Restricted Stock Units, Performance Shares or Performance Units are repurchased by the Company or are forfeited to the Company, such Shares will become available for future grant under the Plan. Shares used to pay the exercise price of an Award or to satisfy the tax withholding obligations related to an Award will become available for future grant or sale under the Plan. To the extent an Award under the Plan is paid out in cash rather than Shares, such cash payment will not result in reducing the number of Shares available for issuance under the Plan. Notwithstanding the foregoing and, subject to adjustment as provided in Section 14, the maximum number of Shares that may be issued upon the exercise of Incentive Stock Options will equal the aggregate Share number stated in Section 3(a), plus, to the extent allowable under Section 422 of the Code and the Treasury Regulations promulgated thereunder, any Shares that become available for issuance under the Plan pursuant to Sections 3(b) and 3(c).</w:t>
      </w:r>
    </w:p>
    <w:p>
      <w:pPr>
        <w:spacing w:after="0" w:line="74" w:lineRule="exact"/>
        <w:rPr>
          <w:sz w:val="20"/>
          <w:szCs w:val="20"/>
          <w:color w:val="auto"/>
        </w:rPr>
      </w:pPr>
    </w:p>
    <w:p>
      <w:pPr>
        <w:ind w:left="964" w:right="280" w:hanging="532"/>
        <w:spacing w:after="0" w:line="277" w:lineRule="auto"/>
        <w:tabs>
          <w:tab w:leader="none" w:pos="964" w:val="left"/>
        </w:tabs>
        <w:numPr>
          <w:ilvl w:val="1"/>
          <w:numId w:val="46"/>
        </w:numPr>
        <w:rPr>
          <w:rFonts w:ascii="Arial" w:cs="Arial" w:eastAsia="Arial" w:hAnsi="Arial"/>
          <w:sz w:val="18"/>
          <w:szCs w:val="18"/>
          <w:color w:val="auto"/>
        </w:rPr>
      </w:pPr>
      <w:r>
        <w:rPr>
          <w:rFonts w:ascii="Arial" w:cs="Arial" w:eastAsia="Arial" w:hAnsi="Arial"/>
          <w:sz w:val="18"/>
          <w:szCs w:val="18"/>
          <w:u w:val="single" w:color="auto"/>
          <w:color w:val="auto"/>
        </w:rPr>
        <w:t>Share Reserve</w:t>
      </w:r>
      <w:r>
        <w:rPr>
          <w:rFonts w:ascii="Arial" w:cs="Arial" w:eastAsia="Arial" w:hAnsi="Arial"/>
          <w:sz w:val="18"/>
          <w:szCs w:val="18"/>
          <w:color w:val="auto"/>
        </w:rPr>
        <w:t>. The Company, during the term of this Plan, will at all times reserve and keep available such number of Shares as will be sufficient to satisfy the requirements of the Plan.</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47"/>
        </w:numPr>
        <w:rPr>
          <w:rFonts w:ascii="Arial" w:cs="Arial" w:eastAsia="Arial" w:hAnsi="Arial"/>
          <w:sz w:val="18"/>
          <w:szCs w:val="18"/>
          <w:color w:val="auto"/>
        </w:rPr>
      </w:pPr>
      <w:r>
        <w:rPr>
          <w:rFonts w:ascii="Arial" w:cs="Arial" w:eastAsia="Arial" w:hAnsi="Arial"/>
          <w:sz w:val="18"/>
          <w:szCs w:val="18"/>
          <w:color w:val="auto"/>
        </w:rPr>
        <w:t>Administration of the Plan.</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47"/>
        </w:numPr>
        <w:rPr>
          <w:rFonts w:ascii="Arial" w:cs="Arial" w:eastAsia="Arial" w:hAnsi="Arial"/>
          <w:sz w:val="18"/>
          <w:szCs w:val="18"/>
          <w:color w:val="auto"/>
        </w:rPr>
      </w:pPr>
      <w:r>
        <w:rPr>
          <w:rFonts w:ascii="Arial" w:cs="Arial" w:eastAsia="Arial" w:hAnsi="Arial"/>
          <w:sz w:val="18"/>
          <w:szCs w:val="18"/>
          <w:color w:val="auto"/>
        </w:rPr>
        <w:t>Procedure.</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2"/>
          <w:numId w:val="47"/>
        </w:numPr>
        <w:rPr>
          <w:rFonts w:ascii="Arial" w:cs="Arial" w:eastAsia="Arial" w:hAnsi="Arial"/>
          <w:sz w:val="16"/>
          <w:szCs w:val="16"/>
          <w:color w:val="auto"/>
        </w:rPr>
      </w:pPr>
      <w:r>
        <w:rPr>
          <w:rFonts w:ascii="Arial" w:cs="Arial" w:eastAsia="Arial" w:hAnsi="Arial"/>
          <w:sz w:val="16"/>
          <w:szCs w:val="16"/>
          <w:u w:val="single" w:color="auto"/>
          <w:color w:val="auto"/>
        </w:rPr>
        <w:t>Multiple Administrative Bodies</w:t>
      </w:r>
      <w:r>
        <w:rPr>
          <w:rFonts w:ascii="Arial" w:cs="Arial" w:eastAsia="Arial" w:hAnsi="Arial"/>
          <w:sz w:val="16"/>
          <w:szCs w:val="16"/>
          <w:color w:val="auto"/>
        </w:rPr>
        <w:t>. Different Committees with respect to different groups of Service Providers may administer the Plan.</w:t>
      </w:r>
    </w:p>
    <w:p>
      <w:pPr>
        <w:spacing w:after="0" w:line="153" w:lineRule="exact"/>
        <w:rPr>
          <w:rFonts w:ascii="Arial" w:cs="Arial" w:eastAsia="Arial" w:hAnsi="Arial"/>
          <w:sz w:val="16"/>
          <w:szCs w:val="16"/>
          <w:color w:val="auto"/>
        </w:rPr>
      </w:pPr>
    </w:p>
    <w:p>
      <w:pPr>
        <w:ind w:left="1424" w:right="380" w:hanging="439"/>
        <w:spacing w:after="0" w:line="277" w:lineRule="auto"/>
        <w:tabs>
          <w:tab w:leader="none" w:pos="1424" w:val="left"/>
        </w:tabs>
        <w:numPr>
          <w:ilvl w:val="2"/>
          <w:numId w:val="47"/>
        </w:numPr>
        <w:rPr>
          <w:rFonts w:ascii="Arial" w:cs="Arial" w:eastAsia="Arial" w:hAnsi="Arial"/>
          <w:sz w:val="18"/>
          <w:szCs w:val="18"/>
          <w:color w:val="auto"/>
        </w:rPr>
      </w:pPr>
      <w:r>
        <w:rPr>
          <w:rFonts w:ascii="Arial" w:cs="Arial" w:eastAsia="Arial" w:hAnsi="Arial"/>
          <w:sz w:val="18"/>
          <w:szCs w:val="18"/>
          <w:u w:val="single" w:color="auto"/>
          <w:color w:val="auto"/>
        </w:rPr>
        <w:t>Rule 16b-3</w:t>
      </w:r>
      <w:r>
        <w:rPr>
          <w:rFonts w:ascii="Arial" w:cs="Arial" w:eastAsia="Arial" w:hAnsi="Arial"/>
          <w:sz w:val="18"/>
          <w:szCs w:val="18"/>
          <w:color w:val="auto"/>
        </w:rPr>
        <w:t>. To the extent desirable to qualify transactions hereunder as exempt under Rule 16b-3, the transactions contemplated hereunder will be structured to satisfy the requirements for exemption under Rule 16b-3.</w:t>
      </w:r>
    </w:p>
    <w:p>
      <w:pPr>
        <w:spacing w:after="0" w:line="75" w:lineRule="exact"/>
        <w:rPr>
          <w:rFonts w:ascii="Arial" w:cs="Arial" w:eastAsia="Arial" w:hAnsi="Arial"/>
          <w:sz w:val="18"/>
          <w:szCs w:val="18"/>
          <w:color w:val="auto"/>
        </w:rPr>
      </w:pPr>
    </w:p>
    <w:p>
      <w:pPr>
        <w:ind w:left="1424" w:right="420" w:hanging="439"/>
        <w:spacing w:after="0" w:line="277" w:lineRule="auto"/>
        <w:tabs>
          <w:tab w:leader="none" w:pos="1424" w:val="left"/>
        </w:tabs>
        <w:numPr>
          <w:ilvl w:val="2"/>
          <w:numId w:val="47"/>
        </w:numPr>
        <w:rPr>
          <w:rFonts w:ascii="Arial" w:cs="Arial" w:eastAsia="Arial" w:hAnsi="Arial"/>
          <w:sz w:val="18"/>
          <w:szCs w:val="18"/>
          <w:color w:val="auto"/>
        </w:rPr>
      </w:pPr>
      <w:r>
        <w:rPr>
          <w:rFonts w:ascii="Arial" w:cs="Arial" w:eastAsia="Arial" w:hAnsi="Arial"/>
          <w:sz w:val="18"/>
          <w:szCs w:val="18"/>
          <w:u w:val="single" w:color="auto"/>
          <w:color w:val="auto"/>
        </w:rPr>
        <w:t>Other Administration</w:t>
      </w:r>
      <w:r>
        <w:rPr>
          <w:rFonts w:ascii="Arial" w:cs="Arial" w:eastAsia="Arial" w:hAnsi="Arial"/>
          <w:sz w:val="18"/>
          <w:szCs w:val="18"/>
          <w:color w:val="auto"/>
        </w:rPr>
        <w:t>. Other than as provided above, the Plan will be administered by (A) the Board or (B) a Committee, which committee will be constituted to satisfy Applicable Laws.</w:t>
      </w:r>
    </w:p>
    <w:p>
      <w:pPr>
        <w:spacing w:after="0" w:line="75" w:lineRule="exact"/>
        <w:rPr>
          <w:rFonts w:ascii="Arial" w:cs="Arial" w:eastAsia="Arial" w:hAnsi="Arial"/>
          <w:sz w:val="18"/>
          <w:szCs w:val="18"/>
          <w:color w:val="auto"/>
        </w:rPr>
      </w:pPr>
    </w:p>
    <w:p>
      <w:pPr>
        <w:ind w:left="964" w:right="120" w:hanging="532"/>
        <w:spacing w:after="0" w:line="277" w:lineRule="auto"/>
        <w:tabs>
          <w:tab w:leader="none" w:pos="964" w:val="left"/>
        </w:tabs>
        <w:numPr>
          <w:ilvl w:val="1"/>
          <w:numId w:val="47"/>
        </w:numPr>
        <w:rPr>
          <w:rFonts w:ascii="Arial" w:cs="Arial" w:eastAsia="Arial" w:hAnsi="Arial"/>
          <w:sz w:val="18"/>
          <w:szCs w:val="18"/>
          <w:color w:val="auto"/>
        </w:rPr>
      </w:pPr>
      <w:r>
        <w:rPr>
          <w:rFonts w:ascii="Arial" w:cs="Arial" w:eastAsia="Arial" w:hAnsi="Arial"/>
          <w:sz w:val="18"/>
          <w:szCs w:val="18"/>
          <w:u w:val="single" w:color="auto"/>
          <w:color w:val="auto"/>
        </w:rPr>
        <w:t>Powers of the Administrator</w:t>
      </w:r>
      <w:r>
        <w:rPr>
          <w:rFonts w:ascii="Arial" w:cs="Arial" w:eastAsia="Arial" w:hAnsi="Arial"/>
          <w:sz w:val="18"/>
          <w:szCs w:val="18"/>
          <w:color w:val="auto"/>
        </w:rPr>
        <w:t>. Subject to the provisions of the Plan, and in the case of a Committee, subject to the specific duties delegated by the Board to such Committee, the Administrator will have the authority, in its discretion:</w:t>
      </w:r>
    </w:p>
    <w:p>
      <w:pPr>
        <w:spacing w:after="0" w:line="75" w:lineRule="exact"/>
        <w:rPr>
          <w:rFonts w:ascii="Arial" w:cs="Arial" w:eastAsia="Arial" w:hAnsi="Arial"/>
          <w:sz w:val="18"/>
          <w:szCs w:val="18"/>
          <w:color w:val="auto"/>
        </w:rPr>
      </w:pPr>
    </w:p>
    <w:p>
      <w:pPr>
        <w:ind w:left="1424" w:hanging="439"/>
        <w:spacing w:after="0"/>
        <w:tabs>
          <w:tab w:leader="none" w:pos="1424" w:val="left"/>
        </w:tabs>
        <w:numPr>
          <w:ilvl w:val="2"/>
          <w:numId w:val="47"/>
        </w:numPr>
        <w:rPr>
          <w:rFonts w:ascii="Arial" w:cs="Arial" w:eastAsia="Arial" w:hAnsi="Arial"/>
          <w:sz w:val="18"/>
          <w:szCs w:val="18"/>
          <w:color w:val="auto"/>
        </w:rPr>
      </w:pPr>
      <w:r>
        <w:rPr>
          <w:rFonts w:ascii="Arial" w:cs="Arial" w:eastAsia="Arial" w:hAnsi="Arial"/>
          <w:sz w:val="18"/>
          <w:szCs w:val="18"/>
          <w:color w:val="auto"/>
        </w:rPr>
        <w:t>to determine the Fair Market Value;</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2"/>
          <w:numId w:val="47"/>
        </w:numPr>
        <w:rPr>
          <w:rFonts w:ascii="Arial" w:cs="Arial" w:eastAsia="Arial" w:hAnsi="Arial"/>
          <w:sz w:val="18"/>
          <w:szCs w:val="18"/>
          <w:color w:val="auto"/>
        </w:rPr>
      </w:pPr>
      <w:r>
        <w:rPr>
          <w:rFonts w:ascii="Arial" w:cs="Arial" w:eastAsia="Arial" w:hAnsi="Arial"/>
          <w:sz w:val="18"/>
          <w:szCs w:val="18"/>
          <w:color w:val="auto"/>
        </w:rPr>
        <w:t>to select the Service Providers to whom Awards may be granted hereunder;</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2"/>
          <w:numId w:val="47"/>
        </w:numPr>
        <w:rPr>
          <w:rFonts w:ascii="Arial" w:cs="Arial" w:eastAsia="Arial" w:hAnsi="Arial"/>
          <w:sz w:val="18"/>
          <w:szCs w:val="18"/>
          <w:color w:val="auto"/>
        </w:rPr>
      </w:pPr>
      <w:r>
        <w:rPr>
          <w:rFonts w:ascii="Arial" w:cs="Arial" w:eastAsia="Arial" w:hAnsi="Arial"/>
          <w:sz w:val="18"/>
          <w:szCs w:val="18"/>
          <w:color w:val="auto"/>
        </w:rPr>
        <w:t>to determine the number of Shares to be covered by each Award granted hereunder;</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4"/>
          </w:cols>
          <w:pgMar w:left="436" w:top="274" w:right="439" w:bottom="1440" w:gutter="0" w:footer="0" w:header="0"/>
        </w:sectPr>
      </w:pPr>
    </w:p>
    <w:bookmarkStart w:id="36" w:name="page37"/>
    <w:bookmarkEnd w:id="36"/>
    <w:p>
      <w:pPr>
        <w:ind w:left="1000" w:hanging="439"/>
        <w:spacing w:after="0"/>
        <w:tabs>
          <w:tab w:leader="none" w:pos="1000" w:val="left"/>
        </w:tabs>
        <w:numPr>
          <w:ilvl w:val="1"/>
          <w:numId w:val="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approve forms of Award Agreements for use under the Plan;</w:t>
      </w:r>
    </w:p>
    <w:p>
      <w:pPr>
        <w:spacing w:after="0" w:line="130" w:lineRule="exact"/>
        <w:rPr>
          <w:rFonts w:ascii="Arial" w:cs="Arial" w:eastAsia="Arial" w:hAnsi="Arial"/>
          <w:sz w:val="18"/>
          <w:szCs w:val="18"/>
          <w:color w:val="auto"/>
        </w:rPr>
      </w:pPr>
    </w:p>
    <w:p>
      <w:pPr>
        <w:jc w:val="both"/>
        <w:ind w:left="1000" w:right="40" w:hanging="439"/>
        <w:spacing w:after="0" w:line="301" w:lineRule="auto"/>
        <w:tabs>
          <w:tab w:leader="none" w:pos="1000" w:val="left"/>
        </w:tabs>
        <w:numPr>
          <w:ilvl w:val="1"/>
          <w:numId w:val="48"/>
        </w:numPr>
        <w:rPr>
          <w:rFonts w:ascii="Arial" w:cs="Arial" w:eastAsia="Arial" w:hAnsi="Arial"/>
          <w:sz w:val="16"/>
          <w:szCs w:val="16"/>
          <w:color w:val="auto"/>
        </w:rPr>
      </w:pPr>
      <w:r>
        <w:rPr>
          <w:rFonts w:ascii="Arial" w:cs="Arial" w:eastAsia="Arial" w:hAnsi="Arial"/>
          <w:sz w:val="16"/>
          <w:szCs w:val="16"/>
          <w:color w:val="auto"/>
        </w:rPr>
        <w:t>to determine the terms and conditions, not inconsistent with the terms of the Plan, of any Award granted hereunder. Such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thereto, based in each case on such factors as the Administrator will determine;</w:t>
      </w:r>
    </w:p>
    <w:p>
      <w:pPr>
        <w:spacing w:after="0" w:line="62" w:lineRule="exact"/>
        <w:rPr>
          <w:rFonts w:ascii="Arial" w:cs="Arial" w:eastAsia="Arial" w:hAnsi="Arial"/>
          <w:sz w:val="16"/>
          <w:szCs w:val="16"/>
          <w:color w:val="auto"/>
        </w:rPr>
      </w:pPr>
    </w:p>
    <w:p>
      <w:pPr>
        <w:ind w:left="1000" w:hanging="439"/>
        <w:spacing w:after="0"/>
        <w:tabs>
          <w:tab w:leader="none" w:pos="10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to institute and determine the terms and conditions of an Exchange Program;</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to construe and interpret the terms of the Plan and Awards granted pursuant to the Plan;</w:t>
      </w:r>
    </w:p>
    <w:p>
      <w:pPr>
        <w:spacing w:after="0" w:line="130" w:lineRule="exact"/>
        <w:rPr>
          <w:rFonts w:ascii="Arial" w:cs="Arial" w:eastAsia="Arial" w:hAnsi="Arial"/>
          <w:sz w:val="18"/>
          <w:szCs w:val="18"/>
          <w:color w:val="auto"/>
        </w:rPr>
      </w:pPr>
    </w:p>
    <w:p>
      <w:pPr>
        <w:ind w:left="1000" w:right="360" w:hanging="439"/>
        <w:spacing w:after="0" w:line="263" w:lineRule="auto"/>
        <w:tabs>
          <w:tab w:leader="none" w:pos="10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to prescribe, amend and rescind rules and regulations relating to the Plan, including rules and regulations relating to sub-plans established for the purpose of satisfying applicable non-U.S. laws or for qualifying for favorable tax treatment under applicable non-U.S. laws;</w:t>
      </w:r>
    </w:p>
    <w:p>
      <w:pPr>
        <w:spacing w:after="0" w:line="89" w:lineRule="exact"/>
        <w:rPr>
          <w:rFonts w:ascii="Arial" w:cs="Arial" w:eastAsia="Arial" w:hAnsi="Arial"/>
          <w:sz w:val="18"/>
          <w:szCs w:val="18"/>
          <w:color w:val="auto"/>
        </w:rPr>
      </w:pPr>
    </w:p>
    <w:p>
      <w:pPr>
        <w:ind w:left="1000" w:hanging="439"/>
        <w:spacing w:after="0" w:line="263" w:lineRule="auto"/>
        <w:tabs>
          <w:tab w:leader="none" w:pos="10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to modify or amend each Award (subject to Section 19 of the Plan), including but not limited to the discretionary authority to extend the post-termination exercisability period of Awards and to extend the maximum term of an Option (subject to Section 6(b) of the Plan regarding Incentive Stock Options);</w:t>
      </w:r>
    </w:p>
    <w:p>
      <w:pPr>
        <w:spacing w:after="0" w:line="89" w:lineRule="exact"/>
        <w:rPr>
          <w:rFonts w:ascii="Arial" w:cs="Arial" w:eastAsia="Arial" w:hAnsi="Arial"/>
          <w:sz w:val="18"/>
          <w:szCs w:val="18"/>
          <w:color w:val="auto"/>
        </w:rPr>
      </w:pPr>
    </w:p>
    <w:p>
      <w:pPr>
        <w:ind w:left="1000" w:hanging="439"/>
        <w:spacing w:after="0"/>
        <w:tabs>
          <w:tab w:leader="none" w:pos="10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to allow Participants to satisfy tax withholding obligations in such manner as prescribed in Section 15 of the Plan;</w:t>
      </w:r>
    </w:p>
    <w:p>
      <w:pPr>
        <w:spacing w:after="0" w:line="130" w:lineRule="exact"/>
        <w:rPr>
          <w:rFonts w:ascii="Arial" w:cs="Arial" w:eastAsia="Arial" w:hAnsi="Arial"/>
          <w:sz w:val="18"/>
          <w:szCs w:val="18"/>
          <w:color w:val="auto"/>
        </w:rPr>
      </w:pPr>
    </w:p>
    <w:p>
      <w:pPr>
        <w:ind w:left="1000" w:right="340" w:hanging="439"/>
        <w:spacing w:after="0" w:line="277" w:lineRule="auto"/>
        <w:tabs>
          <w:tab w:leader="none" w:pos="10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to authorize any person to execute on behalf of the Company any instrument required to effect the grant of an Award previously granted by the Administrator;</w:t>
      </w:r>
    </w:p>
    <w:p>
      <w:pPr>
        <w:spacing w:after="0" w:line="75" w:lineRule="exact"/>
        <w:rPr>
          <w:rFonts w:ascii="Arial" w:cs="Arial" w:eastAsia="Arial" w:hAnsi="Arial"/>
          <w:sz w:val="18"/>
          <w:szCs w:val="18"/>
          <w:color w:val="auto"/>
        </w:rPr>
      </w:pPr>
    </w:p>
    <w:p>
      <w:pPr>
        <w:ind w:left="1000" w:right="460" w:hanging="439"/>
        <w:spacing w:after="0" w:line="277" w:lineRule="auto"/>
        <w:tabs>
          <w:tab w:leader="none" w:pos="10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to allow a Participant to defer the receipt of the payment of cash or the delivery of Shares that would otherwise be due to such Participant under an Award; and</w:t>
      </w:r>
    </w:p>
    <w:p>
      <w:pPr>
        <w:spacing w:after="0" w:line="75" w:lineRule="exact"/>
        <w:rPr>
          <w:rFonts w:ascii="Arial" w:cs="Arial" w:eastAsia="Arial" w:hAnsi="Arial"/>
          <w:sz w:val="18"/>
          <w:szCs w:val="18"/>
          <w:color w:val="auto"/>
        </w:rPr>
      </w:pPr>
    </w:p>
    <w:p>
      <w:pPr>
        <w:ind w:left="1000" w:hanging="439"/>
        <w:spacing w:after="0"/>
        <w:tabs>
          <w:tab w:leader="none" w:pos="10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to make all other determinations deemed necessary or advisable for administering the Plan.</w:t>
      </w:r>
    </w:p>
    <w:p>
      <w:pPr>
        <w:spacing w:after="0" w:line="130" w:lineRule="exact"/>
        <w:rPr>
          <w:rFonts w:ascii="Arial" w:cs="Arial" w:eastAsia="Arial" w:hAnsi="Arial"/>
          <w:sz w:val="18"/>
          <w:szCs w:val="18"/>
          <w:color w:val="auto"/>
        </w:rPr>
      </w:pPr>
    </w:p>
    <w:p>
      <w:pPr>
        <w:ind w:left="540" w:right="400" w:hanging="532"/>
        <w:spacing w:after="0" w:line="277" w:lineRule="auto"/>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Effect of Administrator’s Decision</w:t>
      </w:r>
      <w:r>
        <w:rPr>
          <w:rFonts w:ascii="Arial" w:cs="Arial" w:eastAsia="Arial" w:hAnsi="Arial"/>
          <w:sz w:val="18"/>
          <w:szCs w:val="18"/>
          <w:color w:val="auto"/>
        </w:rPr>
        <w:t>. The Administrator’s decisions, determinations and interpretations will be final and binding on all Participants and any other holders of Awards.</w:t>
      </w:r>
    </w:p>
    <w:p>
      <w:pPr>
        <w:spacing w:after="0" w:line="103"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20"/>
          </w:cols>
          <w:pgMar w:left="860" w:top="274" w:right="519" w:bottom="1440" w:gutter="0" w:footer="0" w:header="0"/>
        </w:sectPr>
      </w:pPr>
    </w:p>
    <w:bookmarkStart w:id="37" w:name="page38"/>
    <w:bookmarkEnd w:id="37"/>
    <w:p>
      <w:pPr>
        <w:ind w:left="424" w:right="900" w:hanging="424"/>
        <w:spacing w:after="0" w:line="308" w:lineRule="auto"/>
        <w:tabs>
          <w:tab w:leader="none" w:pos="424" w:val="left"/>
        </w:tabs>
        <w:numPr>
          <w:ilvl w:val="0"/>
          <w:numId w:val="50"/>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Eligibility</w:t>
      </w:r>
      <w:r>
        <w:rPr>
          <w:rFonts w:ascii="Arial" w:cs="Arial" w:eastAsia="Arial" w:hAnsi="Arial"/>
          <w:sz w:val="17"/>
          <w:szCs w:val="17"/>
          <w:color w:val="auto"/>
        </w:rPr>
        <w:t>. Nonstatutory Stock Options, Stock Appreciation Rights, Restricted Stock, Restricted Stock Units, Performance Shares and Performance Units may be granted to Service Providers. Incentive Stock Options may be granted only to Employees.</w:t>
      </w:r>
    </w:p>
    <w:p>
      <w:pPr>
        <w:spacing w:after="0" w:line="51" w:lineRule="exact"/>
        <w:rPr>
          <w:rFonts w:ascii="Arial" w:cs="Arial" w:eastAsia="Arial" w:hAnsi="Arial"/>
          <w:sz w:val="17"/>
          <w:szCs w:val="17"/>
          <w:color w:val="auto"/>
        </w:rPr>
      </w:pPr>
    </w:p>
    <w:p>
      <w:pPr>
        <w:ind w:left="424" w:hanging="424"/>
        <w:spacing w:after="0"/>
        <w:tabs>
          <w:tab w:leader="none" w:pos="424" w:val="left"/>
        </w:tabs>
        <w:numPr>
          <w:ilvl w:val="0"/>
          <w:numId w:val="50"/>
        </w:numPr>
        <w:rPr>
          <w:rFonts w:ascii="Arial" w:cs="Arial" w:eastAsia="Arial" w:hAnsi="Arial"/>
          <w:sz w:val="18"/>
          <w:szCs w:val="18"/>
          <w:color w:val="auto"/>
        </w:rPr>
      </w:pPr>
      <w:r>
        <w:rPr>
          <w:rFonts w:ascii="Arial" w:cs="Arial" w:eastAsia="Arial" w:hAnsi="Arial"/>
          <w:sz w:val="18"/>
          <w:szCs w:val="18"/>
          <w:color w:val="auto"/>
        </w:rPr>
        <w:t>Stock Options.</w:t>
      </w:r>
    </w:p>
    <w:p>
      <w:pPr>
        <w:spacing w:after="0" w:line="130" w:lineRule="exact"/>
        <w:rPr>
          <w:rFonts w:ascii="Arial" w:cs="Arial" w:eastAsia="Arial" w:hAnsi="Arial"/>
          <w:sz w:val="18"/>
          <w:szCs w:val="18"/>
          <w:color w:val="auto"/>
        </w:rPr>
      </w:pPr>
    </w:p>
    <w:p>
      <w:pPr>
        <w:ind w:left="964" w:hanging="532"/>
        <w:spacing w:after="0" w:line="293" w:lineRule="auto"/>
        <w:tabs>
          <w:tab w:leader="none" w:pos="964" w:val="left"/>
        </w:tabs>
        <w:numPr>
          <w:ilvl w:val="1"/>
          <w:numId w:val="50"/>
        </w:numPr>
        <w:rPr>
          <w:rFonts w:ascii="Arial" w:cs="Arial" w:eastAsia="Arial" w:hAnsi="Arial"/>
          <w:sz w:val="16"/>
          <w:szCs w:val="16"/>
          <w:color w:val="auto"/>
        </w:rPr>
      </w:pPr>
      <w:r>
        <w:rPr>
          <w:rFonts w:ascii="Arial" w:cs="Arial" w:eastAsia="Arial" w:hAnsi="Arial"/>
          <w:sz w:val="16"/>
          <w:szCs w:val="16"/>
          <w:u w:val="single" w:color="auto"/>
          <w:color w:val="auto"/>
        </w:rPr>
        <w:t>Limitations</w:t>
      </w:r>
      <w:r>
        <w:rPr>
          <w:rFonts w:ascii="Arial" w:cs="Arial" w:eastAsia="Arial" w:hAnsi="Arial"/>
          <w:sz w:val="16"/>
          <w:szCs w:val="16"/>
          <w:color w:val="auto"/>
        </w:rPr>
        <w:t>. Each Option will be designated in the Award Agreement as either an Incentive Stock Option or a Nonstatutory Stock Option. However, notwithstanding such designation, to the extent that the aggregate fair market value of the shares with respect to which incentive stock options are exercisable for the first time by the Participant during any calendar year (under all plans of the Company and any Parent or Subsidiary) exceeds one hundred thousand dollars ($100,000), such options will be treated as nonstatutory stock options. For purposes of this Section 6(a), incentive stock options will be taken into account in the order in which they were granted. The fair market value of the shares will be determined as of the time the option with respect to such shares is granted.</w:t>
      </w:r>
    </w:p>
    <w:p>
      <w:pPr>
        <w:spacing w:after="0" w:line="69" w:lineRule="exact"/>
        <w:rPr>
          <w:rFonts w:ascii="Arial" w:cs="Arial" w:eastAsia="Arial" w:hAnsi="Arial"/>
          <w:sz w:val="16"/>
          <w:szCs w:val="16"/>
          <w:color w:val="auto"/>
        </w:rPr>
      </w:pPr>
    </w:p>
    <w:p>
      <w:pPr>
        <w:ind w:left="964" w:right="20" w:hanging="532"/>
        <w:spacing w:after="0" w:line="296" w:lineRule="auto"/>
        <w:tabs>
          <w:tab w:leader="none" w:pos="964" w:val="left"/>
        </w:tabs>
        <w:numPr>
          <w:ilvl w:val="1"/>
          <w:numId w:val="50"/>
        </w:numPr>
        <w:rPr>
          <w:rFonts w:ascii="Arial" w:cs="Arial" w:eastAsia="Arial" w:hAnsi="Arial"/>
          <w:sz w:val="16"/>
          <w:szCs w:val="16"/>
          <w:color w:val="auto"/>
        </w:rPr>
      </w:pPr>
      <w:r>
        <w:rPr>
          <w:rFonts w:ascii="Arial" w:cs="Arial" w:eastAsia="Arial" w:hAnsi="Arial"/>
          <w:sz w:val="16"/>
          <w:szCs w:val="16"/>
          <w:u w:val="single" w:color="auto"/>
          <w:color w:val="auto"/>
        </w:rPr>
        <w:t>Term of Option</w:t>
      </w:r>
      <w:r>
        <w:rPr>
          <w:rFonts w:ascii="Arial" w:cs="Arial" w:eastAsia="Arial" w:hAnsi="Arial"/>
          <w:sz w:val="16"/>
          <w:szCs w:val="16"/>
          <w:color w:val="auto"/>
        </w:rPr>
        <w:t>. The term of each Option will be stated in the Award Agreement. In the case of an Incentive Stock Option, the term will be ten (10) years from the date of grant or such shorter term as may be provided in the Award Agreement. Moreover, in the case of an Incentive Stock Option granted to a Participant who, at the time the Incentive Stock Option is granted, owns stock representing more than ten percent (10%) of the total combined voting power of all classes of stock of the Company or any Parent or Subsidiary, the term of the Incentive Stock Option will be five (5) years from the date of grant or such shorter term as may be provided in the Award Agreement.</w:t>
      </w:r>
    </w:p>
    <w:p>
      <w:pPr>
        <w:spacing w:after="0" w:line="66" w:lineRule="exact"/>
        <w:rPr>
          <w:rFonts w:ascii="Arial" w:cs="Arial" w:eastAsia="Arial" w:hAnsi="Arial"/>
          <w:sz w:val="16"/>
          <w:szCs w:val="16"/>
          <w:color w:val="auto"/>
        </w:rPr>
      </w:pPr>
    </w:p>
    <w:p>
      <w:pPr>
        <w:ind w:left="964" w:hanging="532"/>
        <w:spacing w:after="0"/>
        <w:tabs>
          <w:tab w:leader="none" w:pos="964" w:val="left"/>
        </w:tabs>
        <w:numPr>
          <w:ilvl w:val="1"/>
          <w:numId w:val="50"/>
        </w:numPr>
        <w:rPr>
          <w:rFonts w:ascii="Arial" w:cs="Arial" w:eastAsia="Arial" w:hAnsi="Arial"/>
          <w:sz w:val="18"/>
          <w:szCs w:val="18"/>
          <w:color w:val="auto"/>
        </w:rPr>
      </w:pPr>
      <w:r>
        <w:rPr>
          <w:rFonts w:ascii="Arial" w:cs="Arial" w:eastAsia="Arial" w:hAnsi="Arial"/>
          <w:sz w:val="18"/>
          <w:szCs w:val="18"/>
          <w:u w:val="single" w:color="auto"/>
          <w:color w:val="auto"/>
        </w:rPr>
        <w:t>Option Exercise Price and Consideration</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24" w:right="160" w:hanging="439"/>
        <w:spacing w:after="0" w:line="277" w:lineRule="auto"/>
        <w:tabs>
          <w:tab w:leader="none" w:pos="1424" w:val="left"/>
        </w:tabs>
        <w:numPr>
          <w:ilvl w:val="2"/>
          <w:numId w:val="50"/>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The per share exercise price for the Shares to be issued pursuant to exercise of an Option will be determined by the Administrator, subject to the following:</w:t>
      </w:r>
    </w:p>
    <w:p>
      <w:pPr>
        <w:spacing w:after="0" w:line="62" w:lineRule="exact"/>
        <w:rPr>
          <w:rFonts w:ascii="Arial" w:cs="Arial" w:eastAsia="Arial" w:hAnsi="Arial"/>
          <w:sz w:val="18"/>
          <w:szCs w:val="18"/>
          <w:color w:val="auto"/>
        </w:rPr>
      </w:pPr>
    </w:p>
    <w:p>
      <w:pPr>
        <w:ind w:left="1684" w:hanging="252"/>
        <w:spacing w:after="0"/>
        <w:tabs>
          <w:tab w:leader="none" w:pos="1684" w:val="left"/>
        </w:tabs>
        <w:numPr>
          <w:ilvl w:val="3"/>
          <w:numId w:val="50"/>
        </w:numPr>
        <w:rPr>
          <w:rFonts w:ascii="Arial" w:cs="Arial" w:eastAsia="Arial" w:hAnsi="Arial"/>
          <w:sz w:val="18"/>
          <w:szCs w:val="18"/>
          <w:color w:val="auto"/>
        </w:rPr>
      </w:pPr>
      <w:r>
        <w:rPr>
          <w:rFonts w:ascii="Arial" w:cs="Arial" w:eastAsia="Arial" w:hAnsi="Arial"/>
          <w:sz w:val="18"/>
          <w:szCs w:val="18"/>
          <w:color w:val="auto"/>
        </w:rPr>
        <w:t>In the case of an Incentive Stock Option</w:t>
      </w:r>
    </w:p>
    <w:p>
      <w:pPr>
        <w:spacing w:after="0" w:line="117" w:lineRule="exact"/>
        <w:rPr>
          <w:rFonts w:ascii="Arial" w:cs="Arial" w:eastAsia="Arial" w:hAnsi="Arial"/>
          <w:sz w:val="18"/>
          <w:szCs w:val="18"/>
          <w:color w:val="auto"/>
        </w:rPr>
      </w:pPr>
    </w:p>
    <w:p>
      <w:pPr>
        <w:ind w:left="1424" w:right="200" w:firstLine="391"/>
        <w:spacing w:after="0" w:line="286" w:lineRule="auto"/>
        <w:tabs>
          <w:tab w:leader="none" w:pos="2102" w:val="left"/>
        </w:tabs>
        <w:numPr>
          <w:ilvl w:val="4"/>
          <w:numId w:val="50"/>
        </w:numPr>
        <w:rPr>
          <w:rFonts w:ascii="Arial" w:cs="Arial" w:eastAsia="Arial" w:hAnsi="Arial"/>
          <w:sz w:val="17"/>
          <w:szCs w:val="17"/>
          <w:color w:val="auto"/>
        </w:rPr>
      </w:pPr>
      <w:r>
        <w:rPr>
          <w:rFonts w:ascii="Arial" w:cs="Arial" w:eastAsia="Arial" w:hAnsi="Arial"/>
          <w:sz w:val="17"/>
          <w:szCs w:val="17"/>
          <w:color w:val="auto"/>
        </w:rPr>
        <w:t>granted to an Employee who, at the time the Incentive Stock Option is granted, owns stock representing more than ten percent (10%) of the voting power of all classes of stock of the Company or any Parent or Subsidiary, the per Share exercise price will be no less than one hundred ten percent (110%) of the Fair Market Value per Share on the date of grant.</w:t>
      </w:r>
    </w:p>
    <w:p>
      <w:pPr>
        <w:spacing w:after="0" w:line="57" w:lineRule="exact"/>
        <w:rPr>
          <w:rFonts w:ascii="Arial" w:cs="Arial" w:eastAsia="Arial" w:hAnsi="Arial"/>
          <w:sz w:val="17"/>
          <w:szCs w:val="17"/>
          <w:color w:val="auto"/>
        </w:rPr>
      </w:pPr>
    </w:p>
    <w:p>
      <w:pPr>
        <w:ind w:left="1424" w:right="260" w:firstLine="391"/>
        <w:spacing w:after="0" w:line="308" w:lineRule="auto"/>
        <w:tabs>
          <w:tab w:leader="none" w:pos="2092" w:val="left"/>
        </w:tabs>
        <w:numPr>
          <w:ilvl w:val="4"/>
          <w:numId w:val="50"/>
        </w:numPr>
        <w:rPr>
          <w:rFonts w:ascii="Arial" w:cs="Arial" w:eastAsia="Arial" w:hAnsi="Arial"/>
          <w:sz w:val="17"/>
          <w:szCs w:val="17"/>
          <w:color w:val="auto"/>
        </w:rPr>
      </w:pPr>
      <w:r>
        <w:rPr>
          <w:rFonts w:ascii="Arial" w:cs="Arial" w:eastAsia="Arial" w:hAnsi="Arial"/>
          <w:sz w:val="17"/>
          <w:szCs w:val="17"/>
          <w:color w:val="auto"/>
        </w:rPr>
        <w:t>granted to any Employee other than an Employee described in paragraph (A) immediately above, the per Share exercise price will be no less than one hundred percent (100%) of the Fair Market Value per Share on the date of grant.</w:t>
      </w:r>
    </w:p>
    <w:p>
      <w:pPr>
        <w:spacing w:after="0" w:line="7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4"/>
          </w:cols>
          <w:pgMar w:left="436" w:top="274" w:right="479" w:bottom="1440" w:gutter="0" w:footer="0" w:header="0"/>
        </w:sectPr>
      </w:pPr>
    </w:p>
    <w:bookmarkStart w:id="38" w:name="page39"/>
    <w:bookmarkEnd w:id="38"/>
    <w:p>
      <w:pPr>
        <w:ind w:left="1420" w:firstLine="391"/>
        <w:spacing w:after="0" w:line="277" w:lineRule="auto"/>
        <w:tabs>
          <w:tab w:leader="none" w:pos="2058" w:val="left"/>
        </w:tabs>
        <w:numPr>
          <w:ilvl w:val="3"/>
          <w:numId w:val="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case of a Nonstatutory Stock Option, the per Share exercise price will be no less than one hundred percent (100%) of the Fair Market Value per Share on the date of grant.</w:t>
      </w:r>
    </w:p>
    <w:p>
      <w:pPr>
        <w:spacing w:after="0" w:line="62" w:lineRule="exact"/>
        <w:rPr>
          <w:rFonts w:ascii="Arial" w:cs="Arial" w:eastAsia="Arial" w:hAnsi="Arial"/>
          <w:sz w:val="18"/>
          <w:szCs w:val="18"/>
          <w:color w:val="auto"/>
        </w:rPr>
      </w:pPr>
    </w:p>
    <w:p>
      <w:pPr>
        <w:jc w:val="both"/>
        <w:ind w:left="1420" w:right="220" w:firstLine="391"/>
        <w:spacing w:after="0" w:line="263" w:lineRule="auto"/>
        <w:tabs>
          <w:tab w:leader="none" w:pos="2058" w:val="left"/>
        </w:tabs>
        <w:numPr>
          <w:ilvl w:val="3"/>
          <w:numId w:val="51"/>
        </w:numPr>
        <w:rPr>
          <w:rFonts w:ascii="Arial" w:cs="Arial" w:eastAsia="Arial" w:hAnsi="Arial"/>
          <w:sz w:val="18"/>
          <w:szCs w:val="18"/>
          <w:color w:val="auto"/>
        </w:rPr>
      </w:pPr>
      <w:r>
        <w:rPr>
          <w:rFonts w:ascii="Arial" w:cs="Arial" w:eastAsia="Arial" w:hAnsi="Arial"/>
          <w:sz w:val="18"/>
          <w:szCs w:val="18"/>
          <w:color w:val="auto"/>
        </w:rPr>
        <w:t>Notwithstanding the foregoing, Options may be granted with a per Share exercise price of less than one hundred percent (100%) of the Fair Market Value per Share on the date of grant pursuant to a transaction described in, and in a manner consistent with, Section 424(a) of the Code.</w:t>
      </w:r>
    </w:p>
    <w:p>
      <w:pPr>
        <w:spacing w:after="0" w:line="89" w:lineRule="exact"/>
        <w:rPr>
          <w:rFonts w:ascii="Arial" w:cs="Arial" w:eastAsia="Arial" w:hAnsi="Arial"/>
          <w:sz w:val="18"/>
          <w:szCs w:val="18"/>
          <w:color w:val="auto"/>
        </w:rPr>
      </w:pPr>
    </w:p>
    <w:p>
      <w:pPr>
        <w:ind w:left="1420" w:right="120" w:hanging="439"/>
        <w:spacing w:after="0" w:line="308" w:lineRule="auto"/>
        <w:tabs>
          <w:tab w:leader="none" w:pos="1420" w:val="left"/>
        </w:tabs>
        <w:numPr>
          <w:ilvl w:val="1"/>
          <w:numId w:val="52"/>
        </w:numPr>
        <w:rPr>
          <w:rFonts w:ascii="Arial" w:cs="Arial" w:eastAsia="Arial" w:hAnsi="Arial"/>
          <w:sz w:val="17"/>
          <w:szCs w:val="17"/>
          <w:color w:val="auto"/>
        </w:rPr>
      </w:pPr>
      <w:r>
        <w:rPr>
          <w:rFonts w:ascii="Arial" w:cs="Arial" w:eastAsia="Arial" w:hAnsi="Arial"/>
          <w:sz w:val="17"/>
          <w:szCs w:val="17"/>
          <w:u w:val="single" w:color="auto"/>
          <w:color w:val="auto"/>
        </w:rPr>
        <w:t>Waiting Period and Exercise Dates</w:t>
      </w:r>
      <w:r>
        <w:rPr>
          <w:rFonts w:ascii="Arial" w:cs="Arial" w:eastAsia="Arial" w:hAnsi="Arial"/>
          <w:sz w:val="17"/>
          <w:szCs w:val="17"/>
          <w:color w:val="auto"/>
        </w:rPr>
        <w:t>. At the time an Option is granted, the Administrator will fix the period within which the Option may be exercised and will determine any conditions that must be satisfied before the Option may be exercised.</w:t>
      </w:r>
    </w:p>
    <w:p>
      <w:pPr>
        <w:spacing w:after="0" w:line="51" w:lineRule="exact"/>
        <w:rPr>
          <w:rFonts w:ascii="Arial" w:cs="Arial" w:eastAsia="Arial" w:hAnsi="Arial"/>
          <w:sz w:val="17"/>
          <w:szCs w:val="17"/>
          <w:color w:val="auto"/>
        </w:rPr>
      </w:pPr>
    </w:p>
    <w:p>
      <w:pPr>
        <w:ind w:left="1420" w:right="40" w:hanging="439"/>
        <w:spacing w:after="0" w:line="284" w:lineRule="auto"/>
        <w:tabs>
          <w:tab w:leader="none" w:pos="1420" w:val="left"/>
        </w:tabs>
        <w:numPr>
          <w:ilvl w:val="1"/>
          <w:numId w:val="52"/>
        </w:numPr>
        <w:rPr>
          <w:rFonts w:ascii="Arial" w:cs="Arial" w:eastAsia="Arial" w:hAnsi="Arial"/>
          <w:sz w:val="16"/>
          <w:szCs w:val="16"/>
          <w:color w:val="auto"/>
        </w:rPr>
      </w:pPr>
      <w:r>
        <w:rPr>
          <w:rFonts w:ascii="Arial" w:cs="Arial" w:eastAsia="Arial" w:hAnsi="Arial"/>
          <w:sz w:val="16"/>
          <w:szCs w:val="16"/>
          <w:u w:val="single" w:color="auto"/>
          <w:color w:val="auto"/>
        </w:rPr>
        <w:t>Form of Consideration</w:t>
      </w:r>
      <w:r>
        <w:rPr>
          <w:rFonts w:ascii="Arial" w:cs="Arial" w:eastAsia="Arial" w:hAnsi="Arial"/>
          <w:sz w:val="16"/>
          <w:szCs w:val="16"/>
          <w:color w:val="auto"/>
        </w:rPr>
        <w:t>. The Administrator will determine the acceptable form of consideration for exercising an Option, including the method of payment. In the case of an Incentive Stock Option, the Administrator will determine the acceptable form of consideration at the time of grant. Such consideration may consist entirely of: (1) cash; (2) check; (3) promissory note, to the extent permitted by Applicable Laws, (4) other Shares, provided that such Shares have a Fair Market Value on the date of surrender equal to the aggregate exercise price of the Shares as to which such Option will be exercised and provided that accepting such Shares will not result in any adverse accounting consequences to the Company, as the Administrator determines in its sole discretion;</w:t>
      </w:r>
    </w:p>
    <w:p>
      <w:pPr>
        <w:spacing w:after="0" w:line="4" w:lineRule="exact"/>
        <w:rPr>
          <w:rFonts w:ascii="Arial" w:cs="Arial" w:eastAsia="Arial" w:hAnsi="Arial"/>
          <w:sz w:val="16"/>
          <w:szCs w:val="16"/>
          <w:color w:val="auto"/>
        </w:rPr>
      </w:pPr>
    </w:p>
    <w:p>
      <w:pPr>
        <w:ind w:left="1420" w:right="120" w:hanging="7"/>
        <w:spacing w:after="0" w:line="253" w:lineRule="auto"/>
        <w:tabs>
          <w:tab w:leader="none" w:pos="1675" w:val="left"/>
        </w:tabs>
        <w:numPr>
          <w:ilvl w:val="2"/>
          <w:numId w:val="52"/>
        </w:numPr>
        <w:rPr>
          <w:rFonts w:ascii="Arial" w:cs="Arial" w:eastAsia="Arial" w:hAnsi="Arial"/>
          <w:sz w:val="18"/>
          <w:szCs w:val="18"/>
          <w:color w:val="auto"/>
        </w:rPr>
      </w:pPr>
      <w:r>
        <w:rPr>
          <w:rFonts w:ascii="Arial" w:cs="Arial" w:eastAsia="Arial" w:hAnsi="Arial"/>
          <w:sz w:val="18"/>
          <w:szCs w:val="18"/>
          <w:color w:val="auto"/>
        </w:rPr>
        <w:t>consideration received by the Company under a broker-assisted (or other) cashless exercise program (whether through a broker or otherwise) implemented by the Company in connection with the Plan; (6) by net exercise; (7) such other consideration and method of payment for the issuance of Shares to the extent permitted by Applicable Laws; or (8) any combination of the foregoing methods of payment.</w:t>
      </w:r>
    </w:p>
    <w:p>
      <w:pPr>
        <w:spacing w:after="0" w:line="98" w:lineRule="exact"/>
        <w:rPr>
          <w:rFonts w:ascii="Arial" w:cs="Arial" w:eastAsia="Arial" w:hAnsi="Arial"/>
          <w:sz w:val="18"/>
          <w:szCs w:val="18"/>
          <w:color w:val="auto"/>
        </w:rPr>
      </w:pPr>
    </w:p>
    <w:p>
      <w:pPr>
        <w:ind w:left="960" w:hanging="532"/>
        <w:spacing w:after="0"/>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Exercise of Option.</w:t>
      </w:r>
    </w:p>
    <w:p>
      <w:pPr>
        <w:spacing w:after="0" w:line="130" w:lineRule="exact"/>
        <w:rPr>
          <w:rFonts w:ascii="Arial" w:cs="Arial" w:eastAsia="Arial" w:hAnsi="Arial"/>
          <w:sz w:val="18"/>
          <w:szCs w:val="18"/>
          <w:color w:val="auto"/>
        </w:rPr>
      </w:pPr>
    </w:p>
    <w:p>
      <w:pPr>
        <w:jc w:val="both"/>
        <w:ind w:left="1420" w:right="280" w:hanging="439"/>
        <w:spacing w:after="0" w:line="263" w:lineRule="auto"/>
        <w:tabs>
          <w:tab w:leader="none" w:pos="1420" w:val="left"/>
        </w:tabs>
        <w:numPr>
          <w:ilvl w:val="1"/>
          <w:numId w:val="53"/>
        </w:numPr>
        <w:rPr>
          <w:rFonts w:ascii="Arial" w:cs="Arial" w:eastAsia="Arial" w:hAnsi="Arial"/>
          <w:sz w:val="18"/>
          <w:szCs w:val="18"/>
          <w:color w:val="auto"/>
        </w:rPr>
      </w:pPr>
      <w:r>
        <w:rPr>
          <w:rFonts w:ascii="Arial" w:cs="Arial" w:eastAsia="Arial" w:hAnsi="Arial"/>
          <w:sz w:val="18"/>
          <w:szCs w:val="18"/>
          <w:u w:val="single" w:color="auto"/>
          <w:color w:val="auto"/>
        </w:rPr>
        <w:t>Procedure for Exercise; Rights as a Stockholder</w:t>
      </w:r>
      <w:r>
        <w:rPr>
          <w:rFonts w:ascii="Arial" w:cs="Arial" w:eastAsia="Arial" w:hAnsi="Arial"/>
          <w:sz w:val="18"/>
          <w:szCs w:val="18"/>
          <w:color w:val="auto"/>
        </w:rPr>
        <w:t>. Any Option granted hereunder will be exercisable according to the terms of the Plan and at such times and under such conditions as determined by the Administrator and set forth in the Award Agreement. An Option may not be exercised for a fraction of a Share.</w:t>
      </w:r>
    </w:p>
    <w:p>
      <w:pPr>
        <w:spacing w:after="0" w:line="184"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An Option will be deemed exercised when the Company receives: (i) a notice of exercise (in such form as the Administrator may specify from time to time) from the person entitled to exercise the Option, and (ii) full payment for the Shares with respect to which the Option is exercised (together with applicable withholding taxes). Full payment may consist of any consideration and method of payment authorized by the Administrator and permitted by the Award Agreement and the Plan. Shares issued upon exercise of an Option will be issued in the name of the Participant or, if requested by the Participant, in the name of the Participant and his</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440" w:top="274" w:right="519" w:bottom="1440" w:gutter="0" w:footer="0" w:header="0"/>
        </w:sectPr>
      </w:pPr>
    </w:p>
    <w:bookmarkStart w:id="39" w:name="page40"/>
    <w:bookmarkEnd w:id="39"/>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her spouse. Until the Shares are issued (as evidenced by the appropriate entry on the books of the Company or of a duly authorized transfer agent 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14 of the Plan.</w:t>
      </w:r>
    </w:p>
    <w:p>
      <w:pPr>
        <w:spacing w:after="0" w:line="188"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Exercising an Option in any manner will decrease the number of Shares thereafter available, both for purposes of the Plan and for sale under the Option, by the number of Shares as to which the Option is exercised.</w:t>
      </w:r>
    </w:p>
    <w:p>
      <w:pPr>
        <w:spacing w:after="0" w:line="76" w:lineRule="exact"/>
        <w:rPr>
          <w:sz w:val="20"/>
          <w:szCs w:val="20"/>
          <w:color w:val="auto"/>
        </w:rPr>
      </w:pPr>
    </w:p>
    <w:p>
      <w:pPr>
        <w:ind w:left="1420" w:right="100" w:hanging="439"/>
        <w:spacing w:after="0" w:line="253" w:lineRule="auto"/>
        <w:tabs>
          <w:tab w:leader="none" w:pos="142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Termination of Relationship as a Service Provider</w:t>
      </w:r>
      <w:r>
        <w:rPr>
          <w:rFonts w:ascii="Arial" w:cs="Arial" w:eastAsia="Arial" w:hAnsi="Arial"/>
          <w:sz w:val="18"/>
          <w:szCs w:val="18"/>
          <w:color w:val="auto"/>
        </w:rPr>
        <w:t>. If a Participant ceases to be a Service Provider, other than upon the Participant’s termination as the result of the Participant’s death or Disability, the Participant may exercise his or her Option within such period of time as is specified in the Award Agreement to the extent that the Option is vested on the date of termination (but in no event later than the expiration of the term of such Option as set forth in the Award Agreement). In the absence of a specified time in the Award Agreement, the Option will remain exercisable for three (3) months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by the Administrator, the Option will terminate, and the Shares covered by such Option will revert to the Plan.</w:t>
      </w:r>
    </w:p>
    <w:p>
      <w:pPr>
        <w:spacing w:after="0" w:line="101" w:lineRule="exact"/>
        <w:rPr>
          <w:rFonts w:ascii="Arial" w:cs="Arial" w:eastAsia="Arial" w:hAnsi="Arial"/>
          <w:sz w:val="18"/>
          <w:szCs w:val="18"/>
          <w:color w:val="auto"/>
        </w:rPr>
      </w:pPr>
    </w:p>
    <w:p>
      <w:pPr>
        <w:ind w:left="1420" w:hanging="439"/>
        <w:spacing w:after="0" w:line="271" w:lineRule="auto"/>
        <w:tabs>
          <w:tab w:leader="none" w:pos="1420"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Disability of Participant</w:t>
      </w:r>
      <w:r>
        <w:rPr>
          <w:rFonts w:ascii="Arial" w:cs="Arial" w:eastAsia="Arial" w:hAnsi="Arial"/>
          <w:sz w:val="17"/>
          <w:szCs w:val="17"/>
          <w:color w:val="auto"/>
        </w:rPr>
        <w:t>. If a Participant ceases to be a Service Provider as a result of the Participant’s Disability, the Participant may exercise his or her Option within such period of time as is specified in the Award Agreement to the extent the Option is vested on the date of termination (but in no event later than the expiration of the term of such Option as set forth in the Award Agreement). In the absence of a specified time in the Award Agreement, the Option will remain exercisable for twelve (12) months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herein, the Option will terminate, and the Shares covered by such Option will revert to the Plan.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40" w:name="page41"/>
    <w:bookmarkEnd w:id="40"/>
    <w:p>
      <w:pPr>
        <w:ind w:left="1424" w:right="60" w:hanging="439"/>
        <w:spacing w:after="0" w:line="269" w:lineRule="auto"/>
        <w:tabs>
          <w:tab w:leader="none" w:pos="1424" w:val="left"/>
        </w:tabs>
        <w:numPr>
          <w:ilvl w:val="2"/>
          <w:numId w:val="55"/>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Death of Participant</w:t>
      </w:r>
      <w:r>
        <w:rPr>
          <w:rFonts w:ascii="Arial" w:cs="Arial" w:eastAsia="Arial" w:hAnsi="Arial"/>
          <w:sz w:val="17"/>
          <w:szCs w:val="17"/>
          <w:color w:val="auto"/>
        </w:rPr>
        <w:t>. If a Participant dies while a Service Provider, the Option may be exercised following the Participant’s death within such period of time as is specified in the Award Agreement to the extent that the Option is vested on the date of death (but in no event may the option be exercised later than the expiration of the term of such Option as set forth in the Award Agreement), by the Participant’s designated beneficiary, provided such beneficiary has been designated prior to Participant’s death in a form acceptable to the Administrator.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In the absence of a specified time in the Award Agreement, the Option will remain exercisable for twelve (12) months following Participant’s death. Unless otherwise provided by the Administrator, if at the time of death Participant is not vested as to his or her entire Option, the Shares covered by the unvested portion of the Option will immediately revert to the Plan. If the Option is not so exercised within the time specified herein, the Option will terminate, and the Shares covered by such Option will revert to the Plan.</w:t>
      </w:r>
    </w:p>
    <w:p>
      <w:pPr>
        <w:spacing w:after="0" w:line="87" w:lineRule="exact"/>
        <w:rPr>
          <w:rFonts w:ascii="Arial" w:cs="Arial" w:eastAsia="Arial" w:hAnsi="Arial"/>
          <w:sz w:val="17"/>
          <w:szCs w:val="17"/>
          <w:color w:val="auto"/>
        </w:rPr>
      </w:pPr>
    </w:p>
    <w:p>
      <w:pPr>
        <w:ind w:left="1424" w:hanging="439"/>
        <w:spacing w:after="0"/>
        <w:tabs>
          <w:tab w:leader="none" w:pos="1424" w:val="left"/>
        </w:tabs>
        <w:numPr>
          <w:ilvl w:val="2"/>
          <w:numId w:val="55"/>
        </w:numPr>
        <w:rPr>
          <w:rFonts w:ascii="Arial" w:cs="Arial" w:eastAsia="Arial" w:hAnsi="Arial"/>
          <w:sz w:val="18"/>
          <w:szCs w:val="18"/>
          <w:color w:val="auto"/>
        </w:rPr>
      </w:pPr>
      <w:r>
        <w:rPr>
          <w:rFonts w:ascii="Arial" w:cs="Arial" w:eastAsia="Arial" w:hAnsi="Arial"/>
          <w:sz w:val="18"/>
          <w:szCs w:val="18"/>
          <w:u w:val="single" w:color="auto"/>
          <w:color w:val="auto"/>
        </w:rPr>
        <w:t>Tolling Expiration</w:t>
      </w:r>
      <w:r>
        <w:rPr>
          <w:rFonts w:ascii="Arial" w:cs="Arial" w:eastAsia="Arial" w:hAnsi="Arial"/>
          <w:sz w:val="18"/>
          <w:szCs w:val="18"/>
          <w:color w:val="auto"/>
        </w:rPr>
        <w:t>. A Participant’s Award Agreement may also provide that:</w:t>
      </w:r>
    </w:p>
    <w:p>
      <w:pPr>
        <w:spacing w:after="0" w:line="130" w:lineRule="exact"/>
        <w:rPr>
          <w:rFonts w:ascii="Arial" w:cs="Arial" w:eastAsia="Arial" w:hAnsi="Arial"/>
          <w:sz w:val="18"/>
          <w:szCs w:val="18"/>
          <w:color w:val="auto"/>
        </w:rPr>
      </w:pPr>
    </w:p>
    <w:p>
      <w:pPr>
        <w:ind w:left="1964" w:right="60" w:hanging="533"/>
        <w:spacing w:after="0" w:line="291" w:lineRule="auto"/>
        <w:tabs>
          <w:tab w:leader="none" w:pos="1964" w:val="left"/>
        </w:tabs>
        <w:numPr>
          <w:ilvl w:val="3"/>
          <w:numId w:val="55"/>
        </w:numPr>
        <w:rPr>
          <w:rFonts w:ascii="Arial" w:cs="Arial" w:eastAsia="Arial" w:hAnsi="Arial"/>
          <w:sz w:val="16"/>
          <w:szCs w:val="16"/>
          <w:color w:val="auto"/>
        </w:rPr>
      </w:pPr>
      <w:r>
        <w:rPr>
          <w:rFonts w:ascii="Arial" w:cs="Arial" w:eastAsia="Arial" w:hAnsi="Arial"/>
          <w:sz w:val="16"/>
          <w:szCs w:val="16"/>
          <w:color w:val="auto"/>
        </w:rPr>
        <w:t>if the exercise of the Option following the termination of Participant’s status as a Service Provider (other than upon the Participant’s death or Disability) would result in liability under Section 16(b), then the Option will terminate on the earlier of</w:t>
      </w:r>
    </w:p>
    <w:p>
      <w:pPr>
        <w:ind w:left="1964" w:right="220"/>
        <w:spacing w:after="0" w:line="260" w:lineRule="auto"/>
        <w:rPr>
          <w:rFonts w:ascii="Arial" w:cs="Arial" w:eastAsia="Arial" w:hAnsi="Arial"/>
          <w:sz w:val="16"/>
          <w:szCs w:val="16"/>
          <w:color w:val="auto"/>
        </w:rPr>
      </w:pPr>
      <w:r>
        <w:rPr>
          <w:rFonts w:ascii="Arial" w:cs="Arial" w:eastAsia="Arial" w:hAnsi="Arial"/>
          <w:sz w:val="18"/>
          <w:szCs w:val="18"/>
          <w:color w:val="auto"/>
        </w:rPr>
        <w:t>(A) the expiration of the term of the Option set forth in the Award Agreement, or (B) the tenth (10th) day after the last date on which such exercise would result in liability under Section 16(b); or</w:t>
      </w:r>
    </w:p>
    <w:p>
      <w:pPr>
        <w:spacing w:after="0" w:line="90" w:lineRule="exact"/>
        <w:rPr>
          <w:rFonts w:ascii="Arial" w:cs="Arial" w:eastAsia="Arial" w:hAnsi="Arial"/>
          <w:sz w:val="16"/>
          <w:szCs w:val="16"/>
          <w:color w:val="auto"/>
        </w:rPr>
      </w:pPr>
    </w:p>
    <w:p>
      <w:pPr>
        <w:ind w:left="1964" w:hanging="533"/>
        <w:spacing w:after="0" w:line="296" w:lineRule="auto"/>
        <w:tabs>
          <w:tab w:leader="none" w:pos="1964" w:val="left"/>
        </w:tabs>
        <w:numPr>
          <w:ilvl w:val="3"/>
          <w:numId w:val="55"/>
        </w:numPr>
        <w:rPr>
          <w:rFonts w:ascii="Arial" w:cs="Arial" w:eastAsia="Arial" w:hAnsi="Arial"/>
          <w:sz w:val="16"/>
          <w:szCs w:val="16"/>
          <w:color w:val="auto"/>
        </w:rPr>
      </w:pPr>
      <w:r>
        <w:rPr>
          <w:rFonts w:ascii="Arial" w:cs="Arial" w:eastAsia="Arial" w:hAnsi="Arial"/>
          <w:sz w:val="16"/>
          <w:szCs w:val="16"/>
          <w:color w:val="auto"/>
        </w:rPr>
        <w:t>if the exercise of the Option following the termination of the Participant’s status as a Service Provider (other than upon the Participant’s death or Disability) would be prohibited at any time solely because the issuance of Shares would violate the registration requirements under the Securities Act, then the Option will terminate on the earlier of (A) the expiration of the term of the Option or (B) the expiration of a period of thirty (30)-day period after the termination of the Participant’s status as a Service Provider during which the exercise of the Option would not be in violation of such registration requirements.</w:t>
      </w:r>
    </w:p>
    <w:p>
      <w:pPr>
        <w:spacing w:after="0" w:line="66" w:lineRule="exact"/>
        <w:rPr>
          <w:rFonts w:ascii="Arial" w:cs="Arial" w:eastAsia="Arial" w:hAnsi="Arial"/>
          <w:sz w:val="16"/>
          <w:szCs w:val="16"/>
          <w:color w:val="auto"/>
        </w:rPr>
      </w:pPr>
    </w:p>
    <w:p>
      <w:pPr>
        <w:ind w:left="424" w:hanging="424"/>
        <w:spacing w:after="0"/>
        <w:tabs>
          <w:tab w:leader="none" w:pos="424"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Restricted Stock</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64" w:right="100" w:hanging="532"/>
        <w:spacing w:after="0" w:line="308" w:lineRule="auto"/>
        <w:tabs>
          <w:tab w:leader="none" w:pos="964" w:val="left"/>
        </w:tabs>
        <w:numPr>
          <w:ilvl w:val="1"/>
          <w:numId w:val="56"/>
        </w:numPr>
        <w:rPr>
          <w:rFonts w:ascii="Arial" w:cs="Arial" w:eastAsia="Arial" w:hAnsi="Arial"/>
          <w:sz w:val="17"/>
          <w:szCs w:val="17"/>
          <w:color w:val="auto"/>
        </w:rPr>
      </w:pPr>
      <w:r>
        <w:rPr>
          <w:rFonts w:ascii="Arial" w:cs="Arial" w:eastAsia="Arial" w:hAnsi="Arial"/>
          <w:sz w:val="17"/>
          <w:szCs w:val="17"/>
          <w:u w:val="single" w:color="auto"/>
          <w:color w:val="auto"/>
        </w:rPr>
        <w:t>Grant of Restricted Stock</w:t>
      </w:r>
      <w:r>
        <w:rPr>
          <w:rFonts w:ascii="Arial" w:cs="Arial" w:eastAsia="Arial" w:hAnsi="Arial"/>
          <w:sz w:val="17"/>
          <w:szCs w:val="17"/>
          <w:color w:val="auto"/>
        </w:rPr>
        <w:t>. Subject to the terms and provisions of the Plan, the Administrator, at any time and from time to time, may grant Shares of Restricted Stock to Service Providers in such amounts as the Administrator, in its sole discretion, will determine.</w:t>
      </w:r>
    </w:p>
    <w:p>
      <w:pPr>
        <w:spacing w:after="0" w:line="7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4"/>
          </w:cols>
          <w:pgMar w:left="436" w:top="274" w:right="439" w:bottom="1440" w:gutter="0" w:footer="0" w:header="0"/>
        </w:sectPr>
      </w:pPr>
    </w:p>
    <w:bookmarkStart w:id="41" w:name="page42"/>
    <w:bookmarkEnd w:id="41"/>
    <w:p>
      <w:pPr>
        <w:ind w:left="964" w:right="60" w:hanging="532"/>
        <w:spacing w:after="0" w:line="259" w:lineRule="auto"/>
        <w:tabs>
          <w:tab w:leader="none" w:pos="964" w:val="left"/>
        </w:tabs>
        <w:numPr>
          <w:ilvl w:val="1"/>
          <w:numId w:val="5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Restricted Stock Agreement</w:t>
      </w:r>
      <w:r>
        <w:rPr>
          <w:rFonts w:ascii="Arial" w:cs="Arial" w:eastAsia="Arial" w:hAnsi="Arial"/>
          <w:sz w:val="18"/>
          <w:szCs w:val="18"/>
          <w:color w:val="auto"/>
        </w:rPr>
        <w:t>. Each Award of Restricted Stock will be evidenced by an Award Agreement that will specify the Period of Restriction, the number of Shares granted, and such other terms and conditions as the Administrator, in its sole discretion, will determine. Unless the Administrator determines otherwise, the Company as escrow agent will hold Shares of Restricted Stock until the restrictions on such Shares have lapsed.</w:t>
      </w:r>
    </w:p>
    <w:p>
      <w:pPr>
        <w:spacing w:after="0" w:line="92" w:lineRule="exact"/>
        <w:rPr>
          <w:rFonts w:ascii="Arial" w:cs="Arial" w:eastAsia="Arial" w:hAnsi="Arial"/>
          <w:sz w:val="18"/>
          <w:szCs w:val="18"/>
          <w:color w:val="auto"/>
        </w:rPr>
      </w:pPr>
    </w:p>
    <w:p>
      <w:pPr>
        <w:ind w:left="964" w:right="380" w:hanging="532"/>
        <w:spacing w:after="0" w:line="308" w:lineRule="auto"/>
        <w:tabs>
          <w:tab w:leader="none" w:pos="964" w:val="left"/>
        </w:tabs>
        <w:numPr>
          <w:ilvl w:val="1"/>
          <w:numId w:val="57"/>
        </w:numPr>
        <w:rPr>
          <w:rFonts w:ascii="Arial" w:cs="Arial" w:eastAsia="Arial" w:hAnsi="Arial"/>
          <w:sz w:val="17"/>
          <w:szCs w:val="17"/>
          <w:color w:val="auto"/>
        </w:rPr>
      </w:pPr>
      <w:r>
        <w:rPr>
          <w:rFonts w:ascii="Arial" w:cs="Arial" w:eastAsia="Arial" w:hAnsi="Arial"/>
          <w:sz w:val="17"/>
          <w:szCs w:val="17"/>
          <w:u w:val="single" w:color="auto"/>
          <w:color w:val="auto"/>
        </w:rPr>
        <w:t>Transferability</w:t>
      </w:r>
      <w:r>
        <w:rPr>
          <w:rFonts w:ascii="Arial" w:cs="Arial" w:eastAsia="Arial" w:hAnsi="Arial"/>
          <w:sz w:val="17"/>
          <w:szCs w:val="17"/>
          <w:color w:val="auto"/>
        </w:rPr>
        <w:t>. Except as provided in this Section 7 or the Award Agreement, Shares of Restricted Stock may not be sold, transferred, pledged, assigned, or otherwise alienated or hypothecated until the end of the applicable Period of Restriction.</w:t>
      </w:r>
    </w:p>
    <w:p>
      <w:pPr>
        <w:spacing w:after="0" w:line="51" w:lineRule="exact"/>
        <w:rPr>
          <w:rFonts w:ascii="Arial" w:cs="Arial" w:eastAsia="Arial" w:hAnsi="Arial"/>
          <w:sz w:val="17"/>
          <w:szCs w:val="17"/>
          <w:color w:val="auto"/>
        </w:rPr>
      </w:pPr>
    </w:p>
    <w:p>
      <w:pPr>
        <w:ind w:left="964" w:right="300" w:hanging="532"/>
        <w:spacing w:after="0" w:line="277" w:lineRule="auto"/>
        <w:tabs>
          <w:tab w:leader="none" w:pos="964" w:val="left"/>
        </w:tabs>
        <w:numPr>
          <w:ilvl w:val="1"/>
          <w:numId w:val="57"/>
        </w:numPr>
        <w:rPr>
          <w:rFonts w:ascii="Arial" w:cs="Arial" w:eastAsia="Arial" w:hAnsi="Arial"/>
          <w:sz w:val="18"/>
          <w:szCs w:val="18"/>
          <w:color w:val="auto"/>
        </w:rPr>
      </w:pPr>
      <w:r>
        <w:rPr>
          <w:rFonts w:ascii="Arial" w:cs="Arial" w:eastAsia="Arial" w:hAnsi="Arial"/>
          <w:sz w:val="18"/>
          <w:szCs w:val="18"/>
          <w:u w:val="single" w:color="auto"/>
          <w:color w:val="auto"/>
        </w:rPr>
        <w:t>Other Restrictions</w:t>
      </w:r>
      <w:r>
        <w:rPr>
          <w:rFonts w:ascii="Arial" w:cs="Arial" w:eastAsia="Arial" w:hAnsi="Arial"/>
          <w:sz w:val="18"/>
          <w:szCs w:val="18"/>
          <w:color w:val="auto"/>
        </w:rPr>
        <w:t>. The Administrator, in its sole discretion, may impose such other restrictions on Shares of Restricted Stock as it may deem advisable or appropriate.</w:t>
      </w:r>
    </w:p>
    <w:p>
      <w:pPr>
        <w:spacing w:after="0" w:line="75" w:lineRule="exact"/>
        <w:rPr>
          <w:rFonts w:ascii="Arial" w:cs="Arial" w:eastAsia="Arial" w:hAnsi="Arial"/>
          <w:sz w:val="18"/>
          <w:szCs w:val="18"/>
          <w:color w:val="auto"/>
        </w:rPr>
      </w:pPr>
    </w:p>
    <w:p>
      <w:pPr>
        <w:jc w:val="both"/>
        <w:ind w:left="964" w:hanging="532"/>
        <w:spacing w:after="0" w:line="259" w:lineRule="auto"/>
        <w:tabs>
          <w:tab w:leader="none" w:pos="964" w:val="left"/>
        </w:tabs>
        <w:numPr>
          <w:ilvl w:val="1"/>
          <w:numId w:val="57"/>
        </w:numPr>
        <w:rPr>
          <w:rFonts w:ascii="Arial" w:cs="Arial" w:eastAsia="Arial" w:hAnsi="Arial"/>
          <w:sz w:val="18"/>
          <w:szCs w:val="18"/>
          <w:color w:val="auto"/>
        </w:rPr>
      </w:pPr>
      <w:r>
        <w:rPr>
          <w:rFonts w:ascii="Arial" w:cs="Arial" w:eastAsia="Arial" w:hAnsi="Arial"/>
          <w:sz w:val="18"/>
          <w:szCs w:val="18"/>
          <w:u w:val="single" w:color="auto"/>
          <w:color w:val="auto"/>
        </w:rPr>
        <w:t>Removal of Restrictions</w:t>
      </w:r>
      <w:r>
        <w:rPr>
          <w:rFonts w:ascii="Arial" w:cs="Arial" w:eastAsia="Arial" w:hAnsi="Arial"/>
          <w:sz w:val="18"/>
          <w:szCs w:val="18"/>
          <w:color w:val="auto"/>
        </w:rPr>
        <w:t>. Except as otherwise provided in this Section 7, Shares of Restricted Stock covered by each Restricted Stock grant made under the Plan will be released from escrow as soon as practicable after the last day of the Period of Restriction or at such other time as the Administrator may determine. The Administrator, in its discretion, may accelerate the time at which any restrictions will lapse or be removed.</w:t>
      </w:r>
    </w:p>
    <w:p>
      <w:pPr>
        <w:spacing w:after="0" w:line="92" w:lineRule="exact"/>
        <w:rPr>
          <w:rFonts w:ascii="Arial" w:cs="Arial" w:eastAsia="Arial" w:hAnsi="Arial"/>
          <w:sz w:val="18"/>
          <w:szCs w:val="18"/>
          <w:color w:val="auto"/>
        </w:rPr>
      </w:pPr>
    </w:p>
    <w:p>
      <w:pPr>
        <w:ind w:left="964" w:right="100" w:hanging="532"/>
        <w:spacing w:after="0" w:line="277" w:lineRule="auto"/>
        <w:tabs>
          <w:tab w:leader="none" w:pos="964" w:val="left"/>
        </w:tabs>
        <w:numPr>
          <w:ilvl w:val="1"/>
          <w:numId w:val="57"/>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 During the Period of Restriction, Service Providers holding Shares of Restricted Stock granted hereunder may exercise full voting rights with respect to those Shares, unless the Administrator determines otherwise.</w:t>
      </w:r>
    </w:p>
    <w:p>
      <w:pPr>
        <w:spacing w:after="0" w:line="75" w:lineRule="exact"/>
        <w:rPr>
          <w:rFonts w:ascii="Arial" w:cs="Arial" w:eastAsia="Arial" w:hAnsi="Arial"/>
          <w:sz w:val="18"/>
          <w:szCs w:val="18"/>
          <w:color w:val="auto"/>
        </w:rPr>
      </w:pPr>
    </w:p>
    <w:p>
      <w:pPr>
        <w:ind w:left="964" w:right="100" w:hanging="532"/>
        <w:spacing w:after="0" w:line="259" w:lineRule="auto"/>
        <w:tabs>
          <w:tab w:leader="none" w:pos="964" w:val="left"/>
        </w:tabs>
        <w:numPr>
          <w:ilvl w:val="1"/>
          <w:numId w:val="57"/>
        </w:numPr>
        <w:rPr>
          <w:rFonts w:ascii="Arial" w:cs="Arial" w:eastAsia="Arial" w:hAnsi="Arial"/>
          <w:sz w:val="18"/>
          <w:szCs w:val="18"/>
          <w:color w:val="auto"/>
        </w:rPr>
      </w:pPr>
      <w:r>
        <w:rPr>
          <w:rFonts w:ascii="Arial" w:cs="Arial" w:eastAsia="Arial" w:hAnsi="Arial"/>
          <w:sz w:val="18"/>
          <w:szCs w:val="18"/>
          <w:u w:val="single" w:color="auto"/>
          <w:color w:val="auto"/>
        </w:rPr>
        <w:t>Dividends and Other Distributions</w:t>
      </w:r>
      <w:r>
        <w:rPr>
          <w:rFonts w:ascii="Arial" w:cs="Arial" w:eastAsia="Arial" w:hAnsi="Arial"/>
          <w:sz w:val="18"/>
          <w:szCs w:val="18"/>
          <w:color w:val="auto"/>
        </w:rPr>
        <w:t>. During the Period of Restriction, Service Providers holding Shares of Restricted Stock will be entitled to receive all dividends and other distributions paid with respect to such Shares, unless the Administrator provides otherwise. If any such dividends or distributions are paid in Shares, the Shares will be subject to the same restrictions on transferability and forfeitability as the Shares of Restricted Stock with respect to which they were paid.</w:t>
      </w:r>
    </w:p>
    <w:p>
      <w:pPr>
        <w:spacing w:after="0" w:line="92" w:lineRule="exact"/>
        <w:rPr>
          <w:rFonts w:ascii="Arial" w:cs="Arial" w:eastAsia="Arial" w:hAnsi="Arial"/>
          <w:sz w:val="18"/>
          <w:szCs w:val="18"/>
          <w:color w:val="auto"/>
        </w:rPr>
      </w:pPr>
    </w:p>
    <w:p>
      <w:pPr>
        <w:ind w:left="964" w:right="40" w:hanging="532"/>
        <w:spacing w:after="0" w:line="277" w:lineRule="auto"/>
        <w:tabs>
          <w:tab w:leader="none" w:pos="964" w:val="left"/>
        </w:tabs>
        <w:numPr>
          <w:ilvl w:val="1"/>
          <w:numId w:val="57"/>
        </w:numPr>
        <w:rPr>
          <w:rFonts w:ascii="Arial" w:cs="Arial" w:eastAsia="Arial" w:hAnsi="Arial"/>
          <w:sz w:val="18"/>
          <w:szCs w:val="18"/>
          <w:color w:val="auto"/>
        </w:rPr>
      </w:pPr>
      <w:r>
        <w:rPr>
          <w:rFonts w:ascii="Arial" w:cs="Arial" w:eastAsia="Arial" w:hAnsi="Arial"/>
          <w:sz w:val="18"/>
          <w:szCs w:val="18"/>
          <w:u w:val="single" w:color="auto"/>
          <w:color w:val="auto"/>
        </w:rPr>
        <w:t>Return of Restricted Stock to Company</w:t>
      </w:r>
      <w:r>
        <w:rPr>
          <w:rFonts w:ascii="Arial" w:cs="Arial" w:eastAsia="Arial" w:hAnsi="Arial"/>
          <w:sz w:val="18"/>
          <w:szCs w:val="18"/>
          <w:color w:val="auto"/>
        </w:rPr>
        <w:t>. On the date set forth in the Award Agreement, the Restricted Stock for which restrictions have not lapsed will revert to the Company and again will become available for grant under the Plan.</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Restricted Stock Units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64" w:right="180" w:hanging="532"/>
        <w:spacing w:after="0" w:line="263" w:lineRule="auto"/>
        <w:tabs>
          <w:tab w:leader="none" w:pos="964" w:val="left"/>
        </w:tabs>
        <w:numPr>
          <w:ilvl w:val="1"/>
          <w:numId w:val="58"/>
        </w:numPr>
        <w:rPr>
          <w:rFonts w:ascii="Arial" w:cs="Arial" w:eastAsia="Arial" w:hAnsi="Arial"/>
          <w:sz w:val="18"/>
          <w:szCs w:val="18"/>
          <w:color w:val="auto"/>
        </w:rPr>
      </w:pPr>
      <w:r>
        <w:rPr>
          <w:rFonts w:ascii="Arial" w:cs="Arial" w:eastAsia="Arial" w:hAnsi="Arial"/>
          <w:sz w:val="18"/>
          <w:szCs w:val="18"/>
          <w:u w:val="single" w:color="auto"/>
          <w:color w:val="auto"/>
        </w:rPr>
        <w:t>Grant</w:t>
      </w:r>
      <w:r>
        <w:rPr>
          <w:rFonts w:ascii="Arial" w:cs="Arial" w:eastAsia="Arial" w:hAnsi="Arial"/>
          <w:sz w:val="18"/>
          <w:szCs w:val="18"/>
          <w:color w:val="auto"/>
        </w:rPr>
        <w:t>. Restricted Stock Units may be granted at any time and from time to time as determined by the Administrator. After the Administrator determines that it will grant Restricted Stock Units under the Plan, it will advise the Participant in an Award Agreement of the terms, conditions, and restrictions related to the grant, including the number of Restricted Stock Units.</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4"/>
          </w:cols>
          <w:pgMar w:left="436" w:top="274" w:right="459" w:bottom="1440" w:gutter="0" w:footer="0" w:header="0"/>
        </w:sectPr>
      </w:pPr>
    </w:p>
    <w:bookmarkStart w:id="42" w:name="page43"/>
    <w:bookmarkEnd w:id="42"/>
    <w:p>
      <w:pPr>
        <w:ind w:left="964" w:right="100" w:hanging="532"/>
        <w:spacing w:after="0" w:line="257" w:lineRule="auto"/>
        <w:tabs>
          <w:tab w:leader="none" w:pos="964" w:val="left"/>
        </w:tabs>
        <w:numPr>
          <w:ilvl w:val="1"/>
          <w:numId w:val="5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Vesting Criteria and Other Terms</w:t>
      </w:r>
      <w:r>
        <w:rPr>
          <w:rFonts w:ascii="Arial" w:cs="Arial" w:eastAsia="Arial" w:hAnsi="Arial"/>
          <w:sz w:val="18"/>
          <w:szCs w:val="18"/>
          <w:color w:val="auto"/>
        </w:rPr>
        <w:t>. The Administrator will set vesting criteria in its discretion, which, depending on the extent to which the criteria are met, will determine the number of Restricted Stock Units that will be paid out to the Participant.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w:t>
      </w:r>
    </w:p>
    <w:p>
      <w:pPr>
        <w:spacing w:after="0" w:line="93" w:lineRule="exact"/>
        <w:rPr>
          <w:rFonts w:ascii="Arial" w:cs="Arial" w:eastAsia="Arial" w:hAnsi="Arial"/>
          <w:sz w:val="18"/>
          <w:szCs w:val="18"/>
          <w:color w:val="auto"/>
        </w:rPr>
      </w:pPr>
    </w:p>
    <w:p>
      <w:pPr>
        <w:ind w:left="964" w:hanging="532"/>
        <w:spacing w:after="0" w:line="263" w:lineRule="auto"/>
        <w:tabs>
          <w:tab w:leader="none" w:pos="964" w:val="left"/>
        </w:tabs>
        <w:numPr>
          <w:ilvl w:val="1"/>
          <w:numId w:val="59"/>
        </w:numPr>
        <w:rPr>
          <w:rFonts w:ascii="Arial" w:cs="Arial" w:eastAsia="Arial" w:hAnsi="Arial"/>
          <w:sz w:val="18"/>
          <w:szCs w:val="18"/>
          <w:color w:val="auto"/>
        </w:rPr>
      </w:pPr>
      <w:r>
        <w:rPr>
          <w:rFonts w:ascii="Arial" w:cs="Arial" w:eastAsia="Arial" w:hAnsi="Arial"/>
          <w:sz w:val="18"/>
          <w:szCs w:val="18"/>
          <w:u w:val="single" w:color="auto"/>
          <w:color w:val="auto"/>
        </w:rPr>
        <w:t>Earning Restricted Stock Units</w:t>
      </w:r>
      <w:r>
        <w:rPr>
          <w:rFonts w:ascii="Arial" w:cs="Arial" w:eastAsia="Arial" w:hAnsi="Arial"/>
          <w:sz w:val="18"/>
          <w:szCs w:val="18"/>
          <w:color w:val="auto"/>
        </w:rPr>
        <w:t>. 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w:t>
      </w:r>
    </w:p>
    <w:p>
      <w:pPr>
        <w:spacing w:after="0" w:line="89" w:lineRule="exact"/>
        <w:rPr>
          <w:rFonts w:ascii="Arial" w:cs="Arial" w:eastAsia="Arial" w:hAnsi="Arial"/>
          <w:sz w:val="18"/>
          <w:szCs w:val="18"/>
          <w:color w:val="auto"/>
        </w:rPr>
      </w:pPr>
    </w:p>
    <w:p>
      <w:pPr>
        <w:ind w:left="964" w:right="180" w:hanging="532"/>
        <w:spacing w:after="0" w:line="263" w:lineRule="auto"/>
        <w:tabs>
          <w:tab w:leader="none" w:pos="964" w:val="left"/>
        </w:tabs>
        <w:numPr>
          <w:ilvl w:val="1"/>
          <w:numId w:val="59"/>
        </w:numPr>
        <w:rPr>
          <w:rFonts w:ascii="Arial" w:cs="Arial" w:eastAsia="Arial" w:hAnsi="Arial"/>
          <w:sz w:val="18"/>
          <w:szCs w:val="18"/>
          <w:color w:val="auto"/>
        </w:rPr>
      </w:pPr>
      <w:r>
        <w:rPr>
          <w:rFonts w:ascii="Arial" w:cs="Arial" w:eastAsia="Arial" w:hAnsi="Arial"/>
          <w:sz w:val="18"/>
          <w:szCs w:val="18"/>
          <w:u w:val="single" w:color="auto"/>
          <w:color w:val="auto"/>
        </w:rPr>
        <w:t>Form and Timing of Payment</w:t>
      </w:r>
      <w:r>
        <w:rPr>
          <w:rFonts w:ascii="Arial" w:cs="Arial" w:eastAsia="Arial" w:hAnsi="Arial"/>
          <w:sz w:val="18"/>
          <w:szCs w:val="18"/>
          <w:color w:val="auto"/>
        </w:rPr>
        <w:t>. Payment of earned Restricted Stock Units will be made as soon as practicable after the date(s) determined by the Administrator and set forth in the Award Agreement. The Administrator, in its sole discretion, may only settle earned Restricted Stock Units in cash, Shares, or a combination of both.</w:t>
      </w:r>
    </w:p>
    <w:p>
      <w:pPr>
        <w:spacing w:after="0" w:line="89" w:lineRule="exact"/>
        <w:rPr>
          <w:rFonts w:ascii="Arial" w:cs="Arial" w:eastAsia="Arial" w:hAnsi="Arial"/>
          <w:sz w:val="18"/>
          <w:szCs w:val="18"/>
          <w:color w:val="auto"/>
        </w:rPr>
      </w:pPr>
    </w:p>
    <w:p>
      <w:pPr>
        <w:ind w:left="964" w:hanging="532"/>
        <w:spacing w:after="0"/>
        <w:tabs>
          <w:tab w:leader="none" w:pos="964" w:val="left"/>
        </w:tabs>
        <w:numPr>
          <w:ilvl w:val="1"/>
          <w:numId w:val="59"/>
        </w:numPr>
        <w:rPr>
          <w:rFonts w:ascii="Arial" w:cs="Arial" w:eastAsia="Arial" w:hAnsi="Arial"/>
          <w:sz w:val="17"/>
          <w:szCs w:val="17"/>
          <w:color w:val="auto"/>
        </w:rPr>
      </w:pPr>
      <w:r>
        <w:rPr>
          <w:rFonts w:ascii="Arial" w:cs="Arial" w:eastAsia="Arial" w:hAnsi="Arial"/>
          <w:sz w:val="17"/>
          <w:szCs w:val="17"/>
          <w:u w:val="single" w:color="auto"/>
          <w:color w:val="auto"/>
        </w:rPr>
        <w:t>Cancellation</w:t>
      </w:r>
      <w:r>
        <w:rPr>
          <w:rFonts w:ascii="Arial" w:cs="Arial" w:eastAsia="Arial" w:hAnsi="Arial"/>
          <w:sz w:val="17"/>
          <w:szCs w:val="17"/>
          <w:color w:val="auto"/>
        </w:rPr>
        <w:t>. On the date set forth in the Award Agreement, all unearned Restricted Stock Units will be forfeited to the Company.</w:t>
      </w:r>
    </w:p>
    <w:p>
      <w:pPr>
        <w:spacing w:after="0" w:line="142" w:lineRule="exact"/>
        <w:rPr>
          <w:rFonts w:ascii="Arial" w:cs="Arial" w:eastAsia="Arial" w:hAnsi="Arial"/>
          <w:sz w:val="17"/>
          <w:szCs w:val="17"/>
          <w:color w:val="auto"/>
        </w:rPr>
      </w:pPr>
    </w:p>
    <w:p>
      <w:pPr>
        <w:ind w:left="424" w:hanging="424"/>
        <w:spacing w:after="0"/>
        <w:tabs>
          <w:tab w:leader="none" w:pos="424"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Stock Appreciation Rights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64" w:right="60" w:hanging="532"/>
        <w:spacing w:after="0" w:line="308" w:lineRule="auto"/>
        <w:tabs>
          <w:tab w:leader="none" w:pos="964" w:val="left"/>
        </w:tabs>
        <w:numPr>
          <w:ilvl w:val="1"/>
          <w:numId w:val="60"/>
        </w:numPr>
        <w:rPr>
          <w:rFonts w:ascii="Arial" w:cs="Arial" w:eastAsia="Arial" w:hAnsi="Arial"/>
          <w:sz w:val="17"/>
          <w:szCs w:val="17"/>
          <w:color w:val="auto"/>
        </w:rPr>
      </w:pPr>
      <w:r>
        <w:rPr>
          <w:rFonts w:ascii="Arial" w:cs="Arial" w:eastAsia="Arial" w:hAnsi="Arial"/>
          <w:sz w:val="17"/>
          <w:szCs w:val="17"/>
          <w:u w:val="single" w:color="auto"/>
          <w:color w:val="auto"/>
        </w:rPr>
        <w:t>Grant of Stock Appreciation Rights</w:t>
      </w:r>
      <w:r>
        <w:rPr>
          <w:rFonts w:ascii="Arial" w:cs="Arial" w:eastAsia="Arial" w:hAnsi="Arial"/>
          <w:sz w:val="17"/>
          <w:szCs w:val="17"/>
          <w:color w:val="auto"/>
        </w:rPr>
        <w:t>. Subject to the terms and conditions of the Plan, a Stock Appreciation Right may be granted to Service Providers at any time and from time to time as will be determined by the Administrator, in its sole discretion.</w:t>
      </w:r>
    </w:p>
    <w:p>
      <w:pPr>
        <w:spacing w:after="0" w:line="51" w:lineRule="exact"/>
        <w:rPr>
          <w:rFonts w:ascii="Arial" w:cs="Arial" w:eastAsia="Arial" w:hAnsi="Arial"/>
          <w:sz w:val="17"/>
          <w:szCs w:val="17"/>
          <w:color w:val="auto"/>
        </w:rPr>
      </w:pPr>
    </w:p>
    <w:p>
      <w:pPr>
        <w:ind w:left="964" w:right="100" w:hanging="532"/>
        <w:spacing w:after="0" w:line="277" w:lineRule="auto"/>
        <w:tabs>
          <w:tab w:leader="none" w:pos="964" w:val="left"/>
        </w:tabs>
        <w:numPr>
          <w:ilvl w:val="1"/>
          <w:numId w:val="60"/>
        </w:numPr>
        <w:rPr>
          <w:rFonts w:ascii="Arial" w:cs="Arial" w:eastAsia="Arial" w:hAnsi="Arial"/>
          <w:sz w:val="18"/>
          <w:szCs w:val="18"/>
          <w:color w:val="auto"/>
        </w:rPr>
      </w:pPr>
      <w:r>
        <w:rPr>
          <w:rFonts w:ascii="Arial" w:cs="Arial" w:eastAsia="Arial" w:hAnsi="Arial"/>
          <w:sz w:val="18"/>
          <w:szCs w:val="18"/>
          <w:u w:val="single" w:color="auto"/>
          <w:color w:val="auto"/>
        </w:rPr>
        <w:t>Number of Shares</w:t>
      </w:r>
      <w:r>
        <w:rPr>
          <w:rFonts w:ascii="Arial" w:cs="Arial" w:eastAsia="Arial" w:hAnsi="Arial"/>
          <w:sz w:val="18"/>
          <w:szCs w:val="18"/>
          <w:color w:val="auto"/>
        </w:rPr>
        <w:t>. The Administrator will have complete discretion to determine the number of Stock Appreciation Rights granted to any Service Provider.</w:t>
      </w:r>
    </w:p>
    <w:p>
      <w:pPr>
        <w:spacing w:after="0" w:line="75" w:lineRule="exact"/>
        <w:rPr>
          <w:rFonts w:ascii="Arial" w:cs="Arial" w:eastAsia="Arial" w:hAnsi="Arial"/>
          <w:sz w:val="18"/>
          <w:szCs w:val="18"/>
          <w:color w:val="auto"/>
        </w:rPr>
      </w:pPr>
    </w:p>
    <w:p>
      <w:pPr>
        <w:ind w:left="964" w:right="20" w:hanging="532"/>
        <w:spacing w:after="0" w:line="259" w:lineRule="auto"/>
        <w:tabs>
          <w:tab w:leader="none" w:pos="964" w:val="left"/>
        </w:tabs>
        <w:numPr>
          <w:ilvl w:val="1"/>
          <w:numId w:val="60"/>
        </w:numPr>
        <w:rPr>
          <w:rFonts w:ascii="Arial" w:cs="Arial" w:eastAsia="Arial" w:hAnsi="Arial"/>
          <w:sz w:val="18"/>
          <w:szCs w:val="18"/>
          <w:color w:val="auto"/>
        </w:rPr>
      </w:pPr>
      <w:r>
        <w:rPr>
          <w:rFonts w:ascii="Arial" w:cs="Arial" w:eastAsia="Arial" w:hAnsi="Arial"/>
          <w:sz w:val="18"/>
          <w:szCs w:val="18"/>
          <w:u w:val="single" w:color="auto"/>
          <w:color w:val="auto"/>
        </w:rPr>
        <w:t>Exercise Price and Other Terms</w:t>
      </w:r>
      <w:r>
        <w:rPr>
          <w:rFonts w:ascii="Arial" w:cs="Arial" w:eastAsia="Arial" w:hAnsi="Arial"/>
          <w:sz w:val="18"/>
          <w:szCs w:val="18"/>
          <w:color w:val="auto"/>
        </w:rPr>
        <w:t>. The per share exercise price for the Shares to be issued pursuant to exercise of a Stock Appreciation Right will be determined by the Administrator and will be no less than one hundred percent (100%) of the Fair Market Value per Share on the date of grant. Otherwise, the Administrator, subject to the provisions of the Plan, will have complete discretion to determine the terms and conditions of Stock Appreciation Rights granted under the Plan.</w:t>
      </w:r>
    </w:p>
    <w:p>
      <w:pPr>
        <w:spacing w:after="0" w:line="92" w:lineRule="exact"/>
        <w:rPr>
          <w:rFonts w:ascii="Arial" w:cs="Arial" w:eastAsia="Arial" w:hAnsi="Arial"/>
          <w:sz w:val="18"/>
          <w:szCs w:val="18"/>
          <w:color w:val="auto"/>
        </w:rPr>
      </w:pPr>
    </w:p>
    <w:p>
      <w:pPr>
        <w:ind w:left="964" w:right="20" w:hanging="532"/>
        <w:spacing w:after="0" w:line="263" w:lineRule="auto"/>
        <w:tabs>
          <w:tab w:leader="none" w:pos="964" w:val="left"/>
        </w:tabs>
        <w:numPr>
          <w:ilvl w:val="1"/>
          <w:numId w:val="60"/>
        </w:numPr>
        <w:rPr>
          <w:rFonts w:ascii="Arial" w:cs="Arial" w:eastAsia="Arial" w:hAnsi="Arial"/>
          <w:sz w:val="18"/>
          <w:szCs w:val="18"/>
          <w:color w:val="auto"/>
        </w:rPr>
      </w:pPr>
      <w:r>
        <w:rPr>
          <w:rFonts w:ascii="Arial" w:cs="Arial" w:eastAsia="Arial" w:hAnsi="Arial"/>
          <w:sz w:val="18"/>
          <w:szCs w:val="18"/>
          <w:u w:val="single" w:color="auto"/>
          <w:color w:val="auto"/>
        </w:rPr>
        <w:t>Stock Appreciation Right Agreement</w:t>
      </w:r>
      <w:r>
        <w:rPr>
          <w:rFonts w:ascii="Arial" w:cs="Arial" w:eastAsia="Arial" w:hAnsi="Arial"/>
          <w:sz w:val="18"/>
          <w:szCs w:val="18"/>
          <w:color w:val="auto"/>
        </w:rPr>
        <w:t>. Each Stock Appreciation Right grant will be evidenced by an Award Agreement that will specify the exercise price, the term of the Stock Appreciation Right, the conditions of exercise, and such other terms and conditions as the Administrator, in its sole discretion, will determine.</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4"/>
          </w:cols>
          <w:pgMar w:left="436" w:top="274" w:right="459" w:bottom="1440" w:gutter="0" w:footer="0" w:header="0"/>
        </w:sectPr>
      </w:pPr>
    </w:p>
    <w:bookmarkStart w:id="43" w:name="page44"/>
    <w:bookmarkEnd w:id="43"/>
    <w:p>
      <w:pPr>
        <w:ind w:left="964" w:right="240" w:hanging="532"/>
        <w:spacing w:after="0" w:line="311" w:lineRule="auto"/>
        <w:tabs>
          <w:tab w:leader="none" w:pos="964"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Expiration of Stock Appreciation Rights</w:t>
      </w:r>
      <w:r>
        <w:rPr>
          <w:rFonts w:ascii="Arial" w:cs="Arial" w:eastAsia="Arial" w:hAnsi="Arial"/>
          <w:sz w:val="16"/>
          <w:szCs w:val="16"/>
          <w:color w:val="auto"/>
        </w:rPr>
        <w:t>. A Stock Appreciation Right granted under the Plan will expire ten (10) years from the date of grant or such shorter term as may be provided in the Award Agreement, as determined by the Administrator, in its sole discretion. Notwithstanding the foregoing, the rules of Section 6(d) relating to exercise also will apply to Stock Appreciation Rights.</w:t>
      </w:r>
    </w:p>
    <w:p>
      <w:pPr>
        <w:spacing w:after="0" w:line="54" w:lineRule="exact"/>
        <w:rPr>
          <w:rFonts w:ascii="Arial" w:cs="Arial" w:eastAsia="Arial" w:hAnsi="Arial"/>
          <w:sz w:val="16"/>
          <w:szCs w:val="16"/>
          <w:color w:val="auto"/>
        </w:rPr>
      </w:pPr>
    </w:p>
    <w:p>
      <w:pPr>
        <w:ind w:left="964" w:right="440" w:hanging="532"/>
        <w:spacing w:after="0" w:line="277" w:lineRule="auto"/>
        <w:tabs>
          <w:tab w:leader="none" w:pos="964"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Payment of Stock Appreciation Right Amount</w:t>
      </w:r>
      <w:r>
        <w:rPr>
          <w:rFonts w:ascii="Arial" w:cs="Arial" w:eastAsia="Arial" w:hAnsi="Arial"/>
          <w:sz w:val="18"/>
          <w:szCs w:val="18"/>
          <w:color w:val="auto"/>
        </w:rPr>
        <w:t>. Upon exercise of a Stock Appreciation Right, a Participant will be entitled to receive payment from the Company in an amount determined by multiplying:</w:t>
      </w:r>
    </w:p>
    <w:p>
      <w:pPr>
        <w:spacing w:after="0" w:line="75" w:lineRule="exact"/>
        <w:rPr>
          <w:rFonts w:ascii="Arial" w:cs="Arial" w:eastAsia="Arial" w:hAnsi="Arial"/>
          <w:sz w:val="18"/>
          <w:szCs w:val="18"/>
          <w:color w:val="auto"/>
        </w:rPr>
      </w:pPr>
    </w:p>
    <w:p>
      <w:pPr>
        <w:ind w:left="1424" w:hanging="439"/>
        <w:spacing w:after="0"/>
        <w:tabs>
          <w:tab w:leader="none" w:pos="1424"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difference between the Fair Market Value of a Share on the date of exercise over the exercise price; times</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number of Shares with respect to which the Stock Appreciation Right is exercised.</w:t>
      </w:r>
    </w:p>
    <w:p>
      <w:pPr>
        <w:spacing w:after="0" w:line="225" w:lineRule="exact"/>
        <w:rPr>
          <w:sz w:val="20"/>
          <w:szCs w:val="20"/>
          <w:color w:val="auto"/>
        </w:rPr>
      </w:pPr>
    </w:p>
    <w:p>
      <w:pPr>
        <w:ind w:left="4" w:right="180" w:firstLine="440"/>
        <w:spacing w:after="0" w:line="277" w:lineRule="auto"/>
        <w:rPr>
          <w:sz w:val="20"/>
          <w:szCs w:val="20"/>
          <w:color w:val="auto"/>
        </w:rPr>
      </w:pPr>
      <w:r>
        <w:rPr>
          <w:rFonts w:ascii="Arial" w:cs="Arial" w:eastAsia="Arial" w:hAnsi="Arial"/>
          <w:sz w:val="18"/>
          <w:szCs w:val="18"/>
          <w:color w:val="auto"/>
        </w:rPr>
        <w:t>At the discretion of the Administrator, the payment upon Stock Appreciation Right exercise may be in cash, in Shares of equivalent value, or in some combination thereof.</w:t>
      </w:r>
    </w:p>
    <w:p>
      <w:pPr>
        <w:spacing w:after="0" w:line="76" w:lineRule="exact"/>
        <w:rPr>
          <w:sz w:val="20"/>
          <w:szCs w:val="20"/>
          <w:color w:val="auto"/>
        </w:rPr>
      </w:pPr>
    </w:p>
    <w:p>
      <w:pPr>
        <w:ind w:left="424" w:hanging="424"/>
        <w:spacing w:after="0"/>
        <w:tabs>
          <w:tab w:leader="none" w:pos="424"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Performance Units and Performance Shares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64" w:hanging="532"/>
        <w:spacing w:after="0" w:line="263" w:lineRule="auto"/>
        <w:tabs>
          <w:tab w:leader="none" w:pos="964" w:val="left"/>
        </w:tabs>
        <w:numPr>
          <w:ilvl w:val="1"/>
          <w:numId w:val="62"/>
        </w:numPr>
        <w:rPr>
          <w:rFonts w:ascii="Arial" w:cs="Arial" w:eastAsia="Arial" w:hAnsi="Arial"/>
          <w:sz w:val="18"/>
          <w:szCs w:val="18"/>
          <w:color w:val="auto"/>
        </w:rPr>
      </w:pPr>
      <w:r>
        <w:rPr>
          <w:rFonts w:ascii="Arial" w:cs="Arial" w:eastAsia="Arial" w:hAnsi="Arial"/>
          <w:sz w:val="18"/>
          <w:szCs w:val="18"/>
          <w:u w:val="single" w:color="auto"/>
          <w:color w:val="auto"/>
        </w:rPr>
        <w:t>Grant of Performance Units/Shares</w:t>
      </w:r>
      <w:r>
        <w:rPr>
          <w:rFonts w:ascii="Arial" w:cs="Arial" w:eastAsia="Arial" w:hAnsi="Arial"/>
          <w:sz w:val="18"/>
          <w:szCs w:val="18"/>
          <w:color w:val="auto"/>
        </w:rPr>
        <w:t>. Performance Units and Performance Shares may be granted to Service Providers at any time and from time to time, as will be determined by the Administrator, in its sole discretion. The Administrator will have complete discretion in determining the number of Performance Units and Performance Shares granted to each Participant.</w:t>
      </w:r>
    </w:p>
    <w:p>
      <w:pPr>
        <w:spacing w:after="0" w:line="89" w:lineRule="exact"/>
        <w:rPr>
          <w:rFonts w:ascii="Arial" w:cs="Arial" w:eastAsia="Arial" w:hAnsi="Arial"/>
          <w:sz w:val="18"/>
          <w:szCs w:val="18"/>
          <w:color w:val="auto"/>
        </w:rPr>
      </w:pPr>
    </w:p>
    <w:p>
      <w:pPr>
        <w:ind w:left="964" w:right="40" w:hanging="532"/>
        <w:spacing w:after="0" w:line="342" w:lineRule="auto"/>
        <w:tabs>
          <w:tab w:leader="none" w:pos="964" w:val="left"/>
        </w:tabs>
        <w:numPr>
          <w:ilvl w:val="1"/>
          <w:numId w:val="62"/>
        </w:numPr>
        <w:rPr>
          <w:rFonts w:ascii="Arial" w:cs="Arial" w:eastAsia="Arial" w:hAnsi="Arial"/>
          <w:sz w:val="16"/>
          <w:szCs w:val="16"/>
          <w:color w:val="auto"/>
        </w:rPr>
      </w:pPr>
      <w:r>
        <w:rPr>
          <w:rFonts w:ascii="Arial" w:cs="Arial" w:eastAsia="Arial" w:hAnsi="Arial"/>
          <w:sz w:val="16"/>
          <w:szCs w:val="16"/>
          <w:u w:val="single" w:color="auto"/>
          <w:color w:val="auto"/>
        </w:rPr>
        <w:t>Value of Performance Units/Shares</w:t>
      </w:r>
      <w:r>
        <w:rPr>
          <w:rFonts w:ascii="Arial" w:cs="Arial" w:eastAsia="Arial" w:hAnsi="Arial"/>
          <w:sz w:val="16"/>
          <w:szCs w:val="16"/>
          <w:color w:val="auto"/>
        </w:rPr>
        <w:t>. Each Performance Unit will have an initial value that is established by the Administrator on or before the date of grant. Each Performance Share will have an initial value equal to the Fair Market Value of a Share on the date of grant.</w:t>
      </w:r>
    </w:p>
    <w:p>
      <w:pPr>
        <w:spacing w:after="0" w:line="29" w:lineRule="exact"/>
        <w:rPr>
          <w:rFonts w:ascii="Arial" w:cs="Arial" w:eastAsia="Arial" w:hAnsi="Arial"/>
          <w:sz w:val="16"/>
          <w:szCs w:val="16"/>
          <w:color w:val="auto"/>
        </w:rPr>
      </w:pPr>
    </w:p>
    <w:p>
      <w:pPr>
        <w:ind w:left="964" w:right="20" w:hanging="532"/>
        <w:spacing w:after="0" w:line="290" w:lineRule="auto"/>
        <w:tabs>
          <w:tab w:leader="none" w:pos="964" w:val="left"/>
        </w:tabs>
        <w:numPr>
          <w:ilvl w:val="1"/>
          <w:numId w:val="62"/>
        </w:numPr>
        <w:rPr>
          <w:rFonts w:ascii="Arial" w:cs="Arial" w:eastAsia="Arial" w:hAnsi="Arial"/>
          <w:sz w:val="16"/>
          <w:szCs w:val="16"/>
          <w:color w:val="auto"/>
        </w:rPr>
      </w:pPr>
      <w:r>
        <w:rPr>
          <w:rFonts w:ascii="Arial" w:cs="Arial" w:eastAsia="Arial" w:hAnsi="Arial"/>
          <w:sz w:val="16"/>
          <w:szCs w:val="16"/>
          <w:u w:val="single" w:color="auto"/>
          <w:color w:val="auto"/>
        </w:rPr>
        <w:t>Performance Objectives and Other Terms</w:t>
      </w:r>
      <w:r>
        <w:rPr>
          <w:rFonts w:ascii="Arial" w:cs="Arial" w:eastAsia="Arial" w:hAnsi="Arial"/>
          <w:sz w:val="16"/>
          <w:szCs w:val="16"/>
          <w:color w:val="auto"/>
        </w:rPr>
        <w:t>. The Administrator will set performance objectives or other vesting provisions (including, without limitation, continued status as a Service Provider) in its discretion which, depending on the extent to which they are met, will determine the number or value of Performance Units/Shares that will be paid out to the Service Providers. The time period during which the performance objectives or other vesting provisions must be met will be called the “Performance Period.” Each Award of Performance Units/Shares will be evidenced by an Award Agreement that will specify the Performance Period, and such other terms and conditions as the Administrator, in its sole discretion, will determine. The Administrator may set performance objectives based upon the achievement of Company-wide, divisional, business unit or individual goals (including, but not limited to, continued employment or service), applicable federal or state securities laws, or any other basis determined by the Administrator in its discretion.</w:t>
      </w:r>
    </w:p>
    <w:p>
      <w:pPr>
        <w:spacing w:after="0" w:line="98"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44"/>
          </w:cols>
          <w:pgMar w:left="436" w:top="274" w:right="519" w:bottom="1440" w:gutter="0" w:footer="0" w:header="0"/>
        </w:sectPr>
      </w:pPr>
    </w:p>
    <w:bookmarkStart w:id="44" w:name="page45"/>
    <w:bookmarkEnd w:id="44"/>
    <w:p>
      <w:pPr>
        <w:ind w:left="964" w:right="60" w:hanging="532"/>
        <w:spacing w:after="0" w:line="257" w:lineRule="auto"/>
        <w:tabs>
          <w:tab w:leader="none" w:pos="964" w:val="left"/>
        </w:tabs>
        <w:numPr>
          <w:ilvl w:val="1"/>
          <w:numId w:val="6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Earning of Performance Units/Shares</w:t>
      </w:r>
      <w:r>
        <w:rPr>
          <w:rFonts w:ascii="Arial" w:cs="Arial" w:eastAsia="Arial" w:hAnsi="Arial"/>
          <w:sz w:val="18"/>
          <w:szCs w:val="18"/>
          <w:color w:val="auto"/>
        </w:rPr>
        <w:t>. After the applicable Performance Period has ended, the holder of Performance Units/Shares will be entitled to receive a payout of the number of Performance Units/Shares earned by the Participant over the Performance Period, to be determined as a function of the extent to which the corresponding performance objectives or other vesting provisions have been achieved. After the grant of a Performance Unit/Share, the Administrator, in its sole discretion, may reduce or waive any performance objectives or other vesting provisions for such Performance Unit/Share.</w:t>
      </w:r>
    </w:p>
    <w:p>
      <w:pPr>
        <w:spacing w:after="0" w:line="93" w:lineRule="exact"/>
        <w:rPr>
          <w:rFonts w:ascii="Arial" w:cs="Arial" w:eastAsia="Arial" w:hAnsi="Arial"/>
          <w:sz w:val="18"/>
          <w:szCs w:val="18"/>
          <w:color w:val="auto"/>
        </w:rPr>
      </w:pPr>
    </w:p>
    <w:p>
      <w:pPr>
        <w:ind w:left="964" w:right="400" w:hanging="532"/>
        <w:spacing w:after="0" w:line="279" w:lineRule="auto"/>
        <w:tabs>
          <w:tab w:leader="none" w:pos="964" w:val="left"/>
        </w:tabs>
        <w:numPr>
          <w:ilvl w:val="1"/>
          <w:numId w:val="63"/>
        </w:numPr>
        <w:rPr>
          <w:rFonts w:ascii="Arial" w:cs="Arial" w:eastAsia="Arial" w:hAnsi="Arial"/>
          <w:sz w:val="17"/>
          <w:szCs w:val="17"/>
          <w:color w:val="auto"/>
        </w:rPr>
      </w:pPr>
      <w:r>
        <w:rPr>
          <w:rFonts w:ascii="Arial" w:cs="Arial" w:eastAsia="Arial" w:hAnsi="Arial"/>
          <w:sz w:val="17"/>
          <w:szCs w:val="17"/>
          <w:u w:val="single" w:color="auto"/>
          <w:color w:val="auto"/>
        </w:rPr>
        <w:t>Form and Timing of Payment of Performance Units/Shares</w:t>
      </w:r>
      <w:r>
        <w:rPr>
          <w:rFonts w:ascii="Arial" w:cs="Arial" w:eastAsia="Arial" w:hAnsi="Arial"/>
          <w:sz w:val="17"/>
          <w:szCs w:val="17"/>
          <w:color w:val="auto"/>
        </w:rPr>
        <w:t>. Payment of earned Performance Units/Shares will be made as soon as practicable after the expiration of the applicable Performance Period. The Administrator, in its sole discretion, may pay earned Performance Units/Shares in the form of cash, in Shares (which have an aggregate Fair Market Value equal to the value of the earned Performance Units/Shares at the close of the applicable Performance Period) or in a combination thereof.</w:t>
      </w:r>
    </w:p>
    <w:p>
      <w:pPr>
        <w:spacing w:after="0" w:line="76" w:lineRule="exact"/>
        <w:rPr>
          <w:rFonts w:ascii="Arial" w:cs="Arial" w:eastAsia="Arial" w:hAnsi="Arial"/>
          <w:sz w:val="17"/>
          <w:szCs w:val="17"/>
          <w:color w:val="auto"/>
        </w:rPr>
      </w:pPr>
    </w:p>
    <w:p>
      <w:pPr>
        <w:ind w:left="964" w:right="780" w:hanging="532"/>
        <w:spacing w:after="0" w:line="277" w:lineRule="auto"/>
        <w:tabs>
          <w:tab w:leader="none" w:pos="964" w:val="left"/>
        </w:tabs>
        <w:numPr>
          <w:ilvl w:val="1"/>
          <w:numId w:val="63"/>
        </w:numPr>
        <w:rPr>
          <w:rFonts w:ascii="Arial" w:cs="Arial" w:eastAsia="Arial" w:hAnsi="Arial"/>
          <w:sz w:val="18"/>
          <w:szCs w:val="18"/>
          <w:color w:val="auto"/>
        </w:rPr>
      </w:pPr>
      <w:r>
        <w:rPr>
          <w:rFonts w:ascii="Arial" w:cs="Arial" w:eastAsia="Arial" w:hAnsi="Arial"/>
          <w:sz w:val="18"/>
          <w:szCs w:val="18"/>
          <w:u w:val="single" w:color="auto"/>
          <w:color w:val="auto"/>
        </w:rPr>
        <w:t>Cancellation of Performance Units/Shares</w:t>
      </w:r>
      <w:r>
        <w:rPr>
          <w:rFonts w:ascii="Arial" w:cs="Arial" w:eastAsia="Arial" w:hAnsi="Arial"/>
          <w:sz w:val="18"/>
          <w:szCs w:val="18"/>
          <w:color w:val="auto"/>
        </w:rPr>
        <w:t>. On the date set forth in the Award Agreement, all unearned or unvested Performance Units/Shares will be forfeited to the Company, and again will be available for grant under the Plan.</w:t>
      </w:r>
    </w:p>
    <w:p>
      <w:pPr>
        <w:spacing w:after="0" w:line="75" w:lineRule="exact"/>
        <w:rPr>
          <w:rFonts w:ascii="Arial" w:cs="Arial" w:eastAsia="Arial" w:hAnsi="Arial"/>
          <w:sz w:val="18"/>
          <w:szCs w:val="18"/>
          <w:color w:val="auto"/>
        </w:rPr>
      </w:pPr>
    </w:p>
    <w:p>
      <w:pPr>
        <w:ind w:left="424" w:right="120" w:hanging="424"/>
        <w:spacing w:after="0" w:line="257" w:lineRule="auto"/>
        <w:tabs>
          <w:tab w:leader="none" w:pos="424"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Outside Director Limitations</w:t>
      </w:r>
      <w:r>
        <w:rPr>
          <w:rFonts w:ascii="Arial" w:cs="Arial" w:eastAsia="Arial" w:hAnsi="Arial"/>
          <w:sz w:val="18"/>
          <w:szCs w:val="18"/>
          <w:color w:val="auto"/>
        </w:rPr>
        <w:t>. No Outside Director may be paid, issued or granted, in any Fiscal Year, cash compensation and equity awards (including any Awards issued under this Plan) with an aggregate value greater than $750,000 (with the value of each equity award based on its grant date fair value (determined in accordance with U.S. generally accepted accounting principles)). Any cash compensation paid or Awards granted to an individual for his or her services as an Employee, or for his or her services as a Consultant (other than as an Outside Director), will not count for purposes of the limitation under this Section 11.</w:t>
      </w:r>
    </w:p>
    <w:p>
      <w:pPr>
        <w:spacing w:after="0" w:line="93" w:lineRule="exact"/>
        <w:rPr>
          <w:rFonts w:ascii="Arial" w:cs="Arial" w:eastAsia="Arial" w:hAnsi="Arial"/>
          <w:sz w:val="18"/>
          <w:szCs w:val="18"/>
          <w:color w:val="auto"/>
        </w:rPr>
      </w:pPr>
    </w:p>
    <w:p>
      <w:pPr>
        <w:ind w:left="424" w:hanging="424"/>
        <w:spacing w:after="0" w:line="254" w:lineRule="auto"/>
        <w:tabs>
          <w:tab w:leader="none" w:pos="424"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Leaves of Absence/Transfer Between Locations</w:t>
      </w:r>
      <w:r>
        <w:rPr>
          <w:rFonts w:ascii="Arial" w:cs="Arial" w:eastAsia="Arial" w:hAnsi="Arial"/>
          <w:sz w:val="18"/>
          <w:szCs w:val="18"/>
          <w:color w:val="auto"/>
        </w:rPr>
        <w:t>. Unless the Administrator provides otherwise, vesting of Awards granted hereunder will be suspended during any unpaid leave of absence. A Participant will not cease to be an Employee in the case of (i) any leave of absence approved by the Company or (ii) transfers between locations of the Company or between the Company, its Parent, or any Subsidiary. For purposes of Incentive Stock Options, no such leave may exceed three (3) months, unless reemployment upon expiration of such leave is guaranteed by statute or contract. If reemployment upon expiration of a leave of absence approved by the Company is not so guaranteed, then six (6) months following the first (1st) day of such leave any Incentive Stock Option held by the Participant will cease to be treated as an Incentive Stock Option and will be treated for tax purposes as a Nonstatutory Stock Option.</w:t>
      </w:r>
    </w:p>
    <w:p>
      <w:pPr>
        <w:spacing w:after="0" w:line="100" w:lineRule="exact"/>
        <w:rPr>
          <w:rFonts w:ascii="Arial" w:cs="Arial" w:eastAsia="Arial" w:hAnsi="Arial"/>
          <w:sz w:val="18"/>
          <w:szCs w:val="18"/>
          <w:color w:val="auto"/>
        </w:rPr>
      </w:pPr>
    </w:p>
    <w:p>
      <w:pPr>
        <w:ind w:left="424" w:right="120" w:hanging="424"/>
        <w:spacing w:after="0" w:line="259" w:lineRule="auto"/>
        <w:tabs>
          <w:tab w:leader="none" w:pos="424"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Transferability of Awards</w:t>
      </w:r>
      <w:r>
        <w:rPr>
          <w:rFonts w:ascii="Arial" w:cs="Arial" w:eastAsia="Arial" w:hAnsi="Arial"/>
          <w:sz w:val="18"/>
          <w:szCs w:val="18"/>
          <w:color w:val="auto"/>
        </w:rPr>
        <w:t>. Unless determined otherwise by the Administrator, an Award may not be sold, pledged, assigned, hypothecated, transferred, or disposed of in any manner other than by will or by the laws of descent or distribution and may be exercised, during the lifetime of the Participant, only by the Participant. If the Administrator makes an Award transferable, such Award will contain such additional terms and conditions as the Administrator deems appropriate.</w:t>
      </w:r>
    </w:p>
    <w:p>
      <w:pPr>
        <w:spacing w:after="0" w:line="119"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4"/>
          </w:cols>
          <w:pgMar w:left="436" w:top="274" w:right="499" w:bottom="1440" w:gutter="0" w:footer="0" w:header="0"/>
        </w:sectPr>
      </w:pPr>
    </w:p>
    <w:bookmarkStart w:id="45" w:name="page46"/>
    <w:bookmarkEnd w:id="45"/>
    <w:p>
      <w:pPr>
        <w:ind w:left="424" w:hanging="424"/>
        <w:spacing w:after="0"/>
        <w:tabs>
          <w:tab w:leader="none" w:pos="424" w:val="left"/>
        </w:tabs>
        <w:numPr>
          <w:ilvl w:val="0"/>
          <w:numId w:val="6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Adjustments; Dissolution or Liquidation; Merger or Change in Control.</w:t>
      </w:r>
    </w:p>
    <w:p>
      <w:pPr>
        <w:spacing w:after="0" w:line="130" w:lineRule="exact"/>
        <w:rPr>
          <w:rFonts w:ascii="Arial" w:cs="Arial" w:eastAsia="Arial" w:hAnsi="Arial"/>
          <w:sz w:val="18"/>
          <w:szCs w:val="18"/>
          <w:color w:val="auto"/>
        </w:rPr>
      </w:pPr>
    </w:p>
    <w:p>
      <w:pPr>
        <w:ind w:left="964" w:right="40" w:hanging="532"/>
        <w:spacing w:after="0" w:line="293" w:lineRule="auto"/>
        <w:tabs>
          <w:tab w:leader="none" w:pos="964" w:val="left"/>
        </w:tabs>
        <w:numPr>
          <w:ilvl w:val="1"/>
          <w:numId w:val="65"/>
        </w:numPr>
        <w:rPr>
          <w:rFonts w:ascii="Arial" w:cs="Arial" w:eastAsia="Arial" w:hAnsi="Arial"/>
          <w:sz w:val="16"/>
          <w:szCs w:val="16"/>
          <w:color w:val="auto"/>
        </w:rPr>
      </w:pPr>
      <w:r>
        <w:rPr>
          <w:rFonts w:ascii="Arial" w:cs="Arial" w:eastAsia="Arial" w:hAnsi="Arial"/>
          <w:sz w:val="16"/>
          <w:szCs w:val="16"/>
          <w:u w:val="single" w:color="auto"/>
          <w:color w:val="auto"/>
        </w:rPr>
        <w:t>Adjustments</w:t>
      </w:r>
      <w:r>
        <w:rPr>
          <w:rFonts w:ascii="Arial" w:cs="Arial" w:eastAsia="Arial" w:hAnsi="Arial"/>
          <w:sz w:val="16"/>
          <w:szCs w:val="16"/>
          <w:color w:val="auto"/>
        </w:rPr>
        <w:t>. In the event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or other change in the corporate structure of the Company affecting the Shares occurs, the Administrator, in order to prevent diminution or enlargement of the benefits or potential benefits intended to be made available under the Plan, will adjust the number and class of Shares that may be delivered under the Plan and/or the number, class, and price of Shares covered by each outstanding Award, and the numerical Share limits in Section 3 of the Plan.</w:t>
      </w:r>
    </w:p>
    <w:p>
      <w:pPr>
        <w:spacing w:after="0" w:line="69" w:lineRule="exact"/>
        <w:rPr>
          <w:rFonts w:ascii="Arial" w:cs="Arial" w:eastAsia="Arial" w:hAnsi="Arial"/>
          <w:sz w:val="16"/>
          <w:szCs w:val="16"/>
          <w:color w:val="auto"/>
        </w:rPr>
      </w:pPr>
    </w:p>
    <w:p>
      <w:pPr>
        <w:ind w:left="964" w:right="420" w:hanging="532"/>
        <w:spacing w:after="0" w:line="286" w:lineRule="auto"/>
        <w:tabs>
          <w:tab w:leader="none" w:pos="964" w:val="left"/>
        </w:tabs>
        <w:numPr>
          <w:ilvl w:val="1"/>
          <w:numId w:val="65"/>
        </w:numPr>
        <w:rPr>
          <w:rFonts w:ascii="Arial" w:cs="Arial" w:eastAsia="Arial" w:hAnsi="Arial"/>
          <w:sz w:val="17"/>
          <w:szCs w:val="17"/>
          <w:color w:val="auto"/>
        </w:rPr>
      </w:pPr>
      <w:r>
        <w:rPr>
          <w:rFonts w:ascii="Arial" w:cs="Arial" w:eastAsia="Arial" w:hAnsi="Arial"/>
          <w:sz w:val="17"/>
          <w:szCs w:val="17"/>
          <w:u w:val="single" w:color="auto"/>
          <w:color w:val="auto"/>
        </w:rPr>
        <w:t>Dissolution or Liquidation</w:t>
      </w:r>
      <w:r>
        <w:rPr>
          <w:rFonts w:ascii="Arial" w:cs="Arial" w:eastAsia="Arial" w:hAnsi="Arial"/>
          <w:sz w:val="17"/>
          <w:szCs w:val="17"/>
          <w:color w:val="auto"/>
        </w:rPr>
        <w:t>. In the event of the proposed dissolution or liquidation of the Company, the Administrator will notify each Participant as soon as practicable prior to the effective date of such proposed transaction. To the extent it has not been previously exercised, an Award will terminate immediately prior to the consummation of such proposed action.</w:t>
      </w:r>
    </w:p>
    <w:p>
      <w:pPr>
        <w:spacing w:after="0" w:line="70" w:lineRule="exact"/>
        <w:rPr>
          <w:rFonts w:ascii="Arial" w:cs="Arial" w:eastAsia="Arial" w:hAnsi="Arial"/>
          <w:sz w:val="17"/>
          <w:szCs w:val="17"/>
          <w:color w:val="auto"/>
        </w:rPr>
      </w:pPr>
    </w:p>
    <w:p>
      <w:pPr>
        <w:ind w:left="964" w:right="80" w:hanging="532"/>
        <w:spacing w:after="0" w:line="301" w:lineRule="auto"/>
        <w:tabs>
          <w:tab w:leader="none" w:pos="964" w:val="left"/>
        </w:tabs>
        <w:numPr>
          <w:ilvl w:val="1"/>
          <w:numId w:val="65"/>
        </w:numPr>
        <w:rPr>
          <w:rFonts w:ascii="Arial" w:cs="Arial" w:eastAsia="Arial" w:hAnsi="Arial"/>
          <w:sz w:val="16"/>
          <w:szCs w:val="16"/>
          <w:color w:val="auto"/>
        </w:rPr>
      </w:pPr>
      <w:r>
        <w:rPr>
          <w:rFonts w:ascii="Arial" w:cs="Arial" w:eastAsia="Arial" w:hAnsi="Arial"/>
          <w:sz w:val="16"/>
          <w:szCs w:val="16"/>
          <w:u w:val="single" w:color="auto"/>
          <w:color w:val="auto"/>
        </w:rPr>
        <w:t>Change in Control</w:t>
      </w:r>
      <w:r>
        <w:rPr>
          <w:rFonts w:ascii="Arial" w:cs="Arial" w:eastAsia="Arial" w:hAnsi="Arial"/>
          <w:sz w:val="16"/>
          <w:szCs w:val="16"/>
          <w:color w:val="auto"/>
        </w:rPr>
        <w:t>. In the event of a merger of the Company with or into another corporation or other entity or a Change in Control, each outstanding Award will be treated as the Administrator determines subject to the restriction in the following paragraph, including, without limitation, that each Award be assumed or an equivalent option or right substituted by the successor corporation or a Parent or Subsidiary of the successor corporation. The Administrator will not be required to treat all Awards or Participants similarly in the transaction.</w:t>
      </w:r>
    </w:p>
    <w:p>
      <w:pPr>
        <w:spacing w:after="0" w:line="157" w:lineRule="exact"/>
        <w:rPr>
          <w:sz w:val="20"/>
          <w:szCs w:val="20"/>
          <w:color w:val="auto"/>
        </w:rPr>
      </w:pPr>
    </w:p>
    <w:p>
      <w:pPr>
        <w:ind w:left="4" w:right="40" w:firstLine="440"/>
        <w:spacing w:after="0" w:line="270" w:lineRule="auto"/>
        <w:rPr>
          <w:sz w:val="20"/>
          <w:szCs w:val="20"/>
          <w:color w:val="auto"/>
        </w:rPr>
      </w:pPr>
      <w:r>
        <w:rPr>
          <w:rFonts w:ascii="Arial" w:cs="Arial" w:eastAsia="Arial" w:hAnsi="Arial"/>
          <w:sz w:val="17"/>
          <w:szCs w:val="17"/>
          <w:color w:val="auto"/>
        </w:rPr>
        <w:t>In the event that the successor corporation does not assume or substitute for the Award, the Participant will fully vest in and have the right to exercise all of his or her outstanding Options and Stock Appreciation Rights, including Shares as to which such Awards would not otherwise be vested or exercisable, all restrictions on Restricted Stock and Restricted Stock Units will lapse, and, with respect to Awards with performance-based vesting, unless specifically provided otherwise under the applicable Award Agreement, a Company policy applicable to the Participant, or other written agreement between the Participant and the Company, all performance goals or other vesting criteria will be deemed achieved at one hundred percent (100%) of target levels and all other terms and conditions met. In addition, if an Option or Stock Appreciation Right is not assumed or substituted in the event of a Change in Control, the Administrator will notify the Participant in writing or electronically that the Option or Stock Appreciation Right will be exercisable for a period of time determined by the Administrator in its sole discretion, and the Option or Stock Appreciation Right will terminate upon the expiration of such period.</w:t>
      </w:r>
    </w:p>
    <w:p>
      <w:pPr>
        <w:spacing w:after="0" w:line="181" w:lineRule="exact"/>
        <w:rPr>
          <w:sz w:val="20"/>
          <w:szCs w:val="20"/>
          <w:color w:val="auto"/>
        </w:rPr>
      </w:pPr>
    </w:p>
    <w:p>
      <w:pPr>
        <w:ind w:left="4" w:firstLine="440"/>
        <w:spacing w:after="0" w:line="311" w:lineRule="auto"/>
        <w:rPr>
          <w:sz w:val="20"/>
          <w:szCs w:val="20"/>
          <w:color w:val="auto"/>
        </w:rPr>
      </w:pPr>
      <w:r>
        <w:rPr>
          <w:rFonts w:ascii="Arial" w:cs="Arial" w:eastAsia="Arial" w:hAnsi="Arial"/>
          <w:sz w:val="16"/>
          <w:szCs w:val="16"/>
          <w:color w:val="auto"/>
        </w:rPr>
        <w:t>For the purposes of this subsection (c), an Award will be considered assumed if, following the Change in Control, the Award confers the right to purchase or receive, for each Share subject to the Award immediately prior to the Change in Control, the consideration (whether stock, cash, or other securities or property) received in the Change in Control by holders of Common Stock for each Share held on the effective date of the transaction (and if</w:t>
      </w:r>
    </w:p>
    <w:p>
      <w:pPr>
        <w:spacing w:after="0" w:line="8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4"/>
          </w:cols>
          <w:pgMar w:left="436" w:top="274" w:right="479" w:bottom="1440" w:gutter="0" w:footer="0" w:header="0"/>
        </w:sectPr>
      </w:pPr>
    </w:p>
    <w:bookmarkStart w:id="46" w:name="page47"/>
    <w:bookmarkEnd w:id="46"/>
    <w:p>
      <w:pPr>
        <w:ind w:left="4"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holders were offered a choice of consideration, the type of consideration chosen by the holders of a majority of the outstanding Shares); provided, however, that if such consideration received in the Change in Control is not solely common stock of the successor corporation or its Parent, the Administrator may, with the consent of the successor corporation, provide for the consideration to be received upon the exercise of an Option or Stock Appreciation Right or upon the payout of a Restricted Stock Unit, Performance Unit or Performance Share, for each Share subject to such Award, to be solely common stock of the successor corporation or its Parent equal in fair market value to the per share consideration received by holders of Common Stock in the Change in Control.</w:t>
      </w:r>
    </w:p>
    <w:p>
      <w:pPr>
        <w:spacing w:after="0" w:line="192" w:lineRule="exact"/>
        <w:rPr>
          <w:sz w:val="20"/>
          <w:szCs w:val="20"/>
          <w:color w:val="auto"/>
        </w:rPr>
      </w:pPr>
    </w:p>
    <w:p>
      <w:pPr>
        <w:ind w:left="4" w:right="320" w:firstLine="440"/>
        <w:spacing w:after="0" w:line="259" w:lineRule="auto"/>
        <w:rPr>
          <w:sz w:val="20"/>
          <w:szCs w:val="20"/>
          <w:color w:val="auto"/>
        </w:rPr>
      </w:pPr>
      <w:r>
        <w:rPr>
          <w:rFonts w:ascii="Arial" w:cs="Arial" w:eastAsia="Arial" w:hAnsi="Arial"/>
          <w:sz w:val="18"/>
          <w:szCs w:val="18"/>
          <w:color w:val="auto"/>
        </w:rPr>
        <w:t>Notwithstanding anything in this Section 14(c) to the contrary, an Award that vests, is earned or paid-out upon the satisfaction of one or more performance goals will not be considered assumed if the Company or its successor modifies any of such performance goals without the Participant’s consent; provided, however, a modification to such performance goals only to reflect the successor corporation’s post-Change in Control corporate structure will not be deemed to invalidate an otherwise valid Award assumption.</w:t>
      </w:r>
    </w:p>
    <w:p>
      <w:pPr>
        <w:spacing w:after="0" w:line="92" w:lineRule="exact"/>
        <w:rPr>
          <w:sz w:val="20"/>
          <w:szCs w:val="20"/>
          <w:color w:val="auto"/>
        </w:rPr>
      </w:pPr>
    </w:p>
    <w:p>
      <w:pPr>
        <w:ind w:left="964" w:hanging="532"/>
        <w:spacing w:after="0" w:line="254" w:lineRule="auto"/>
        <w:tabs>
          <w:tab w:leader="none" w:pos="964" w:val="left"/>
        </w:tabs>
        <w:numPr>
          <w:ilvl w:val="1"/>
          <w:numId w:val="66"/>
        </w:numPr>
        <w:rPr>
          <w:rFonts w:ascii="Arial" w:cs="Arial" w:eastAsia="Arial" w:hAnsi="Arial"/>
          <w:sz w:val="18"/>
          <w:szCs w:val="18"/>
          <w:color w:val="auto"/>
        </w:rPr>
      </w:pPr>
      <w:r>
        <w:rPr>
          <w:rFonts w:ascii="Arial" w:cs="Arial" w:eastAsia="Arial" w:hAnsi="Arial"/>
          <w:sz w:val="18"/>
          <w:szCs w:val="18"/>
          <w:u w:val="single" w:color="auto"/>
          <w:color w:val="auto"/>
        </w:rPr>
        <w:t>Outside Director Awards</w:t>
      </w:r>
      <w:r>
        <w:rPr>
          <w:rFonts w:ascii="Arial" w:cs="Arial" w:eastAsia="Arial" w:hAnsi="Arial"/>
          <w:sz w:val="18"/>
          <w:szCs w:val="18"/>
          <w:color w:val="auto"/>
        </w:rPr>
        <w:t>. With respect to Awards granted to an Outside Director, in the event of a Change in Control, then the Outside Director will fully vest in and have the right to exercise Options and/or Stock Appreciation Rights as to all of the Shares underlying such Award, including those Shares which would not otherwise be vested or exercisable, all restrictions on Restricted Stock and Restricted Stock Units will lapse, and, with respect to Awards with performance-based vesting, unless specifically provided otherwise under the applicable Award Agreement, a Company policy applicable to the Outside Director, or other written agreement between the Outside Director and the Company, all performance goals or other vesting criteria will be deemed achieved at one hundred percent (100%) of target levels and all other terms and conditions met.</w:t>
      </w:r>
    </w:p>
    <w:p>
      <w:pPr>
        <w:spacing w:after="0" w:line="100" w:lineRule="exact"/>
        <w:rPr>
          <w:rFonts w:ascii="Arial" w:cs="Arial" w:eastAsia="Arial" w:hAnsi="Arial"/>
          <w:sz w:val="18"/>
          <w:szCs w:val="18"/>
          <w:color w:val="auto"/>
        </w:rPr>
      </w:pPr>
    </w:p>
    <w:p>
      <w:pPr>
        <w:ind w:left="424" w:hanging="424"/>
        <w:spacing w:after="0"/>
        <w:tabs>
          <w:tab w:leader="none" w:pos="424"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Tax</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64" w:right="180" w:hanging="532"/>
        <w:spacing w:after="0" w:line="279" w:lineRule="auto"/>
        <w:tabs>
          <w:tab w:leader="none" w:pos="964" w:val="left"/>
        </w:tabs>
        <w:numPr>
          <w:ilvl w:val="1"/>
          <w:numId w:val="67"/>
        </w:numPr>
        <w:rPr>
          <w:rFonts w:ascii="Arial" w:cs="Arial" w:eastAsia="Arial" w:hAnsi="Arial"/>
          <w:sz w:val="17"/>
          <w:szCs w:val="17"/>
          <w:color w:val="auto"/>
        </w:rPr>
      </w:pPr>
      <w:r>
        <w:rPr>
          <w:rFonts w:ascii="Arial" w:cs="Arial" w:eastAsia="Arial" w:hAnsi="Arial"/>
          <w:sz w:val="17"/>
          <w:szCs w:val="17"/>
          <w:u w:val="single" w:color="auto"/>
          <w:color w:val="auto"/>
        </w:rPr>
        <w:t>Withholding Requirements</w:t>
      </w:r>
      <w:r>
        <w:rPr>
          <w:rFonts w:ascii="Arial" w:cs="Arial" w:eastAsia="Arial" w:hAnsi="Arial"/>
          <w:sz w:val="17"/>
          <w:szCs w:val="17"/>
          <w:color w:val="auto"/>
        </w:rPr>
        <w:t>. Prior to the delivery of any Shares or cash pursuant to an Award (or exercise thereof) or such earlier time as any tax withholding obligations are due, the Company will have the power and the right to deduct or withhold, or require a Participant to remit to the Company, an amount sufficient to satisfy U.S. federal, state, or local taxes, non-U.S. taxes, or other taxes (including the Participant’s FICA obligation) required to be withheld with respect to such Award (or exercise thereof).</w:t>
      </w:r>
    </w:p>
    <w:p>
      <w:pPr>
        <w:spacing w:after="0" w:line="76" w:lineRule="exact"/>
        <w:rPr>
          <w:rFonts w:ascii="Arial" w:cs="Arial" w:eastAsia="Arial" w:hAnsi="Arial"/>
          <w:sz w:val="17"/>
          <w:szCs w:val="17"/>
          <w:color w:val="auto"/>
        </w:rPr>
      </w:pPr>
    </w:p>
    <w:p>
      <w:pPr>
        <w:ind w:left="964" w:right="80" w:hanging="532"/>
        <w:spacing w:after="0" w:line="255" w:lineRule="auto"/>
        <w:tabs>
          <w:tab w:leader="none" w:pos="964" w:val="left"/>
        </w:tabs>
        <w:numPr>
          <w:ilvl w:val="1"/>
          <w:numId w:val="67"/>
        </w:numPr>
        <w:rPr>
          <w:rFonts w:ascii="Arial" w:cs="Arial" w:eastAsia="Arial" w:hAnsi="Arial"/>
          <w:sz w:val="18"/>
          <w:szCs w:val="18"/>
          <w:color w:val="auto"/>
        </w:rPr>
      </w:pPr>
      <w:r>
        <w:rPr>
          <w:rFonts w:ascii="Arial" w:cs="Arial" w:eastAsia="Arial" w:hAnsi="Arial"/>
          <w:sz w:val="18"/>
          <w:szCs w:val="18"/>
          <w:u w:val="single" w:color="auto"/>
          <w:color w:val="auto"/>
        </w:rPr>
        <w:t>Withholding Arrangements</w:t>
      </w:r>
      <w:r>
        <w:rPr>
          <w:rFonts w:ascii="Arial" w:cs="Arial" w:eastAsia="Arial" w:hAnsi="Arial"/>
          <w:sz w:val="18"/>
          <w:szCs w:val="18"/>
          <w:color w:val="auto"/>
        </w:rPr>
        <w:t>. The Administrator, in its sole discretion and pursuant to such procedures as it may specify from time to time, may permit a Participant to satisfy such tax withholding obligation, in whole or in part by (without limitation) (i) paying cash, (ii) electing to have the Company withhold otherwise deliverable cash or Shares having a fair market value not in excess of the maximum statutory amount required to be withheld, or (iii) delivering to the Company already-owned Shares having a fair market value not in excess of the maximum statutory amount required to be withheld. The fair market value of the Shares to be withheld or delivered will be determined as of the date that the taxes are required to be withheld.</w:t>
      </w:r>
    </w:p>
    <w:p>
      <w:pPr>
        <w:spacing w:after="0" w:line="12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4"/>
          </w:cols>
          <w:pgMar w:left="436" w:top="274" w:right="459" w:bottom="1440" w:gutter="0" w:footer="0" w:header="0"/>
        </w:sectPr>
      </w:pPr>
    </w:p>
    <w:bookmarkStart w:id="47" w:name="page48"/>
    <w:bookmarkEnd w:id="47"/>
    <w:p>
      <w:pPr>
        <w:ind w:left="964" w:hanging="532"/>
        <w:spacing w:after="0" w:line="289" w:lineRule="auto"/>
        <w:tabs>
          <w:tab w:leader="none" w:pos="964" w:val="left"/>
        </w:tabs>
        <w:numPr>
          <w:ilvl w:val="1"/>
          <w:numId w:val="6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Compliance With Section 409A</w:t>
      </w:r>
      <w:r>
        <w:rPr>
          <w:rFonts w:ascii="Arial" w:cs="Arial" w:eastAsia="Arial" w:hAnsi="Arial"/>
          <w:sz w:val="16"/>
          <w:szCs w:val="16"/>
          <w:color w:val="auto"/>
        </w:rPr>
        <w:t>. Awards will be designed and operated in such a manner that they are either exempt from the application of, or comply with, the requirements of Section 409A such that the grant, payment, settlement or deferral will not be subject to the additional tax or interest applicable under Section 409A, except as otherwise determined in the sole discretion of the Administrator. The Plan and each Award Agreement under the Plan is intended to meet the requirements of Section 409A and will be construed and interpreted in accordance with such intent, except as otherwise determined in the sole discretion of the Administrator. To the extent that an Award or payment, or the settlement or deferral thereof, is subject to Section 409A the Award will be granted, paid, settled or deferred in a manner that will meet the requirements of Section 409A, such that the grant, payment, settlement or deferral will not be subject to the additional tax or interest applicable under Section 409A. In no event will the Company (or any Parent or Subsidiary of the Company, as applicable) reimburse a Participant for any taxes imposed or other costs incurred as a result of Section 409A.</w:t>
      </w:r>
    </w:p>
    <w:p>
      <w:pPr>
        <w:spacing w:after="0" w:line="71" w:lineRule="exact"/>
        <w:rPr>
          <w:rFonts w:ascii="Arial" w:cs="Arial" w:eastAsia="Arial" w:hAnsi="Arial"/>
          <w:sz w:val="16"/>
          <w:szCs w:val="16"/>
          <w:color w:val="auto"/>
        </w:rPr>
      </w:pPr>
    </w:p>
    <w:p>
      <w:pPr>
        <w:ind w:left="424" w:right="100" w:hanging="424"/>
        <w:spacing w:after="0" w:line="259" w:lineRule="auto"/>
        <w:tabs>
          <w:tab w:leader="none" w:pos="424"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No Effect on Employment or Service</w:t>
      </w:r>
      <w:r>
        <w:rPr>
          <w:rFonts w:ascii="Arial" w:cs="Arial" w:eastAsia="Arial" w:hAnsi="Arial"/>
          <w:sz w:val="18"/>
          <w:szCs w:val="18"/>
          <w:color w:val="auto"/>
        </w:rPr>
        <w:t>. Neither the Plan nor any Award will confer upon a Participant any right with respect to continuing the Participant’s relationship as a Service Provider, nor will they interfere in any way with the Participant’s right or the right of the Company (or any Parent or Subsidiary of the Company) to terminate such relationship at any time, with or without cause, to the extent permitted by Applicable Laws.</w:t>
      </w:r>
    </w:p>
    <w:p>
      <w:pPr>
        <w:spacing w:after="0" w:line="92" w:lineRule="exact"/>
        <w:rPr>
          <w:rFonts w:ascii="Arial" w:cs="Arial" w:eastAsia="Arial" w:hAnsi="Arial"/>
          <w:sz w:val="18"/>
          <w:szCs w:val="18"/>
          <w:color w:val="auto"/>
        </w:rPr>
      </w:pPr>
    </w:p>
    <w:p>
      <w:pPr>
        <w:ind w:left="424" w:right="20" w:hanging="424"/>
        <w:spacing w:after="0" w:line="263" w:lineRule="auto"/>
        <w:tabs>
          <w:tab w:leader="none" w:pos="424"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Date of Grant</w:t>
      </w:r>
      <w:r>
        <w:rPr>
          <w:rFonts w:ascii="Arial" w:cs="Arial" w:eastAsia="Arial" w:hAnsi="Arial"/>
          <w:sz w:val="18"/>
          <w:szCs w:val="18"/>
          <w:color w:val="auto"/>
        </w:rPr>
        <w:t>. The date of grant of an Award will be, for all purposes, the date on which the Administrator makes the determination granting such Award, or such other later date as is determined by the Administrator. Notice of the determination will be provided to each Participant within a reasonable time after the date of such grant.</w:t>
      </w:r>
    </w:p>
    <w:p>
      <w:pPr>
        <w:spacing w:after="0" w:line="89" w:lineRule="exact"/>
        <w:rPr>
          <w:rFonts w:ascii="Arial" w:cs="Arial" w:eastAsia="Arial" w:hAnsi="Arial"/>
          <w:sz w:val="18"/>
          <w:szCs w:val="18"/>
          <w:color w:val="auto"/>
        </w:rPr>
      </w:pPr>
    </w:p>
    <w:p>
      <w:pPr>
        <w:ind w:left="424" w:right="60" w:hanging="424"/>
        <w:spacing w:after="0" w:line="263" w:lineRule="auto"/>
        <w:tabs>
          <w:tab w:leader="none" w:pos="424"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Term of Plan</w:t>
      </w:r>
      <w:r>
        <w:rPr>
          <w:rFonts w:ascii="Arial" w:cs="Arial" w:eastAsia="Arial" w:hAnsi="Arial"/>
          <w:sz w:val="18"/>
          <w:szCs w:val="18"/>
          <w:color w:val="auto"/>
        </w:rPr>
        <w:t>. Subject to Section 23 of the Plan, the Plan will become effective upon the later to occur of (i) its adoption by the Board or (ii) the business day immediately prior to the Registration Date. It will continue in effect for a term of ten (10) years from the date adopted by the Board, unless terminated earlier under Section 19 of the Plan.</w:t>
      </w:r>
    </w:p>
    <w:p>
      <w:pPr>
        <w:spacing w:after="0" w:line="89" w:lineRule="exact"/>
        <w:rPr>
          <w:rFonts w:ascii="Arial" w:cs="Arial" w:eastAsia="Arial" w:hAnsi="Arial"/>
          <w:sz w:val="18"/>
          <w:szCs w:val="18"/>
          <w:color w:val="auto"/>
        </w:rPr>
      </w:pPr>
    </w:p>
    <w:p>
      <w:pPr>
        <w:ind w:left="424" w:hanging="424"/>
        <w:spacing w:after="0"/>
        <w:tabs>
          <w:tab w:leader="none" w:pos="424"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 of the Plan</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69"/>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w:t>
      </w:r>
      <w:r>
        <w:rPr>
          <w:rFonts w:ascii="Arial" w:cs="Arial" w:eastAsia="Arial" w:hAnsi="Arial"/>
          <w:sz w:val="18"/>
          <w:szCs w:val="18"/>
          <w:color w:val="auto"/>
        </w:rPr>
        <w:t>. The Administrator may at any time amend, alter, suspend or terminate the Plan.</w:t>
      </w:r>
    </w:p>
    <w:p>
      <w:pPr>
        <w:spacing w:after="0" w:line="130" w:lineRule="exact"/>
        <w:rPr>
          <w:rFonts w:ascii="Arial" w:cs="Arial" w:eastAsia="Arial" w:hAnsi="Arial"/>
          <w:sz w:val="18"/>
          <w:szCs w:val="18"/>
          <w:color w:val="auto"/>
        </w:rPr>
      </w:pPr>
    </w:p>
    <w:p>
      <w:pPr>
        <w:ind w:left="964" w:right="280" w:hanging="532"/>
        <w:spacing w:after="0" w:line="277" w:lineRule="auto"/>
        <w:tabs>
          <w:tab w:leader="none" w:pos="964" w:val="left"/>
        </w:tabs>
        <w:numPr>
          <w:ilvl w:val="1"/>
          <w:numId w:val="69"/>
        </w:numPr>
        <w:rPr>
          <w:rFonts w:ascii="Arial" w:cs="Arial" w:eastAsia="Arial" w:hAnsi="Arial"/>
          <w:sz w:val="18"/>
          <w:szCs w:val="18"/>
          <w:color w:val="auto"/>
        </w:rPr>
      </w:pPr>
      <w:r>
        <w:rPr>
          <w:rFonts w:ascii="Arial" w:cs="Arial" w:eastAsia="Arial" w:hAnsi="Arial"/>
          <w:sz w:val="18"/>
          <w:szCs w:val="18"/>
          <w:u w:val="single" w:color="auto"/>
          <w:color w:val="auto"/>
        </w:rPr>
        <w:t>Stockholder Approval</w:t>
      </w:r>
      <w:r>
        <w:rPr>
          <w:rFonts w:ascii="Arial" w:cs="Arial" w:eastAsia="Arial" w:hAnsi="Arial"/>
          <w:sz w:val="18"/>
          <w:szCs w:val="18"/>
          <w:color w:val="auto"/>
        </w:rPr>
        <w:t>. The Company will obtain stockholder approval of any Plan amendment to the extent necessary and desirable to comply with Applicable Laws.</w:t>
      </w:r>
    </w:p>
    <w:p>
      <w:pPr>
        <w:spacing w:after="0" w:line="103"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44"/>
          </w:cols>
          <w:pgMar w:left="436" w:top="274" w:right="519" w:bottom="1440" w:gutter="0" w:footer="0" w:header="0"/>
        </w:sectPr>
      </w:pPr>
    </w:p>
    <w:bookmarkStart w:id="48" w:name="page49"/>
    <w:bookmarkEnd w:id="48"/>
    <w:p>
      <w:pPr>
        <w:ind w:left="964" w:right="80" w:hanging="532"/>
        <w:spacing w:after="0" w:line="279" w:lineRule="auto"/>
        <w:tabs>
          <w:tab w:leader="none" w:pos="964" w:val="left"/>
        </w:tabs>
        <w:numPr>
          <w:ilvl w:val="1"/>
          <w:numId w:val="70"/>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Effect of Amendment or Termination</w:t>
      </w:r>
      <w:r>
        <w:rPr>
          <w:rFonts w:ascii="Arial" w:cs="Arial" w:eastAsia="Arial" w:hAnsi="Arial"/>
          <w:sz w:val="17"/>
          <w:szCs w:val="17"/>
          <w:color w:val="auto"/>
        </w:rPr>
        <w:t>. No amendment, alteration, suspension or termination of the Plan will materially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w:t>
      </w:r>
    </w:p>
    <w:p>
      <w:pPr>
        <w:spacing w:after="0" w:line="76" w:lineRule="exact"/>
        <w:rPr>
          <w:rFonts w:ascii="Arial" w:cs="Arial" w:eastAsia="Arial" w:hAnsi="Arial"/>
          <w:sz w:val="17"/>
          <w:szCs w:val="17"/>
          <w:color w:val="auto"/>
        </w:rPr>
      </w:pPr>
    </w:p>
    <w:p>
      <w:pPr>
        <w:ind w:left="424" w:hanging="424"/>
        <w:spacing w:after="0"/>
        <w:tabs>
          <w:tab w:leader="none" w:pos="424"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Conditions Upon Issuance of Shares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64" w:right="40" w:hanging="532"/>
        <w:spacing w:after="0" w:line="263" w:lineRule="auto"/>
        <w:tabs>
          <w:tab w:leader="none" w:pos="964" w:val="left"/>
        </w:tabs>
        <w:numPr>
          <w:ilvl w:val="1"/>
          <w:numId w:val="71"/>
        </w:numPr>
        <w:rPr>
          <w:rFonts w:ascii="Arial" w:cs="Arial" w:eastAsia="Arial" w:hAnsi="Arial"/>
          <w:sz w:val="18"/>
          <w:szCs w:val="18"/>
          <w:color w:val="auto"/>
        </w:rPr>
      </w:pPr>
      <w:r>
        <w:rPr>
          <w:rFonts w:ascii="Arial" w:cs="Arial" w:eastAsia="Arial" w:hAnsi="Arial"/>
          <w:sz w:val="18"/>
          <w:szCs w:val="18"/>
          <w:u w:val="single" w:color="auto"/>
          <w:color w:val="auto"/>
        </w:rPr>
        <w:t>Legal Compliance</w:t>
      </w:r>
      <w:r>
        <w:rPr>
          <w:rFonts w:ascii="Arial" w:cs="Arial" w:eastAsia="Arial" w:hAnsi="Arial"/>
          <w:sz w:val="18"/>
          <w:szCs w:val="18"/>
          <w:color w:val="auto"/>
        </w:rPr>
        <w:t>. Shares will not be issued pursuant to an Award unless the exercise of such Award and the issuance and delivery of such Shares will comply with Applicable Laws and will be further subject to the approval of counsel for the Company with respect to such compliance.</w:t>
      </w:r>
    </w:p>
    <w:p>
      <w:pPr>
        <w:spacing w:after="0" w:line="89" w:lineRule="exact"/>
        <w:rPr>
          <w:rFonts w:ascii="Arial" w:cs="Arial" w:eastAsia="Arial" w:hAnsi="Arial"/>
          <w:sz w:val="18"/>
          <w:szCs w:val="18"/>
          <w:color w:val="auto"/>
        </w:rPr>
      </w:pPr>
    </w:p>
    <w:p>
      <w:pPr>
        <w:ind w:left="964" w:right="280" w:hanging="532"/>
        <w:spacing w:after="0" w:line="311" w:lineRule="auto"/>
        <w:tabs>
          <w:tab w:leader="none" w:pos="964" w:val="left"/>
        </w:tabs>
        <w:numPr>
          <w:ilvl w:val="1"/>
          <w:numId w:val="71"/>
        </w:numPr>
        <w:rPr>
          <w:rFonts w:ascii="Arial" w:cs="Arial" w:eastAsia="Arial" w:hAnsi="Arial"/>
          <w:sz w:val="16"/>
          <w:szCs w:val="16"/>
          <w:color w:val="auto"/>
        </w:rPr>
      </w:pPr>
      <w:r>
        <w:rPr>
          <w:rFonts w:ascii="Arial" w:cs="Arial" w:eastAsia="Arial" w:hAnsi="Arial"/>
          <w:sz w:val="16"/>
          <w:szCs w:val="16"/>
          <w:u w:val="single" w:color="auto"/>
          <w:color w:val="auto"/>
        </w:rPr>
        <w:t>Investment Representations</w:t>
      </w:r>
      <w:r>
        <w:rPr>
          <w:rFonts w:ascii="Arial" w:cs="Arial" w:eastAsia="Arial" w:hAnsi="Arial"/>
          <w:sz w:val="16"/>
          <w:szCs w:val="16"/>
          <w:color w:val="auto"/>
        </w:rPr>
        <w:t>. 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54" w:lineRule="exact"/>
        <w:rPr>
          <w:rFonts w:ascii="Arial" w:cs="Arial" w:eastAsia="Arial" w:hAnsi="Arial"/>
          <w:sz w:val="16"/>
          <w:szCs w:val="16"/>
          <w:color w:val="auto"/>
        </w:rPr>
      </w:pPr>
    </w:p>
    <w:p>
      <w:pPr>
        <w:ind w:left="424" w:right="40" w:hanging="424"/>
        <w:spacing w:after="0" w:line="293" w:lineRule="auto"/>
        <w:tabs>
          <w:tab w:leader="none" w:pos="424"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Inability to Obtain Authority</w:t>
      </w:r>
      <w:r>
        <w:rPr>
          <w:rFonts w:ascii="Arial" w:cs="Arial" w:eastAsia="Arial" w:hAnsi="Arial"/>
          <w:sz w:val="16"/>
          <w:szCs w:val="16"/>
          <w:color w:val="auto"/>
        </w:rPr>
        <w:t>. The inability of the Company to obtain authority from any regulatory body having jurisdiction or to complete or comply with the requirements of any registration or other qualification of the Shares under any U.S. federal or state law, any non-U.S. law, or the rules and regulations of the Securities and Exchange Commission, the stock exchange on which Shares of the same class are then listed, or any other governmental or regulatory body, which authority, registration, qualification or rule compliance is deemed by the Company’s counsel to be necessary or advisable for the issuance and sale of any Shares hereunder, will relieve the Company of any liability in respect of the failure to issue or sell such Shares as to which such requisite authority, registration, qualification or rule compliance will not have been obtained.</w:t>
      </w:r>
    </w:p>
    <w:p>
      <w:pPr>
        <w:spacing w:after="0" w:line="69" w:lineRule="exact"/>
        <w:rPr>
          <w:rFonts w:ascii="Arial" w:cs="Arial" w:eastAsia="Arial" w:hAnsi="Arial"/>
          <w:sz w:val="16"/>
          <w:szCs w:val="16"/>
          <w:color w:val="auto"/>
        </w:rPr>
      </w:pPr>
    </w:p>
    <w:p>
      <w:pPr>
        <w:ind w:left="424" w:hanging="424"/>
        <w:spacing w:after="0"/>
        <w:tabs>
          <w:tab w:leader="none" w:pos="424"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Forfeiture Events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64" w:hanging="532"/>
        <w:spacing w:after="0" w:line="271" w:lineRule="auto"/>
        <w:tabs>
          <w:tab w:leader="none" w:pos="964" w:val="left"/>
        </w:tabs>
        <w:numPr>
          <w:ilvl w:val="1"/>
          <w:numId w:val="71"/>
        </w:numPr>
        <w:rPr>
          <w:rFonts w:ascii="Arial" w:cs="Arial" w:eastAsia="Arial" w:hAnsi="Arial"/>
          <w:sz w:val="17"/>
          <w:szCs w:val="17"/>
          <w:color w:val="auto"/>
        </w:rPr>
      </w:pPr>
      <w:r>
        <w:rPr>
          <w:rFonts w:ascii="Arial" w:cs="Arial" w:eastAsia="Arial" w:hAnsi="Arial"/>
          <w:sz w:val="17"/>
          <w:szCs w:val="17"/>
          <w:color w:val="auto"/>
        </w:rPr>
        <w:t>All Awards granted under the Plan will be subject to recoupment under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Laws. In addition, the Administrator may impose such other clawback, recovery or recoupment provisions in an Award Agreement as the Administrator determines necessary or appropriate, including but not limited to a reacquisition right regarding previously acquired Shares or other cash or property. Unless this Section 22 is specifically mentioned and waived in an Award Agreement or other document, no recovery of compensation under a clawback policy or otherwise will be an event that triggers or contributes to any right of a Participant to resign for “good reason” or “constructive termination” (or similar term) under any agreement with the Company or any Subsidiary.</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4"/>
          </w:cols>
          <w:pgMar w:left="436" w:top="274" w:right="459" w:bottom="1440" w:gutter="0" w:footer="0" w:header="0"/>
        </w:sectPr>
      </w:pPr>
    </w:p>
    <w:bookmarkStart w:id="49" w:name="page50"/>
    <w:bookmarkEnd w:id="49"/>
    <w:p>
      <w:pPr>
        <w:ind w:left="964" w:right="140" w:hanging="532"/>
        <w:spacing w:after="0" w:line="296" w:lineRule="auto"/>
        <w:tabs>
          <w:tab w:leader="none" w:pos="964" w:val="left"/>
        </w:tabs>
        <w:numPr>
          <w:ilvl w:val="1"/>
          <w:numId w:val="7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Administrator may specify in an Award Agreement that the Participant’s rights, payments, and benefits with respect to an Award will be subject to reduction, cancellation, forfeiture, or recoupment upon the occurrence of specified events, in addition to any otherwise applicable vesting or performance conditions of an Award. Such events may include, but will not be limited to, termination of such Participant’s status as a Service Provider for cause or any specified action or inaction by a Participant, whether before or after the date Participant is no longer a Service Provider, that would constitute cause for termination of such Participant’s status as a Service Provider.</w:t>
      </w:r>
    </w:p>
    <w:p>
      <w:pPr>
        <w:spacing w:after="0" w:line="66" w:lineRule="exact"/>
        <w:rPr>
          <w:rFonts w:ascii="Arial" w:cs="Arial" w:eastAsia="Arial" w:hAnsi="Arial"/>
          <w:sz w:val="16"/>
          <w:szCs w:val="16"/>
          <w:color w:val="auto"/>
        </w:rPr>
      </w:pPr>
    </w:p>
    <w:p>
      <w:pPr>
        <w:ind w:left="964" w:hanging="532"/>
        <w:spacing w:after="0" w:line="254" w:lineRule="auto"/>
        <w:tabs>
          <w:tab w:leader="none" w:pos="964" w:val="left"/>
        </w:tabs>
        <w:numPr>
          <w:ilvl w:val="1"/>
          <w:numId w:val="72"/>
        </w:numPr>
        <w:rPr>
          <w:rFonts w:ascii="Arial" w:cs="Arial" w:eastAsia="Arial" w:hAnsi="Arial"/>
          <w:sz w:val="18"/>
          <w:szCs w:val="18"/>
          <w:color w:val="auto"/>
        </w:rPr>
      </w:pPr>
      <w:r>
        <w:rPr>
          <w:rFonts w:ascii="Arial" w:cs="Arial" w:eastAsia="Arial" w:hAnsi="Arial"/>
          <w:sz w:val="18"/>
          <w:szCs w:val="18"/>
          <w:color w:val="auto"/>
        </w:rPr>
        <w:t>If the Company is required to prepare an accounting restatement due to the material noncompliance of the Company, as a result of misconduct, with any financial reporting requirement under securities laws, any Participant who (1) knowingly or through gross negligence engaged in the misconduct or who knowingly or through gross negligence failed to prevent the misconduct or (2) is one of the individuals subject to automatic forfeiture under Section 304 of the Sarbanes-Oxley Act of 2002, must reimburse the Company the amount of any payment in settlement of an Award earned or accrued during the 12-month period following the first public issuance or filing with the United States Securities and Exchange Commission (whichever first occurred) of the financial document embodying such financial reporting requirement.</w:t>
      </w:r>
    </w:p>
    <w:p>
      <w:pPr>
        <w:spacing w:after="0" w:line="100" w:lineRule="exact"/>
        <w:rPr>
          <w:rFonts w:ascii="Arial" w:cs="Arial" w:eastAsia="Arial" w:hAnsi="Arial"/>
          <w:sz w:val="18"/>
          <w:szCs w:val="18"/>
          <w:color w:val="auto"/>
        </w:rPr>
      </w:pPr>
    </w:p>
    <w:p>
      <w:pPr>
        <w:ind w:left="424" w:right="80" w:hanging="424"/>
        <w:spacing w:after="0" w:line="308" w:lineRule="auto"/>
        <w:tabs>
          <w:tab w:leader="none" w:pos="424" w:val="left"/>
        </w:tabs>
        <w:numPr>
          <w:ilvl w:val="0"/>
          <w:numId w:val="73"/>
        </w:numPr>
        <w:rPr>
          <w:rFonts w:ascii="Arial" w:cs="Arial" w:eastAsia="Arial" w:hAnsi="Arial"/>
          <w:sz w:val="17"/>
          <w:szCs w:val="17"/>
          <w:color w:val="auto"/>
        </w:rPr>
      </w:pPr>
      <w:r>
        <w:rPr>
          <w:rFonts w:ascii="Arial" w:cs="Arial" w:eastAsia="Arial" w:hAnsi="Arial"/>
          <w:sz w:val="17"/>
          <w:szCs w:val="17"/>
          <w:u w:val="single" w:color="auto"/>
          <w:color w:val="auto"/>
        </w:rPr>
        <w:t>Stockholder Approval</w:t>
      </w:r>
      <w:r>
        <w:rPr>
          <w:rFonts w:ascii="Arial" w:cs="Arial" w:eastAsia="Arial" w:hAnsi="Arial"/>
          <w:sz w:val="17"/>
          <w:szCs w:val="17"/>
          <w:color w:val="auto"/>
        </w:rPr>
        <w:t>. The Plan will be subject to approval by the stockholders of the Company within twelve (12) months after the date the Plan is adopted by the Board. Such stockholder approval will be obtained in the manner and to the degree required under Applicable Laws.</w:t>
      </w:r>
    </w:p>
    <w:p>
      <w:pPr>
        <w:spacing w:after="0" w:line="7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4"/>
          </w:cols>
          <w:pgMar w:left="436" w:top="274" w:right="45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99.3</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Oyster Point Pharma, Inc.</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2021 Inducement Plan</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Adopted by the Board of Directors: July 30, 2021</w:t>
      </w:r>
    </w:p>
    <w:p>
      <w:pPr>
        <w:spacing w:after="0" w:line="256" w:lineRule="exact"/>
        <w:rPr>
          <w:sz w:val="20"/>
          <w:szCs w:val="20"/>
          <w:color w:val="auto"/>
        </w:rPr>
      </w:pPr>
    </w:p>
    <w:p>
      <w:pPr>
        <w:ind w:left="424" w:hanging="424"/>
        <w:spacing w:after="0"/>
        <w:tabs>
          <w:tab w:leader="none" w:pos="424"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w:t>
      </w:r>
    </w:p>
    <w:p>
      <w:pPr>
        <w:spacing w:after="0" w:line="126" w:lineRule="exact"/>
        <w:rPr>
          <w:rFonts w:ascii="Arial" w:cs="Arial" w:eastAsia="Arial" w:hAnsi="Arial"/>
          <w:sz w:val="18"/>
          <w:szCs w:val="18"/>
          <w:color w:val="auto"/>
        </w:rPr>
      </w:pPr>
    </w:p>
    <w:p>
      <w:pPr>
        <w:ind w:left="964" w:right="40" w:hanging="532"/>
        <w:spacing w:after="0" w:line="289" w:lineRule="auto"/>
        <w:tabs>
          <w:tab w:leader="none" w:pos="964" w:val="left"/>
        </w:tabs>
        <w:numPr>
          <w:ilvl w:val="1"/>
          <w:numId w:val="74"/>
        </w:numPr>
        <w:rPr>
          <w:rFonts w:ascii="Arial" w:cs="Arial" w:eastAsia="Arial" w:hAnsi="Arial"/>
          <w:sz w:val="16"/>
          <w:szCs w:val="16"/>
          <w:color w:val="auto"/>
        </w:rPr>
      </w:pPr>
      <w:r>
        <w:rPr>
          <w:rFonts w:ascii="Arial" w:cs="Arial" w:eastAsia="Arial" w:hAnsi="Arial"/>
          <w:sz w:val="16"/>
          <w:szCs w:val="16"/>
          <w:u w:val="single" w:color="auto"/>
          <w:color w:val="auto"/>
        </w:rPr>
        <w:t>Eligible Award Recipients</w:t>
      </w:r>
      <w:r>
        <w:rPr>
          <w:rFonts w:ascii="Arial" w:cs="Arial" w:eastAsia="Arial" w:hAnsi="Arial"/>
          <w:sz w:val="16"/>
          <w:szCs w:val="16"/>
          <w:b w:val="1"/>
          <w:bCs w:val="1"/>
          <w:color w:val="auto"/>
        </w:rPr>
        <w:t>.</w:t>
      </w:r>
      <w:r>
        <w:rPr>
          <w:rFonts w:ascii="Arial" w:cs="Arial" w:eastAsia="Arial" w:hAnsi="Arial"/>
          <w:sz w:val="16"/>
          <w:szCs w:val="16"/>
          <w:color w:val="auto"/>
        </w:rPr>
        <w:t xml:space="preserve"> The only persons eligible to receive grants of Awards under this Plan are individuals who satisfy the standards for inducement grants under Nasdaq Marketplace Rule 5635(c)(4) or 5635(c)(3), if applicable, and the related guidance under Nasdaq IM 5635-1. A person who previously served as an Employee or Director will not be eligible to receive Awards under the Plan, other than following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period of non-employment. Persons eligible to receive grants of Awards under this Plan are referred to in this Plan as “</w:t>
      </w:r>
      <w:r>
        <w:rPr>
          <w:rFonts w:ascii="Arial" w:cs="Arial" w:eastAsia="Arial" w:hAnsi="Arial"/>
          <w:sz w:val="16"/>
          <w:szCs w:val="16"/>
          <w:b w:val="1"/>
          <w:bCs w:val="1"/>
          <w:i w:val="1"/>
          <w:iCs w:val="1"/>
          <w:color w:val="auto"/>
        </w:rPr>
        <w:t>Eligible Employees</w:t>
      </w:r>
      <w:r>
        <w:rPr>
          <w:rFonts w:ascii="Arial" w:cs="Arial" w:eastAsia="Arial" w:hAnsi="Arial"/>
          <w:sz w:val="16"/>
          <w:szCs w:val="16"/>
          <w:color w:val="auto"/>
        </w:rPr>
        <w:t>.” These Awards must be approved by either a majority of the Company’s “Independent Directors” (as such term is defined in Nasdaq Marketplace Rule 5605(a)(2)) (“</w:t>
      </w:r>
      <w:r>
        <w:rPr>
          <w:rFonts w:ascii="Arial" w:cs="Arial" w:eastAsia="Arial" w:hAnsi="Arial"/>
          <w:sz w:val="16"/>
          <w:szCs w:val="16"/>
          <w:b w:val="1"/>
          <w:bCs w:val="1"/>
          <w:i w:val="1"/>
          <w:iCs w:val="1"/>
          <w:color w:val="auto"/>
        </w:rPr>
        <w:t>Independent Directors</w:t>
      </w:r>
      <w:r>
        <w:rPr>
          <w:rFonts w:ascii="Arial" w:cs="Arial" w:eastAsia="Arial" w:hAnsi="Arial"/>
          <w:sz w:val="16"/>
          <w:szCs w:val="16"/>
          <w:color w:val="auto"/>
        </w:rPr>
        <w:t>”) or the Company’s compensation committee, provided such committee is comprised solely of Independent Directors of the Company (the “</w:t>
      </w:r>
      <w:r>
        <w:rPr>
          <w:rFonts w:ascii="Arial" w:cs="Arial" w:eastAsia="Arial" w:hAnsi="Arial"/>
          <w:sz w:val="16"/>
          <w:szCs w:val="16"/>
          <w:b w:val="1"/>
          <w:bCs w:val="1"/>
          <w:i w:val="1"/>
          <w:iCs w:val="1"/>
          <w:color w:val="auto"/>
        </w:rPr>
        <w:t>Independent Compensation Committee</w:t>
      </w:r>
      <w:r>
        <w:rPr>
          <w:rFonts w:ascii="Arial" w:cs="Arial" w:eastAsia="Arial" w:hAnsi="Arial"/>
          <w:sz w:val="16"/>
          <w:szCs w:val="16"/>
          <w:color w:val="auto"/>
        </w:rPr>
        <w:t>”) in order to comply with the exemption from the stockholder approval requirement for “inducement grants” provided under Rule 5635(c)(4) of the Nasdaq Marketplace Rules. Nasdaq Marketplace Rule 5635(c)(4) and the related guidance under Nasdaq IM 5635-1 (together with any analogous rules or guidance effective after the date hereof, the “</w:t>
      </w:r>
      <w:r>
        <w:rPr>
          <w:rFonts w:ascii="Arial" w:cs="Arial" w:eastAsia="Arial" w:hAnsi="Arial"/>
          <w:sz w:val="16"/>
          <w:szCs w:val="16"/>
          <w:b w:val="1"/>
          <w:bCs w:val="1"/>
          <w:i w:val="1"/>
          <w:iCs w:val="1"/>
          <w:color w:val="auto"/>
        </w:rPr>
        <w:t>Inducement Award Rules</w:t>
      </w:r>
      <w:r>
        <w:rPr>
          <w:rFonts w:ascii="Arial" w:cs="Arial" w:eastAsia="Arial" w:hAnsi="Arial"/>
          <w:sz w:val="16"/>
          <w:szCs w:val="16"/>
          <w:color w:val="auto"/>
        </w:rPr>
        <w:t>”).</w:t>
      </w:r>
    </w:p>
    <w:p>
      <w:pPr>
        <w:spacing w:after="0" w:line="66" w:lineRule="exact"/>
        <w:rPr>
          <w:rFonts w:ascii="Arial" w:cs="Arial" w:eastAsia="Arial" w:hAnsi="Arial"/>
          <w:sz w:val="16"/>
          <w:szCs w:val="16"/>
          <w:color w:val="auto"/>
        </w:rPr>
      </w:pPr>
    </w:p>
    <w:p>
      <w:pPr>
        <w:ind w:left="964" w:right="20" w:hanging="532"/>
        <w:spacing w:after="0" w:line="281" w:lineRule="auto"/>
        <w:tabs>
          <w:tab w:leader="none" w:pos="964" w:val="left"/>
        </w:tabs>
        <w:numPr>
          <w:ilvl w:val="1"/>
          <w:numId w:val="74"/>
        </w:numPr>
        <w:rPr>
          <w:rFonts w:ascii="Arial" w:cs="Arial" w:eastAsia="Arial" w:hAnsi="Arial"/>
          <w:sz w:val="17"/>
          <w:szCs w:val="17"/>
          <w:color w:val="auto"/>
        </w:rPr>
      </w:pPr>
      <w:r>
        <w:rPr>
          <w:rFonts w:ascii="Arial" w:cs="Arial" w:eastAsia="Arial" w:hAnsi="Arial"/>
          <w:sz w:val="17"/>
          <w:szCs w:val="17"/>
          <w:u w:val="single" w:color="auto"/>
          <w:color w:val="auto"/>
        </w:rPr>
        <w:t>Plan Purpose</w:t>
      </w:r>
      <w:r>
        <w:rPr>
          <w:rFonts w:ascii="Arial" w:cs="Arial" w:eastAsia="Arial" w:hAnsi="Arial"/>
          <w:sz w:val="17"/>
          <w:szCs w:val="17"/>
          <w:b w:val="1"/>
          <w:bCs w:val="1"/>
          <w:color w:val="auto"/>
        </w:rPr>
        <w:t>.</w:t>
      </w:r>
      <w:r>
        <w:rPr>
          <w:rFonts w:ascii="Arial" w:cs="Arial" w:eastAsia="Arial" w:hAnsi="Arial"/>
          <w:sz w:val="17"/>
          <w:szCs w:val="17"/>
          <w:color w:val="auto"/>
        </w:rPr>
        <w:t xml:space="preserve"> The Company, by means of the Plan, intends to provide: (i) an inducement material for certain individuals to enter into employment with the Company within the meaning of Rule 5635(c)(4) of the Nasdaq Marketplace Rules, (ii) incentives for such persons to exert maximum efforts for the success of the Company and any Affiliate and (iii) a means by which Eligible Employees may be given an opportunity to benefit from increases in value of the Common Stock through the granting of Awards.</w:t>
      </w:r>
    </w:p>
    <w:p>
      <w:pPr>
        <w:spacing w:after="0" w:line="70" w:lineRule="exact"/>
        <w:rPr>
          <w:rFonts w:ascii="Arial" w:cs="Arial" w:eastAsia="Arial" w:hAnsi="Arial"/>
          <w:sz w:val="17"/>
          <w:szCs w:val="17"/>
          <w:color w:val="auto"/>
        </w:rPr>
      </w:pPr>
    </w:p>
    <w:p>
      <w:pPr>
        <w:ind w:left="964" w:right="420" w:hanging="532"/>
        <w:spacing w:after="0" w:line="282" w:lineRule="auto"/>
        <w:tabs>
          <w:tab w:leader="none" w:pos="964" w:val="left"/>
        </w:tabs>
        <w:numPr>
          <w:ilvl w:val="1"/>
          <w:numId w:val="74"/>
        </w:numPr>
        <w:rPr>
          <w:rFonts w:ascii="Arial" w:cs="Arial" w:eastAsia="Arial" w:hAnsi="Arial"/>
          <w:sz w:val="18"/>
          <w:szCs w:val="18"/>
          <w:color w:val="auto"/>
        </w:rPr>
      </w:pPr>
      <w:r>
        <w:rPr>
          <w:rFonts w:ascii="Arial" w:cs="Arial" w:eastAsia="Arial" w:hAnsi="Arial"/>
          <w:sz w:val="18"/>
          <w:szCs w:val="18"/>
          <w:u w:val="single" w:color="auto"/>
          <w:color w:val="auto"/>
        </w:rPr>
        <w:t>Available Awards</w:t>
      </w:r>
      <w:r>
        <w:rPr>
          <w:rFonts w:ascii="Arial" w:cs="Arial" w:eastAsia="Arial" w:hAnsi="Arial"/>
          <w:sz w:val="18"/>
          <w:szCs w:val="18"/>
          <w:b w:val="1"/>
          <w:bCs w:val="1"/>
          <w:color w:val="auto"/>
        </w:rPr>
        <w:t>.</w:t>
      </w:r>
      <w:r>
        <w:rPr>
          <w:rFonts w:ascii="Arial" w:cs="Arial" w:eastAsia="Arial" w:hAnsi="Arial"/>
          <w:sz w:val="18"/>
          <w:szCs w:val="18"/>
          <w:color w:val="auto"/>
        </w:rPr>
        <w:t xml:space="preserve"> The Plan provides for the grant of the following Awards: (i) Nonstatutory Options; (ii) SARs; (iii) Restricted Stock Awards; (iv) RSU Awards; (v) Performance Awards, and (vi) Other Awards.</w:t>
      </w:r>
    </w:p>
    <w:p>
      <w:pPr>
        <w:spacing w:after="0" w:line="71" w:lineRule="exact"/>
        <w:rPr>
          <w:rFonts w:ascii="Arial" w:cs="Arial" w:eastAsia="Arial" w:hAnsi="Arial"/>
          <w:sz w:val="18"/>
          <w:szCs w:val="18"/>
          <w:color w:val="auto"/>
        </w:rPr>
      </w:pPr>
    </w:p>
    <w:p>
      <w:pPr>
        <w:ind w:left="424" w:hanging="424"/>
        <w:spacing w:after="0"/>
        <w:tabs>
          <w:tab w:leader="none" w:pos="424"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Shares Subject to the Plan</w:t>
      </w:r>
      <w:r>
        <w:rPr>
          <w:rFonts w:ascii="Arial" w:cs="Arial" w:eastAsia="Arial" w:hAnsi="Arial"/>
          <w:sz w:val="18"/>
          <w:szCs w:val="18"/>
          <w:color w:val="auto"/>
        </w:rPr>
        <w:t>.</w:t>
      </w:r>
    </w:p>
    <w:p>
      <w:pPr>
        <w:spacing w:after="0" w:line="126" w:lineRule="exact"/>
        <w:rPr>
          <w:rFonts w:ascii="Arial" w:cs="Arial" w:eastAsia="Arial" w:hAnsi="Arial"/>
          <w:sz w:val="18"/>
          <w:szCs w:val="18"/>
          <w:color w:val="auto"/>
        </w:rPr>
      </w:pPr>
    </w:p>
    <w:p>
      <w:pPr>
        <w:ind w:left="964" w:right="220" w:hanging="532"/>
        <w:spacing w:after="0" w:line="347" w:lineRule="auto"/>
        <w:tabs>
          <w:tab w:leader="none" w:pos="964" w:val="left"/>
        </w:tabs>
        <w:numPr>
          <w:ilvl w:val="1"/>
          <w:numId w:val="74"/>
        </w:numPr>
        <w:rPr>
          <w:rFonts w:ascii="Arial" w:cs="Arial" w:eastAsia="Arial" w:hAnsi="Arial"/>
          <w:sz w:val="16"/>
          <w:szCs w:val="16"/>
          <w:color w:val="auto"/>
        </w:rPr>
      </w:pPr>
      <w:r>
        <w:rPr>
          <w:rFonts w:ascii="Arial" w:cs="Arial" w:eastAsia="Arial" w:hAnsi="Arial"/>
          <w:sz w:val="16"/>
          <w:szCs w:val="16"/>
          <w:u w:val="single" w:color="auto"/>
          <w:color w:val="auto"/>
        </w:rPr>
        <w:t>Share Reserve</w:t>
      </w:r>
      <w:r>
        <w:rPr>
          <w:rFonts w:ascii="Arial" w:cs="Arial" w:eastAsia="Arial" w:hAnsi="Arial"/>
          <w:sz w:val="16"/>
          <w:szCs w:val="16"/>
          <w:b w:val="1"/>
          <w:bCs w:val="1"/>
          <w:color w:val="auto"/>
        </w:rPr>
        <w:t>.</w:t>
      </w:r>
      <w:r>
        <w:rPr>
          <w:rFonts w:ascii="Arial" w:cs="Arial" w:eastAsia="Arial" w:hAnsi="Arial"/>
          <w:sz w:val="16"/>
          <w:szCs w:val="16"/>
          <w:color w:val="auto"/>
        </w:rPr>
        <w:t xml:space="preserve"> Subject to adjustment in accordance with Section 2(b) and any adjustments as necessary to implement any Capitalization Adjustments, the aggregate number of shares of Common Stock that may be issued pursuant to Awards will not exceed 650,000 shares.</w:t>
      </w:r>
    </w:p>
    <w:p>
      <w:pPr>
        <w:spacing w:after="0" w:line="25" w:lineRule="exact"/>
        <w:rPr>
          <w:rFonts w:ascii="Arial" w:cs="Arial" w:eastAsia="Arial" w:hAnsi="Arial"/>
          <w:sz w:val="16"/>
          <w:szCs w:val="16"/>
          <w:color w:val="auto"/>
        </w:rPr>
      </w:pPr>
    </w:p>
    <w:p>
      <w:pPr>
        <w:ind w:left="964" w:hanging="532"/>
        <w:spacing w:after="0"/>
        <w:tabs>
          <w:tab w:leader="none" w:pos="964" w:val="left"/>
        </w:tabs>
        <w:numPr>
          <w:ilvl w:val="1"/>
          <w:numId w:val="74"/>
        </w:numPr>
        <w:rPr>
          <w:rFonts w:ascii="Arial" w:cs="Arial" w:eastAsia="Arial" w:hAnsi="Arial"/>
          <w:sz w:val="18"/>
          <w:szCs w:val="18"/>
          <w:color w:val="auto"/>
        </w:rPr>
      </w:pPr>
      <w:r>
        <w:rPr>
          <w:rFonts w:ascii="Arial" w:cs="Arial" w:eastAsia="Arial" w:hAnsi="Arial"/>
          <w:sz w:val="18"/>
          <w:szCs w:val="18"/>
          <w:color w:val="auto"/>
        </w:rPr>
        <w:t>Share Reserve Operation.</w:t>
      </w:r>
    </w:p>
    <w:p>
      <w:pPr>
        <w:sectPr>
          <w:pgSz w:w="11900" w:h="16838" w:orient="portrait"/>
          <w:cols w:equalWidth="0" w:num="1">
            <w:col w:w="11024"/>
          </w:cols>
          <w:pgMar w:left="436" w:top="121" w:right="439" w:bottom="1440" w:gutter="0" w:footer="0" w:header="0"/>
        </w:sectPr>
      </w:pPr>
    </w:p>
    <w:bookmarkStart w:id="51" w:name="page52"/>
    <w:bookmarkEnd w:id="51"/>
    <w:p>
      <w:pPr>
        <w:ind w:left="439" w:right="20" w:hanging="439"/>
        <w:spacing w:after="0" w:line="294" w:lineRule="auto"/>
        <w:tabs>
          <w:tab w:leader="none" w:pos="439" w:val="left"/>
        </w:tabs>
        <w:numPr>
          <w:ilvl w:val="0"/>
          <w:numId w:val="75"/>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Limit Applies to Shares of Common Stock Issued Pursuant to Awards. </w:t>
      </w:r>
      <w:r>
        <w:rPr>
          <w:rFonts w:ascii="Arial" w:cs="Arial" w:eastAsia="Arial" w:hAnsi="Arial"/>
          <w:sz w:val="16"/>
          <w:szCs w:val="16"/>
          <w:color w:val="auto"/>
        </w:rPr>
        <w:t>For clarity, the Share Reserve is a limit on the number of</w:t>
      </w:r>
      <w:r>
        <w:rPr>
          <w:rFonts w:ascii="Arial" w:cs="Arial" w:eastAsia="Arial" w:hAnsi="Arial"/>
          <w:sz w:val="16"/>
          <w:szCs w:val="16"/>
          <w:b w:val="1"/>
          <w:bCs w:val="1"/>
          <w:color w:val="auto"/>
        </w:rPr>
        <w:t xml:space="preserve"> </w:t>
      </w:r>
      <w:r>
        <w:rPr>
          <w:rFonts w:ascii="Arial" w:cs="Arial" w:eastAsia="Arial" w:hAnsi="Arial"/>
          <w:sz w:val="16"/>
          <w:szCs w:val="16"/>
          <w:color w:val="auto"/>
        </w:rPr>
        <w:t>shares of Common Stock that may be issued pursuant to Awards and does not limit the granting of Awards, except that the Company will keep available at all times the number of shares of Common Stock reasonably required to satisfy its obligations to issue shares pursuant to such Awards. Shares may be issued in connection with a merger or acquisition as permitted by, as applicable, Nasdaq Listing Rule 5635(c), NYSE Listed Company Manual Section 303A.08, NYSE American Company Guide Section 711 or other applicable rule, and such issuance will not reduce the number of shares available for issuance under the Plan.</w:t>
      </w:r>
    </w:p>
    <w:p>
      <w:pPr>
        <w:spacing w:after="0" w:line="65" w:lineRule="exact"/>
        <w:rPr>
          <w:rFonts w:ascii="Arial" w:cs="Arial" w:eastAsia="Arial" w:hAnsi="Arial"/>
          <w:sz w:val="16"/>
          <w:szCs w:val="16"/>
          <w:color w:val="auto"/>
        </w:rPr>
      </w:pPr>
    </w:p>
    <w:p>
      <w:pPr>
        <w:ind w:left="439" w:hanging="439"/>
        <w:spacing w:after="0" w:line="277" w:lineRule="auto"/>
        <w:tabs>
          <w:tab w:leader="none" w:pos="439" w:val="left"/>
        </w:tabs>
        <w:numPr>
          <w:ilvl w:val="0"/>
          <w:numId w:val="75"/>
        </w:numPr>
        <w:rPr>
          <w:rFonts w:ascii="Arial" w:cs="Arial" w:eastAsia="Arial" w:hAnsi="Arial"/>
          <w:sz w:val="17"/>
          <w:szCs w:val="17"/>
          <w:color w:val="auto"/>
        </w:rPr>
      </w:pPr>
      <w:r>
        <w:rPr>
          <w:rFonts w:ascii="Arial" w:cs="Arial" w:eastAsia="Arial" w:hAnsi="Arial"/>
          <w:sz w:val="17"/>
          <w:szCs w:val="17"/>
          <w:b w:val="1"/>
          <w:bCs w:val="1"/>
          <w:color w:val="auto"/>
        </w:rPr>
        <w:t xml:space="preserve">Actions that Do Not Constitute Issuance of Shares of Common Stock and Do Not Reduce Share Reserve. </w:t>
      </w:r>
      <w:r>
        <w:rPr>
          <w:rFonts w:ascii="Arial" w:cs="Arial" w:eastAsia="Arial" w:hAnsi="Arial"/>
          <w:sz w:val="17"/>
          <w:szCs w:val="17"/>
          <w:color w:val="auto"/>
        </w:rPr>
        <w:t>The following</w:t>
      </w:r>
      <w:r>
        <w:rPr>
          <w:rFonts w:ascii="Arial" w:cs="Arial" w:eastAsia="Arial" w:hAnsi="Arial"/>
          <w:sz w:val="17"/>
          <w:szCs w:val="17"/>
          <w:b w:val="1"/>
          <w:bCs w:val="1"/>
          <w:color w:val="auto"/>
        </w:rPr>
        <w:t xml:space="preserve"> </w:t>
      </w:r>
      <w:r>
        <w:rPr>
          <w:rFonts w:ascii="Arial" w:cs="Arial" w:eastAsia="Arial" w:hAnsi="Arial"/>
          <w:sz w:val="17"/>
          <w:szCs w:val="17"/>
          <w:color w:val="auto"/>
        </w:rPr>
        <w:t>actions do not result in an issuance of shares under the Plan and accordingly do not reduce the number of shares of Common Stock subject to the Share Reserve and available for issuance under the Plan: (1) the expiration or termination of any portion of an Award without the shares covered by such portion of the Award having been issued, or (2) the settlement of any portion of an Award in cash (</w:t>
      </w:r>
      <w:r>
        <w:rPr>
          <w:rFonts w:ascii="Arial" w:cs="Arial" w:eastAsia="Arial" w:hAnsi="Arial"/>
          <w:sz w:val="17"/>
          <w:szCs w:val="17"/>
          <w:i w:val="1"/>
          <w:iCs w:val="1"/>
          <w:color w:val="auto"/>
        </w:rPr>
        <w:t>i.e.</w:t>
      </w:r>
      <w:r>
        <w:rPr>
          <w:rFonts w:ascii="Arial" w:cs="Arial" w:eastAsia="Arial" w:hAnsi="Arial"/>
          <w:sz w:val="17"/>
          <w:szCs w:val="17"/>
          <w:color w:val="auto"/>
        </w:rPr>
        <w:t>, the Participant receives cash rather than shares of Common Stock).</w:t>
      </w:r>
    </w:p>
    <w:p>
      <w:pPr>
        <w:spacing w:after="0" w:line="77" w:lineRule="exact"/>
        <w:rPr>
          <w:rFonts w:ascii="Arial" w:cs="Arial" w:eastAsia="Arial" w:hAnsi="Arial"/>
          <w:sz w:val="17"/>
          <w:szCs w:val="17"/>
          <w:color w:val="auto"/>
        </w:rPr>
      </w:pPr>
    </w:p>
    <w:p>
      <w:pPr>
        <w:ind w:left="439" w:hanging="439"/>
        <w:spacing w:after="0"/>
        <w:tabs>
          <w:tab w:leader="none" w:pos="439"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Reversion of Previously Issued Shares of Common Stock to Share Reserve.</w:t>
      </w:r>
    </w:p>
    <w:p>
      <w:pPr>
        <w:spacing w:after="0" w:line="126" w:lineRule="exact"/>
        <w:rPr>
          <w:rFonts w:ascii="Arial" w:cs="Arial" w:eastAsia="Arial" w:hAnsi="Arial"/>
          <w:sz w:val="18"/>
          <w:szCs w:val="18"/>
          <w:color w:val="auto"/>
        </w:rPr>
      </w:pPr>
    </w:p>
    <w:p>
      <w:pPr>
        <w:ind w:left="979" w:right="40" w:hanging="533"/>
        <w:spacing w:after="0" w:line="270" w:lineRule="auto"/>
        <w:tabs>
          <w:tab w:leader="none" w:pos="979" w:val="left"/>
        </w:tabs>
        <w:numPr>
          <w:ilvl w:val="1"/>
          <w:numId w:val="75"/>
        </w:numPr>
        <w:rPr>
          <w:rFonts w:ascii="Arial" w:cs="Arial" w:eastAsia="Arial" w:hAnsi="Arial"/>
          <w:sz w:val="17"/>
          <w:szCs w:val="17"/>
          <w:color w:val="auto"/>
        </w:rPr>
      </w:pPr>
      <w:r>
        <w:rPr>
          <w:rFonts w:ascii="Arial" w:cs="Arial" w:eastAsia="Arial" w:hAnsi="Arial"/>
          <w:sz w:val="17"/>
          <w:szCs w:val="17"/>
          <w:b w:val="1"/>
          <w:bCs w:val="1"/>
          <w:color w:val="auto"/>
        </w:rPr>
        <w:t xml:space="preserve">Shares Available for Subsequent Issuance. </w:t>
      </w:r>
      <w:r>
        <w:rPr>
          <w:rFonts w:ascii="Arial" w:cs="Arial" w:eastAsia="Arial" w:hAnsi="Arial"/>
          <w:sz w:val="17"/>
          <w:szCs w:val="17"/>
          <w:color w:val="auto"/>
        </w:rPr>
        <w:t>If any Award is forfeited back to the Company or shares of Common Stock are</w:t>
      </w:r>
      <w:r>
        <w:rPr>
          <w:rFonts w:ascii="Arial" w:cs="Arial" w:eastAsia="Arial" w:hAnsi="Arial"/>
          <w:sz w:val="17"/>
          <w:szCs w:val="17"/>
          <w:b w:val="1"/>
          <w:bCs w:val="1"/>
          <w:color w:val="auto"/>
        </w:rPr>
        <w:t xml:space="preserve"> </w:t>
      </w:r>
      <w:r>
        <w:rPr>
          <w:rFonts w:ascii="Arial" w:cs="Arial" w:eastAsia="Arial" w:hAnsi="Arial"/>
          <w:sz w:val="17"/>
          <w:szCs w:val="17"/>
          <w:color w:val="auto"/>
        </w:rPr>
        <w:t>redeemed or repurchased by the Company or any Affiliate (in accordance with applicable law) because of the failure to meet a contingency or condition required to vest such shares of Common Stock, then the shares of Common Stock that are forfeited, redeemed or repurchased shall revert to and again become available for issuance under the Plan. The number of shares of Common Stock that shall revert to and again available for issuance under the Plan pursuant to the foregoing provision shall be one share of Common Stock for each forfeited, redeemed or repurchased share subject to an Award granted under the Plan. Any shares of Common Stock that are reacquired or withheld (or not issued) by the Company to satisfy the exercise, strike or purchase price of an Award (including any shares subject to such Award that are not delivered because such award is exercised through a reduction of shares subject to such Award (</w:t>
      </w:r>
      <w:r>
        <w:rPr>
          <w:rFonts w:ascii="Arial" w:cs="Arial" w:eastAsia="Arial" w:hAnsi="Arial"/>
          <w:sz w:val="17"/>
          <w:szCs w:val="17"/>
          <w:i w:val="1"/>
          <w:iCs w:val="1"/>
          <w:color w:val="auto"/>
        </w:rPr>
        <w:t>i.e</w:t>
      </w:r>
      <w:r>
        <w:rPr>
          <w:rFonts w:ascii="Arial" w:cs="Arial" w:eastAsia="Arial" w:hAnsi="Arial"/>
          <w:sz w:val="17"/>
          <w:szCs w:val="17"/>
          <w:color w:val="auto"/>
        </w:rPr>
        <w:t>., “net exercised”)) will again become available for issuance under the Plan.</w:t>
      </w:r>
    </w:p>
    <w:p>
      <w:pPr>
        <w:spacing w:after="0" w:line="113" w:lineRule="exact"/>
        <w:rPr>
          <w:sz w:val="20"/>
          <w:szCs w:val="20"/>
          <w:color w:val="auto"/>
        </w:rPr>
      </w:pPr>
    </w:p>
    <w:p>
      <w:pPr>
        <w:ind w:left="44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9999"/>
          </w:cols>
          <w:pgMar w:left="1421" w:top="270" w:right="479" w:bottom="1440" w:gutter="0" w:footer="0" w:header="0"/>
        </w:sectPr>
      </w:pPr>
    </w:p>
    <w:bookmarkStart w:id="52" w:name="page53"/>
    <w:bookmarkEnd w:id="52"/>
    <w:p>
      <w:pPr>
        <w:ind w:left="1964" w:right="220" w:hanging="533"/>
        <w:spacing w:after="0" w:line="281" w:lineRule="auto"/>
        <w:tabs>
          <w:tab w:leader="none" w:pos="1964" w:val="left"/>
        </w:tabs>
        <w:numPr>
          <w:ilvl w:val="3"/>
          <w:numId w:val="76"/>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Shares Not Available for Subsequent Issuance. </w:t>
      </w:r>
      <w:r>
        <w:rPr>
          <w:rFonts w:ascii="Arial" w:cs="Arial" w:eastAsia="Arial" w:hAnsi="Arial"/>
          <w:sz w:val="17"/>
          <w:szCs w:val="17"/>
          <w:color w:val="auto"/>
        </w:rPr>
        <w:t>The following shares of Common Stock will not become available again</w:t>
      </w:r>
      <w:r>
        <w:rPr>
          <w:rFonts w:ascii="Arial" w:cs="Arial" w:eastAsia="Arial" w:hAnsi="Arial"/>
          <w:sz w:val="17"/>
          <w:szCs w:val="17"/>
          <w:b w:val="1"/>
          <w:bCs w:val="1"/>
          <w:color w:val="auto"/>
        </w:rPr>
        <w:t xml:space="preserve"> </w:t>
      </w:r>
      <w:r>
        <w:rPr>
          <w:rFonts w:ascii="Arial" w:cs="Arial" w:eastAsia="Arial" w:hAnsi="Arial"/>
          <w:sz w:val="17"/>
          <w:szCs w:val="17"/>
          <w:color w:val="auto"/>
        </w:rPr>
        <w:t>for issuance under the Plan: (A) any shares repurchased by the Company on the open market with the proceeds of the exercise, strike or purchase price of any Award; and (B) in the event that a Stock Appreciation Right is settled in shares of Common Stock, the gross number of shares of Common Stock subject to such award.</w:t>
      </w:r>
    </w:p>
    <w:p>
      <w:pPr>
        <w:spacing w:after="0" w:line="74" w:lineRule="exact"/>
        <w:rPr>
          <w:rFonts w:ascii="Arial" w:cs="Arial" w:eastAsia="Arial" w:hAnsi="Arial"/>
          <w:sz w:val="17"/>
          <w:szCs w:val="17"/>
          <w:color w:val="auto"/>
        </w:rPr>
      </w:pPr>
    </w:p>
    <w:p>
      <w:pPr>
        <w:ind w:left="424" w:hanging="424"/>
        <w:spacing w:after="0"/>
        <w:tabs>
          <w:tab w:leader="none" w:pos="424"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Eligibility and Limitations</w:t>
      </w:r>
      <w:r>
        <w:rPr>
          <w:rFonts w:ascii="Arial" w:cs="Arial" w:eastAsia="Arial" w:hAnsi="Arial"/>
          <w:sz w:val="18"/>
          <w:szCs w:val="18"/>
          <w:color w:val="auto"/>
        </w:rPr>
        <w:t>.</w:t>
      </w:r>
    </w:p>
    <w:p>
      <w:pPr>
        <w:spacing w:after="0" w:line="126" w:lineRule="exact"/>
        <w:rPr>
          <w:rFonts w:ascii="Arial" w:cs="Arial" w:eastAsia="Arial" w:hAnsi="Arial"/>
          <w:sz w:val="18"/>
          <w:szCs w:val="18"/>
          <w:color w:val="auto"/>
        </w:rPr>
      </w:pPr>
    </w:p>
    <w:p>
      <w:pPr>
        <w:ind w:left="964" w:right="440" w:hanging="532"/>
        <w:spacing w:after="0" w:line="261" w:lineRule="auto"/>
        <w:tabs>
          <w:tab w:leader="none" w:pos="964" w:val="left"/>
        </w:tabs>
        <w:numPr>
          <w:ilvl w:val="1"/>
          <w:numId w:val="77"/>
        </w:numPr>
        <w:rPr>
          <w:rFonts w:ascii="Arial" w:cs="Arial" w:eastAsia="Arial" w:hAnsi="Arial"/>
          <w:sz w:val="18"/>
          <w:szCs w:val="18"/>
          <w:color w:val="auto"/>
        </w:rPr>
      </w:pPr>
      <w:r>
        <w:rPr>
          <w:rFonts w:ascii="Arial" w:cs="Arial" w:eastAsia="Arial" w:hAnsi="Arial"/>
          <w:sz w:val="18"/>
          <w:szCs w:val="18"/>
          <w:u w:val="single" w:color="auto"/>
          <w:color w:val="auto"/>
        </w:rPr>
        <w:t>Eligible Award Recipients</w:t>
      </w:r>
      <w:r>
        <w:rPr>
          <w:rFonts w:ascii="Arial" w:cs="Arial" w:eastAsia="Arial" w:hAnsi="Arial"/>
          <w:sz w:val="18"/>
          <w:szCs w:val="18"/>
          <w:b w:val="1"/>
          <w:bCs w:val="1"/>
          <w:color w:val="auto"/>
        </w:rPr>
        <w:t>.</w:t>
      </w:r>
      <w:r>
        <w:rPr>
          <w:rFonts w:ascii="Arial" w:cs="Arial" w:eastAsia="Arial" w:hAnsi="Arial"/>
          <w:sz w:val="18"/>
          <w:szCs w:val="18"/>
          <w:color w:val="auto"/>
        </w:rPr>
        <w:t xml:space="preserve"> Awards may only be granted to persons who are Eligible Employees described in Section 1(a) of the Plan, where the Award is an inducement material to the individual’s entering into employment with the Company or an Affiliate within the meaning of Rule 5635(c)(4) of the Nasdaq Marketplace Rules or is otherwise permitted pursuant to Rule 5635(c) of the Nasdaq Marketplace Rules.</w:t>
      </w:r>
    </w:p>
    <w:p>
      <w:pPr>
        <w:spacing w:after="0" w:line="89" w:lineRule="exact"/>
        <w:rPr>
          <w:rFonts w:ascii="Arial" w:cs="Arial" w:eastAsia="Arial" w:hAnsi="Arial"/>
          <w:sz w:val="18"/>
          <w:szCs w:val="18"/>
          <w:color w:val="auto"/>
        </w:rPr>
      </w:pPr>
    </w:p>
    <w:p>
      <w:pPr>
        <w:ind w:left="964" w:right="400" w:hanging="532"/>
        <w:spacing w:after="0" w:line="277" w:lineRule="auto"/>
        <w:tabs>
          <w:tab w:leader="none" w:pos="964" w:val="left"/>
        </w:tabs>
        <w:numPr>
          <w:ilvl w:val="1"/>
          <w:numId w:val="77"/>
        </w:numPr>
        <w:rPr>
          <w:rFonts w:ascii="Arial" w:cs="Arial" w:eastAsia="Arial" w:hAnsi="Arial"/>
          <w:sz w:val="18"/>
          <w:szCs w:val="18"/>
          <w:color w:val="auto"/>
        </w:rPr>
      </w:pPr>
      <w:r>
        <w:rPr>
          <w:rFonts w:ascii="Arial" w:cs="Arial" w:eastAsia="Arial" w:hAnsi="Arial"/>
          <w:sz w:val="18"/>
          <w:szCs w:val="18"/>
          <w:u w:val="single" w:color="auto"/>
          <w:color w:val="auto"/>
        </w:rPr>
        <w:t>Approval Requirements</w:t>
      </w:r>
      <w:r>
        <w:rPr>
          <w:rFonts w:ascii="Arial" w:cs="Arial" w:eastAsia="Arial" w:hAnsi="Arial"/>
          <w:sz w:val="18"/>
          <w:szCs w:val="18"/>
          <w:color w:val="auto"/>
        </w:rPr>
        <w:t>. All Awards must be granted either by a majority of the Company’s Independent Directors or the Independent Compensation Committee.</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1"/>
          <w:numId w:val="77"/>
        </w:numPr>
        <w:rPr>
          <w:rFonts w:ascii="Arial" w:cs="Arial" w:eastAsia="Arial" w:hAnsi="Arial"/>
          <w:sz w:val="18"/>
          <w:szCs w:val="18"/>
          <w:color w:val="auto"/>
        </w:rPr>
      </w:pPr>
      <w:r>
        <w:rPr>
          <w:rFonts w:ascii="Arial" w:cs="Arial" w:eastAsia="Arial" w:hAnsi="Arial"/>
          <w:sz w:val="18"/>
          <w:szCs w:val="18"/>
          <w:color w:val="auto"/>
        </w:rPr>
        <w:t>Specific Award Limitations.</w:t>
      </w:r>
    </w:p>
    <w:p>
      <w:pPr>
        <w:spacing w:after="0" w:line="126" w:lineRule="exact"/>
        <w:rPr>
          <w:rFonts w:ascii="Arial" w:cs="Arial" w:eastAsia="Arial" w:hAnsi="Arial"/>
          <w:sz w:val="18"/>
          <w:szCs w:val="18"/>
          <w:color w:val="auto"/>
        </w:rPr>
      </w:pPr>
    </w:p>
    <w:p>
      <w:pPr>
        <w:ind w:left="1424" w:right="80" w:hanging="439"/>
        <w:spacing w:after="0" w:line="258" w:lineRule="auto"/>
        <w:tabs>
          <w:tab w:leader="none" w:pos="1424" w:val="left"/>
        </w:tabs>
        <w:numPr>
          <w:ilvl w:val="2"/>
          <w:numId w:val="77"/>
        </w:numPr>
        <w:rPr>
          <w:rFonts w:ascii="Arial" w:cs="Arial" w:eastAsia="Arial" w:hAnsi="Arial"/>
          <w:sz w:val="18"/>
          <w:szCs w:val="18"/>
          <w:color w:val="auto"/>
        </w:rPr>
      </w:pPr>
      <w:r>
        <w:rPr>
          <w:rFonts w:ascii="Arial" w:cs="Arial" w:eastAsia="Arial" w:hAnsi="Arial"/>
          <w:sz w:val="18"/>
          <w:szCs w:val="18"/>
          <w:b w:val="1"/>
          <w:bCs w:val="1"/>
          <w:color w:val="auto"/>
        </w:rPr>
        <w:t xml:space="preserve">Limitations on Nonstatutory Stock Options and SARs. </w:t>
      </w:r>
      <w:r>
        <w:rPr>
          <w:rFonts w:ascii="Arial" w:cs="Arial" w:eastAsia="Arial" w:hAnsi="Arial"/>
          <w:sz w:val="18"/>
          <w:szCs w:val="18"/>
          <w:color w:val="auto"/>
        </w:rPr>
        <w:t>Nonstatutory Stock Options and SARs may not be granted to Eligible</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who are providing Continuous Service only to any “parent” of the Company (as such term is defined in Rule 405) unless the stock underlying such Awards is treated as “service recipient stock” under Section 409A because the Awards are granted pursuant to a corporate transaction (such as a spin off transaction) or unless such Awards otherwise comply with the distribution requirements of Section 409A.</w:t>
      </w:r>
    </w:p>
    <w:p>
      <w:pPr>
        <w:spacing w:after="0" w:line="92" w:lineRule="exact"/>
        <w:rPr>
          <w:rFonts w:ascii="Arial" w:cs="Arial" w:eastAsia="Arial" w:hAnsi="Arial"/>
          <w:sz w:val="18"/>
          <w:szCs w:val="18"/>
          <w:color w:val="auto"/>
        </w:rPr>
      </w:pPr>
    </w:p>
    <w:p>
      <w:pPr>
        <w:ind w:left="424" w:hanging="424"/>
        <w:spacing w:after="0"/>
        <w:tabs>
          <w:tab w:leader="none" w:pos="424"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Options and Stock Appreciation Rights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6"/>
          <w:szCs w:val="16"/>
          <w:color w:val="auto"/>
        </w:rPr>
        <w:t>Each Option and SAR will have such terms and conditions as determined by the Board. All Options will be designated in writing as Nonstatutory</w:t>
      </w:r>
    </w:p>
    <w:p>
      <w:pPr>
        <w:spacing w:after="0" w:line="46" w:lineRule="exact"/>
        <w:rPr>
          <w:sz w:val="20"/>
          <w:szCs w:val="20"/>
          <w:color w:val="auto"/>
        </w:rPr>
      </w:pPr>
    </w:p>
    <w:p>
      <w:pPr>
        <w:jc w:val="both"/>
        <w:ind w:left="4"/>
        <w:spacing w:after="0" w:line="277" w:lineRule="auto"/>
        <w:rPr>
          <w:sz w:val="20"/>
          <w:szCs w:val="20"/>
          <w:color w:val="auto"/>
        </w:rPr>
      </w:pPr>
      <w:r>
        <w:rPr>
          <w:rFonts w:ascii="Arial" w:cs="Arial" w:eastAsia="Arial" w:hAnsi="Arial"/>
          <w:sz w:val="17"/>
          <w:szCs w:val="17"/>
          <w:color w:val="auto"/>
        </w:rPr>
        <w:t>Stock Option at the time of grant. Each SAR will be denominated in shares of Common Stock equivalents. The terms and conditions of separate Options and SARs need not be identical; provided, however, that each Option Agreement and SAR Agreement will conform (through incorporation of provisions hereof by reference in the Award Agreement or otherwise) to the substance of each of the following provisions:</w:t>
      </w:r>
    </w:p>
    <w:p>
      <w:pPr>
        <w:spacing w:after="0" w:line="74" w:lineRule="exact"/>
        <w:rPr>
          <w:sz w:val="20"/>
          <w:szCs w:val="20"/>
          <w:color w:val="auto"/>
        </w:rPr>
      </w:pPr>
    </w:p>
    <w:p>
      <w:pPr>
        <w:ind w:left="964" w:right="220" w:hanging="532"/>
        <w:spacing w:after="0" w:line="282" w:lineRule="auto"/>
        <w:tabs>
          <w:tab w:leader="none" w:pos="964"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b w:val="1"/>
          <w:bCs w:val="1"/>
          <w:color w:val="auto"/>
        </w:rPr>
        <w:t>.</w:t>
      </w:r>
      <w:r>
        <w:rPr>
          <w:rFonts w:ascii="Arial" w:cs="Arial" w:eastAsia="Arial" w:hAnsi="Arial"/>
          <w:sz w:val="18"/>
          <w:szCs w:val="18"/>
          <w:color w:val="auto"/>
        </w:rPr>
        <w:t xml:space="preserve"> No Option or SAR will be exercisable after the expiration of ten years from the date of grant of such Award or such shorter period specified in the Award Agreement.</w:t>
      </w:r>
    </w:p>
    <w:p>
      <w:pPr>
        <w:spacing w:after="0" w:line="67" w:lineRule="exact"/>
        <w:rPr>
          <w:rFonts w:ascii="Arial" w:cs="Arial" w:eastAsia="Arial" w:hAnsi="Arial"/>
          <w:sz w:val="18"/>
          <w:szCs w:val="18"/>
          <w:color w:val="auto"/>
        </w:rPr>
      </w:pPr>
    </w:p>
    <w:p>
      <w:pPr>
        <w:ind w:left="964" w:right="40" w:hanging="532"/>
        <w:spacing w:after="0" w:line="258" w:lineRule="auto"/>
        <w:tabs>
          <w:tab w:leader="none" w:pos="964"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Exercise or Strike Price</w:t>
      </w:r>
      <w:r>
        <w:rPr>
          <w:rFonts w:ascii="Arial" w:cs="Arial" w:eastAsia="Arial" w:hAnsi="Arial"/>
          <w:sz w:val="18"/>
          <w:szCs w:val="18"/>
          <w:b w:val="1"/>
          <w:bCs w:val="1"/>
          <w:color w:val="auto"/>
        </w:rPr>
        <w:t>.</w:t>
      </w:r>
      <w:r>
        <w:rPr>
          <w:rFonts w:ascii="Arial" w:cs="Arial" w:eastAsia="Arial" w:hAnsi="Arial"/>
          <w:sz w:val="18"/>
          <w:szCs w:val="18"/>
          <w:color w:val="auto"/>
        </w:rPr>
        <w:t xml:space="preserve"> The exercise or strike price of each Option or SAR will not be less than 100% of the Fair Market Value on the date of grant of such Award. Notwithstanding the foregoing, an Option or SAR may be granted with an exercise or strike price lower than 100% of the Fair Market Value on the date of grant of such Award if such Award is granted pursuant to an assumption of or substitution for another option or stock appreciation right pursuant to a Transaction and in a manner consistent with the provisions of Sections 409A of the Code.</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4"/>
          </w:cols>
          <w:pgMar w:left="436" w:top="270" w:right="439" w:bottom="1440" w:gutter="0" w:footer="0" w:header="0"/>
        </w:sectPr>
      </w:pPr>
    </w:p>
    <w:bookmarkStart w:id="53" w:name="page54"/>
    <w:bookmarkEnd w:id="53"/>
    <w:p>
      <w:pPr>
        <w:ind w:left="540" w:hanging="532"/>
        <w:spacing w:after="0" w:line="274" w:lineRule="auto"/>
        <w:tabs>
          <w:tab w:leader="none" w:pos="540" w:val="left"/>
        </w:tabs>
        <w:numPr>
          <w:ilvl w:val="0"/>
          <w:numId w:val="79"/>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Exercise Procedure and Payment of Exercise Price for Options</w:t>
      </w:r>
      <w:r>
        <w:rPr>
          <w:rFonts w:ascii="Arial" w:cs="Arial" w:eastAsia="Arial" w:hAnsi="Arial"/>
          <w:sz w:val="17"/>
          <w:szCs w:val="17"/>
          <w:b w:val="1"/>
          <w:bCs w:val="1"/>
          <w:color w:val="auto"/>
        </w:rPr>
        <w:t>.</w:t>
      </w:r>
      <w:r>
        <w:rPr>
          <w:rFonts w:ascii="Arial" w:cs="Arial" w:eastAsia="Arial" w:hAnsi="Arial"/>
          <w:sz w:val="17"/>
          <w:szCs w:val="17"/>
          <w:color w:val="auto"/>
        </w:rPr>
        <w:t xml:space="preserve"> In order to exercise an Option, the Participant must provide notice of exercise to the Plan Administrator in accordance with the procedures specified in the Option Agreement or otherwise provided by the Company. The Board has the authority to grant Options that do not permit all of the following methods of payment (or otherwise restrict the ability to use certain methods) and to grant Options that require the consent of the Company to utilize a particular method of payment. The exercise price of an Option may be paid, to the extent permitted by Applicable Law and as determined by the Board, by one or more of the following methods of payment to the extent set forth in the Option Agreement:</w:t>
      </w:r>
    </w:p>
    <w:p>
      <w:pPr>
        <w:spacing w:after="0" w:line="82" w:lineRule="exact"/>
        <w:rPr>
          <w:rFonts w:ascii="Arial" w:cs="Arial" w:eastAsia="Arial" w:hAnsi="Arial"/>
          <w:sz w:val="17"/>
          <w:szCs w:val="17"/>
          <w:color w:val="auto"/>
        </w:rPr>
      </w:pPr>
    </w:p>
    <w:p>
      <w:pPr>
        <w:ind w:left="1000" w:hanging="439"/>
        <w:spacing w:after="0"/>
        <w:tabs>
          <w:tab w:leader="none" w:pos="1000" w:val="left"/>
        </w:tabs>
        <w:numPr>
          <w:ilvl w:val="1"/>
          <w:numId w:val="79"/>
        </w:numPr>
        <w:rPr>
          <w:rFonts w:ascii="Arial" w:cs="Arial" w:eastAsia="Arial" w:hAnsi="Arial"/>
          <w:sz w:val="18"/>
          <w:szCs w:val="18"/>
          <w:color w:val="auto"/>
        </w:rPr>
      </w:pPr>
      <w:r>
        <w:rPr>
          <w:rFonts w:ascii="Arial" w:cs="Arial" w:eastAsia="Arial" w:hAnsi="Arial"/>
          <w:sz w:val="18"/>
          <w:szCs w:val="18"/>
          <w:color w:val="auto"/>
        </w:rPr>
        <w:t>by cash or check, bank draft or money order payable to the Company;</w:t>
      </w:r>
    </w:p>
    <w:p>
      <w:pPr>
        <w:spacing w:after="0" w:line="130" w:lineRule="exact"/>
        <w:rPr>
          <w:rFonts w:ascii="Arial" w:cs="Arial" w:eastAsia="Arial" w:hAnsi="Arial"/>
          <w:sz w:val="18"/>
          <w:szCs w:val="18"/>
          <w:color w:val="auto"/>
        </w:rPr>
      </w:pPr>
    </w:p>
    <w:p>
      <w:pPr>
        <w:ind w:left="1000" w:right="100" w:hanging="439"/>
        <w:spacing w:after="0" w:line="286" w:lineRule="auto"/>
        <w:tabs>
          <w:tab w:leader="none" w:pos="1000" w:val="left"/>
        </w:tabs>
        <w:numPr>
          <w:ilvl w:val="1"/>
          <w:numId w:val="79"/>
        </w:numPr>
        <w:rPr>
          <w:rFonts w:ascii="Arial" w:cs="Arial" w:eastAsia="Arial" w:hAnsi="Arial"/>
          <w:sz w:val="17"/>
          <w:szCs w:val="17"/>
          <w:color w:val="auto"/>
        </w:rPr>
      </w:pPr>
      <w:r>
        <w:rPr>
          <w:rFonts w:ascii="Arial" w:cs="Arial" w:eastAsia="Arial" w:hAnsi="Arial"/>
          <w:sz w:val="17"/>
          <w:szCs w:val="17"/>
          <w:color w:val="auto"/>
        </w:rPr>
        <w:t>pursuant to a “cashless exercise” program developed under Regulation T as promulgated by the Federal Reserve Board that, prior to the issuance of the Common Stock subject to the Option, results in either the receipt of cash (or check) by the Company or the receipt of irrevocable instructions to pay the exercise price to the Company from the sales proceeds;</w:t>
      </w:r>
    </w:p>
    <w:p>
      <w:pPr>
        <w:spacing w:after="0" w:line="70" w:lineRule="exact"/>
        <w:rPr>
          <w:rFonts w:ascii="Arial" w:cs="Arial" w:eastAsia="Arial" w:hAnsi="Arial"/>
          <w:sz w:val="17"/>
          <w:szCs w:val="17"/>
          <w:color w:val="auto"/>
        </w:rPr>
      </w:pPr>
    </w:p>
    <w:p>
      <w:pPr>
        <w:ind w:left="1000" w:right="240" w:hanging="439"/>
        <w:spacing w:after="0" w:line="285" w:lineRule="auto"/>
        <w:tabs>
          <w:tab w:leader="none" w:pos="1000" w:val="left"/>
        </w:tabs>
        <w:numPr>
          <w:ilvl w:val="1"/>
          <w:numId w:val="79"/>
        </w:numPr>
        <w:rPr>
          <w:rFonts w:ascii="Arial" w:cs="Arial" w:eastAsia="Arial" w:hAnsi="Arial"/>
          <w:sz w:val="16"/>
          <w:szCs w:val="16"/>
          <w:color w:val="auto"/>
        </w:rPr>
      </w:pPr>
      <w:r>
        <w:rPr>
          <w:rFonts w:ascii="Arial" w:cs="Arial" w:eastAsia="Arial" w:hAnsi="Arial"/>
          <w:sz w:val="16"/>
          <w:szCs w:val="16"/>
          <w:color w:val="auto"/>
        </w:rPr>
        <w:t>by delivery to the Company (either by actual delivery or attestation) of shares of Common Stock that are already owned by the Participant free and clear of any liens, claims, encumbrances or security interests, with a Fair Market Value on the date of exercise that does not exceed the exercise price, provided that (1) at the time of exercise the Common Stock is publicly traded, (2) any remaining balance of the exercise price not satisfied by such delivery is paid by the Participant in cash or other permitted form of payment, (3) such delivery would not violate any Applicable Law or agreement restricting the redemption of the Common Stock,</w:t>
      </w:r>
    </w:p>
    <w:p>
      <w:pPr>
        <w:spacing w:after="0" w:line="1" w:lineRule="exact"/>
        <w:rPr>
          <w:rFonts w:ascii="Arial" w:cs="Arial" w:eastAsia="Arial" w:hAnsi="Arial"/>
          <w:sz w:val="16"/>
          <w:szCs w:val="16"/>
          <w:color w:val="auto"/>
        </w:rPr>
      </w:pPr>
    </w:p>
    <w:p>
      <w:pPr>
        <w:ind w:left="1000" w:right="340"/>
        <w:spacing w:after="0" w:line="255" w:lineRule="auto"/>
        <w:rPr>
          <w:rFonts w:ascii="Arial" w:cs="Arial" w:eastAsia="Arial" w:hAnsi="Arial"/>
          <w:sz w:val="16"/>
          <w:szCs w:val="16"/>
          <w:color w:val="auto"/>
        </w:rPr>
      </w:pPr>
      <w:r>
        <w:rPr>
          <w:rFonts w:ascii="Arial" w:cs="Arial" w:eastAsia="Arial" w:hAnsi="Arial"/>
          <w:sz w:val="18"/>
          <w:szCs w:val="18"/>
          <w:color w:val="auto"/>
        </w:rPr>
        <w:t>(4) any certificated shares are endorsed or accompanied by an executed assignment separate from certificate, and (5) such shares have been held by the Participant for any minimum period necessary to avoid adverse accounting treatment as a result of such delivery;</w:t>
      </w:r>
    </w:p>
    <w:p>
      <w:pPr>
        <w:spacing w:after="0" w:line="95" w:lineRule="exact"/>
        <w:rPr>
          <w:rFonts w:ascii="Arial" w:cs="Arial" w:eastAsia="Arial" w:hAnsi="Arial"/>
          <w:sz w:val="16"/>
          <w:szCs w:val="16"/>
          <w:color w:val="auto"/>
        </w:rPr>
      </w:pPr>
    </w:p>
    <w:p>
      <w:pPr>
        <w:ind w:left="1000" w:right="80" w:hanging="439"/>
        <w:spacing w:after="0" w:line="301" w:lineRule="auto"/>
        <w:tabs>
          <w:tab w:leader="none" w:pos="1000" w:val="left"/>
        </w:tabs>
        <w:numPr>
          <w:ilvl w:val="1"/>
          <w:numId w:val="79"/>
        </w:numPr>
        <w:rPr>
          <w:rFonts w:ascii="Arial" w:cs="Arial" w:eastAsia="Arial" w:hAnsi="Arial"/>
          <w:sz w:val="16"/>
          <w:szCs w:val="16"/>
          <w:color w:val="auto"/>
        </w:rPr>
      </w:pPr>
      <w:r>
        <w:rPr>
          <w:rFonts w:ascii="Arial" w:cs="Arial" w:eastAsia="Arial" w:hAnsi="Arial"/>
          <w:sz w:val="16"/>
          <w:szCs w:val="16"/>
          <w:color w:val="auto"/>
        </w:rPr>
        <w:t>by a “net exercise” arrangement pursuant to which the Company will reduce the number of shares of Common Stock issuable upon exercise by the largest whole number of shares with a Fair Market Value on the date of exercise that does not exceed the exercise price, provided that (1) such shares used to pay the exercise price will not be exercisable thereafter and (2) any remaining balance of the exercise price not satisfied by such net exercise is paid by the Participant in cash or other permitted form of payment; or</w:t>
      </w:r>
    </w:p>
    <w:p>
      <w:pPr>
        <w:spacing w:after="0" w:line="9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600"/>
          </w:cols>
          <w:pgMar w:left="860" w:top="270" w:right="439" w:bottom="1440" w:gutter="0" w:footer="0" w:header="0"/>
        </w:sectPr>
      </w:pPr>
    </w:p>
    <w:bookmarkStart w:id="54" w:name="page55"/>
    <w:bookmarkEnd w:id="54"/>
    <w:p>
      <w:pPr>
        <w:ind w:left="1000" w:hanging="439"/>
        <w:spacing w:after="0"/>
        <w:tabs>
          <w:tab w:leader="none" w:pos="1000" w:val="left"/>
        </w:tabs>
        <w:numPr>
          <w:ilvl w:val="1"/>
          <w:numId w:val="8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any other form of consideration that may be acceptable to the Board and permissible under Applicable Law.</w:t>
      </w:r>
    </w:p>
    <w:p>
      <w:pPr>
        <w:spacing w:after="0" w:line="126" w:lineRule="exact"/>
        <w:rPr>
          <w:rFonts w:ascii="Arial" w:cs="Arial" w:eastAsia="Arial" w:hAnsi="Arial"/>
          <w:sz w:val="18"/>
          <w:szCs w:val="18"/>
          <w:color w:val="auto"/>
        </w:rPr>
      </w:pPr>
    </w:p>
    <w:p>
      <w:pPr>
        <w:ind w:left="540" w:right="40" w:hanging="532"/>
        <w:spacing w:after="0" w:line="273" w:lineRule="auto"/>
        <w:tabs>
          <w:tab w:leader="none" w:pos="540" w:val="left"/>
        </w:tabs>
        <w:numPr>
          <w:ilvl w:val="0"/>
          <w:numId w:val="81"/>
        </w:numPr>
        <w:rPr>
          <w:rFonts w:ascii="Arial" w:cs="Arial" w:eastAsia="Arial" w:hAnsi="Arial"/>
          <w:sz w:val="17"/>
          <w:szCs w:val="17"/>
          <w:color w:val="auto"/>
        </w:rPr>
      </w:pPr>
      <w:r>
        <w:rPr>
          <w:rFonts w:ascii="Arial" w:cs="Arial" w:eastAsia="Arial" w:hAnsi="Arial"/>
          <w:sz w:val="17"/>
          <w:szCs w:val="17"/>
          <w:u w:val="single" w:color="auto"/>
          <w:color w:val="auto"/>
        </w:rPr>
        <w:t>Exercise Procedure and Payment of Appreciation Distribution for SARs</w:t>
      </w:r>
      <w:r>
        <w:rPr>
          <w:rFonts w:ascii="Arial" w:cs="Arial" w:eastAsia="Arial" w:hAnsi="Arial"/>
          <w:sz w:val="17"/>
          <w:szCs w:val="17"/>
          <w:b w:val="1"/>
          <w:bCs w:val="1"/>
          <w:color w:val="auto"/>
        </w:rPr>
        <w:t>.</w:t>
      </w:r>
      <w:r>
        <w:rPr>
          <w:rFonts w:ascii="Arial" w:cs="Arial" w:eastAsia="Arial" w:hAnsi="Arial"/>
          <w:sz w:val="17"/>
          <w:szCs w:val="17"/>
          <w:color w:val="auto"/>
        </w:rPr>
        <w:t xml:space="preserve"> In order to exercise any SAR, the Participant must provide notice of exercise to the Plan Administrator in accordance with the SAR Agreement or as otherwise provided by the Company. The appreciation distribution payable to a Participant upon the exercise of a SAR will not be greater than an amount equal to the excess of (i) the aggregate Fair Market Value on the date of exercise of a number of shares of Common Stock equal to the number of Common Stock equivalents that are vested and being exercised under such SAR, over (ii) the strike price of such SAR. Such appreciation distribution may be paid to the Participant in the form of Common Stock or cash (or any combination of Common Stock and cash) or in any other form of payment, as determined by the Board and specified in the SAR Agreement.</w:t>
      </w:r>
    </w:p>
    <w:p>
      <w:pPr>
        <w:spacing w:after="0" w:line="77" w:lineRule="exact"/>
        <w:rPr>
          <w:rFonts w:ascii="Arial" w:cs="Arial" w:eastAsia="Arial" w:hAnsi="Arial"/>
          <w:sz w:val="17"/>
          <w:szCs w:val="17"/>
          <w:color w:val="auto"/>
        </w:rPr>
      </w:pPr>
    </w:p>
    <w:p>
      <w:pPr>
        <w:ind w:left="540" w:right="40" w:hanging="532"/>
        <w:spacing w:after="0" w:line="258" w:lineRule="auto"/>
        <w:tabs>
          <w:tab w:leader="none" w:pos="54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b w:val="1"/>
          <w:bCs w:val="1"/>
          <w:color w:val="auto"/>
        </w:rPr>
        <w:t>.</w:t>
      </w:r>
      <w:r>
        <w:rPr>
          <w:rFonts w:ascii="Arial" w:cs="Arial" w:eastAsia="Arial" w:hAnsi="Arial"/>
          <w:sz w:val="18"/>
          <w:szCs w:val="18"/>
          <w:color w:val="auto"/>
        </w:rPr>
        <w:t xml:space="preserve"> Options and SARs may not be transferred to third party financial institutions for value. The Board may impose such additional limitations on the transferability of an Option or SAR as it determines. In the absence of any such determination by the Board, an Option or SAR will not be transferable, except by will or by the laws of descent and distribution, and will be exercisable during the lifetime of the Participant only by the Participant; provided, however, that the Board may permit transfer of an Option or SAR in a manner that is described an Award Agreement.</w:t>
      </w:r>
    </w:p>
    <w:p>
      <w:pPr>
        <w:spacing w:after="0" w:line="88" w:lineRule="exact"/>
        <w:rPr>
          <w:rFonts w:ascii="Arial" w:cs="Arial" w:eastAsia="Arial" w:hAnsi="Arial"/>
          <w:sz w:val="18"/>
          <w:szCs w:val="18"/>
          <w:color w:val="auto"/>
        </w:rPr>
      </w:pPr>
    </w:p>
    <w:p>
      <w:pPr>
        <w:ind w:left="540" w:hanging="532"/>
        <w:spacing w:after="0" w:line="289" w:lineRule="auto"/>
        <w:tabs>
          <w:tab w:leader="none" w:pos="540" w:val="left"/>
        </w:tabs>
        <w:numPr>
          <w:ilvl w:val="0"/>
          <w:numId w:val="81"/>
        </w:numPr>
        <w:rPr>
          <w:rFonts w:ascii="Arial" w:cs="Arial" w:eastAsia="Arial" w:hAnsi="Arial"/>
          <w:sz w:val="17"/>
          <w:szCs w:val="17"/>
          <w:color w:val="auto"/>
        </w:rPr>
      </w:pPr>
      <w:r>
        <w:rPr>
          <w:rFonts w:ascii="Arial" w:cs="Arial" w:eastAsia="Arial" w:hAnsi="Arial"/>
          <w:sz w:val="17"/>
          <w:szCs w:val="17"/>
          <w:u w:val="single" w:color="auto"/>
          <w:color w:val="auto"/>
        </w:rPr>
        <w:t>Vesting</w:t>
      </w:r>
      <w:r>
        <w:rPr>
          <w:rFonts w:ascii="Arial" w:cs="Arial" w:eastAsia="Arial" w:hAnsi="Arial"/>
          <w:sz w:val="17"/>
          <w:szCs w:val="17"/>
          <w:b w:val="1"/>
          <w:bCs w:val="1"/>
          <w:color w:val="auto"/>
        </w:rPr>
        <w:t>.</w:t>
      </w:r>
      <w:r>
        <w:rPr>
          <w:rFonts w:ascii="Arial" w:cs="Arial" w:eastAsia="Arial" w:hAnsi="Arial"/>
          <w:sz w:val="17"/>
          <w:szCs w:val="17"/>
          <w:color w:val="auto"/>
        </w:rPr>
        <w:t xml:space="preserve"> The Board may impose such restrictions on or conditions to the vesting and/or exercisability of an Option or SAR as determined by the Board. Except as otherwise provided in the Award Agreement or other written agreement between a Participant and the Company or an Affiliate, vesting of Options and SARs will cease upon termination of the Participant’s Continuous Service.</w:t>
      </w:r>
    </w:p>
    <w:p>
      <w:pPr>
        <w:spacing w:after="0" w:line="63" w:lineRule="exact"/>
        <w:rPr>
          <w:rFonts w:ascii="Arial" w:cs="Arial" w:eastAsia="Arial" w:hAnsi="Arial"/>
          <w:sz w:val="17"/>
          <w:szCs w:val="17"/>
          <w:color w:val="auto"/>
        </w:rPr>
      </w:pPr>
    </w:p>
    <w:p>
      <w:pPr>
        <w:ind w:left="540" w:right="40" w:hanging="532"/>
        <w:spacing w:after="0" w:line="274" w:lineRule="auto"/>
        <w:tabs>
          <w:tab w:leader="none" w:pos="540" w:val="left"/>
        </w:tabs>
        <w:numPr>
          <w:ilvl w:val="0"/>
          <w:numId w:val="81"/>
        </w:numPr>
        <w:rPr>
          <w:rFonts w:ascii="Arial" w:cs="Arial" w:eastAsia="Arial" w:hAnsi="Arial"/>
          <w:sz w:val="17"/>
          <w:szCs w:val="17"/>
          <w:color w:val="auto"/>
        </w:rPr>
      </w:pPr>
      <w:r>
        <w:rPr>
          <w:rFonts w:ascii="Arial" w:cs="Arial" w:eastAsia="Arial" w:hAnsi="Arial"/>
          <w:sz w:val="17"/>
          <w:szCs w:val="17"/>
          <w:u w:val="single" w:color="auto"/>
          <w:color w:val="auto"/>
        </w:rPr>
        <w:t>Termination of Continuous Service for Cause</w:t>
      </w:r>
      <w:r>
        <w:rPr>
          <w:rFonts w:ascii="Arial" w:cs="Arial" w:eastAsia="Arial" w:hAnsi="Arial"/>
          <w:sz w:val="17"/>
          <w:szCs w:val="17"/>
          <w:b w:val="1"/>
          <w:bCs w:val="1"/>
          <w:color w:val="auto"/>
        </w:rPr>
        <w:t>.</w:t>
      </w:r>
      <w:r>
        <w:rPr>
          <w:rFonts w:ascii="Arial" w:cs="Arial" w:eastAsia="Arial" w:hAnsi="Arial"/>
          <w:sz w:val="17"/>
          <w:szCs w:val="17"/>
          <w:color w:val="auto"/>
        </w:rPr>
        <w:t xml:space="preserve"> Except as explicitly otherwise provided in the Award Agreement or other written agreement between a Participant and the Company or an Affiliate, if a Participant’s Continuous Service is terminated for Cause, the Participant’s Options and SARs will terminate and be forfeited immediately upon such termination of Continuous Service, and the Participant will be prohibited from exercising any portion (including any vested portion) of such Awards on and after the date of such termination of Continuous Service and the Participant will have no further right, title or interest in such forfeited Award, the shares of Common Stock subject to the forfeited Award, or any consideration in respect of the forfeited Award.</w:t>
      </w:r>
    </w:p>
    <w:p>
      <w:pPr>
        <w:spacing w:after="0" w:line="78" w:lineRule="exact"/>
        <w:rPr>
          <w:rFonts w:ascii="Arial" w:cs="Arial" w:eastAsia="Arial" w:hAnsi="Arial"/>
          <w:sz w:val="17"/>
          <w:szCs w:val="17"/>
          <w:color w:val="auto"/>
        </w:rPr>
      </w:pPr>
    </w:p>
    <w:p>
      <w:pPr>
        <w:ind w:left="540" w:right="40" w:hanging="532"/>
        <w:spacing w:after="0" w:line="289" w:lineRule="auto"/>
        <w:tabs>
          <w:tab w:leader="none" w:pos="540" w:val="left"/>
        </w:tabs>
        <w:numPr>
          <w:ilvl w:val="0"/>
          <w:numId w:val="81"/>
        </w:numPr>
        <w:rPr>
          <w:rFonts w:ascii="Arial" w:cs="Arial" w:eastAsia="Arial" w:hAnsi="Arial"/>
          <w:sz w:val="17"/>
          <w:szCs w:val="17"/>
          <w:color w:val="auto"/>
        </w:rPr>
      </w:pPr>
      <w:r>
        <w:rPr>
          <w:rFonts w:ascii="Arial" w:cs="Arial" w:eastAsia="Arial" w:hAnsi="Arial"/>
          <w:sz w:val="17"/>
          <w:szCs w:val="17"/>
          <w:u w:val="single" w:color="auto"/>
          <w:color w:val="auto"/>
        </w:rPr>
        <w:t>Post-Termination Exercise Period Following Termination of Continuous Service for Reasons Other than Cause</w:t>
      </w:r>
      <w:r>
        <w:rPr>
          <w:rFonts w:ascii="Arial" w:cs="Arial" w:eastAsia="Arial" w:hAnsi="Arial"/>
          <w:sz w:val="17"/>
          <w:szCs w:val="17"/>
          <w:b w:val="1"/>
          <w:bCs w:val="1"/>
          <w:color w:val="auto"/>
        </w:rPr>
        <w:t>.</w:t>
      </w:r>
      <w:r>
        <w:rPr>
          <w:rFonts w:ascii="Arial" w:cs="Arial" w:eastAsia="Arial" w:hAnsi="Arial"/>
          <w:sz w:val="17"/>
          <w:szCs w:val="17"/>
          <w:color w:val="auto"/>
        </w:rPr>
        <w:t xml:space="preserve"> Except as otherwise provided in the Award Agreement or other written agreement between Participant and the Company or an Affiliate, subject to Section 4(i), if a Participant’s Continuous Service terminates for any reason other than for Cause, the Participant may exercise his or</w:t>
      </w:r>
    </w:p>
    <w:p>
      <w:pPr>
        <w:spacing w:after="0" w:line="94"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60"/>
          </w:cols>
          <w:pgMar w:left="860" w:top="274" w:right="479" w:bottom="1440" w:gutter="0" w:footer="0" w:header="0"/>
        </w:sectPr>
      </w:pPr>
    </w:p>
    <w:bookmarkStart w:id="55" w:name="page56"/>
    <w:bookmarkEnd w:id="55"/>
    <w:p>
      <w:pPr>
        <w:ind w:left="980" w:right="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her Option or SAR to the extent vested, but only within the following period of time or, if applicable, such other period of time provided in the Award Agreement or other written agreement between a Participant and the Company or an Affiliate; provided, however, that in no event may such Award be exercised after the expiration of its maximum term (as set forth in Section 4(a)):</w:t>
      </w:r>
    </w:p>
    <w:p>
      <w:pPr>
        <w:spacing w:after="0" w:line="71" w:lineRule="exact"/>
        <w:rPr>
          <w:sz w:val="20"/>
          <w:szCs w:val="20"/>
          <w:color w:val="auto"/>
        </w:rPr>
      </w:pPr>
    </w:p>
    <w:p>
      <w:pPr>
        <w:ind w:left="1420" w:right="220" w:hanging="439"/>
        <w:spacing w:after="0" w:line="277" w:lineRule="auto"/>
        <w:tabs>
          <w:tab w:leader="none" w:pos="14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three months following the date of such termination if such termination is a termination without Cause (other than any termination due to the Participant’s Disability or death);</w:t>
      </w:r>
    </w:p>
    <w:p>
      <w:pPr>
        <w:spacing w:after="0" w:line="75" w:lineRule="exact"/>
        <w:rPr>
          <w:rFonts w:ascii="Arial" w:cs="Arial" w:eastAsia="Arial" w:hAnsi="Arial"/>
          <w:sz w:val="18"/>
          <w:szCs w:val="18"/>
          <w:color w:val="auto"/>
        </w:rPr>
      </w:pPr>
    </w:p>
    <w:p>
      <w:pPr>
        <w:ind w:left="1420" w:hanging="439"/>
        <w:spacing w:after="0"/>
        <w:tabs>
          <w:tab w:leader="none" w:pos="14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12 months following the date of such termination if such termination is due to the Participant’s Disability;</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12 months following the date of such termination if such termination is due to the Participant’s death; or</w:t>
      </w:r>
    </w:p>
    <w:p>
      <w:pPr>
        <w:spacing w:after="0" w:line="130" w:lineRule="exact"/>
        <w:rPr>
          <w:rFonts w:ascii="Arial" w:cs="Arial" w:eastAsia="Arial" w:hAnsi="Arial"/>
          <w:sz w:val="18"/>
          <w:szCs w:val="18"/>
          <w:color w:val="auto"/>
        </w:rPr>
      </w:pPr>
    </w:p>
    <w:p>
      <w:pPr>
        <w:ind w:left="1420" w:right="320" w:hanging="439"/>
        <w:spacing w:after="0" w:line="277" w:lineRule="auto"/>
        <w:tabs>
          <w:tab w:leader="none" w:pos="14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12 months following the date of the Participant’s death if such death occurs following the date of such termination but during the period such Award is otherwise exercisable (as provided in (i) or (ii) above).</w:t>
      </w:r>
    </w:p>
    <w:p>
      <w:pPr>
        <w:spacing w:after="0" w:line="170"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Following the date of such termination, to the extent the Participant does not exercise such Award within the applicable Post-Termination Exercise Period (or, if earlier, prior to the expiration of the maximum term of such Award), such unexercised portion of the Award will terminate, and the Participant will have no further right, title or interest in the terminated Award, the shares of Common Stock subject to the terminated Award, or any consideration in respect of the terminated Award.</w:t>
      </w:r>
    </w:p>
    <w:p>
      <w:pPr>
        <w:spacing w:after="0" w:line="88" w:lineRule="exact"/>
        <w:rPr>
          <w:sz w:val="20"/>
          <w:szCs w:val="20"/>
          <w:color w:val="auto"/>
        </w:rPr>
      </w:pPr>
    </w:p>
    <w:p>
      <w:pPr>
        <w:ind w:left="960" w:hanging="532"/>
        <w:spacing w:after="0" w:line="291" w:lineRule="auto"/>
        <w:tabs>
          <w:tab w:leader="none" w:pos="960" w:val="left"/>
        </w:tabs>
        <w:numPr>
          <w:ilvl w:val="0"/>
          <w:numId w:val="83"/>
        </w:numPr>
        <w:rPr>
          <w:rFonts w:ascii="Arial" w:cs="Arial" w:eastAsia="Arial" w:hAnsi="Arial"/>
          <w:sz w:val="16"/>
          <w:szCs w:val="16"/>
          <w:color w:val="auto"/>
        </w:rPr>
      </w:pPr>
      <w:r>
        <w:rPr>
          <w:rFonts w:ascii="Arial" w:cs="Arial" w:eastAsia="Arial" w:hAnsi="Arial"/>
          <w:sz w:val="16"/>
          <w:szCs w:val="16"/>
          <w:u w:val="single" w:color="auto"/>
          <w:color w:val="auto"/>
        </w:rPr>
        <w:t>Restrictions on Exercise; Extension of Exercisability</w:t>
      </w:r>
      <w:r>
        <w:rPr>
          <w:rFonts w:ascii="Arial" w:cs="Arial" w:eastAsia="Arial" w:hAnsi="Arial"/>
          <w:sz w:val="16"/>
          <w:szCs w:val="16"/>
          <w:b w:val="1"/>
          <w:bCs w:val="1"/>
          <w:color w:val="auto"/>
        </w:rPr>
        <w:t>.</w:t>
      </w:r>
      <w:r>
        <w:rPr>
          <w:rFonts w:ascii="Arial" w:cs="Arial" w:eastAsia="Arial" w:hAnsi="Arial"/>
          <w:sz w:val="16"/>
          <w:szCs w:val="16"/>
          <w:color w:val="auto"/>
        </w:rPr>
        <w:t xml:space="preserve"> A Participant may not exercise an Option or SAR at any time that the issuance of shares of Common Stock upon such exercise would violate Applicable Law. Except as otherwise provided in the Award Agreement or other written agreement between a Participant and the Company or an Affiliate, if a Participant’s Continuous Service terminates for any reason other than for Cause and, if the exercise of an Option following termination of the Participant’s Continuous Service would be prohibited at any time solely because the issuance of Common Stock would violate the registration requirements under the Securities Act, then the applicable Post-Termination Exercise Period will be extended to the expiration of a period of thirty (30)-days after the termination of the Participant’s Continuous Service during which the exercise of the Option would not be in violation of such registration requirements;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no event may such Award be exercised after the expiration of its maximum term (as set forth in Section 4(a)).</w:t>
      </w:r>
    </w:p>
    <w:p>
      <w:pPr>
        <w:spacing w:after="0" w:line="68" w:lineRule="exact"/>
        <w:rPr>
          <w:rFonts w:ascii="Arial" w:cs="Arial" w:eastAsia="Arial" w:hAnsi="Arial"/>
          <w:sz w:val="16"/>
          <w:szCs w:val="16"/>
          <w:color w:val="auto"/>
        </w:rPr>
      </w:pPr>
    </w:p>
    <w:p>
      <w:pPr>
        <w:ind w:left="960" w:right="160" w:hanging="532"/>
        <w:spacing w:after="0" w:line="286" w:lineRule="auto"/>
        <w:tabs>
          <w:tab w:leader="none" w:pos="960" w:val="left"/>
        </w:tabs>
        <w:numPr>
          <w:ilvl w:val="0"/>
          <w:numId w:val="83"/>
        </w:numPr>
        <w:rPr>
          <w:rFonts w:ascii="Arial" w:cs="Arial" w:eastAsia="Arial" w:hAnsi="Arial"/>
          <w:sz w:val="17"/>
          <w:szCs w:val="17"/>
          <w:color w:val="auto"/>
        </w:rPr>
      </w:pPr>
      <w:r>
        <w:rPr>
          <w:rFonts w:ascii="Arial" w:cs="Arial" w:eastAsia="Arial" w:hAnsi="Arial"/>
          <w:sz w:val="17"/>
          <w:szCs w:val="17"/>
          <w:u w:val="single" w:color="auto"/>
          <w:color w:val="auto"/>
        </w:rPr>
        <w:t>Non-Exempt Employees</w:t>
      </w:r>
      <w:r>
        <w:rPr>
          <w:rFonts w:ascii="Arial" w:cs="Arial" w:eastAsia="Arial" w:hAnsi="Arial"/>
          <w:sz w:val="17"/>
          <w:szCs w:val="17"/>
          <w:color w:val="auto"/>
        </w:rPr>
        <w:t>. No Option or SAR, whether or not vested, granted to an Employee who is a non-exempt employee for purposes of the Fair Labor Standards Act of 1938, as amended, will be first exercisable for any shares of Common Stock until at least six months following the date of grant of such Award. Notwithstanding the foregoing, in accordance with the provisions of the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56" w:name="page57"/>
    <w:bookmarkEnd w:id="56"/>
    <w:p>
      <w:pPr>
        <w:ind w:left="984"/>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Worker Economic Opportunity Act, any vested portion of such Award may be exercised earlier than six months following the date of grant of such Award in the event of (i) such Participant’s death or Disability, (ii) a Transaction in which such Award is not assumed, continued or substituted, (iii) a Change in Control, or (iv) such Participant’s retirement (as such term may be defined in the Award Agreement or another applicable agreement or, in the absence of any such definition, in accordance with the Company’s then current employment policies and guidelines). This Section 4(j) is intended to operate so that any income derived by a non-exempt employee in connection with the exercise or vesting of an Option or SAR will be exempt from his or her regular rate of pay.</w:t>
      </w:r>
    </w:p>
    <w:p>
      <w:pPr>
        <w:spacing w:after="0" w:line="83" w:lineRule="exact"/>
        <w:rPr>
          <w:sz w:val="20"/>
          <w:szCs w:val="20"/>
          <w:color w:val="auto"/>
        </w:rPr>
      </w:pPr>
    </w:p>
    <w:p>
      <w:pPr>
        <w:ind w:left="964" w:hanging="532"/>
        <w:spacing w:after="0"/>
        <w:tabs>
          <w:tab w:leader="none" w:pos="964" w:val="left"/>
        </w:tabs>
        <w:numPr>
          <w:ilvl w:val="1"/>
          <w:numId w:val="84"/>
        </w:numPr>
        <w:rPr>
          <w:rFonts w:ascii="Arial" w:cs="Arial" w:eastAsia="Arial" w:hAnsi="Arial"/>
          <w:sz w:val="18"/>
          <w:szCs w:val="18"/>
          <w:color w:val="auto"/>
        </w:rPr>
      </w:pPr>
      <w:r>
        <w:rPr>
          <w:rFonts w:ascii="Arial" w:cs="Arial" w:eastAsia="Arial" w:hAnsi="Arial"/>
          <w:sz w:val="18"/>
          <w:szCs w:val="18"/>
          <w:u w:val="single" w:color="auto"/>
          <w:color w:val="auto"/>
        </w:rPr>
        <w:t>Whole Shares</w:t>
      </w:r>
      <w:r>
        <w:rPr>
          <w:rFonts w:ascii="Arial" w:cs="Arial" w:eastAsia="Arial" w:hAnsi="Arial"/>
          <w:sz w:val="18"/>
          <w:szCs w:val="18"/>
          <w:color w:val="auto"/>
        </w:rPr>
        <w:t>. Options and SARs may be exercised only with respect to whole shares of Common Stock or their equivalents.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Awards Other Than Options and Stock Appreciation Rights</w:t>
      </w:r>
      <w:r>
        <w:rPr>
          <w:rFonts w:ascii="Arial" w:cs="Arial" w:eastAsia="Arial" w:hAnsi="Arial"/>
          <w:sz w:val="18"/>
          <w:szCs w:val="18"/>
          <w:color w:val="auto"/>
        </w:rPr>
        <w:t>.</w:t>
      </w:r>
    </w:p>
    <w:p>
      <w:pPr>
        <w:spacing w:after="0" w:line="126" w:lineRule="exact"/>
        <w:rPr>
          <w:rFonts w:ascii="Arial" w:cs="Arial" w:eastAsia="Arial" w:hAnsi="Arial"/>
          <w:sz w:val="18"/>
          <w:szCs w:val="18"/>
          <w:color w:val="auto"/>
        </w:rPr>
      </w:pPr>
    </w:p>
    <w:p>
      <w:pPr>
        <w:ind w:left="964" w:right="60" w:hanging="532"/>
        <w:spacing w:after="0" w:line="261" w:lineRule="auto"/>
        <w:tabs>
          <w:tab w:leader="none" w:pos="964" w:val="left"/>
        </w:tabs>
        <w:numPr>
          <w:ilvl w:val="1"/>
          <w:numId w:val="85"/>
        </w:numPr>
        <w:rPr>
          <w:rFonts w:ascii="Arial" w:cs="Arial" w:eastAsia="Arial" w:hAnsi="Arial"/>
          <w:sz w:val="18"/>
          <w:szCs w:val="18"/>
          <w:color w:val="auto"/>
        </w:rPr>
      </w:pPr>
      <w:r>
        <w:rPr>
          <w:rFonts w:ascii="Arial" w:cs="Arial" w:eastAsia="Arial" w:hAnsi="Arial"/>
          <w:sz w:val="18"/>
          <w:szCs w:val="18"/>
          <w:u w:val="single" w:color="auto"/>
          <w:color w:val="auto"/>
        </w:rPr>
        <w:t>Restricted Stock Awards (“RSA”) and RSU Awards</w:t>
      </w:r>
      <w:r>
        <w:rPr>
          <w:rFonts w:ascii="Arial" w:cs="Arial" w:eastAsia="Arial" w:hAnsi="Arial"/>
          <w:sz w:val="18"/>
          <w:szCs w:val="18"/>
          <w:b w:val="1"/>
          <w:bCs w:val="1"/>
          <w:color w:val="auto"/>
        </w:rPr>
        <w:t>.</w:t>
      </w:r>
      <w:r>
        <w:rPr>
          <w:rFonts w:ascii="Arial" w:cs="Arial" w:eastAsia="Arial" w:hAnsi="Arial"/>
          <w:sz w:val="18"/>
          <w:szCs w:val="18"/>
          <w:color w:val="auto"/>
        </w:rPr>
        <w:t xml:space="preserve"> Each Restricted Stock Award and RSU Award will have such terms and conditions as determined by the Board; provided, however, that each Restricted Stock Award Agreement and RSU Award Agreement will conform (through incorporation of the provisions hereof by reference in the Award Agreement or otherwise) to the substance of each of the following provisions:</w:t>
      </w:r>
    </w:p>
    <w:p>
      <w:pPr>
        <w:spacing w:after="0" w:line="89" w:lineRule="exact"/>
        <w:rPr>
          <w:rFonts w:ascii="Arial" w:cs="Arial" w:eastAsia="Arial" w:hAnsi="Arial"/>
          <w:sz w:val="18"/>
          <w:szCs w:val="18"/>
          <w:color w:val="auto"/>
        </w:rPr>
      </w:pPr>
    </w:p>
    <w:p>
      <w:pPr>
        <w:ind w:left="1424" w:hanging="439"/>
        <w:spacing w:after="0"/>
        <w:tabs>
          <w:tab w:leader="none" w:pos="1424" w:val="left"/>
        </w:tabs>
        <w:numPr>
          <w:ilvl w:val="2"/>
          <w:numId w:val="85"/>
        </w:numPr>
        <w:rPr>
          <w:rFonts w:ascii="Arial" w:cs="Arial" w:eastAsia="Arial" w:hAnsi="Arial"/>
          <w:sz w:val="18"/>
          <w:szCs w:val="18"/>
          <w:color w:val="auto"/>
        </w:rPr>
      </w:pPr>
      <w:r>
        <w:rPr>
          <w:rFonts w:ascii="Arial" w:cs="Arial" w:eastAsia="Arial" w:hAnsi="Arial"/>
          <w:sz w:val="18"/>
          <w:szCs w:val="18"/>
          <w:color w:val="auto"/>
        </w:rPr>
        <w:t>Form of Award.</w:t>
      </w:r>
    </w:p>
    <w:p>
      <w:pPr>
        <w:spacing w:after="0" w:line="130" w:lineRule="exact"/>
        <w:rPr>
          <w:rFonts w:ascii="Arial" w:cs="Arial" w:eastAsia="Arial" w:hAnsi="Arial"/>
          <w:sz w:val="18"/>
          <w:szCs w:val="18"/>
          <w:color w:val="auto"/>
        </w:rPr>
      </w:pPr>
    </w:p>
    <w:p>
      <w:pPr>
        <w:ind w:left="1964" w:right="180" w:hanging="533"/>
        <w:spacing w:after="0" w:line="296" w:lineRule="auto"/>
        <w:tabs>
          <w:tab w:leader="none" w:pos="1964" w:val="left"/>
        </w:tabs>
        <w:numPr>
          <w:ilvl w:val="3"/>
          <w:numId w:val="85"/>
        </w:numPr>
        <w:rPr>
          <w:rFonts w:ascii="Arial" w:cs="Arial" w:eastAsia="Arial" w:hAnsi="Arial"/>
          <w:sz w:val="16"/>
          <w:szCs w:val="16"/>
          <w:color w:val="auto"/>
        </w:rPr>
      </w:pPr>
      <w:r>
        <w:rPr>
          <w:rFonts w:ascii="Arial" w:cs="Arial" w:eastAsia="Arial" w:hAnsi="Arial"/>
          <w:sz w:val="16"/>
          <w:szCs w:val="16"/>
          <w:color w:val="auto"/>
        </w:rPr>
        <w:t>RSAs: To the extent consistent with the Company’s Bylaws, at the Board’s election, shares of Common Stock subject to a Restricted Stock Award may be (i) held in book entry form subject to the Company’s instructions until such shares become vested or any other restrictions lapse, or (ii) evidenced by a certificate, which certificate will be held in such form and manner as determined by the Board. Unless otherwise determined by the Board, a Participant will have voting and other rights as a stockholder of the Company with respect to any shares subject to a Restricted Stock Award.</w:t>
      </w:r>
    </w:p>
    <w:p>
      <w:pPr>
        <w:spacing w:after="0" w:line="66" w:lineRule="exact"/>
        <w:rPr>
          <w:rFonts w:ascii="Arial" w:cs="Arial" w:eastAsia="Arial" w:hAnsi="Arial"/>
          <w:sz w:val="16"/>
          <w:szCs w:val="16"/>
          <w:color w:val="auto"/>
        </w:rPr>
      </w:pPr>
    </w:p>
    <w:p>
      <w:pPr>
        <w:ind w:left="1964" w:hanging="533"/>
        <w:spacing w:after="0" w:line="291" w:lineRule="auto"/>
        <w:tabs>
          <w:tab w:leader="none" w:pos="1964" w:val="left"/>
        </w:tabs>
        <w:numPr>
          <w:ilvl w:val="3"/>
          <w:numId w:val="85"/>
        </w:numPr>
        <w:rPr>
          <w:rFonts w:ascii="Arial" w:cs="Arial" w:eastAsia="Arial" w:hAnsi="Arial"/>
          <w:sz w:val="16"/>
          <w:szCs w:val="16"/>
          <w:color w:val="auto"/>
        </w:rPr>
      </w:pPr>
      <w:r>
        <w:rPr>
          <w:rFonts w:ascii="Arial" w:cs="Arial" w:eastAsia="Arial" w:hAnsi="Arial"/>
          <w:sz w:val="16"/>
          <w:szCs w:val="16"/>
          <w:color w:val="auto"/>
        </w:rPr>
        <w:t>RSUs: A RSU Award represents a Participant’s right to be issued on a future date the number of shares of Common Stock that is equal to the number of restricted stock units subject to the RSU Award. As a holder of a RSU Award, a Participant is an unsecured creditor of the Company with respect to the Company’s unfunded obligation, if any, to issue shares of Common Stock in settlement of such Award and nothing contained in the Plan or any RSU Agreement, and no action taken pursuant to its provisions, will create or be construed to create a trust of any kind or a fiduciary relationship between a Participant and the Company or an Affiliate or any other person. A Participant will not have voting or any other rights as a stockholder of the Company with respect to any RSU Award (unless and until shares are actually issued in settlement of a vested RSU Award).</w:t>
      </w:r>
    </w:p>
    <w:p>
      <w:pPr>
        <w:spacing w:after="0" w:line="9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274" w:right="459" w:bottom="1440" w:gutter="0" w:footer="0" w:header="0"/>
        </w:sectPr>
      </w:pPr>
    </w:p>
    <w:bookmarkStart w:id="57" w:name="page58"/>
    <w:bookmarkEnd w:id="57"/>
    <w:p>
      <w:pPr>
        <w:ind w:left="439" w:hanging="439"/>
        <w:spacing w:after="0"/>
        <w:tabs>
          <w:tab w:leader="none" w:pos="439" w:val="left"/>
        </w:tabs>
        <w:numPr>
          <w:ilvl w:val="0"/>
          <w:numId w:val="8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Consideration.</w:t>
      </w:r>
    </w:p>
    <w:p>
      <w:pPr>
        <w:spacing w:after="0" w:line="130" w:lineRule="exact"/>
        <w:rPr>
          <w:rFonts w:ascii="Arial" w:cs="Arial" w:eastAsia="Arial" w:hAnsi="Arial"/>
          <w:sz w:val="18"/>
          <w:szCs w:val="18"/>
          <w:color w:val="auto"/>
        </w:rPr>
      </w:pPr>
    </w:p>
    <w:p>
      <w:pPr>
        <w:jc w:val="both"/>
        <w:ind w:left="979" w:hanging="533"/>
        <w:spacing w:after="0" w:line="263" w:lineRule="auto"/>
        <w:tabs>
          <w:tab w:leader="none" w:pos="979" w:val="left"/>
        </w:tabs>
        <w:numPr>
          <w:ilvl w:val="1"/>
          <w:numId w:val="86"/>
        </w:numPr>
        <w:rPr>
          <w:rFonts w:ascii="Arial" w:cs="Arial" w:eastAsia="Arial" w:hAnsi="Arial"/>
          <w:sz w:val="18"/>
          <w:szCs w:val="18"/>
          <w:color w:val="auto"/>
        </w:rPr>
      </w:pPr>
      <w:r>
        <w:rPr>
          <w:rFonts w:ascii="Arial" w:cs="Arial" w:eastAsia="Arial" w:hAnsi="Arial"/>
          <w:sz w:val="18"/>
          <w:szCs w:val="18"/>
          <w:color w:val="auto"/>
        </w:rPr>
        <w:t>RSA: A Restricted Stock Award may be granted in consideration for (A) cash or check, bank draft or money order payable to the Company, or (B) any other form of consideration (including future services) as the Board may determine and permissible under Applicable Law.</w:t>
      </w:r>
    </w:p>
    <w:p>
      <w:pPr>
        <w:spacing w:after="0" w:line="89" w:lineRule="exact"/>
        <w:rPr>
          <w:rFonts w:ascii="Arial" w:cs="Arial" w:eastAsia="Arial" w:hAnsi="Arial"/>
          <w:sz w:val="18"/>
          <w:szCs w:val="18"/>
          <w:color w:val="auto"/>
        </w:rPr>
      </w:pPr>
    </w:p>
    <w:p>
      <w:pPr>
        <w:ind w:left="979" w:right="100" w:hanging="533"/>
        <w:spacing w:after="0" w:line="272" w:lineRule="auto"/>
        <w:tabs>
          <w:tab w:leader="none" w:pos="979" w:val="left"/>
        </w:tabs>
        <w:numPr>
          <w:ilvl w:val="1"/>
          <w:numId w:val="86"/>
        </w:numPr>
        <w:rPr>
          <w:rFonts w:ascii="Arial" w:cs="Arial" w:eastAsia="Arial" w:hAnsi="Arial"/>
          <w:sz w:val="17"/>
          <w:szCs w:val="17"/>
          <w:color w:val="auto"/>
        </w:rPr>
      </w:pPr>
      <w:r>
        <w:rPr>
          <w:rFonts w:ascii="Arial" w:cs="Arial" w:eastAsia="Arial" w:hAnsi="Arial"/>
          <w:sz w:val="17"/>
          <w:szCs w:val="17"/>
          <w:color w:val="auto"/>
        </w:rPr>
        <w:t>RSU: Unless otherwise determined by the Board at the time of grant, a RSU Award will be granted in consideration for the Participant’s services to the Company or an Affiliate, such that the Participant will not be required to make any payment to the Company (other than such services) with respect to the grant or vesting of the RSU Award, or the issuance of any shares of Common Stock pursuant to the RSU Award. If, at the time of grant, the Board determines that any consideration must be paid by the Participant (in a form other than the Participant’s services to the Company or an Affiliate) upon the issuance of any shares of Common Stock in settlement of the RSU Award, such consideration may be paid in any form of consideration as the Board may determine and permissible under Applicable Law.</w:t>
      </w:r>
    </w:p>
    <w:p>
      <w:pPr>
        <w:spacing w:after="0" w:line="78" w:lineRule="exact"/>
        <w:rPr>
          <w:rFonts w:ascii="Arial" w:cs="Arial" w:eastAsia="Arial" w:hAnsi="Arial"/>
          <w:sz w:val="17"/>
          <w:szCs w:val="17"/>
          <w:color w:val="auto"/>
        </w:rPr>
      </w:pPr>
    </w:p>
    <w:p>
      <w:pPr>
        <w:ind w:left="439" w:right="200" w:hanging="439"/>
        <w:spacing w:after="0" w:line="261" w:lineRule="auto"/>
        <w:tabs>
          <w:tab w:leader="none" w:pos="439" w:val="left"/>
        </w:tabs>
        <w:numPr>
          <w:ilvl w:val="0"/>
          <w:numId w:val="86"/>
        </w:numPr>
        <w:rPr>
          <w:rFonts w:ascii="Arial" w:cs="Arial" w:eastAsia="Arial" w:hAnsi="Arial"/>
          <w:sz w:val="18"/>
          <w:szCs w:val="18"/>
          <w:color w:val="auto"/>
        </w:rPr>
      </w:pPr>
      <w:r>
        <w:rPr>
          <w:rFonts w:ascii="Arial" w:cs="Arial" w:eastAsia="Arial" w:hAnsi="Arial"/>
          <w:sz w:val="18"/>
          <w:szCs w:val="18"/>
          <w:b w:val="1"/>
          <w:bCs w:val="1"/>
          <w:color w:val="auto"/>
        </w:rPr>
        <w:t xml:space="preserve">Vesting. </w:t>
      </w:r>
      <w:r>
        <w:rPr>
          <w:rFonts w:ascii="Arial" w:cs="Arial" w:eastAsia="Arial" w:hAnsi="Arial"/>
          <w:sz w:val="18"/>
          <w:szCs w:val="18"/>
          <w:color w:val="auto"/>
        </w:rPr>
        <w:t>The Board may impose such restrictions on or conditions to the vesting of a Restricted Stock Award or RSU Award as</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by the Board. Except as otherwise provided in the Award Agreement or other written agreement between a Participant and the Company or an Affiliate, vesting of Restricted Stock Awards and RSU Awards will cease upon termination of the Participant’s Continuous Service.</w:t>
      </w:r>
    </w:p>
    <w:p>
      <w:pPr>
        <w:spacing w:after="0" w:line="85" w:lineRule="exact"/>
        <w:rPr>
          <w:rFonts w:ascii="Arial" w:cs="Arial" w:eastAsia="Arial" w:hAnsi="Arial"/>
          <w:sz w:val="18"/>
          <w:szCs w:val="18"/>
          <w:color w:val="auto"/>
        </w:rPr>
      </w:pPr>
    </w:p>
    <w:p>
      <w:pPr>
        <w:ind w:left="439" w:right="120" w:hanging="439"/>
        <w:spacing w:after="0" w:line="273" w:lineRule="auto"/>
        <w:tabs>
          <w:tab w:leader="none" w:pos="439" w:val="left"/>
        </w:tabs>
        <w:numPr>
          <w:ilvl w:val="0"/>
          <w:numId w:val="86"/>
        </w:numPr>
        <w:rPr>
          <w:rFonts w:ascii="Arial" w:cs="Arial" w:eastAsia="Arial" w:hAnsi="Arial"/>
          <w:sz w:val="17"/>
          <w:szCs w:val="17"/>
          <w:color w:val="auto"/>
        </w:rPr>
      </w:pPr>
      <w:r>
        <w:rPr>
          <w:rFonts w:ascii="Arial" w:cs="Arial" w:eastAsia="Arial" w:hAnsi="Arial"/>
          <w:sz w:val="17"/>
          <w:szCs w:val="17"/>
          <w:b w:val="1"/>
          <w:bCs w:val="1"/>
          <w:color w:val="auto"/>
        </w:rPr>
        <w:t xml:space="preserve">Termination of Continuous Service. </w:t>
      </w:r>
      <w:r>
        <w:rPr>
          <w:rFonts w:ascii="Arial" w:cs="Arial" w:eastAsia="Arial" w:hAnsi="Arial"/>
          <w:sz w:val="17"/>
          <w:szCs w:val="17"/>
          <w:color w:val="auto"/>
        </w:rPr>
        <w:t>Except as otherwise provided in the Award Agreement or other written agreement between a</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 and the Company or an Affiliate, if a Participant’s Continuous Service terminates for any reason, (i) the Company may receive through a forfeiture condition or a repurchase right any or all of the shares of Common Stock held by the Participant under his or her Restricted Stock Award that have not vested as of the date of such termination as set forth in the Restricted Stock Award Agreement and (ii) any portion of his or her RSU Award that has not vested will be forfeited upon such termination and the Participant will have no further right, title or interest in the RSU Award, the shares of Common Stock issuable pursuant to the RSU Award, or any consideration in respect of the RSU Award.</w:t>
      </w:r>
    </w:p>
    <w:p>
      <w:pPr>
        <w:spacing w:after="0" w:line="108" w:lineRule="exact"/>
        <w:rPr>
          <w:sz w:val="20"/>
          <w:szCs w:val="20"/>
          <w:color w:val="auto"/>
        </w:rPr>
      </w:pPr>
    </w:p>
    <w:p>
      <w:pPr>
        <w:ind w:left="44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9999"/>
          </w:cols>
          <w:pgMar w:left="1421" w:top="274" w:right="479" w:bottom="1440" w:gutter="0" w:footer="0" w:header="0"/>
        </w:sectPr>
      </w:pPr>
    </w:p>
    <w:bookmarkStart w:id="58" w:name="page59"/>
    <w:bookmarkEnd w:id="58"/>
    <w:p>
      <w:pPr>
        <w:ind w:left="1424" w:right="40" w:hanging="439"/>
        <w:spacing w:after="0" w:line="261" w:lineRule="auto"/>
        <w:tabs>
          <w:tab w:leader="none" w:pos="1424" w:val="left"/>
        </w:tabs>
        <w:numPr>
          <w:ilvl w:val="2"/>
          <w:numId w:val="87"/>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Settlement of RSU Awards</w:t>
      </w:r>
      <w:r>
        <w:rPr>
          <w:rFonts w:ascii="Arial" w:cs="Arial" w:eastAsia="Arial" w:hAnsi="Arial"/>
          <w:sz w:val="18"/>
          <w:szCs w:val="18"/>
          <w:color w:val="auto"/>
        </w:rPr>
        <w:t>. A RSU Award may be settled by the issuance of shares of Common Stock or cash (or any combination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thereof) or in any other form of payment, as determined by the Board and specified in the RSU Award Agreement. At the time of grant, the Board may determine to impose such restrictions or conditions that delay such delivery to a date following the vesting of the RSU Award.</w:t>
      </w:r>
    </w:p>
    <w:p>
      <w:pPr>
        <w:spacing w:after="0" w:line="89" w:lineRule="exact"/>
        <w:rPr>
          <w:rFonts w:ascii="Arial" w:cs="Arial" w:eastAsia="Arial" w:hAnsi="Arial"/>
          <w:sz w:val="18"/>
          <w:szCs w:val="18"/>
          <w:color w:val="auto"/>
        </w:rPr>
      </w:pPr>
    </w:p>
    <w:p>
      <w:pPr>
        <w:ind w:left="964" w:hanging="532"/>
        <w:spacing w:after="0" w:line="255" w:lineRule="auto"/>
        <w:tabs>
          <w:tab w:leader="none" w:pos="964" w:val="left"/>
        </w:tabs>
        <w:numPr>
          <w:ilvl w:val="1"/>
          <w:numId w:val="88"/>
        </w:numPr>
        <w:rPr>
          <w:rFonts w:ascii="Arial" w:cs="Arial" w:eastAsia="Arial" w:hAnsi="Arial"/>
          <w:sz w:val="18"/>
          <w:szCs w:val="18"/>
          <w:color w:val="auto"/>
        </w:rPr>
      </w:pPr>
      <w:r>
        <w:rPr>
          <w:rFonts w:ascii="Arial" w:cs="Arial" w:eastAsia="Arial" w:hAnsi="Arial"/>
          <w:sz w:val="18"/>
          <w:szCs w:val="18"/>
          <w:u w:val="single" w:color="auto"/>
          <w:color w:val="auto"/>
        </w:rPr>
        <w:t>Performance Awards</w:t>
      </w:r>
      <w:r>
        <w:rPr>
          <w:rFonts w:ascii="Arial" w:cs="Arial" w:eastAsia="Arial" w:hAnsi="Arial"/>
          <w:sz w:val="18"/>
          <w:szCs w:val="18"/>
          <w:color w:val="auto"/>
        </w:rPr>
        <w:t>. With respect to any Performance Award, the length of any Performance Period, the Performance Goals to be achieved during the Performance Period, the other terms and conditions of such Award, and the measure of whether and to what degree such Performance Goals have been attained will be determined by the Board. In addition, to the extent permitted by Applicable Law and set forth in the Award Agreement, the Board may determine that cash or other property may be used in payment of Performance Awards. Performance Awards that are settled in cash or other property are not required to be valued in whole or in part by reference to, or otherwise based on, the Common Stock.</w:t>
      </w:r>
    </w:p>
    <w:p>
      <w:pPr>
        <w:spacing w:after="0" w:line="97" w:lineRule="exact"/>
        <w:rPr>
          <w:rFonts w:ascii="Arial" w:cs="Arial" w:eastAsia="Arial" w:hAnsi="Arial"/>
          <w:sz w:val="18"/>
          <w:szCs w:val="18"/>
          <w:color w:val="auto"/>
        </w:rPr>
      </w:pPr>
    </w:p>
    <w:p>
      <w:pPr>
        <w:ind w:left="964" w:right="60" w:hanging="532"/>
        <w:spacing w:after="0" w:line="255" w:lineRule="auto"/>
        <w:tabs>
          <w:tab w:leader="none" w:pos="964" w:val="left"/>
        </w:tabs>
        <w:numPr>
          <w:ilvl w:val="1"/>
          <w:numId w:val="88"/>
        </w:numPr>
        <w:rPr>
          <w:rFonts w:ascii="Arial" w:cs="Arial" w:eastAsia="Arial" w:hAnsi="Arial"/>
          <w:sz w:val="18"/>
          <w:szCs w:val="18"/>
          <w:color w:val="auto"/>
        </w:rPr>
      </w:pPr>
      <w:r>
        <w:rPr>
          <w:rFonts w:ascii="Arial" w:cs="Arial" w:eastAsia="Arial" w:hAnsi="Arial"/>
          <w:sz w:val="18"/>
          <w:szCs w:val="18"/>
          <w:u w:val="single" w:color="auto"/>
          <w:color w:val="auto"/>
        </w:rPr>
        <w:t>Other Awards</w:t>
      </w:r>
      <w:r>
        <w:rPr>
          <w:rFonts w:ascii="Arial" w:cs="Arial" w:eastAsia="Arial" w:hAnsi="Arial"/>
          <w:sz w:val="18"/>
          <w:szCs w:val="18"/>
          <w:color w:val="auto"/>
        </w:rPr>
        <w:t>. Other forms of Awards valued in whole or in part by reference to, or otherwise based on, Common Stock may be granted either alone or in addition to Awards provided for under Section 4 and the preceding provisions of this Section 5. Subject to the provisions of the Plan, a majority of the Company’s Independent Directors or the Independent Compensation Committee will have sole and complete discretion to determine the persons to whom and the time or times at which such Other Awards will be granted, the number of shares of Common Stock (or the cash equivalent thereof) to be granted pursuant to such Other Awards, and all other terms and conditions of such Other Awards.</w:t>
      </w:r>
    </w:p>
    <w:p>
      <w:pPr>
        <w:spacing w:after="0" w:line="97" w:lineRule="exact"/>
        <w:rPr>
          <w:rFonts w:ascii="Arial" w:cs="Arial" w:eastAsia="Arial" w:hAnsi="Arial"/>
          <w:sz w:val="18"/>
          <w:szCs w:val="18"/>
          <w:color w:val="auto"/>
        </w:rPr>
      </w:pPr>
    </w:p>
    <w:p>
      <w:pPr>
        <w:ind w:left="424" w:hanging="424"/>
        <w:spacing w:after="0"/>
        <w:tabs>
          <w:tab w:leader="none" w:pos="424"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Adjustments upon Changes in Common Stock; Other Corporate Events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64" w:hanging="532"/>
        <w:spacing w:after="0" w:line="272" w:lineRule="auto"/>
        <w:tabs>
          <w:tab w:leader="none" w:pos="964" w:val="left"/>
        </w:tabs>
        <w:numPr>
          <w:ilvl w:val="1"/>
          <w:numId w:val="89"/>
        </w:numPr>
        <w:rPr>
          <w:rFonts w:ascii="Arial" w:cs="Arial" w:eastAsia="Arial" w:hAnsi="Arial"/>
          <w:sz w:val="17"/>
          <w:szCs w:val="17"/>
          <w:color w:val="auto"/>
        </w:rPr>
      </w:pPr>
      <w:r>
        <w:rPr>
          <w:rFonts w:ascii="Arial" w:cs="Arial" w:eastAsia="Arial" w:hAnsi="Arial"/>
          <w:sz w:val="17"/>
          <w:szCs w:val="17"/>
          <w:u w:val="single" w:color="auto"/>
          <w:color w:val="auto"/>
        </w:rPr>
        <w:t>Capitalization Adjustments</w:t>
      </w:r>
      <w:r>
        <w:rPr>
          <w:rFonts w:ascii="Arial" w:cs="Arial" w:eastAsia="Arial" w:hAnsi="Arial"/>
          <w:sz w:val="17"/>
          <w:szCs w:val="17"/>
          <w:color w:val="auto"/>
        </w:rPr>
        <w:t>. In the event of a Capitalization Adjustment, the Board shall appropriately and proportionately adjust: (i) the class(es) and maximum number of shares of Common Stock subject to the Plan pursuant to Section 2(a) and (ii) the class(es) and number of securities and exercise price, strike price or purchase price of Common Stock subject to outstanding Awards. The Board shall make such adjustments, and its determination shall be final, binding and conclusive. Notwithstanding the foregoing, no fractional shares or rights for fractional shares of Common Stock shall be created in order to implement any Capitalization Adjustment. The Board shall determine an appropriate equivalent benefit, if any, for any fractional shares or rights to fractional shares that might be created by the adjustments referred to in the preceding provisions of this Section.</w:t>
      </w:r>
    </w:p>
    <w:p>
      <w:pPr>
        <w:spacing w:after="0" w:line="82" w:lineRule="exact"/>
        <w:rPr>
          <w:rFonts w:ascii="Arial" w:cs="Arial" w:eastAsia="Arial" w:hAnsi="Arial"/>
          <w:sz w:val="17"/>
          <w:szCs w:val="17"/>
          <w:color w:val="auto"/>
        </w:rPr>
      </w:pPr>
    </w:p>
    <w:p>
      <w:pPr>
        <w:ind w:left="964" w:right="80" w:hanging="532"/>
        <w:spacing w:after="0" w:line="263" w:lineRule="auto"/>
        <w:tabs>
          <w:tab w:leader="none" w:pos="964" w:val="left"/>
        </w:tabs>
        <w:numPr>
          <w:ilvl w:val="1"/>
          <w:numId w:val="89"/>
        </w:numPr>
        <w:rPr>
          <w:rFonts w:ascii="Arial" w:cs="Arial" w:eastAsia="Arial" w:hAnsi="Arial"/>
          <w:sz w:val="18"/>
          <w:szCs w:val="18"/>
          <w:color w:val="auto"/>
        </w:rPr>
      </w:pPr>
      <w:r>
        <w:rPr>
          <w:rFonts w:ascii="Arial" w:cs="Arial" w:eastAsia="Arial" w:hAnsi="Arial"/>
          <w:sz w:val="18"/>
          <w:szCs w:val="18"/>
          <w:u w:val="single" w:color="auto"/>
          <w:color w:val="auto"/>
        </w:rPr>
        <w:t>Dissolution or Liquidation</w:t>
      </w:r>
      <w:r>
        <w:rPr>
          <w:rFonts w:ascii="Arial" w:cs="Arial" w:eastAsia="Arial" w:hAnsi="Arial"/>
          <w:sz w:val="18"/>
          <w:szCs w:val="18"/>
          <w:color w:val="auto"/>
        </w:rPr>
        <w:t>. Except as otherwise provided in the Award Agreement or other written agreement between the Participant and the Company or an Affiliate, or unless otherwise provided by the Board, in the event of a dissolution or liquidation of the Company, all outstanding Awards (other than</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4"/>
          </w:cols>
          <w:pgMar w:left="436" w:top="270" w:right="479" w:bottom="1440" w:gutter="0" w:footer="0" w:header="0"/>
        </w:sectPr>
      </w:pPr>
    </w:p>
    <w:bookmarkStart w:id="59" w:name="page60"/>
    <w:bookmarkEnd w:id="59"/>
    <w:p>
      <w:pPr>
        <w:ind w:left="560"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Awards consisting of vested and outstanding shares of Common Stock not subject to a forfeiture condition or the Company’s right of repurchase) will terminate immediately prior to the completion of such dissolution or liquidation, and the shares of Common Stock subject to the Company’s repurchase rights or subject to a forfeiture condition may be repurchased or reacquired by the Company notwithstanding the fact that the holder of such Award is providing Continuous Service.</w:t>
      </w:r>
    </w:p>
    <w:p>
      <w:pPr>
        <w:spacing w:after="0" w:line="88" w:lineRule="exact"/>
        <w:rPr>
          <w:sz w:val="20"/>
          <w:szCs w:val="20"/>
          <w:color w:val="auto"/>
        </w:rPr>
      </w:pPr>
    </w:p>
    <w:p>
      <w:pPr>
        <w:ind w:left="540" w:right="440" w:hanging="532"/>
        <w:spacing w:after="0" w:line="266" w:lineRule="auto"/>
        <w:tabs>
          <w:tab w:leader="none" w:pos="540"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Transaction</w:t>
      </w:r>
      <w:r>
        <w:rPr>
          <w:rFonts w:ascii="Arial" w:cs="Arial" w:eastAsia="Arial" w:hAnsi="Arial"/>
          <w:sz w:val="18"/>
          <w:szCs w:val="18"/>
          <w:b w:val="1"/>
          <w:bCs w:val="1"/>
          <w:color w:val="auto"/>
        </w:rPr>
        <w:t>.</w:t>
      </w:r>
      <w:r>
        <w:rPr>
          <w:rFonts w:ascii="Arial" w:cs="Arial" w:eastAsia="Arial" w:hAnsi="Arial"/>
          <w:sz w:val="18"/>
          <w:szCs w:val="18"/>
          <w:color w:val="auto"/>
        </w:rPr>
        <w:t xml:space="preserve"> The following provisions will apply to Awards in the event of a Transaction unless otherwise provided in the instrument evidencing the Award or any other written agreement between the Company or any Affiliate and the Participant or unless otherwise expressly provided by the Board at the time of grant of an Award.</w:t>
      </w:r>
    </w:p>
    <w:p>
      <w:pPr>
        <w:spacing w:after="0" w:line="81" w:lineRule="exact"/>
        <w:rPr>
          <w:rFonts w:ascii="Arial" w:cs="Arial" w:eastAsia="Arial" w:hAnsi="Arial"/>
          <w:sz w:val="18"/>
          <w:szCs w:val="18"/>
          <w:color w:val="auto"/>
        </w:rPr>
      </w:pPr>
    </w:p>
    <w:p>
      <w:pPr>
        <w:ind w:left="1000" w:hanging="439"/>
        <w:spacing w:after="0" w:line="271" w:lineRule="auto"/>
        <w:tabs>
          <w:tab w:leader="none" w:pos="1000" w:val="left"/>
        </w:tabs>
        <w:numPr>
          <w:ilvl w:val="1"/>
          <w:numId w:val="90"/>
        </w:numPr>
        <w:rPr>
          <w:rFonts w:ascii="Arial" w:cs="Arial" w:eastAsia="Arial" w:hAnsi="Arial"/>
          <w:sz w:val="17"/>
          <w:szCs w:val="17"/>
          <w:color w:val="auto"/>
        </w:rPr>
      </w:pPr>
      <w:r>
        <w:rPr>
          <w:rFonts w:ascii="Arial" w:cs="Arial" w:eastAsia="Arial" w:hAnsi="Arial"/>
          <w:sz w:val="17"/>
          <w:szCs w:val="17"/>
          <w:b w:val="1"/>
          <w:bCs w:val="1"/>
          <w:color w:val="auto"/>
        </w:rPr>
        <w:t xml:space="preserve">Awards May Be Assumed. </w:t>
      </w:r>
      <w:r>
        <w:rPr>
          <w:rFonts w:ascii="Arial" w:cs="Arial" w:eastAsia="Arial" w:hAnsi="Arial"/>
          <w:sz w:val="17"/>
          <w:szCs w:val="17"/>
          <w:color w:val="auto"/>
        </w:rPr>
        <w:t>In the event of a Transaction, any surviving corporation or acquiring corporation (or the surviving or</w:t>
      </w:r>
      <w:r>
        <w:rPr>
          <w:rFonts w:ascii="Arial" w:cs="Arial" w:eastAsia="Arial" w:hAnsi="Arial"/>
          <w:sz w:val="17"/>
          <w:szCs w:val="17"/>
          <w:b w:val="1"/>
          <w:bCs w:val="1"/>
          <w:color w:val="auto"/>
        </w:rPr>
        <w:t xml:space="preserve"> </w:t>
      </w:r>
      <w:r>
        <w:rPr>
          <w:rFonts w:ascii="Arial" w:cs="Arial" w:eastAsia="Arial" w:hAnsi="Arial"/>
          <w:sz w:val="17"/>
          <w:szCs w:val="17"/>
          <w:color w:val="auto"/>
        </w:rPr>
        <w:t>acquiring corporation’s parent company) may assume or continue any or all Awards outstanding under the Plan or may substitute similar awards for Awards outstanding under the Plan (including but not limited to, awards to acquire the same consideration paid to the stockholders of the Company pursuant to the Transaction), and any reacquisition or repurchase rights held by the Company in respect of Common Stock issued pursuant to Awards may be assigned by the Company to the successor of the Company (or the successor’s parent company, if any), in connection with such Transaction. A surviving corporation or acquiring corporation (or its parent) may choose to assume or continue only a portion of an Award or substitute a similar award for only a portion of an Award, or may choose to assume or continue the Awards held by some, but not all Participants. The terms of any assumption, continuation or substitution will be set by the Board.</w:t>
      </w:r>
    </w:p>
    <w:p>
      <w:pPr>
        <w:spacing w:after="0" w:line="79" w:lineRule="exact"/>
        <w:rPr>
          <w:rFonts w:ascii="Arial" w:cs="Arial" w:eastAsia="Arial" w:hAnsi="Arial"/>
          <w:sz w:val="17"/>
          <w:szCs w:val="17"/>
          <w:color w:val="auto"/>
        </w:rPr>
      </w:pPr>
    </w:p>
    <w:p>
      <w:pPr>
        <w:ind w:left="1000" w:right="80" w:hanging="439"/>
        <w:spacing w:after="0" w:line="270" w:lineRule="auto"/>
        <w:tabs>
          <w:tab w:leader="none" w:pos="1000" w:val="left"/>
        </w:tabs>
        <w:numPr>
          <w:ilvl w:val="1"/>
          <w:numId w:val="90"/>
        </w:numPr>
        <w:rPr>
          <w:rFonts w:ascii="Arial" w:cs="Arial" w:eastAsia="Arial" w:hAnsi="Arial"/>
          <w:sz w:val="17"/>
          <w:szCs w:val="17"/>
          <w:color w:val="auto"/>
        </w:rPr>
      </w:pPr>
      <w:r>
        <w:rPr>
          <w:rFonts w:ascii="Arial" w:cs="Arial" w:eastAsia="Arial" w:hAnsi="Arial"/>
          <w:sz w:val="17"/>
          <w:szCs w:val="17"/>
          <w:b w:val="1"/>
          <w:bCs w:val="1"/>
          <w:color w:val="auto"/>
        </w:rPr>
        <w:t xml:space="preserve">Awards Held by Current Participants. </w:t>
      </w:r>
      <w:r>
        <w:rPr>
          <w:rFonts w:ascii="Arial" w:cs="Arial" w:eastAsia="Arial" w:hAnsi="Arial"/>
          <w:sz w:val="17"/>
          <w:szCs w:val="17"/>
          <w:color w:val="auto"/>
        </w:rPr>
        <w:t>In the event of a Transaction in which the surviving corporation or acquiring 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(or its parent company) does not assume or continue such outstanding Awards or substitute similar awards for such outstanding Awards, then with respect to Awards that have not been assumed, continued or substituted and that are held by Participants whose Continuous Service has not terminated prior to the effective time of the Transaction (referred to as the “</w:t>
      </w:r>
      <w:r>
        <w:rPr>
          <w:rFonts w:ascii="Arial" w:cs="Arial" w:eastAsia="Arial" w:hAnsi="Arial"/>
          <w:sz w:val="17"/>
          <w:szCs w:val="17"/>
          <w:b w:val="1"/>
          <w:bCs w:val="1"/>
          <w:i w:val="1"/>
          <w:iCs w:val="1"/>
          <w:color w:val="auto"/>
        </w:rPr>
        <w:t>Current Participants</w:t>
      </w:r>
      <w:r>
        <w:rPr>
          <w:rFonts w:ascii="Arial" w:cs="Arial" w:eastAsia="Arial" w:hAnsi="Arial"/>
          <w:sz w:val="17"/>
          <w:szCs w:val="17"/>
          <w:color w:val="auto"/>
        </w:rPr>
        <w:t>”), the vesting of such Awards (and, with respect to Options and Stock Appreciation Rights, the time when such Awards may be exercised) will be accelerated in full to a date prior to the effective time of such Transaction (contingent upon the effectiveness of the Transaction) as the Board determines (or, if the Board does not determine such a date, to the date that is five (5) days prior to the effective time of the Transaction), and such Awards will terminate if not exercised (if applicable) at or prior to the effective time of the Transaction, and any reacquisition or repurchase rights held by the Company with respect to such Awards will lapse (contingent upon the effectiveness of the Transaction). With respect</w:t>
      </w:r>
    </w:p>
    <w:p>
      <w:pPr>
        <w:spacing w:after="0" w:line="11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560"/>
          </w:cols>
          <w:pgMar w:left="860" w:top="274" w:right="479" w:bottom="1440" w:gutter="0" w:footer="0" w:header="0"/>
        </w:sectPr>
      </w:pPr>
    </w:p>
    <w:bookmarkStart w:id="60" w:name="page61"/>
    <w:bookmarkEnd w:id="60"/>
    <w:p>
      <w:pPr>
        <w:ind w:left="1000" w:right="2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vesting of Performance Awards that will accelerate upon the occurrence of a Transaction pursuant to this subsection (ii), unless otherwise provided in the Award Agreement, the vesting of such Performance Awards will accelerate at 100% of the target level upon the occurrence of the Transaction. With respect to the vesting of Awards that will accelerate upon the occurrence of a Transaction pursuant to this subsection (ii) and are settled in the form of a cash payment, such cash payment will be made no later than 30 days following the occurrence of the Transaction.</w:t>
      </w:r>
    </w:p>
    <w:p>
      <w:pPr>
        <w:spacing w:after="0" w:line="89" w:lineRule="exact"/>
        <w:rPr>
          <w:sz w:val="20"/>
          <w:szCs w:val="20"/>
          <w:color w:val="auto"/>
        </w:rPr>
      </w:pPr>
    </w:p>
    <w:p>
      <w:pPr>
        <w:ind w:left="1000" w:right="80" w:hanging="439"/>
        <w:spacing w:after="0" w:line="274" w:lineRule="auto"/>
        <w:tabs>
          <w:tab w:leader="none" w:pos="1000" w:val="left"/>
        </w:tabs>
        <w:numPr>
          <w:ilvl w:val="1"/>
          <w:numId w:val="91"/>
        </w:numPr>
        <w:rPr>
          <w:rFonts w:ascii="Arial" w:cs="Arial" w:eastAsia="Arial" w:hAnsi="Arial"/>
          <w:sz w:val="17"/>
          <w:szCs w:val="17"/>
          <w:color w:val="auto"/>
        </w:rPr>
      </w:pPr>
      <w:r>
        <w:rPr>
          <w:rFonts w:ascii="Arial" w:cs="Arial" w:eastAsia="Arial" w:hAnsi="Arial"/>
          <w:sz w:val="17"/>
          <w:szCs w:val="17"/>
          <w:b w:val="1"/>
          <w:bCs w:val="1"/>
          <w:color w:val="auto"/>
        </w:rPr>
        <w:t xml:space="preserve">Awards Held by Persons other than Current Participants. </w:t>
      </w:r>
      <w:r>
        <w:rPr>
          <w:rFonts w:ascii="Arial" w:cs="Arial" w:eastAsia="Arial" w:hAnsi="Arial"/>
          <w:sz w:val="17"/>
          <w:szCs w:val="17"/>
          <w:color w:val="auto"/>
        </w:rPr>
        <w:t>In the event of a Transaction in which the surviving corporation or</w:t>
      </w:r>
      <w:r>
        <w:rPr>
          <w:rFonts w:ascii="Arial" w:cs="Arial" w:eastAsia="Arial" w:hAnsi="Arial"/>
          <w:sz w:val="17"/>
          <w:szCs w:val="17"/>
          <w:b w:val="1"/>
          <w:bCs w:val="1"/>
          <w:color w:val="auto"/>
        </w:rPr>
        <w:t xml:space="preserve"> </w:t>
      </w:r>
      <w:r>
        <w:rPr>
          <w:rFonts w:ascii="Arial" w:cs="Arial" w:eastAsia="Arial" w:hAnsi="Arial"/>
          <w:sz w:val="17"/>
          <w:szCs w:val="17"/>
          <w:color w:val="auto"/>
        </w:rPr>
        <w:t>acquiring corporation (or its parent company) does not assume or continue such outstanding Awards or substitute similar awards for such outstanding Awards, then with respect to Awards that have not been assumed, continued or substituted and that are held by persons other than Current Participants, such Awards will terminate if not exercised (if applicable) prior to the occurrence of the Transaction; provided, however, that any reacquisition or repurchase rights held by the Company with respect to such Awards will not terminate and may continue to be exercised notwithstanding the Transaction.</w:t>
      </w:r>
    </w:p>
    <w:p>
      <w:pPr>
        <w:spacing w:after="0" w:line="78" w:lineRule="exact"/>
        <w:rPr>
          <w:rFonts w:ascii="Arial" w:cs="Arial" w:eastAsia="Arial" w:hAnsi="Arial"/>
          <w:sz w:val="17"/>
          <w:szCs w:val="17"/>
          <w:color w:val="auto"/>
        </w:rPr>
      </w:pPr>
    </w:p>
    <w:p>
      <w:pPr>
        <w:ind w:left="1000" w:right="20" w:hanging="439"/>
        <w:spacing w:after="0" w:line="256" w:lineRule="auto"/>
        <w:tabs>
          <w:tab w:leader="none" w:pos="1000" w:val="left"/>
        </w:tabs>
        <w:numPr>
          <w:ilvl w:val="1"/>
          <w:numId w:val="91"/>
        </w:numPr>
        <w:rPr>
          <w:rFonts w:ascii="Arial" w:cs="Arial" w:eastAsia="Arial" w:hAnsi="Arial"/>
          <w:sz w:val="18"/>
          <w:szCs w:val="18"/>
          <w:color w:val="auto"/>
        </w:rPr>
      </w:pPr>
      <w:r>
        <w:rPr>
          <w:rFonts w:ascii="Arial" w:cs="Arial" w:eastAsia="Arial" w:hAnsi="Arial"/>
          <w:sz w:val="18"/>
          <w:szCs w:val="18"/>
          <w:b w:val="1"/>
          <w:bCs w:val="1"/>
          <w:color w:val="auto"/>
        </w:rPr>
        <w:t xml:space="preserve">Payment for Awards in Lieu of Exercise. </w:t>
      </w:r>
      <w:r>
        <w:rPr>
          <w:rFonts w:ascii="Arial" w:cs="Arial" w:eastAsia="Arial" w:hAnsi="Arial"/>
          <w:sz w:val="18"/>
          <w:szCs w:val="18"/>
          <w:color w:val="auto"/>
        </w:rPr>
        <w:t>Notwithstanding the foregoing, in the event an Award will terminate if not exercised</w:t>
      </w:r>
      <w:r>
        <w:rPr>
          <w:rFonts w:ascii="Arial" w:cs="Arial" w:eastAsia="Arial" w:hAnsi="Arial"/>
          <w:sz w:val="18"/>
          <w:szCs w:val="18"/>
          <w:b w:val="1"/>
          <w:bCs w:val="1"/>
          <w:color w:val="auto"/>
        </w:rPr>
        <w:t xml:space="preserve"> </w:t>
      </w:r>
      <w:r>
        <w:rPr>
          <w:rFonts w:ascii="Arial" w:cs="Arial" w:eastAsia="Arial" w:hAnsi="Arial"/>
          <w:sz w:val="18"/>
          <w:szCs w:val="18"/>
          <w:color w:val="auto"/>
        </w:rPr>
        <w:t>prior to the effective time of a Transaction, the Board may provide, in its sole discretion, that the holder of such Award may not exercise such Award but will receive a payment, in such form as may be determined by the Board, equal in value, at the effective time, to the excess, if any, of (1) the value of the property the Participant would have received upon the exercise of the Award (including, at the discretion of the Board, any unvested portion of such Award), over (2) any exercise price payable by such holder in connection with such exercise.</w:t>
      </w:r>
    </w:p>
    <w:p>
      <w:pPr>
        <w:spacing w:after="0" w:line="92" w:lineRule="exact"/>
        <w:rPr>
          <w:rFonts w:ascii="Arial" w:cs="Arial" w:eastAsia="Arial" w:hAnsi="Arial"/>
          <w:sz w:val="18"/>
          <w:szCs w:val="18"/>
          <w:color w:val="auto"/>
        </w:rPr>
      </w:pPr>
    </w:p>
    <w:p>
      <w:pPr>
        <w:ind w:left="540" w:hanging="532"/>
        <w:spacing w:after="0" w:line="261" w:lineRule="auto"/>
        <w:tabs>
          <w:tab w:leader="none" w:pos="540"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Appointment of Stockholder Representative</w:t>
      </w:r>
      <w:r>
        <w:rPr>
          <w:rFonts w:ascii="Arial" w:cs="Arial" w:eastAsia="Arial" w:hAnsi="Arial"/>
          <w:sz w:val="18"/>
          <w:szCs w:val="18"/>
          <w:b w:val="1"/>
          <w:bCs w:val="1"/>
          <w:color w:val="auto"/>
        </w:rPr>
        <w:t>.</w:t>
      </w:r>
      <w:r>
        <w:rPr>
          <w:rFonts w:ascii="Arial" w:cs="Arial" w:eastAsia="Arial" w:hAnsi="Arial"/>
          <w:sz w:val="18"/>
          <w:szCs w:val="18"/>
          <w:color w:val="auto"/>
        </w:rPr>
        <w:t xml:space="preserve"> As a condition to the receipt of an Award, a Participant will be deemed to have agreed that the Award will be subject to the terms of any agreement governing a Transaction involving the Company, including, without limitation, a provision for the appointment of a stockholder representative that is authorized to act on the Participant’s behalf with respect to any escrow, indemnities and any contingent consideration.</w:t>
      </w:r>
    </w:p>
    <w:p>
      <w:pPr>
        <w:spacing w:after="0" w:line="89" w:lineRule="exact"/>
        <w:rPr>
          <w:rFonts w:ascii="Arial" w:cs="Arial" w:eastAsia="Arial" w:hAnsi="Arial"/>
          <w:sz w:val="18"/>
          <w:szCs w:val="18"/>
          <w:color w:val="auto"/>
        </w:rPr>
      </w:pPr>
    </w:p>
    <w:p>
      <w:pPr>
        <w:ind w:left="540" w:right="60" w:hanging="532"/>
        <w:spacing w:after="0" w:line="257" w:lineRule="auto"/>
        <w:tabs>
          <w:tab w:leader="none" w:pos="540"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No Restriction on Right to Undertake Transactions</w:t>
      </w:r>
      <w:r>
        <w:rPr>
          <w:rFonts w:ascii="Arial" w:cs="Arial" w:eastAsia="Arial" w:hAnsi="Arial"/>
          <w:sz w:val="18"/>
          <w:szCs w:val="18"/>
          <w:color w:val="auto"/>
        </w:rPr>
        <w:t>. The grant of any Award and the issuance of shares pursuant to any Award does not affect or restrict in any way the right or power of the Company or the stockholders of the Company to make or authorize any adjustment, recapitalization, reorganization or other change in the Company’s capital structure or its business, any merger or consolidation of the Company, any issue of stock or of options, rights or options to purchase stock or of bonds, debentures, preferred or prior preference stocks whose rights are</w:t>
      </w:r>
    </w:p>
    <w:p>
      <w:pPr>
        <w:spacing w:after="0" w:line="12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580"/>
          </w:cols>
          <w:pgMar w:left="860" w:top="274" w:right="459" w:bottom="1440" w:gutter="0" w:footer="0" w:header="0"/>
        </w:sectPr>
      </w:pPr>
    </w:p>
    <w:bookmarkStart w:id="61" w:name="page62"/>
    <w:bookmarkEnd w:id="61"/>
    <w:p>
      <w:pPr>
        <w:ind w:left="984" w:right="2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w:t>
      </w:r>
    </w:p>
    <w:p>
      <w:pPr>
        <w:spacing w:after="0" w:line="89" w:lineRule="exact"/>
        <w:rPr>
          <w:sz w:val="20"/>
          <w:szCs w:val="20"/>
          <w:color w:val="auto"/>
        </w:rPr>
      </w:pPr>
    </w:p>
    <w:p>
      <w:pPr>
        <w:ind w:left="424" w:hanging="424"/>
        <w:spacing w:after="0"/>
        <w:tabs>
          <w:tab w:leader="none" w:pos="424"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Administration</w:t>
      </w:r>
      <w:r>
        <w:rPr>
          <w:rFonts w:ascii="Arial" w:cs="Arial" w:eastAsia="Arial" w:hAnsi="Arial"/>
          <w:sz w:val="18"/>
          <w:szCs w:val="18"/>
          <w:color w:val="auto"/>
        </w:rPr>
        <w:t>.</w:t>
      </w:r>
    </w:p>
    <w:p>
      <w:pPr>
        <w:spacing w:after="0" w:line="126" w:lineRule="exact"/>
        <w:rPr>
          <w:rFonts w:ascii="Arial" w:cs="Arial" w:eastAsia="Arial" w:hAnsi="Arial"/>
          <w:sz w:val="18"/>
          <w:szCs w:val="18"/>
          <w:color w:val="auto"/>
        </w:rPr>
      </w:pPr>
    </w:p>
    <w:p>
      <w:pPr>
        <w:ind w:left="964" w:right="80" w:hanging="532"/>
        <w:spacing w:after="0" w:line="261" w:lineRule="auto"/>
        <w:tabs>
          <w:tab w:leader="none" w:pos="964" w:val="left"/>
        </w:tabs>
        <w:numPr>
          <w:ilvl w:val="1"/>
          <w:numId w:val="93"/>
        </w:numPr>
        <w:rPr>
          <w:rFonts w:ascii="Arial" w:cs="Arial" w:eastAsia="Arial" w:hAnsi="Arial"/>
          <w:sz w:val="18"/>
          <w:szCs w:val="18"/>
          <w:color w:val="auto"/>
        </w:rPr>
      </w:pPr>
      <w:r>
        <w:rPr>
          <w:rFonts w:ascii="Arial" w:cs="Arial" w:eastAsia="Arial" w:hAnsi="Arial"/>
          <w:sz w:val="18"/>
          <w:szCs w:val="18"/>
          <w:u w:val="single" w:color="auto"/>
          <w:color w:val="auto"/>
        </w:rPr>
        <w:t>Administration by Board</w:t>
      </w:r>
      <w:r>
        <w:rPr>
          <w:rFonts w:ascii="Arial" w:cs="Arial" w:eastAsia="Arial" w:hAnsi="Arial"/>
          <w:sz w:val="18"/>
          <w:szCs w:val="18"/>
          <w:b w:val="1"/>
          <w:bCs w:val="1"/>
          <w:color w:val="auto"/>
        </w:rPr>
        <w:t>.</w:t>
      </w:r>
      <w:r>
        <w:rPr>
          <w:rFonts w:ascii="Arial" w:cs="Arial" w:eastAsia="Arial" w:hAnsi="Arial"/>
          <w:sz w:val="18"/>
          <w:szCs w:val="18"/>
          <w:color w:val="auto"/>
        </w:rPr>
        <w:t xml:space="preserve"> The Board will administer the Plan; provided however, that Awards may only be granted by either (i) a majority of the Company’s Independent Directors or (ii) the Independent Compensation Committee. Subject to those constraints and the other constraints of the Inducement Award Rules, the Board may delegate some of its powers of administration of the Plan to a Committee or Committees, as provided in subsection (c) below.</w:t>
      </w:r>
    </w:p>
    <w:p>
      <w:pPr>
        <w:spacing w:after="0" w:line="85" w:lineRule="exact"/>
        <w:rPr>
          <w:rFonts w:ascii="Arial" w:cs="Arial" w:eastAsia="Arial" w:hAnsi="Arial"/>
          <w:sz w:val="18"/>
          <w:szCs w:val="18"/>
          <w:color w:val="auto"/>
        </w:rPr>
      </w:pPr>
    </w:p>
    <w:p>
      <w:pPr>
        <w:ind w:left="964" w:right="500" w:hanging="532"/>
        <w:spacing w:after="0" w:line="282" w:lineRule="auto"/>
        <w:tabs>
          <w:tab w:leader="none" w:pos="964" w:val="left"/>
        </w:tabs>
        <w:numPr>
          <w:ilvl w:val="1"/>
          <w:numId w:val="93"/>
        </w:numPr>
        <w:rPr>
          <w:rFonts w:ascii="Arial" w:cs="Arial" w:eastAsia="Arial" w:hAnsi="Arial"/>
          <w:sz w:val="18"/>
          <w:szCs w:val="18"/>
          <w:color w:val="auto"/>
        </w:rPr>
      </w:pPr>
      <w:r>
        <w:rPr>
          <w:rFonts w:ascii="Arial" w:cs="Arial" w:eastAsia="Arial" w:hAnsi="Arial"/>
          <w:sz w:val="18"/>
          <w:szCs w:val="18"/>
          <w:u w:val="single" w:color="auto"/>
          <w:color w:val="auto"/>
        </w:rPr>
        <w:t>Powers of Board</w:t>
      </w:r>
      <w:r>
        <w:rPr>
          <w:rFonts w:ascii="Arial" w:cs="Arial" w:eastAsia="Arial" w:hAnsi="Arial"/>
          <w:sz w:val="18"/>
          <w:szCs w:val="18"/>
          <w:b w:val="1"/>
          <w:bCs w:val="1"/>
          <w:color w:val="auto"/>
        </w:rPr>
        <w:t>.</w:t>
      </w:r>
      <w:r>
        <w:rPr>
          <w:rFonts w:ascii="Arial" w:cs="Arial" w:eastAsia="Arial" w:hAnsi="Arial"/>
          <w:sz w:val="18"/>
          <w:szCs w:val="18"/>
          <w:color w:val="auto"/>
        </w:rPr>
        <w:t xml:space="preserve"> The Board will have the power, subject to, and within the limitations of, the express provisions of the Plan and the Inducement Award Rules:</w:t>
      </w:r>
    </w:p>
    <w:p>
      <w:pPr>
        <w:spacing w:after="0" w:line="71" w:lineRule="exact"/>
        <w:rPr>
          <w:rFonts w:ascii="Arial" w:cs="Arial" w:eastAsia="Arial" w:hAnsi="Arial"/>
          <w:sz w:val="18"/>
          <w:szCs w:val="18"/>
          <w:color w:val="auto"/>
        </w:rPr>
      </w:pPr>
    </w:p>
    <w:p>
      <w:pPr>
        <w:ind w:left="1424" w:right="120" w:hanging="439"/>
        <w:spacing w:after="0" w:line="254" w:lineRule="auto"/>
        <w:tabs>
          <w:tab w:leader="none" w:pos="1424" w:val="left"/>
        </w:tabs>
        <w:numPr>
          <w:ilvl w:val="2"/>
          <w:numId w:val="93"/>
        </w:numPr>
        <w:rPr>
          <w:rFonts w:ascii="Arial" w:cs="Arial" w:eastAsia="Arial" w:hAnsi="Arial"/>
          <w:sz w:val="18"/>
          <w:szCs w:val="18"/>
          <w:color w:val="auto"/>
        </w:rPr>
      </w:pPr>
      <w:r>
        <w:rPr>
          <w:rFonts w:ascii="Arial" w:cs="Arial" w:eastAsia="Arial" w:hAnsi="Arial"/>
          <w:sz w:val="18"/>
          <w:szCs w:val="18"/>
          <w:color w:val="auto"/>
        </w:rPr>
        <w:t>To determine from time to time (1) which of the persons eligible under the Plan will be granted Awards; (2) when and how each Award will be granted; (3) what type or combination of types of Award will be granted; (4) the provisions of each Award granted (which need not be identical), including the time or times when a person will be permitted to receive an issuance of Common Stock or other payment pursuant to an Award; (5) the number of shares of Common Stock or cash equivalent with respect to which an Award will be granted to each such person; and (6) the Fair Market Value applicable to an Award; provided, however, that Awards may only be granted by either (i) a majority of the Company’s Independent Directors or (ii) the Independent Compensation Committee.</w:t>
      </w:r>
    </w:p>
    <w:p>
      <w:pPr>
        <w:spacing w:after="0" w:line="100" w:lineRule="exact"/>
        <w:rPr>
          <w:rFonts w:ascii="Arial" w:cs="Arial" w:eastAsia="Arial" w:hAnsi="Arial"/>
          <w:sz w:val="18"/>
          <w:szCs w:val="18"/>
          <w:color w:val="auto"/>
        </w:rPr>
      </w:pPr>
    </w:p>
    <w:p>
      <w:pPr>
        <w:ind w:left="1424" w:right="380" w:hanging="439"/>
        <w:spacing w:after="0" w:line="311" w:lineRule="auto"/>
        <w:tabs>
          <w:tab w:leader="none" w:pos="1424" w:val="left"/>
        </w:tabs>
        <w:numPr>
          <w:ilvl w:val="2"/>
          <w:numId w:val="93"/>
        </w:numPr>
        <w:rPr>
          <w:rFonts w:ascii="Arial" w:cs="Arial" w:eastAsia="Arial" w:hAnsi="Arial"/>
          <w:sz w:val="16"/>
          <w:szCs w:val="16"/>
          <w:color w:val="auto"/>
        </w:rPr>
      </w:pPr>
      <w:r>
        <w:rPr>
          <w:rFonts w:ascii="Arial" w:cs="Arial" w:eastAsia="Arial" w:hAnsi="Arial"/>
          <w:sz w:val="16"/>
          <w:szCs w:val="16"/>
          <w:color w:val="auto"/>
        </w:rPr>
        <w:t>To construe and interpret the Plan and Awards granted under it, and to establish, amend and revoke rules and regulations for its administration. The Board, in the exercise of this power, may correct any defect, omission or inconsistency in the Plan or in any Award Agreement, in a manner and to the extent it deems necessary or expedient to make the Plan or Award fully effective.</w:t>
      </w:r>
    </w:p>
    <w:p>
      <w:pPr>
        <w:spacing w:after="0" w:line="54" w:lineRule="exact"/>
        <w:rPr>
          <w:rFonts w:ascii="Arial" w:cs="Arial" w:eastAsia="Arial" w:hAnsi="Arial"/>
          <w:sz w:val="16"/>
          <w:szCs w:val="16"/>
          <w:color w:val="auto"/>
        </w:rPr>
      </w:pPr>
    </w:p>
    <w:p>
      <w:pPr>
        <w:ind w:left="1424" w:hanging="439"/>
        <w:spacing w:after="0"/>
        <w:tabs>
          <w:tab w:leader="none" w:pos="1424" w:val="left"/>
        </w:tabs>
        <w:numPr>
          <w:ilvl w:val="2"/>
          <w:numId w:val="93"/>
        </w:numPr>
        <w:rPr>
          <w:rFonts w:ascii="Arial" w:cs="Arial" w:eastAsia="Arial" w:hAnsi="Arial"/>
          <w:sz w:val="18"/>
          <w:szCs w:val="18"/>
          <w:color w:val="auto"/>
        </w:rPr>
      </w:pPr>
      <w:r>
        <w:rPr>
          <w:rFonts w:ascii="Arial" w:cs="Arial" w:eastAsia="Arial" w:hAnsi="Arial"/>
          <w:sz w:val="18"/>
          <w:szCs w:val="18"/>
          <w:color w:val="auto"/>
        </w:rPr>
        <w:t>To settle all controversies regarding the Plan and Awards granted under it.</w:t>
      </w:r>
    </w:p>
    <w:p>
      <w:pPr>
        <w:spacing w:after="0" w:line="130" w:lineRule="exact"/>
        <w:rPr>
          <w:rFonts w:ascii="Arial" w:cs="Arial" w:eastAsia="Arial" w:hAnsi="Arial"/>
          <w:sz w:val="18"/>
          <w:szCs w:val="18"/>
          <w:color w:val="auto"/>
        </w:rPr>
      </w:pPr>
    </w:p>
    <w:p>
      <w:pPr>
        <w:ind w:left="1424" w:hanging="439"/>
        <w:spacing w:after="0" w:line="263" w:lineRule="auto"/>
        <w:tabs>
          <w:tab w:leader="none" w:pos="1424" w:val="left"/>
        </w:tabs>
        <w:numPr>
          <w:ilvl w:val="2"/>
          <w:numId w:val="93"/>
        </w:numPr>
        <w:rPr>
          <w:rFonts w:ascii="Arial" w:cs="Arial" w:eastAsia="Arial" w:hAnsi="Arial"/>
          <w:sz w:val="18"/>
          <w:szCs w:val="18"/>
          <w:color w:val="auto"/>
        </w:rPr>
      </w:pPr>
      <w:r>
        <w:rPr>
          <w:rFonts w:ascii="Arial" w:cs="Arial" w:eastAsia="Arial" w:hAnsi="Arial"/>
          <w:sz w:val="18"/>
          <w:szCs w:val="18"/>
          <w:color w:val="auto"/>
        </w:rPr>
        <w:t>To accelerate the time at which an Award may first be exercised or the time during which an Award or any part thereof will vest, notwithstanding the provisions in the Award Agreement stating the time at which it may first be exercised or the time during which it will vest.</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4"/>
          </w:cols>
          <w:pgMar w:left="436" w:top="274" w:right="459" w:bottom="1440" w:gutter="0" w:footer="0" w:header="0"/>
        </w:sectPr>
      </w:pPr>
    </w:p>
    <w:bookmarkStart w:id="62" w:name="page63"/>
    <w:bookmarkEnd w:id="62"/>
    <w:p>
      <w:pPr>
        <w:ind w:left="439" w:hanging="439"/>
        <w:spacing w:after="0" w:line="279" w:lineRule="auto"/>
        <w:tabs>
          <w:tab w:leader="none" w:pos="439" w:val="left"/>
        </w:tabs>
        <w:numPr>
          <w:ilvl w:val="0"/>
          <w:numId w:val="9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prohibit the exercise of any Option, SAR or other exercisable Award during a period of up to 30 days prior to the consummation of any pending stock dividend, stock split, combination or exchange of shares, merger, consolidation or other distribution (other than normal cash dividends) of Company assets to stockholders, or any other change affecting the shares of Common Stock or the share price of the Common Stock including any Transaction, for reasons of administrative convenience.</w:t>
      </w:r>
    </w:p>
    <w:p>
      <w:pPr>
        <w:spacing w:after="0" w:line="76" w:lineRule="exact"/>
        <w:rPr>
          <w:rFonts w:ascii="Arial" w:cs="Arial" w:eastAsia="Arial" w:hAnsi="Arial"/>
          <w:sz w:val="17"/>
          <w:szCs w:val="17"/>
          <w:color w:val="auto"/>
        </w:rPr>
      </w:pPr>
    </w:p>
    <w:p>
      <w:pPr>
        <w:ind w:left="439" w:right="40" w:hanging="439"/>
        <w:spacing w:after="0" w:line="308" w:lineRule="auto"/>
        <w:tabs>
          <w:tab w:leader="none" w:pos="439" w:val="left"/>
        </w:tabs>
        <w:numPr>
          <w:ilvl w:val="0"/>
          <w:numId w:val="94"/>
        </w:numPr>
        <w:rPr>
          <w:rFonts w:ascii="Arial" w:cs="Arial" w:eastAsia="Arial" w:hAnsi="Arial"/>
          <w:sz w:val="17"/>
          <w:szCs w:val="17"/>
          <w:color w:val="auto"/>
        </w:rPr>
      </w:pPr>
      <w:r>
        <w:rPr>
          <w:rFonts w:ascii="Arial" w:cs="Arial" w:eastAsia="Arial" w:hAnsi="Arial"/>
          <w:sz w:val="17"/>
          <w:szCs w:val="17"/>
          <w:color w:val="auto"/>
        </w:rPr>
        <w:t>To suspend or terminate the Plan at any time. Suspension or termination of the Plan will not Materially Impair rights and obligations under any Award granted while the Plan is in effect except with the written consent of the affected Participant.</w:t>
      </w:r>
    </w:p>
    <w:p>
      <w:pPr>
        <w:spacing w:after="0" w:line="51" w:lineRule="exact"/>
        <w:rPr>
          <w:rFonts w:ascii="Arial" w:cs="Arial" w:eastAsia="Arial" w:hAnsi="Arial"/>
          <w:sz w:val="17"/>
          <w:szCs w:val="17"/>
          <w:color w:val="auto"/>
        </w:rPr>
      </w:pPr>
    </w:p>
    <w:p>
      <w:pPr>
        <w:ind w:left="439" w:hanging="439"/>
        <w:spacing w:after="0" w:line="279" w:lineRule="auto"/>
        <w:tabs>
          <w:tab w:leader="none" w:pos="439" w:val="left"/>
        </w:tabs>
        <w:numPr>
          <w:ilvl w:val="0"/>
          <w:numId w:val="94"/>
        </w:numPr>
        <w:rPr>
          <w:rFonts w:ascii="Arial" w:cs="Arial" w:eastAsia="Arial" w:hAnsi="Arial"/>
          <w:sz w:val="17"/>
          <w:szCs w:val="17"/>
          <w:color w:val="auto"/>
        </w:rPr>
      </w:pPr>
      <w:r>
        <w:rPr>
          <w:rFonts w:ascii="Arial" w:cs="Arial" w:eastAsia="Arial" w:hAnsi="Arial"/>
          <w:sz w:val="17"/>
          <w:szCs w:val="17"/>
          <w:color w:val="auto"/>
        </w:rPr>
        <w:t>To amend the Plan in any respect the Board deems necessary or advisable; provided, however</w:t>
      </w:r>
      <w:r>
        <w:rPr>
          <w:rFonts w:ascii="Arial" w:cs="Arial" w:eastAsia="Arial" w:hAnsi="Arial"/>
          <w:sz w:val="17"/>
          <w:szCs w:val="17"/>
          <w:i w:val="1"/>
          <w:iCs w:val="1"/>
          <w:color w:val="auto"/>
        </w:rPr>
        <w:t>,</w:t>
      </w:r>
      <w:r>
        <w:rPr>
          <w:rFonts w:ascii="Arial" w:cs="Arial" w:eastAsia="Arial" w:hAnsi="Arial"/>
          <w:sz w:val="17"/>
          <w:szCs w:val="17"/>
          <w:color w:val="auto"/>
        </w:rPr>
        <w:t xml:space="preserve"> that stockholder approval will be required for any amendment to the extent required by Applicable Law. Except as provided above, a Participant’s rights under any Award granted before amendment of the Plan will not be Materially Impaired by any amendment of the Plan unless (1) the Company requests the consent of the affected Participant, and (2) such Participant consents in writing.</w:t>
      </w:r>
    </w:p>
    <w:p>
      <w:pPr>
        <w:spacing w:after="0" w:line="76" w:lineRule="exact"/>
        <w:rPr>
          <w:rFonts w:ascii="Arial" w:cs="Arial" w:eastAsia="Arial" w:hAnsi="Arial"/>
          <w:sz w:val="17"/>
          <w:szCs w:val="17"/>
          <w:color w:val="auto"/>
        </w:rPr>
      </w:pPr>
    </w:p>
    <w:p>
      <w:pPr>
        <w:ind w:left="439" w:hanging="439"/>
        <w:spacing w:after="0"/>
        <w:tabs>
          <w:tab w:leader="none" w:pos="439" w:val="left"/>
        </w:tabs>
        <w:numPr>
          <w:ilvl w:val="0"/>
          <w:numId w:val="94"/>
        </w:numPr>
        <w:rPr>
          <w:rFonts w:ascii="Arial" w:cs="Arial" w:eastAsia="Arial" w:hAnsi="Arial"/>
          <w:sz w:val="18"/>
          <w:szCs w:val="18"/>
          <w:color w:val="auto"/>
        </w:rPr>
      </w:pPr>
      <w:r>
        <w:rPr>
          <w:rFonts w:ascii="Arial" w:cs="Arial" w:eastAsia="Arial" w:hAnsi="Arial"/>
          <w:sz w:val="18"/>
          <w:szCs w:val="18"/>
          <w:color w:val="auto"/>
        </w:rPr>
        <w:t>To submit any amendment to the Plan for stockholder approval.</w:t>
      </w:r>
    </w:p>
    <w:p>
      <w:pPr>
        <w:spacing w:after="0" w:line="130" w:lineRule="exact"/>
        <w:rPr>
          <w:rFonts w:ascii="Arial" w:cs="Arial" w:eastAsia="Arial" w:hAnsi="Arial"/>
          <w:sz w:val="18"/>
          <w:szCs w:val="18"/>
          <w:color w:val="auto"/>
        </w:rPr>
      </w:pPr>
    </w:p>
    <w:p>
      <w:pPr>
        <w:ind w:left="439" w:hanging="439"/>
        <w:spacing w:after="0" w:line="257" w:lineRule="auto"/>
        <w:tabs>
          <w:tab w:leader="none" w:pos="439" w:val="left"/>
        </w:tabs>
        <w:numPr>
          <w:ilvl w:val="0"/>
          <w:numId w:val="94"/>
        </w:numPr>
        <w:rPr>
          <w:rFonts w:ascii="Arial" w:cs="Arial" w:eastAsia="Arial" w:hAnsi="Arial"/>
          <w:sz w:val="18"/>
          <w:szCs w:val="18"/>
          <w:color w:val="auto"/>
        </w:rPr>
      </w:pPr>
      <w:r>
        <w:rPr>
          <w:rFonts w:ascii="Arial" w:cs="Arial" w:eastAsia="Arial" w:hAnsi="Arial"/>
          <w:sz w:val="18"/>
          <w:szCs w:val="18"/>
          <w:color w:val="auto"/>
        </w:rPr>
        <w:t xml:space="preserve">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Board discretion; </w:t>
      </w:r>
      <w:r>
        <w:rPr>
          <w:rFonts w:ascii="Arial" w:cs="Arial" w:eastAsia="Arial" w:hAnsi="Arial"/>
          <w:sz w:val="18"/>
          <w:szCs w:val="18"/>
          <w:i w:val="1"/>
          <w:iCs w:val="1"/>
          <w:color w:val="auto"/>
        </w:rPr>
        <w:t>provided however</w:t>
      </w:r>
      <w:r>
        <w:rPr>
          <w:rFonts w:ascii="Arial" w:cs="Arial" w:eastAsia="Arial" w:hAnsi="Arial"/>
          <w:sz w:val="18"/>
          <w:szCs w:val="18"/>
          <w:color w:val="auto"/>
        </w:rPr>
        <w:t>, that, a Participant’s rights under any Award will not be Materially Impaired by any such amendment unless (1) the Company requests the consent of the affected Participant, and (2) such Participant consents in writing.</w:t>
      </w:r>
    </w:p>
    <w:p>
      <w:pPr>
        <w:spacing w:after="0" w:line="93" w:lineRule="exact"/>
        <w:rPr>
          <w:rFonts w:ascii="Arial" w:cs="Arial" w:eastAsia="Arial" w:hAnsi="Arial"/>
          <w:sz w:val="18"/>
          <w:szCs w:val="18"/>
          <w:color w:val="auto"/>
        </w:rPr>
      </w:pPr>
    </w:p>
    <w:p>
      <w:pPr>
        <w:ind w:left="439" w:right="40" w:hanging="439"/>
        <w:spacing w:after="0" w:line="277" w:lineRule="auto"/>
        <w:tabs>
          <w:tab w:leader="none" w:pos="439" w:val="left"/>
        </w:tabs>
        <w:numPr>
          <w:ilvl w:val="0"/>
          <w:numId w:val="94"/>
        </w:numPr>
        <w:rPr>
          <w:rFonts w:ascii="Arial" w:cs="Arial" w:eastAsia="Arial" w:hAnsi="Arial"/>
          <w:sz w:val="18"/>
          <w:szCs w:val="18"/>
          <w:color w:val="auto"/>
        </w:rPr>
      </w:pPr>
      <w:r>
        <w:rPr>
          <w:rFonts w:ascii="Arial" w:cs="Arial" w:eastAsia="Arial" w:hAnsi="Arial"/>
          <w:sz w:val="18"/>
          <w:szCs w:val="18"/>
          <w:color w:val="auto"/>
        </w:rPr>
        <w:t>Generally, to exercise such powers and to perform such acts as the Board deems necessary or expedient to promote the best interests of the Company and that are not in conflict with the provisions of the Plan or Awards.</w:t>
      </w:r>
    </w:p>
    <w:p>
      <w:pPr>
        <w:spacing w:after="0" w:line="75" w:lineRule="exact"/>
        <w:rPr>
          <w:rFonts w:ascii="Arial" w:cs="Arial" w:eastAsia="Arial" w:hAnsi="Arial"/>
          <w:sz w:val="18"/>
          <w:szCs w:val="18"/>
          <w:color w:val="auto"/>
        </w:rPr>
      </w:pPr>
    </w:p>
    <w:p>
      <w:pPr>
        <w:ind w:left="439" w:right="40" w:hanging="439"/>
        <w:spacing w:after="0" w:line="259" w:lineRule="auto"/>
        <w:tabs>
          <w:tab w:leader="none" w:pos="439" w:val="left"/>
        </w:tabs>
        <w:numPr>
          <w:ilvl w:val="0"/>
          <w:numId w:val="94"/>
        </w:numPr>
        <w:rPr>
          <w:rFonts w:ascii="Arial" w:cs="Arial" w:eastAsia="Arial" w:hAnsi="Arial"/>
          <w:sz w:val="18"/>
          <w:szCs w:val="18"/>
          <w:color w:val="auto"/>
        </w:rPr>
      </w:pPr>
      <w:r>
        <w:rPr>
          <w:rFonts w:ascii="Arial" w:cs="Arial" w:eastAsia="Arial" w:hAnsi="Arial"/>
          <w:sz w:val="18"/>
          <w:szCs w:val="18"/>
          <w:color w:val="auto"/>
        </w:rPr>
        <w:t>To adopt such procedures and sub-plans as are necessary or appropriate to permit and facilitate participation in the Plan by, or take advantage of specific tax treatment for Awards granted to Eligible Employees who are foreign nationals or employed outside the United States (provided that Board approval will not be necessary for immaterial modifications to the Plan or any Award Agreement to ensure or facilitate compliance with the laws of the relevant foreign jurisdiction).</w:t>
      </w:r>
    </w:p>
    <w:p>
      <w:pPr>
        <w:spacing w:after="0" w:line="119" w:lineRule="exact"/>
        <w:rPr>
          <w:sz w:val="20"/>
          <w:szCs w:val="20"/>
          <w:color w:val="auto"/>
        </w:rPr>
      </w:pPr>
    </w:p>
    <w:p>
      <w:pPr>
        <w:ind w:left="44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9999"/>
          </w:cols>
          <w:pgMar w:left="1421" w:top="274" w:right="479" w:bottom="1440" w:gutter="0" w:footer="0" w:header="0"/>
        </w:sectPr>
      </w:pPr>
    </w:p>
    <w:bookmarkStart w:id="63" w:name="page64"/>
    <w:bookmarkEnd w:id="63"/>
    <w:p>
      <w:pPr>
        <w:ind w:left="964" w:hanging="532"/>
        <w:spacing w:after="0"/>
        <w:tabs>
          <w:tab w:leader="none" w:pos="964" w:val="left"/>
        </w:tabs>
        <w:numPr>
          <w:ilvl w:val="1"/>
          <w:numId w:val="9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Delegation to Committee.</w:t>
      </w:r>
    </w:p>
    <w:p>
      <w:pPr>
        <w:spacing w:after="0" w:line="126" w:lineRule="exact"/>
        <w:rPr>
          <w:rFonts w:ascii="Arial" w:cs="Arial" w:eastAsia="Arial" w:hAnsi="Arial"/>
          <w:sz w:val="18"/>
          <w:szCs w:val="18"/>
          <w:color w:val="auto"/>
        </w:rPr>
      </w:pPr>
    </w:p>
    <w:p>
      <w:pPr>
        <w:ind w:left="1424" w:right="140" w:hanging="439"/>
        <w:spacing w:after="0" w:line="289" w:lineRule="auto"/>
        <w:tabs>
          <w:tab w:leader="none" w:pos="1424" w:val="left"/>
        </w:tabs>
        <w:numPr>
          <w:ilvl w:val="2"/>
          <w:numId w:val="95"/>
        </w:numPr>
        <w:rPr>
          <w:rFonts w:ascii="Arial" w:cs="Arial" w:eastAsia="Arial" w:hAnsi="Arial"/>
          <w:sz w:val="16"/>
          <w:szCs w:val="16"/>
          <w:color w:val="auto"/>
        </w:rPr>
      </w:pPr>
      <w:r>
        <w:rPr>
          <w:rFonts w:ascii="Arial" w:cs="Arial" w:eastAsia="Arial" w:hAnsi="Arial"/>
          <w:sz w:val="16"/>
          <w:szCs w:val="16"/>
          <w:b w:val="1"/>
          <w:bCs w:val="1"/>
          <w:color w:val="auto"/>
        </w:rPr>
        <w:t xml:space="preserve">General. </w:t>
      </w:r>
      <w:r>
        <w:rPr>
          <w:rFonts w:ascii="Arial" w:cs="Arial" w:eastAsia="Arial" w:hAnsi="Arial"/>
          <w:sz w:val="16"/>
          <w:szCs w:val="16"/>
          <w:color w:val="auto"/>
        </w:rPr>
        <w:t>Subject to the terms of Section 3(b), the Board may delegate some or all of the administration of the Plan to a Committee</w:t>
      </w:r>
      <w:r>
        <w:rPr>
          <w:rFonts w:ascii="Arial" w:cs="Arial" w:eastAsia="Arial" w:hAnsi="Arial"/>
          <w:sz w:val="16"/>
          <w:szCs w:val="16"/>
          <w:b w:val="1"/>
          <w:bCs w:val="1"/>
          <w:color w:val="auto"/>
        </w:rPr>
        <w:t xml:space="preserve"> </w:t>
      </w:r>
      <w:r>
        <w:rPr>
          <w:rFonts w:ascii="Arial" w:cs="Arial" w:eastAsia="Arial" w:hAnsi="Arial"/>
          <w:sz w:val="16"/>
          <w:szCs w:val="16"/>
          <w:color w:val="auto"/>
        </w:rPr>
        <w:t>or Committees. If administration of the Plan is delegated to a Committee, the Committee will have, in connection with the administration of the Plan, the powers theretofore possessed by the Board that have been delegated to the Committee, including the power to delegate to another Committee or a subcommittee of the Committee any of the administrative powers the Committee is authorized to exercise (and references in this Plan to the Board will thereafter be construed as being to the Committee or subcommittee, as applicable), subject, however, to such resolutions, not inconsistent with the provisions of the Plan, as may be adopted from time to time by the Board. Each Committee may retain the authority to concurrently administer the Plan with Committee or subcommittee to which it has delegated its authority hereunder and may, at any time, revest in such Committee some or all of the powers previously delegated. The Board may retain the authority to concurrently administer the Plan with any Committee and may, at any time, revest in the Board some or all of the powers previously delegated.</w:t>
      </w:r>
    </w:p>
    <w:p>
      <w:pPr>
        <w:spacing w:after="0" w:line="66" w:lineRule="exact"/>
        <w:rPr>
          <w:rFonts w:ascii="Arial" w:cs="Arial" w:eastAsia="Arial" w:hAnsi="Arial"/>
          <w:sz w:val="16"/>
          <w:szCs w:val="16"/>
          <w:color w:val="auto"/>
        </w:rPr>
      </w:pPr>
    </w:p>
    <w:p>
      <w:pPr>
        <w:ind w:left="1424" w:right="140" w:hanging="439"/>
        <w:spacing w:after="0" w:line="258" w:lineRule="auto"/>
        <w:tabs>
          <w:tab w:leader="none" w:pos="1424" w:val="left"/>
        </w:tabs>
        <w:numPr>
          <w:ilvl w:val="2"/>
          <w:numId w:val="95"/>
        </w:numPr>
        <w:rPr>
          <w:rFonts w:ascii="Arial" w:cs="Arial" w:eastAsia="Arial" w:hAnsi="Arial"/>
          <w:sz w:val="18"/>
          <w:szCs w:val="18"/>
          <w:color w:val="auto"/>
        </w:rPr>
      </w:pPr>
      <w:r>
        <w:rPr>
          <w:rFonts w:ascii="Arial" w:cs="Arial" w:eastAsia="Arial" w:hAnsi="Arial"/>
          <w:sz w:val="18"/>
          <w:szCs w:val="18"/>
          <w:b w:val="1"/>
          <w:bCs w:val="1"/>
          <w:color w:val="auto"/>
        </w:rPr>
        <w:t xml:space="preserve">Rule 16b-3 Compliance. </w:t>
      </w:r>
      <w:r>
        <w:rPr>
          <w:rFonts w:ascii="Arial" w:cs="Arial" w:eastAsia="Arial" w:hAnsi="Arial"/>
          <w:sz w:val="18"/>
          <w:szCs w:val="18"/>
          <w:color w:val="auto"/>
        </w:rPr>
        <w:t>To the extent an Award is intended to qualify for the exemption from Section 16(b) of the Exchange Act</w:t>
      </w:r>
      <w:r>
        <w:rPr>
          <w:rFonts w:ascii="Arial" w:cs="Arial" w:eastAsia="Arial" w:hAnsi="Arial"/>
          <w:sz w:val="18"/>
          <w:szCs w:val="18"/>
          <w:b w:val="1"/>
          <w:bCs w:val="1"/>
          <w:color w:val="auto"/>
        </w:rPr>
        <w:t xml:space="preserve"> </w:t>
      </w:r>
      <w:r>
        <w:rPr>
          <w:rFonts w:ascii="Arial" w:cs="Arial" w:eastAsia="Arial" w:hAnsi="Arial"/>
          <w:sz w:val="18"/>
          <w:szCs w:val="18"/>
          <w:color w:val="auto"/>
        </w:rPr>
        <w:t>that is available under Rule 16b-3 of the Exchange Act, the Award will be granted by the Board or a Committee that consists solely of two or more Non-Employee Directors, as determined under Rule 16b-3(b)(3) of the Exchange Act and thereafter any action establishing or modifying the terms of the Award will be approved by the Board or a Committee meeting such requirements to the extent necessary for such exemption to remain available.</w:t>
      </w:r>
    </w:p>
    <w:p>
      <w:pPr>
        <w:spacing w:after="0" w:line="88" w:lineRule="exact"/>
        <w:rPr>
          <w:rFonts w:ascii="Arial" w:cs="Arial" w:eastAsia="Arial" w:hAnsi="Arial"/>
          <w:sz w:val="18"/>
          <w:szCs w:val="18"/>
          <w:color w:val="auto"/>
        </w:rPr>
      </w:pPr>
    </w:p>
    <w:p>
      <w:pPr>
        <w:ind w:left="964" w:right="200" w:hanging="532"/>
        <w:spacing w:after="0" w:line="282" w:lineRule="auto"/>
        <w:tabs>
          <w:tab w:leader="none" w:pos="964" w:val="left"/>
        </w:tabs>
        <w:numPr>
          <w:ilvl w:val="1"/>
          <w:numId w:val="95"/>
        </w:numPr>
        <w:rPr>
          <w:rFonts w:ascii="Arial" w:cs="Arial" w:eastAsia="Arial" w:hAnsi="Arial"/>
          <w:sz w:val="18"/>
          <w:szCs w:val="18"/>
          <w:color w:val="auto"/>
        </w:rPr>
      </w:pPr>
      <w:r>
        <w:rPr>
          <w:rFonts w:ascii="Arial" w:cs="Arial" w:eastAsia="Arial" w:hAnsi="Arial"/>
          <w:sz w:val="18"/>
          <w:szCs w:val="18"/>
          <w:u w:val="single" w:color="auto"/>
          <w:color w:val="auto"/>
        </w:rPr>
        <w:t>Effect of Board’s Decision</w:t>
      </w:r>
      <w:r>
        <w:rPr>
          <w:rFonts w:ascii="Arial" w:cs="Arial" w:eastAsia="Arial" w:hAnsi="Arial"/>
          <w:sz w:val="18"/>
          <w:szCs w:val="18"/>
          <w:b w:val="1"/>
          <w:bCs w:val="1"/>
          <w:color w:val="auto"/>
        </w:rPr>
        <w:t>.</w:t>
      </w:r>
      <w:r>
        <w:rPr>
          <w:rFonts w:ascii="Arial" w:cs="Arial" w:eastAsia="Arial" w:hAnsi="Arial"/>
          <w:sz w:val="18"/>
          <w:szCs w:val="18"/>
          <w:color w:val="auto"/>
        </w:rPr>
        <w:t xml:space="preserve"> All determinations, interpretations and constructions made by the Board or any Committee in good faith will not be subject to review by any person and will be final, binding and conclusive on all persons.</w:t>
      </w:r>
    </w:p>
    <w:p>
      <w:pPr>
        <w:spacing w:after="0" w:line="71" w:lineRule="exact"/>
        <w:rPr>
          <w:rFonts w:ascii="Arial" w:cs="Arial" w:eastAsia="Arial" w:hAnsi="Arial"/>
          <w:sz w:val="18"/>
          <w:szCs w:val="18"/>
          <w:color w:val="auto"/>
        </w:rPr>
      </w:pPr>
    </w:p>
    <w:p>
      <w:pPr>
        <w:ind w:left="964" w:right="100" w:hanging="532"/>
        <w:spacing w:after="0" w:line="259" w:lineRule="auto"/>
        <w:tabs>
          <w:tab w:leader="none" w:pos="964" w:val="left"/>
        </w:tabs>
        <w:numPr>
          <w:ilvl w:val="1"/>
          <w:numId w:val="95"/>
        </w:numPr>
        <w:rPr>
          <w:rFonts w:ascii="Arial" w:cs="Arial" w:eastAsia="Arial" w:hAnsi="Arial"/>
          <w:sz w:val="18"/>
          <w:szCs w:val="18"/>
          <w:color w:val="auto"/>
        </w:rPr>
      </w:pPr>
      <w:r>
        <w:rPr>
          <w:rFonts w:ascii="Arial" w:cs="Arial" w:eastAsia="Arial" w:hAnsi="Arial"/>
          <w:sz w:val="18"/>
          <w:szCs w:val="18"/>
          <w:u w:val="single" w:color="auto"/>
          <w:color w:val="auto"/>
        </w:rPr>
        <w:t>Cancellation and Re-Grant of Awards</w:t>
      </w:r>
      <w:r>
        <w:rPr>
          <w:rFonts w:ascii="Arial" w:cs="Arial" w:eastAsia="Arial" w:hAnsi="Arial"/>
          <w:sz w:val="18"/>
          <w:szCs w:val="18"/>
          <w:color w:val="auto"/>
        </w:rPr>
        <w:t>. Neither the Board nor any Committee will have the authority to: (i) reduce the exercise price or strike price of any outstanding Options or SARs, or (ii) cancel any outstanding Options or SARs that have an exercise price or strike price greater than the current Fair Market Value in exchange for cash or other Awards, unless the stockholders of the Company have approved such an action within twelve months prior to such an event.</w:t>
      </w:r>
    </w:p>
    <w:p>
      <w:pPr>
        <w:spacing w:after="0" w:line="92" w:lineRule="exact"/>
        <w:rPr>
          <w:rFonts w:ascii="Arial" w:cs="Arial" w:eastAsia="Arial" w:hAnsi="Arial"/>
          <w:sz w:val="18"/>
          <w:szCs w:val="18"/>
          <w:color w:val="auto"/>
        </w:rPr>
      </w:pPr>
    </w:p>
    <w:p>
      <w:pPr>
        <w:ind w:left="424" w:hanging="424"/>
        <w:spacing w:after="0"/>
        <w:tabs>
          <w:tab w:leader="none" w:pos="424"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Tax Withholding</w:t>
      </w:r>
    </w:p>
    <w:p>
      <w:pPr>
        <w:spacing w:after="0" w:line="126" w:lineRule="exact"/>
        <w:rPr>
          <w:rFonts w:ascii="Arial" w:cs="Arial" w:eastAsia="Arial" w:hAnsi="Arial"/>
          <w:sz w:val="18"/>
          <w:szCs w:val="18"/>
          <w:color w:val="auto"/>
        </w:rPr>
      </w:pPr>
    </w:p>
    <w:p>
      <w:pPr>
        <w:ind w:left="964" w:hanging="532"/>
        <w:spacing w:after="0" w:line="274" w:lineRule="auto"/>
        <w:tabs>
          <w:tab w:leader="none" w:pos="964" w:val="left"/>
        </w:tabs>
        <w:numPr>
          <w:ilvl w:val="1"/>
          <w:numId w:val="96"/>
        </w:numPr>
        <w:rPr>
          <w:rFonts w:ascii="Arial" w:cs="Arial" w:eastAsia="Arial" w:hAnsi="Arial"/>
          <w:sz w:val="17"/>
          <w:szCs w:val="17"/>
          <w:color w:val="auto"/>
        </w:rPr>
      </w:pPr>
      <w:r>
        <w:rPr>
          <w:rFonts w:ascii="Arial" w:cs="Arial" w:eastAsia="Arial" w:hAnsi="Arial"/>
          <w:sz w:val="17"/>
          <w:szCs w:val="17"/>
          <w:u w:val="single" w:color="auto"/>
          <w:color w:val="auto"/>
        </w:rPr>
        <w:t>Withholding Authorization</w:t>
      </w:r>
      <w:r>
        <w:rPr>
          <w:rFonts w:ascii="Arial" w:cs="Arial" w:eastAsia="Arial" w:hAnsi="Arial"/>
          <w:sz w:val="17"/>
          <w:szCs w:val="17"/>
          <w:b w:val="1"/>
          <w:bCs w:val="1"/>
          <w:color w:val="auto"/>
        </w:rPr>
        <w:t>.</w:t>
      </w:r>
      <w:r>
        <w:rPr>
          <w:rFonts w:ascii="Arial" w:cs="Arial" w:eastAsia="Arial" w:hAnsi="Arial"/>
          <w:sz w:val="17"/>
          <w:szCs w:val="17"/>
          <w:color w:val="auto"/>
        </w:rPr>
        <w:t xml:space="preserve"> As a condition to acceptance of any Award, a Participant authorizes withholding from payroll and any other amounts payable to such Participant, and otherwise agrees to make adequate provision for (including), any sums required to satisfy any U.S. federal, state, local and/or foreign tax or social insurance contribution withholding obligations of the Company or an Affiliate, if any, which arise in connection with the grant, exercise, vesting or settlement of such Award, as applicable. Accordingly, a Participant may not be able to exercise an Award even though the Award is vested, and the Company shall have no obligation to issue shares of Common Stock subject to an Award, unless and until such obligations are satisfied.</w:t>
      </w:r>
    </w:p>
    <w:p>
      <w:pPr>
        <w:spacing w:after="0" w:line="11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4"/>
          </w:cols>
          <w:pgMar w:left="436" w:top="274" w:right="459" w:bottom="1440" w:gutter="0" w:footer="0" w:header="0"/>
        </w:sectPr>
      </w:pPr>
    </w:p>
    <w:bookmarkStart w:id="64" w:name="page65"/>
    <w:bookmarkEnd w:id="64"/>
    <w:p>
      <w:pPr>
        <w:ind w:left="540" w:right="60" w:hanging="532"/>
        <w:spacing w:after="0" w:line="287" w:lineRule="auto"/>
        <w:tabs>
          <w:tab w:leader="none" w:pos="540" w:val="left"/>
        </w:tabs>
        <w:numPr>
          <w:ilvl w:val="0"/>
          <w:numId w:val="9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Satisfaction of Withholding Obligation</w:t>
      </w:r>
      <w:r>
        <w:rPr>
          <w:rFonts w:ascii="Arial" w:cs="Arial" w:eastAsia="Arial" w:hAnsi="Arial"/>
          <w:sz w:val="16"/>
          <w:szCs w:val="16"/>
          <w:b w:val="1"/>
          <w:bCs w:val="1"/>
          <w:color w:val="auto"/>
        </w:rPr>
        <w:t>.</w:t>
      </w:r>
      <w:r>
        <w:rPr>
          <w:rFonts w:ascii="Arial" w:cs="Arial" w:eastAsia="Arial" w:hAnsi="Arial"/>
          <w:sz w:val="16"/>
          <w:szCs w:val="16"/>
          <w:color w:val="auto"/>
        </w:rPr>
        <w:t xml:space="preserve"> To the extent permitted by the terms of an Award Agreement, the Company may, in its sole discretion, satisfy any U.S. federal, state, local and/or foreign tax or social insurance withholding obligation relating to an Award by any of the following means or by a combination of such means: (i) causing the Participant to tender a cash payment; (ii) withholding shares of Common Stock from the shares of Common Stock issued or otherwise issuable to the Participant in connection with the Award;</w:t>
      </w:r>
    </w:p>
    <w:p>
      <w:pPr>
        <w:spacing w:after="0" w:line="2"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7"/>
          <w:szCs w:val="17"/>
          <w:color w:val="auto"/>
        </w:rPr>
        <w:t>(iii) withholding cash from an Award settled in cash; (iv) withholding payment from any amounts otherwise payable to the Participant;</w:t>
      </w:r>
    </w:p>
    <w:p>
      <w:pPr>
        <w:spacing w:after="0" w:line="21" w:lineRule="exact"/>
        <w:rPr>
          <w:sz w:val="20"/>
          <w:szCs w:val="20"/>
          <w:color w:val="auto"/>
        </w:rPr>
      </w:pPr>
    </w:p>
    <w:p>
      <w:pPr>
        <w:ind w:left="540" w:firstLine="8"/>
        <w:spacing w:after="0" w:line="260" w:lineRule="auto"/>
        <w:tabs>
          <w:tab w:leader="none" w:pos="795" w:val="left"/>
        </w:tabs>
        <w:numPr>
          <w:ilvl w:val="1"/>
          <w:numId w:val="98"/>
        </w:numPr>
        <w:rPr>
          <w:rFonts w:ascii="Arial" w:cs="Arial" w:eastAsia="Arial" w:hAnsi="Arial"/>
          <w:sz w:val="18"/>
          <w:szCs w:val="18"/>
          <w:color w:val="auto"/>
        </w:rPr>
      </w:pPr>
      <w:r>
        <w:rPr>
          <w:rFonts w:ascii="Arial" w:cs="Arial" w:eastAsia="Arial" w:hAnsi="Arial"/>
          <w:sz w:val="18"/>
          <w:szCs w:val="18"/>
          <w:color w:val="auto"/>
        </w:rPr>
        <w:t>by allowing a Participant to effectuate a “cashless exercise” pursuant to a program developed under Regulation T as promulgated by the Federal Reserve Board, or (vi) by such other method as may be set forth in the Award Agreement.</w:t>
      </w:r>
    </w:p>
    <w:p>
      <w:pPr>
        <w:spacing w:after="0" w:line="86" w:lineRule="exact"/>
        <w:rPr>
          <w:rFonts w:ascii="Arial" w:cs="Arial" w:eastAsia="Arial" w:hAnsi="Arial"/>
          <w:sz w:val="18"/>
          <w:szCs w:val="18"/>
          <w:color w:val="auto"/>
        </w:rPr>
      </w:pPr>
    </w:p>
    <w:p>
      <w:pPr>
        <w:ind w:left="540" w:right="120" w:hanging="532"/>
        <w:spacing w:after="0" w:line="285" w:lineRule="auto"/>
        <w:tabs>
          <w:tab w:leader="none" w:pos="540" w:val="left"/>
        </w:tabs>
        <w:numPr>
          <w:ilvl w:val="0"/>
          <w:numId w:val="99"/>
        </w:numPr>
        <w:rPr>
          <w:rFonts w:ascii="Arial" w:cs="Arial" w:eastAsia="Arial" w:hAnsi="Arial"/>
          <w:sz w:val="16"/>
          <w:szCs w:val="16"/>
          <w:color w:val="auto"/>
        </w:rPr>
      </w:pPr>
      <w:r>
        <w:rPr>
          <w:rFonts w:ascii="Arial" w:cs="Arial" w:eastAsia="Arial" w:hAnsi="Arial"/>
          <w:sz w:val="16"/>
          <w:szCs w:val="16"/>
          <w:u w:val="single" w:color="auto"/>
          <w:color w:val="auto"/>
        </w:rPr>
        <w:t>No Obligation to Notify or Minimize Taxes; No Liability to Claims</w:t>
      </w:r>
      <w:r>
        <w:rPr>
          <w:rFonts w:ascii="Arial" w:cs="Arial" w:eastAsia="Arial" w:hAnsi="Arial"/>
          <w:sz w:val="16"/>
          <w:szCs w:val="16"/>
          <w:b w:val="1"/>
          <w:bCs w:val="1"/>
          <w:color w:val="auto"/>
        </w:rPr>
        <w:t>.</w:t>
      </w:r>
      <w:r>
        <w:rPr>
          <w:rFonts w:ascii="Arial" w:cs="Arial" w:eastAsia="Arial" w:hAnsi="Arial"/>
          <w:sz w:val="16"/>
          <w:szCs w:val="16"/>
          <w:color w:val="auto"/>
        </w:rPr>
        <w:t xml:space="preserve"> Except as required by Applicable Law the Company has no duty or obligation to any Participant to advise such holder as to the time or manner of exercising such Award. Furthermore, the Company has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 and will not be liable to any holder of an Award for any adverse tax consequences to such holder in connection with an Award. As a condition to accepting an Award, each Participant (i) agrees to not make any claim against the Company, or any of its Officers, Directors, Employees or Affiliates related to tax liabilities arising from such Award or other Company compensation and</w:t>
      </w:r>
    </w:p>
    <w:p>
      <w:pPr>
        <w:ind w:left="540" w:firstLine="8"/>
        <w:spacing w:after="0" w:line="268" w:lineRule="auto"/>
        <w:tabs>
          <w:tab w:leader="none" w:pos="805" w:val="left"/>
        </w:tabs>
        <w:numPr>
          <w:ilvl w:val="1"/>
          <w:numId w:val="99"/>
        </w:numPr>
        <w:rPr>
          <w:rFonts w:ascii="Arial" w:cs="Arial" w:eastAsia="Arial" w:hAnsi="Arial"/>
          <w:sz w:val="17"/>
          <w:szCs w:val="17"/>
          <w:color w:val="auto"/>
        </w:rPr>
      </w:pPr>
      <w:r>
        <w:rPr>
          <w:rFonts w:ascii="Arial" w:cs="Arial" w:eastAsia="Arial" w:hAnsi="Arial"/>
          <w:sz w:val="17"/>
          <w:szCs w:val="17"/>
          <w:color w:val="auto"/>
        </w:rPr>
        <w:t>acknowledges that such Participant was advised to consult with his or her own personal tax, financial and other legal advisors regarding the tax consequences of the Award and has either done so or knowingly and voluntarily declined to do so. Additionally, each Participant acknowledges any Option or SAR is exempt from Section 409A only if the exercise or strike price is at least equal to the “fair market value” of the Common Stock on the date of grant as determined by the Internal Revenue Service and there is no other impermissible deferral of compensation associated with the Award. Additionally, as a condition to accepting an Option or SAR, each Participant agrees not make any claim against the Company, or any of its Officers, Directors, Employees or Affiliates in the event that the Internal Revenue Service asserts that such exercise price or strike price is less than the “fair market value” of the Common Stock on the date of grant as subsequently determined by the Internal Revenue Service.</w:t>
      </w:r>
    </w:p>
    <w:p>
      <w:pPr>
        <w:spacing w:after="0" w:line="84" w:lineRule="exact"/>
        <w:rPr>
          <w:rFonts w:ascii="Arial" w:cs="Arial" w:eastAsia="Arial" w:hAnsi="Arial"/>
          <w:sz w:val="17"/>
          <w:szCs w:val="17"/>
          <w:color w:val="auto"/>
        </w:rPr>
      </w:pPr>
    </w:p>
    <w:p>
      <w:pPr>
        <w:ind w:left="540" w:right="40" w:hanging="532"/>
        <w:spacing w:after="0" w:line="261" w:lineRule="auto"/>
        <w:tabs>
          <w:tab w:leader="none" w:pos="540"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Withholding Indemnification</w:t>
      </w:r>
      <w:r>
        <w:rPr>
          <w:rFonts w:ascii="Arial" w:cs="Arial" w:eastAsia="Arial" w:hAnsi="Arial"/>
          <w:sz w:val="18"/>
          <w:szCs w:val="18"/>
          <w:b w:val="1"/>
          <w:bCs w:val="1"/>
          <w:color w:val="auto"/>
        </w:rPr>
        <w:t>.</w:t>
      </w:r>
      <w:r>
        <w:rPr>
          <w:rFonts w:ascii="Arial" w:cs="Arial" w:eastAsia="Arial" w:hAnsi="Arial"/>
          <w:sz w:val="18"/>
          <w:szCs w:val="18"/>
          <w:color w:val="auto"/>
        </w:rPr>
        <w:t xml:space="preserve"> As a condition to accepting an Award, in the event that the amount of the Company’s and/or its Affiliate’s withholding obligation in connection with such Award was greater than the amount actually withheld by the Company and/or its Affiliates, each Participant agrees to indemnify and hold the Company and/or its Affiliates harmless from any failure by the Company and/or its Affiliates to withhold the proper amount.</w:t>
      </w:r>
    </w:p>
    <w:p>
      <w:pPr>
        <w:spacing w:after="0" w:line="11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600"/>
          </w:cols>
          <w:pgMar w:left="860" w:top="270" w:right="439" w:bottom="1440" w:gutter="0" w:footer="0" w:header="0"/>
        </w:sectPr>
      </w:pPr>
    </w:p>
    <w:bookmarkStart w:id="65" w:name="page66"/>
    <w:bookmarkEnd w:id="65"/>
    <w:p>
      <w:pPr>
        <w:ind w:left="424" w:hanging="424"/>
        <w:spacing w:after="0"/>
        <w:tabs>
          <w:tab w:leader="none" w:pos="424"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Miscellaneous</w:t>
      </w:r>
      <w:r>
        <w:rPr>
          <w:rFonts w:ascii="Arial" w:cs="Arial" w:eastAsia="Arial" w:hAnsi="Arial"/>
          <w:sz w:val="18"/>
          <w:szCs w:val="18"/>
          <w:color w:val="auto"/>
        </w:rPr>
        <w:t>.</w:t>
      </w:r>
    </w:p>
    <w:p>
      <w:pPr>
        <w:spacing w:after="0" w:line="126" w:lineRule="exact"/>
        <w:rPr>
          <w:rFonts w:ascii="Arial" w:cs="Arial" w:eastAsia="Arial" w:hAnsi="Arial"/>
          <w:sz w:val="18"/>
          <w:szCs w:val="18"/>
          <w:color w:val="auto"/>
        </w:rPr>
      </w:pPr>
    </w:p>
    <w:p>
      <w:pPr>
        <w:ind w:left="964" w:right="20" w:hanging="532"/>
        <w:spacing w:after="0" w:line="291" w:lineRule="auto"/>
        <w:tabs>
          <w:tab w:leader="none" w:pos="964" w:val="left"/>
        </w:tabs>
        <w:numPr>
          <w:ilvl w:val="1"/>
          <w:numId w:val="100"/>
        </w:numPr>
        <w:rPr>
          <w:rFonts w:ascii="Arial" w:cs="Arial" w:eastAsia="Arial" w:hAnsi="Arial"/>
          <w:sz w:val="16"/>
          <w:szCs w:val="16"/>
          <w:color w:val="auto"/>
        </w:rPr>
      </w:pPr>
      <w:r>
        <w:rPr>
          <w:rFonts w:ascii="Arial" w:cs="Arial" w:eastAsia="Arial" w:hAnsi="Arial"/>
          <w:sz w:val="16"/>
          <w:szCs w:val="16"/>
          <w:u w:val="single" w:color="auto"/>
          <w:color w:val="auto"/>
        </w:rPr>
        <w:t>Dividends and Dividend Equivalents</w:t>
      </w:r>
      <w:r>
        <w:rPr>
          <w:rFonts w:ascii="Arial" w:cs="Arial" w:eastAsia="Arial" w:hAnsi="Arial"/>
          <w:sz w:val="16"/>
          <w:szCs w:val="16"/>
          <w:b w:val="1"/>
          <w:bCs w:val="1"/>
          <w:color w:val="auto"/>
        </w:rPr>
        <w:t>.</w:t>
      </w:r>
      <w:r>
        <w:rPr>
          <w:rFonts w:ascii="Arial" w:cs="Arial" w:eastAsia="Arial" w:hAnsi="Arial"/>
          <w:sz w:val="16"/>
          <w:szCs w:val="16"/>
          <w:color w:val="auto"/>
        </w:rPr>
        <w:t xml:space="preserve"> Dividends or dividend equivalents may be paid or credited, as applicable, with respect to any shares of Common Stock subject to an Award other than an Option or Stock Appreciation Right, as determined by the Board and contained in the applicable Award Agreement; </w:t>
      </w:r>
      <w:r>
        <w:rPr>
          <w:rFonts w:ascii="Arial" w:cs="Arial" w:eastAsia="Arial" w:hAnsi="Arial"/>
          <w:sz w:val="16"/>
          <w:szCs w:val="16"/>
          <w:i w:val="1"/>
          <w:iCs w:val="1"/>
          <w:color w:val="auto"/>
        </w:rPr>
        <w:t>provided, however</w:t>
      </w:r>
      <w:r>
        <w:rPr>
          <w:rFonts w:ascii="Arial" w:cs="Arial" w:eastAsia="Arial" w:hAnsi="Arial"/>
          <w:sz w:val="16"/>
          <w:szCs w:val="16"/>
          <w:color w:val="auto"/>
        </w:rPr>
        <w:t>, that (i) no dividends or dividend equivalents may be paid with respect to any such shares before the date such shares have vested under the terms of such Award Agreement, (ii) any dividends or dividend equivalents that are credited with respect to any such shares will be subject to all of the terms and conditions applicable to such shares under the terms of such Award Agreement (including, but not limited to, any vesting conditions), and (iii) any dividends or dividend equivalents that are credited with respect to any such shares will be forfeited to the Company on the date, if any, such shares are forfeited to or repurchased by the Company due to a failure to meet any vesting conditions under the terms of such Award Agreement.</w:t>
      </w:r>
    </w:p>
    <w:p>
      <w:pPr>
        <w:spacing w:after="0" w:line="64" w:lineRule="exact"/>
        <w:rPr>
          <w:rFonts w:ascii="Arial" w:cs="Arial" w:eastAsia="Arial" w:hAnsi="Arial"/>
          <w:sz w:val="16"/>
          <w:szCs w:val="16"/>
          <w:color w:val="auto"/>
        </w:rPr>
      </w:pPr>
    </w:p>
    <w:p>
      <w:pPr>
        <w:ind w:left="964" w:right="380" w:hanging="532"/>
        <w:spacing w:after="0" w:line="282" w:lineRule="auto"/>
        <w:tabs>
          <w:tab w:leader="none" w:pos="964" w:val="left"/>
        </w:tabs>
        <w:numPr>
          <w:ilvl w:val="1"/>
          <w:numId w:val="100"/>
        </w:numPr>
        <w:rPr>
          <w:rFonts w:ascii="Arial" w:cs="Arial" w:eastAsia="Arial" w:hAnsi="Arial"/>
          <w:sz w:val="18"/>
          <w:szCs w:val="18"/>
          <w:color w:val="auto"/>
        </w:rPr>
      </w:pPr>
      <w:r>
        <w:rPr>
          <w:rFonts w:ascii="Arial" w:cs="Arial" w:eastAsia="Arial" w:hAnsi="Arial"/>
          <w:sz w:val="18"/>
          <w:szCs w:val="18"/>
          <w:u w:val="single" w:color="auto"/>
          <w:color w:val="auto"/>
        </w:rPr>
        <w:t>Source of Shares</w:t>
      </w:r>
      <w:r>
        <w:rPr>
          <w:rFonts w:ascii="Arial" w:cs="Arial" w:eastAsia="Arial" w:hAnsi="Arial"/>
          <w:sz w:val="18"/>
          <w:szCs w:val="18"/>
          <w:b w:val="1"/>
          <w:bCs w:val="1"/>
          <w:color w:val="auto"/>
        </w:rPr>
        <w:t>.</w:t>
      </w:r>
      <w:r>
        <w:rPr>
          <w:rFonts w:ascii="Arial" w:cs="Arial" w:eastAsia="Arial" w:hAnsi="Arial"/>
          <w:sz w:val="18"/>
          <w:szCs w:val="18"/>
          <w:color w:val="auto"/>
        </w:rPr>
        <w:t xml:space="preserve"> The stock issuable under the Plan will be shares of authorized but unissued or reacquired Common Stock, including shares repurchased by the Company on the open market or otherwise.</w:t>
      </w:r>
    </w:p>
    <w:p>
      <w:pPr>
        <w:spacing w:after="0" w:line="67" w:lineRule="exact"/>
        <w:rPr>
          <w:rFonts w:ascii="Arial" w:cs="Arial" w:eastAsia="Arial" w:hAnsi="Arial"/>
          <w:sz w:val="18"/>
          <w:szCs w:val="18"/>
          <w:color w:val="auto"/>
        </w:rPr>
      </w:pPr>
    </w:p>
    <w:p>
      <w:pPr>
        <w:ind w:left="964" w:right="400" w:hanging="532"/>
        <w:spacing w:after="0" w:line="282" w:lineRule="auto"/>
        <w:tabs>
          <w:tab w:leader="none" w:pos="964" w:val="left"/>
        </w:tabs>
        <w:numPr>
          <w:ilvl w:val="1"/>
          <w:numId w:val="100"/>
        </w:numPr>
        <w:rPr>
          <w:rFonts w:ascii="Arial" w:cs="Arial" w:eastAsia="Arial" w:hAnsi="Arial"/>
          <w:sz w:val="18"/>
          <w:szCs w:val="18"/>
          <w:color w:val="auto"/>
        </w:rPr>
      </w:pPr>
      <w:r>
        <w:rPr>
          <w:rFonts w:ascii="Arial" w:cs="Arial" w:eastAsia="Arial" w:hAnsi="Arial"/>
          <w:sz w:val="18"/>
          <w:szCs w:val="18"/>
          <w:u w:val="single" w:color="auto"/>
          <w:color w:val="auto"/>
        </w:rPr>
        <w:t>Use of Proceeds from Sales of Common Stock</w:t>
      </w:r>
      <w:r>
        <w:rPr>
          <w:rFonts w:ascii="Arial" w:cs="Arial" w:eastAsia="Arial" w:hAnsi="Arial"/>
          <w:sz w:val="18"/>
          <w:szCs w:val="18"/>
          <w:b w:val="1"/>
          <w:bCs w:val="1"/>
          <w:color w:val="auto"/>
        </w:rPr>
        <w:t>.</w:t>
      </w:r>
      <w:r>
        <w:rPr>
          <w:rFonts w:ascii="Arial" w:cs="Arial" w:eastAsia="Arial" w:hAnsi="Arial"/>
          <w:sz w:val="18"/>
          <w:szCs w:val="18"/>
          <w:color w:val="auto"/>
        </w:rPr>
        <w:t xml:space="preserve"> Proceeds from the sale of shares of Common Stock pursuant to Awards will constitute general funds of the Company.</w:t>
      </w:r>
    </w:p>
    <w:p>
      <w:pPr>
        <w:spacing w:after="0" w:line="67" w:lineRule="exact"/>
        <w:rPr>
          <w:rFonts w:ascii="Arial" w:cs="Arial" w:eastAsia="Arial" w:hAnsi="Arial"/>
          <w:sz w:val="18"/>
          <w:szCs w:val="18"/>
          <w:color w:val="auto"/>
        </w:rPr>
      </w:pPr>
    </w:p>
    <w:p>
      <w:pPr>
        <w:ind w:left="964" w:hanging="532"/>
        <w:spacing w:after="0" w:line="273" w:lineRule="auto"/>
        <w:tabs>
          <w:tab w:leader="none" w:pos="964" w:val="left"/>
        </w:tabs>
        <w:numPr>
          <w:ilvl w:val="1"/>
          <w:numId w:val="100"/>
        </w:numPr>
        <w:rPr>
          <w:rFonts w:ascii="Arial" w:cs="Arial" w:eastAsia="Arial" w:hAnsi="Arial"/>
          <w:sz w:val="17"/>
          <w:szCs w:val="17"/>
          <w:color w:val="auto"/>
        </w:rPr>
      </w:pPr>
      <w:r>
        <w:rPr>
          <w:rFonts w:ascii="Arial" w:cs="Arial" w:eastAsia="Arial" w:hAnsi="Arial"/>
          <w:sz w:val="17"/>
          <w:szCs w:val="17"/>
          <w:u w:val="single" w:color="auto"/>
          <w:color w:val="auto"/>
        </w:rPr>
        <w:t>Corporate Action Constituting Grant of Awards</w:t>
      </w:r>
      <w:r>
        <w:rPr>
          <w:rFonts w:ascii="Arial" w:cs="Arial" w:eastAsia="Arial" w:hAnsi="Arial"/>
          <w:sz w:val="17"/>
          <w:szCs w:val="17"/>
          <w:b w:val="1"/>
          <w:bCs w:val="1"/>
          <w:color w:val="auto"/>
        </w:rPr>
        <w:t>.</w:t>
      </w:r>
      <w:r>
        <w:rPr>
          <w:rFonts w:ascii="Arial" w:cs="Arial" w:eastAsia="Arial" w:hAnsi="Arial"/>
          <w:sz w:val="17"/>
          <w:szCs w:val="17"/>
          <w:color w:val="auto"/>
        </w:rPr>
        <w:t xml:space="preserve"> Corporate action constituting a grant by the Company of an Award to any Participant will be deemed completed as of the date of such corporate action, unless otherwise determined by the Board, regardless of when the instrument, certificate, or letter evidencing the Award is communicated to, or actually received or accepted by, the Participant. In the event that the corporate records (e.g., Board consents, resolutions or minutes) documenting the corporate action approving the grant contain terms (e.g., exercise price, vesting schedule or number of shares) that are inconsistent with those in the Award Agreement or related grant documents as a result of a clerical error in the Award Agreement or related grant documents, the corporate records will control and the Participant will have no legally binding right to the incorrect term in the Award Agreement or related grant documents.</w:t>
      </w:r>
    </w:p>
    <w:p>
      <w:pPr>
        <w:spacing w:after="0" w:line="77" w:lineRule="exact"/>
        <w:rPr>
          <w:rFonts w:ascii="Arial" w:cs="Arial" w:eastAsia="Arial" w:hAnsi="Arial"/>
          <w:sz w:val="17"/>
          <w:szCs w:val="17"/>
          <w:color w:val="auto"/>
        </w:rPr>
      </w:pPr>
    </w:p>
    <w:p>
      <w:pPr>
        <w:jc w:val="both"/>
        <w:ind w:left="964" w:hanging="532"/>
        <w:spacing w:after="0" w:line="314" w:lineRule="auto"/>
        <w:tabs>
          <w:tab w:leader="none" w:pos="964" w:val="left"/>
        </w:tabs>
        <w:numPr>
          <w:ilvl w:val="1"/>
          <w:numId w:val="100"/>
        </w:numPr>
        <w:rPr>
          <w:rFonts w:ascii="Arial" w:cs="Arial" w:eastAsia="Arial" w:hAnsi="Arial"/>
          <w:sz w:val="16"/>
          <w:szCs w:val="16"/>
          <w:color w:val="auto"/>
        </w:rPr>
      </w:pPr>
      <w:r>
        <w:rPr>
          <w:rFonts w:ascii="Arial" w:cs="Arial" w:eastAsia="Arial" w:hAnsi="Arial"/>
          <w:sz w:val="16"/>
          <w:szCs w:val="16"/>
          <w:u w:val="single" w:color="auto"/>
          <w:color w:val="auto"/>
        </w:rPr>
        <w:t>Stockholder Rights</w:t>
      </w:r>
      <w:r>
        <w:rPr>
          <w:rFonts w:ascii="Arial" w:cs="Arial" w:eastAsia="Arial" w:hAnsi="Arial"/>
          <w:sz w:val="16"/>
          <w:szCs w:val="16"/>
          <w:b w:val="1"/>
          <w:bCs w:val="1"/>
          <w:color w:val="auto"/>
        </w:rPr>
        <w:t>.</w:t>
      </w:r>
      <w:r>
        <w:rPr>
          <w:rFonts w:ascii="Arial" w:cs="Arial" w:eastAsia="Arial" w:hAnsi="Arial"/>
          <w:sz w:val="16"/>
          <w:szCs w:val="16"/>
          <w:color w:val="auto"/>
        </w:rPr>
        <w:t xml:space="preserve"> No Participant will be deemed to be the holder of, or to have any of the rights of a holder with respect to, any shares of Common Stock subject to such Award unless and until (i) such Participant has satisfied all requirements for exercise of the Award pursuant to its terms, if applicable, and (ii) the issuance of the Common Stock subject to such Award is reflected in the records of the Company.</w:t>
      </w:r>
    </w:p>
    <w:p>
      <w:pPr>
        <w:spacing w:after="0" w:line="7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4"/>
          </w:cols>
          <w:pgMar w:left="436" w:top="274" w:right="459" w:bottom="1440" w:gutter="0" w:footer="0" w:header="0"/>
        </w:sectPr>
      </w:pPr>
    </w:p>
    <w:bookmarkStart w:id="66" w:name="page67"/>
    <w:bookmarkEnd w:id="66"/>
    <w:p>
      <w:pPr>
        <w:ind w:left="540" w:hanging="532"/>
        <w:spacing w:after="0" w:line="288" w:lineRule="auto"/>
        <w:tabs>
          <w:tab w:leader="none" w:pos="540" w:val="left"/>
        </w:tabs>
        <w:numPr>
          <w:ilvl w:val="0"/>
          <w:numId w:val="10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Employment or Other Service Rights</w:t>
      </w:r>
      <w:r>
        <w:rPr>
          <w:rFonts w:ascii="Arial" w:cs="Arial" w:eastAsia="Arial" w:hAnsi="Arial"/>
          <w:sz w:val="16"/>
          <w:szCs w:val="16"/>
          <w:b w:val="1"/>
          <w:bCs w:val="1"/>
          <w:color w:val="auto"/>
        </w:rPr>
        <w:t>.</w:t>
      </w:r>
      <w:r>
        <w:rPr>
          <w:rFonts w:ascii="Arial" w:cs="Arial" w:eastAsia="Arial" w:hAnsi="Arial"/>
          <w:sz w:val="16"/>
          <w:szCs w:val="16"/>
          <w:color w:val="auto"/>
        </w:rPr>
        <w:t xml:space="preserve"> Nothing in the Plan, any Award Agreement or any other instrument executed thereunder or in connection with any Award granted pursuant thereto will confer upon any Participant any right to continue to serve the Company or an Affiliate in the capacity in effect at the time the Award was granted or affect the right of the Company or an Affiliate to terminate at will and without regard to any future vesting opportunity that a Participant may have with respect to any Award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or foreign jurisdiction in which the Company or the Affiliate is incorporated, as the case may be. Further, nothing in the Plan, any Award Agreement or any other instrument executed thereunder or in connection with any Award will constitute any promise or commitment by the Company or an Affiliate regarding the fact or nature of future positions, future work assignments, future compensation or any other term or condition of employment or service or confer any right or benefit under the Award or the Plan unless such right or benefit has specifically accrued under the terms of the Award Agreement and/or Plan.</w:t>
      </w:r>
    </w:p>
    <w:p>
      <w:pPr>
        <w:spacing w:after="0" w:line="72" w:lineRule="exact"/>
        <w:rPr>
          <w:rFonts w:ascii="Arial" w:cs="Arial" w:eastAsia="Arial" w:hAnsi="Arial"/>
          <w:sz w:val="16"/>
          <w:szCs w:val="16"/>
          <w:color w:val="auto"/>
        </w:rPr>
      </w:pPr>
    </w:p>
    <w:p>
      <w:pPr>
        <w:ind w:left="540" w:right="60" w:hanging="532"/>
        <w:spacing w:after="0" w:line="271" w:lineRule="auto"/>
        <w:tabs>
          <w:tab w:leader="none" w:pos="540" w:val="left"/>
        </w:tabs>
        <w:numPr>
          <w:ilvl w:val="0"/>
          <w:numId w:val="101"/>
        </w:numPr>
        <w:rPr>
          <w:rFonts w:ascii="Arial" w:cs="Arial" w:eastAsia="Arial" w:hAnsi="Arial"/>
          <w:sz w:val="17"/>
          <w:szCs w:val="17"/>
          <w:color w:val="auto"/>
        </w:rPr>
      </w:pPr>
      <w:r>
        <w:rPr>
          <w:rFonts w:ascii="Arial" w:cs="Arial" w:eastAsia="Arial" w:hAnsi="Arial"/>
          <w:sz w:val="17"/>
          <w:szCs w:val="17"/>
          <w:u w:val="single" w:color="auto"/>
          <w:color w:val="auto"/>
        </w:rPr>
        <w:t>Change in Time Commitment</w:t>
      </w:r>
      <w:r>
        <w:rPr>
          <w:rFonts w:ascii="Arial" w:cs="Arial" w:eastAsia="Arial" w:hAnsi="Arial"/>
          <w:sz w:val="17"/>
          <w:szCs w:val="17"/>
          <w:color w:val="auto"/>
        </w:rPr>
        <w:t>. In the event a Participant’s regular level of time commitment in the performance of his or her services for the 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Board may determine, to the extent permitted by Applicable Law, to (i) make a corresponding reduction in the number of shares or cash amount subject to any portion of such Award that is scheduled to vest or become payable after the date of such change in time commitment, and (ii) in lieu of or in combination with such a reduction, extend the vesting or payment schedule applicable to such Award. In the event of any such reduction, the Participant will have no right with respect to any portion of the Award that is so reduced or extended.</w:t>
      </w:r>
    </w:p>
    <w:p>
      <w:pPr>
        <w:spacing w:after="0" w:line="79" w:lineRule="exact"/>
        <w:rPr>
          <w:rFonts w:ascii="Arial" w:cs="Arial" w:eastAsia="Arial" w:hAnsi="Arial"/>
          <w:sz w:val="17"/>
          <w:szCs w:val="17"/>
          <w:color w:val="auto"/>
        </w:rPr>
      </w:pPr>
    </w:p>
    <w:p>
      <w:pPr>
        <w:ind w:left="540" w:right="140" w:hanging="532"/>
        <w:spacing w:after="0" w:line="314" w:lineRule="auto"/>
        <w:tabs>
          <w:tab w:leader="none" w:pos="540" w:val="left"/>
        </w:tabs>
        <w:numPr>
          <w:ilvl w:val="0"/>
          <w:numId w:val="101"/>
        </w:numPr>
        <w:rPr>
          <w:rFonts w:ascii="Arial" w:cs="Arial" w:eastAsia="Arial" w:hAnsi="Arial"/>
          <w:sz w:val="16"/>
          <w:szCs w:val="16"/>
          <w:color w:val="auto"/>
        </w:rPr>
      </w:pPr>
      <w:r>
        <w:rPr>
          <w:rFonts w:ascii="Arial" w:cs="Arial" w:eastAsia="Arial" w:hAnsi="Arial"/>
          <w:sz w:val="16"/>
          <w:szCs w:val="16"/>
          <w:u w:val="single" w:color="auto"/>
          <w:color w:val="auto"/>
        </w:rPr>
        <w:t>Execution of Additional Documents</w:t>
      </w:r>
      <w:r>
        <w:rPr>
          <w:rFonts w:ascii="Arial" w:cs="Arial" w:eastAsia="Arial" w:hAnsi="Arial"/>
          <w:sz w:val="16"/>
          <w:szCs w:val="16"/>
          <w:b w:val="1"/>
          <w:bCs w:val="1"/>
          <w:color w:val="auto"/>
        </w:rPr>
        <w:t>.</w:t>
      </w:r>
      <w:r>
        <w:rPr>
          <w:rFonts w:ascii="Arial" w:cs="Arial" w:eastAsia="Arial" w:hAnsi="Arial"/>
          <w:sz w:val="16"/>
          <w:szCs w:val="16"/>
          <w:color w:val="auto"/>
        </w:rPr>
        <w:t xml:space="preserve"> As a condition to accepting an Award, the Participant agrees to execute any additional documents or instruments necessary or desirable, as determined in the Plan Administrator’s sole discretion, to carry out the purposes or intent of the Award, or facilitate compliance with securities and/or other regulatory requirements, in each case at the Plan Administrator’s request.</w:t>
      </w:r>
    </w:p>
    <w:p>
      <w:pPr>
        <w:spacing w:after="0" w:line="51" w:lineRule="exact"/>
        <w:rPr>
          <w:rFonts w:ascii="Arial" w:cs="Arial" w:eastAsia="Arial" w:hAnsi="Arial"/>
          <w:sz w:val="16"/>
          <w:szCs w:val="16"/>
          <w:color w:val="auto"/>
        </w:rPr>
      </w:pPr>
    </w:p>
    <w:p>
      <w:pPr>
        <w:ind w:left="540" w:right="80" w:hanging="532"/>
        <w:spacing w:after="0" w:line="259" w:lineRule="auto"/>
        <w:tabs>
          <w:tab w:leader="none" w:pos="54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Electronic Delivery and Participation</w:t>
      </w:r>
      <w:r>
        <w:rPr>
          <w:rFonts w:ascii="Arial" w:cs="Arial" w:eastAsia="Arial" w:hAnsi="Arial"/>
          <w:sz w:val="18"/>
          <w:szCs w:val="18"/>
          <w:color w:val="auto"/>
        </w:rPr>
        <w:t>. Any reference herein or in an Award Agreement to a “written” agreement or document will include any agreement or document delivered electronically, filed publicly at www.sec.gov (or any successor website thereto) or posted on the Company’s intranet (or other shared electronic medium controlled by the Company to which the Participant has access). By accepting any Award the Participant consents to receive documents</w:t>
      </w:r>
    </w:p>
    <w:p>
      <w:pPr>
        <w:spacing w:after="0" w:line="11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580"/>
          </w:cols>
          <w:pgMar w:left="860" w:top="270" w:right="459" w:bottom="1440" w:gutter="0" w:footer="0" w:header="0"/>
        </w:sectPr>
      </w:pPr>
    </w:p>
    <w:bookmarkStart w:id="67" w:name="page68"/>
    <w:bookmarkEnd w:id="67"/>
    <w:p>
      <w:pPr>
        <w:jc w:val="both"/>
        <w:ind w:left="560" w:right="68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by electronic delivery and to participate in the Plan through any on-line electronic system established and maintained by the Plan Administrator or another third party selected by the Plan Administrator. The form of delivery of any Common Stock (e.g., a stock certificate or electronic entry evidencing such shares) shall be determined by the Company.</w:t>
      </w:r>
    </w:p>
    <w:p>
      <w:pPr>
        <w:spacing w:after="0" w:line="71" w:lineRule="exact"/>
        <w:rPr>
          <w:sz w:val="20"/>
          <w:szCs w:val="20"/>
          <w:color w:val="auto"/>
        </w:rPr>
      </w:pPr>
    </w:p>
    <w:p>
      <w:pPr>
        <w:ind w:left="540" w:hanging="532"/>
        <w:spacing w:after="0" w:line="270" w:lineRule="auto"/>
        <w:tabs>
          <w:tab w:leader="none" w:pos="540" w:val="left"/>
        </w:tabs>
        <w:numPr>
          <w:ilvl w:val="0"/>
          <w:numId w:val="102"/>
        </w:numPr>
        <w:rPr>
          <w:rFonts w:ascii="Arial" w:cs="Arial" w:eastAsia="Arial" w:hAnsi="Arial"/>
          <w:sz w:val="17"/>
          <w:szCs w:val="17"/>
          <w:color w:val="auto"/>
        </w:rPr>
      </w:pPr>
      <w:r>
        <w:rPr>
          <w:rFonts w:ascii="Arial" w:cs="Arial" w:eastAsia="Arial" w:hAnsi="Arial"/>
          <w:sz w:val="17"/>
          <w:szCs w:val="17"/>
          <w:u w:val="single" w:color="auto"/>
          <w:color w:val="auto"/>
        </w:rPr>
        <w:t>Clawback/Recovery</w:t>
      </w:r>
      <w:r>
        <w:rPr>
          <w:rFonts w:ascii="Arial" w:cs="Arial" w:eastAsia="Arial" w:hAnsi="Arial"/>
          <w:sz w:val="17"/>
          <w:szCs w:val="17"/>
          <w:color w:val="auto"/>
        </w:rPr>
        <w:t>. All Awards will be subject to recoupment in accordance with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 and any clawback policy that the Company otherwise adopts, to the extent applicable and permissible under Applicable Law. In addition, the Board may impose such other clawback, recovery or recoupment provisions in an Award Agreement as the Board determines necessary or appropriate, including but not limited to a reacquisition right in respect of previously acquired shares of Common Stock or other cash or property upon the occurrence of Cause. No recovery of compensation under such a clawback policy will be an event giving rise to a Participant’s right to voluntary terminate employment upon a “resignation for good reason,” or for a “constructive termination” or any similar term under any plan of or agreement with the Company.</w:t>
      </w:r>
    </w:p>
    <w:p>
      <w:pPr>
        <w:spacing w:after="0" w:line="82" w:lineRule="exact"/>
        <w:rPr>
          <w:rFonts w:ascii="Arial" w:cs="Arial" w:eastAsia="Arial" w:hAnsi="Arial"/>
          <w:sz w:val="17"/>
          <w:szCs w:val="17"/>
          <w:color w:val="auto"/>
        </w:rPr>
      </w:pPr>
    </w:p>
    <w:p>
      <w:pPr>
        <w:ind w:left="540" w:right="40" w:hanging="532"/>
        <w:spacing w:after="0" w:line="281" w:lineRule="auto"/>
        <w:tabs>
          <w:tab w:leader="none" w:pos="540" w:val="left"/>
        </w:tabs>
        <w:numPr>
          <w:ilvl w:val="0"/>
          <w:numId w:val="102"/>
        </w:numPr>
        <w:rPr>
          <w:rFonts w:ascii="Arial" w:cs="Arial" w:eastAsia="Arial" w:hAnsi="Arial"/>
          <w:sz w:val="17"/>
          <w:szCs w:val="17"/>
          <w:color w:val="auto"/>
        </w:rPr>
      </w:pPr>
      <w:r>
        <w:rPr>
          <w:rFonts w:ascii="Arial" w:cs="Arial" w:eastAsia="Arial" w:hAnsi="Arial"/>
          <w:sz w:val="17"/>
          <w:szCs w:val="17"/>
          <w:u w:val="single" w:color="auto"/>
          <w:color w:val="auto"/>
        </w:rPr>
        <w:t>Securities Law Compliance</w:t>
      </w:r>
      <w:r>
        <w:rPr>
          <w:rFonts w:ascii="Arial" w:cs="Arial" w:eastAsia="Arial" w:hAnsi="Arial"/>
          <w:sz w:val="17"/>
          <w:szCs w:val="17"/>
          <w:b w:val="1"/>
          <w:bCs w:val="1"/>
          <w:color w:val="auto"/>
        </w:rPr>
        <w:t>.</w:t>
      </w:r>
      <w:r>
        <w:rPr>
          <w:rFonts w:ascii="Arial" w:cs="Arial" w:eastAsia="Arial" w:hAnsi="Arial"/>
          <w:sz w:val="17"/>
          <w:szCs w:val="17"/>
          <w:color w:val="auto"/>
        </w:rPr>
        <w:t xml:space="preserve"> A Participant will not be issued any shares in respect of an Award unless either (i) the shares are registered under the Securities Act; or (ii) the Company has determined that such issuance would be exempt from the registration requirements of the Securities Act. Each Award also must comply with other Applicable Law governing the Award, and a Participant will not receive such shares if the Company determines that such receipt would not be in material compliance with Applicable Law.</w:t>
      </w:r>
    </w:p>
    <w:p>
      <w:pPr>
        <w:spacing w:after="0" w:line="70" w:lineRule="exact"/>
        <w:rPr>
          <w:rFonts w:ascii="Arial" w:cs="Arial" w:eastAsia="Arial" w:hAnsi="Arial"/>
          <w:sz w:val="17"/>
          <w:szCs w:val="17"/>
          <w:color w:val="auto"/>
        </w:rPr>
      </w:pPr>
    </w:p>
    <w:p>
      <w:pPr>
        <w:ind w:left="540" w:right="60" w:hanging="532"/>
        <w:spacing w:after="0" w:line="258" w:lineRule="auto"/>
        <w:tabs>
          <w:tab w:leader="none" w:pos="540"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Transfer or Assignment of Awards; Issued Shares</w:t>
      </w:r>
      <w:r>
        <w:rPr>
          <w:rFonts w:ascii="Arial" w:cs="Arial" w:eastAsia="Arial" w:hAnsi="Arial"/>
          <w:sz w:val="18"/>
          <w:szCs w:val="18"/>
          <w:b w:val="1"/>
          <w:bCs w:val="1"/>
          <w:color w:val="auto"/>
        </w:rPr>
        <w:t>.</w:t>
      </w:r>
      <w:r>
        <w:rPr>
          <w:rFonts w:ascii="Arial" w:cs="Arial" w:eastAsia="Arial" w:hAnsi="Arial"/>
          <w:sz w:val="18"/>
          <w:szCs w:val="18"/>
          <w:color w:val="auto"/>
        </w:rPr>
        <w:t xml:space="preserve"> Except as expressly provided in the Plan or the form of Award Agreement, Awards may not be transferred or assigned by the Participant. After the vested shares subject to an Award have been issued, or in the case of Restricted Stock and similar awards, after the issued shares have vested, the holder of such shares is free to assign, hypothecate, donate, encumber or otherwise dispose of any interest in such shares provided that any such actions are in compliance with the provisions herein, the terms of the Trading Policy and Applicable Law.</w:t>
      </w:r>
    </w:p>
    <w:p>
      <w:pPr>
        <w:spacing w:after="0" w:line="88" w:lineRule="exact"/>
        <w:rPr>
          <w:rFonts w:ascii="Arial" w:cs="Arial" w:eastAsia="Arial" w:hAnsi="Arial"/>
          <w:sz w:val="18"/>
          <w:szCs w:val="18"/>
          <w:color w:val="auto"/>
        </w:rPr>
      </w:pPr>
    </w:p>
    <w:p>
      <w:pPr>
        <w:ind w:left="540" w:right="20" w:hanging="532"/>
        <w:spacing w:after="0" w:line="281" w:lineRule="auto"/>
        <w:tabs>
          <w:tab w:leader="none" w:pos="540" w:val="left"/>
        </w:tabs>
        <w:numPr>
          <w:ilvl w:val="0"/>
          <w:numId w:val="102"/>
        </w:numPr>
        <w:rPr>
          <w:rFonts w:ascii="Arial" w:cs="Arial" w:eastAsia="Arial" w:hAnsi="Arial"/>
          <w:sz w:val="17"/>
          <w:szCs w:val="17"/>
          <w:color w:val="auto"/>
        </w:rPr>
      </w:pPr>
      <w:r>
        <w:rPr>
          <w:rFonts w:ascii="Arial" w:cs="Arial" w:eastAsia="Arial" w:hAnsi="Arial"/>
          <w:sz w:val="17"/>
          <w:szCs w:val="17"/>
          <w:u w:val="single" w:color="auto"/>
          <w:color w:val="auto"/>
        </w:rPr>
        <w:t>Effect on Other Employee Benefit Plans</w:t>
      </w:r>
      <w:r>
        <w:rPr>
          <w:rFonts w:ascii="Arial" w:cs="Arial" w:eastAsia="Arial" w:hAnsi="Arial"/>
          <w:sz w:val="17"/>
          <w:szCs w:val="17"/>
          <w:b w:val="1"/>
          <w:bCs w:val="1"/>
          <w:color w:val="auto"/>
        </w:rPr>
        <w:t>.</w:t>
      </w:r>
      <w:r>
        <w:rPr>
          <w:rFonts w:ascii="Arial" w:cs="Arial" w:eastAsia="Arial" w:hAnsi="Arial"/>
          <w:sz w:val="17"/>
          <w:szCs w:val="17"/>
          <w:color w:val="auto"/>
        </w:rPr>
        <w:t xml:space="preserve"> The value of any Award, as determined upon grant, vesting or settlement, shall not be included as compensation, earnings, salaries, or other similar terms used when calculating any Participant’s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spacing w:after="0" w:line="10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580"/>
          </w:cols>
          <w:pgMar w:left="860" w:top="274" w:right="459" w:bottom="1440" w:gutter="0" w:footer="0" w:header="0"/>
        </w:sectPr>
      </w:pPr>
    </w:p>
    <w:bookmarkStart w:id="68" w:name="page69"/>
    <w:bookmarkEnd w:id="68"/>
    <w:p>
      <w:pPr>
        <w:ind w:left="964" w:right="60" w:hanging="532"/>
        <w:spacing w:after="0" w:line="261" w:lineRule="auto"/>
        <w:tabs>
          <w:tab w:leader="none" w:pos="964" w:val="left"/>
        </w:tabs>
        <w:numPr>
          <w:ilvl w:val="1"/>
          <w:numId w:val="10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Deferrals</w:t>
      </w:r>
      <w:r>
        <w:rPr>
          <w:rFonts w:ascii="Arial" w:cs="Arial" w:eastAsia="Arial" w:hAnsi="Arial"/>
          <w:sz w:val="18"/>
          <w:szCs w:val="18"/>
          <w:b w:val="1"/>
          <w:bCs w:val="1"/>
          <w:color w:val="auto"/>
        </w:rPr>
        <w:t>.</w:t>
      </w:r>
      <w:r>
        <w:rPr>
          <w:rFonts w:ascii="Arial" w:cs="Arial" w:eastAsia="Arial" w:hAnsi="Arial"/>
          <w:sz w:val="18"/>
          <w:szCs w:val="18"/>
          <w:color w:val="auto"/>
        </w:rPr>
        <w:t xml:space="preserve"> To the extent permitted by Applicable Law, the Board, in its sole discretion, may determine that the delivery of Common Stock or the payment of cash, upon the exercise, vesting or settlement of all or a portion of any Award may be deferred and may also establish programs and procedures for deferral elections to be made by Participants. Deferrals by will be made in accordance with the requirements of Section 409A.</w:t>
      </w:r>
    </w:p>
    <w:p>
      <w:pPr>
        <w:spacing w:after="0" w:line="85" w:lineRule="exact"/>
        <w:rPr>
          <w:rFonts w:ascii="Arial" w:cs="Arial" w:eastAsia="Arial" w:hAnsi="Arial"/>
          <w:sz w:val="18"/>
          <w:szCs w:val="18"/>
          <w:color w:val="auto"/>
        </w:rPr>
      </w:pPr>
    </w:p>
    <w:p>
      <w:pPr>
        <w:ind w:left="964" w:hanging="532"/>
        <w:spacing w:after="0" w:line="268" w:lineRule="auto"/>
        <w:tabs>
          <w:tab w:leader="none" w:pos="964" w:val="left"/>
        </w:tabs>
        <w:numPr>
          <w:ilvl w:val="1"/>
          <w:numId w:val="103"/>
        </w:numPr>
        <w:rPr>
          <w:rFonts w:ascii="Arial" w:cs="Arial" w:eastAsia="Arial" w:hAnsi="Arial"/>
          <w:sz w:val="17"/>
          <w:szCs w:val="17"/>
          <w:color w:val="auto"/>
        </w:rPr>
      </w:pPr>
      <w:r>
        <w:rPr>
          <w:rFonts w:ascii="Arial" w:cs="Arial" w:eastAsia="Arial" w:hAnsi="Arial"/>
          <w:sz w:val="17"/>
          <w:szCs w:val="17"/>
          <w:u w:val="single" w:color="auto"/>
          <w:color w:val="auto"/>
        </w:rPr>
        <w:t>Section 409A</w:t>
      </w:r>
      <w:r>
        <w:rPr>
          <w:rFonts w:ascii="Arial" w:cs="Arial" w:eastAsia="Arial" w:hAnsi="Arial"/>
          <w:sz w:val="17"/>
          <w:szCs w:val="17"/>
          <w:b w:val="1"/>
          <w:bCs w:val="1"/>
          <w:color w:val="auto"/>
        </w:rPr>
        <w:t>.</w:t>
      </w:r>
      <w:r>
        <w:rPr>
          <w:rFonts w:ascii="Arial" w:cs="Arial" w:eastAsia="Arial" w:hAnsi="Arial"/>
          <w:sz w:val="17"/>
          <w:szCs w:val="17"/>
          <w:color w:val="auto"/>
        </w:rPr>
        <w:t xml:space="preserve"> Unless otherwise expressly provided for in an Award Agreement, the Plan and Award Agreements will be interpreted to the greatest extent possible in a manner that makes the Plan and the Awards granted hereunder exempt from Section 409A, and, to the extent not so exempt, in compliance with the requirements of Section 409A. If the Board determines that any Award granted hereunder is not exempt from and is therefore subject to Section 409A,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shares of Common Stock are publicly traded, and if a Participant holding an Award that constitutes “deferred compensation” under Section 409A is a “specified employee” for purposes of Section 409A, no distribution or payment of any amount that is due because of a “separation from service” (as defined in Section 409A without regard to alternative definitions thereunder) will be issued or paid before the date that is six months and one day following the date of such Participant’s “separation from service” (as defined in Section 409A of the Code without regard to alternative definitions thereunder) or, if earlier, the date of the Participant’s death, unless such distribution or payment can be made in a manner that complies with Section 409A, and any amounts so deferred will be paid in a lump sum on the day after such six month period elapses, with the balance paid thereafter on the original schedule.</w:t>
      </w:r>
    </w:p>
    <w:p>
      <w:pPr>
        <w:spacing w:after="0" w:line="89" w:lineRule="exact"/>
        <w:rPr>
          <w:rFonts w:ascii="Arial" w:cs="Arial" w:eastAsia="Arial" w:hAnsi="Arial"/>
          <w:sz w:val="17"/>
          <w:szCs w:val="17"/>
          <w:color w:val="auto"/>
        </w:rPr>
      </w:pPr>
    </w:p>
    <w:p>
      <w:pPr>
        <w:ind w:left="964" w:hanging="532"/>
        <w:spacing w:after="0" w:line="266" w:lineRule="auto"/>
        <w:tabs>
          <w:tab w:leader="none" w:pos="964" w:val="left"/>
        </w:tabs>
        <w:numPr>
          <w:ilvl w:val="1"/>
          <w:numId w:val="103"/>
        </w:numPr>
        <w:rPr>
          <w:rFonts w:ascii="Arial" w:cs="Arial" w:eastAsia="Arial" w:hAnsi="Arial"/>
          <w:sz w:val="18"/>
          <w:szCs w:val="18"/>
          <w:color w:val="auto"/>
        </w:rPr>
      </w:pPr>
      <w:r>
        <w:rPr>
          <w:rFonts w:ascii="Arial" w:cs="Arial" w:eastAsia="Arial" w:hAnsi="Arial"/>
          <w:sz w:val="18"/>
          <w:szCs w:val="18"/>
          <w:u w:val="single" w:color="auto"/>
          <w:color w:val="auto"/>
        </w:rPr>
        <w:t>Choice of Law</w:t>
      </w:r>
      <w:r>
        <w:rPr>
          <w:rFonts w:ascii="Arial" w:cs="Arial" w:eastAsia="Arial" w:hAnsi="Arial"/>
          <w:sz w:val="18"/>
          <w:szCs w:val="18"/>
          <w:b w:val="1"/>
          <w:bCs w:val="1"/>
          <w:color w:val="auto"/>
        </w:rPr>
        <w:t>.</w:t>
      </w:r>
      <w:r>
        <w:rPr>
          <w:rFonts w:ascii="Arial" w:cs="Arial" w:eastAsia="Arial" w:hAnsi="Arial"/>
          <w:sz w:val="18"/>
          <w:szCs w:val="18"/>
          <w:color w:val="auto"/>
        </w:rPr>
        <w:t xml:space="preserve"> This Plan and any controversy arising out of or relating to this Plan shall be governed by, and construed in accordance with, the internal laws of New Jersey, without regard to conflict of law principles that would result in any application of any law other than the law of New Jersey.</w:t>
      </w:r>
    </w:p>
    <w:p>
      <w:pPr>
        <w:spacing w:after="0" w:line="85" w:lineRule="exact"/>
        <w:rPr>
          <w:rFonts w:ascii="Arial" w:cs="Arial" w:eastAsia="Arial" w:hAnsi="Arial"/>
          <w:sz w:val="18"/>
          <w:szCs w:val="18"/>
          <w:color w:val="auto"/>
        </w:rPr>
      </w:pPr>
    </w:p>
    <w:p>
      <w:pPr>
        <w:ind w:left="424" w:hanging="424"/>
        <w:spacing w:after="0"/>
        <w:tabs>
          <w:tab w:leader="none" w:pos="424"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Covenants of the Company</w:t>
      </w:r>
      <w:r>
        <w:rPr>
          <w:rFonts w:ascii="Arial" w:cs="Arial" w:eastAsia="Arial" w:hAnsi="Arial"/>
          <w:sz w:val="18"/>
          <w:szCs w:val="18"/>
          <w:color w:val="auto"/>
        </w:rPr>
        <w:t>.</w:t>
      </w:r>
    </w:p>
    <w:p>
      <w:pPr>
        <w:spacing w:after="0" w:line="126" w:lineRule="exact"/>
        <w:rPr>
          <w:rFonts w:ascii="Arial" w:cs="Arial" w:eastAsia="Arial" w:hAnsi="Arial"/>
          <w:sz w:val="18"/>
          <w:szCs w:val="18"/>
          <w:color w:val="auto"/>
        </w:rPr>
      </w:pPr>
    </w:p>
    <w:p>
      <w:pPr>
        <w:ind w:left="964" w:right="120" w:hanging="532"/>
        <w:spacing w:after="0" w:line="277" w:lineRule="auto"/>
        <w:tabs>
          <w:tab w:leader="none" w:pos="964" w:val="left"/>
        </w:tabs>
        <w:numPr>
          <w:ilvl w:val="1"/>
          <w:numId w:val="104"/>
        </w:numPr>
        <w:rPr>
          <w:rFonts w:ascii="Arial" w:cs="Arial" w:eastAsia="Arial" w:hAnsi="Arial"/>
          <w:sz w:val="17"/>
          <w:szCs w:val="17"/>
          <w:color w:val="auto"/>
        </w:rPr>
      </w:pPr>
      <w:r>
        <w:rPr>
          <w:rFonts w:ascii="Arial" w:cs="Arial" w:eastAsia="Arial" w:hAnsi="Arial"/>
          <w:sz w:val="17"/>
          <w:szCs w:val="17"/>
          <w:u w:val="single" w:color="auto"/>
          <w:color w:val="auto"/>
        </w:rPr>
        <w:t>Compliance with Law</w:t>
      </w:r>
      <w:r>
        <w:rPr>
          <w:rFonts w:ascii="Arial" w:cs="Arial" w:eastAsia="Arial" w:hAnsi="Arial"/>
          <w:sz w:val="17"/>
          <w:szCs w:val="17"/>
          <w:b w:val="1"/>
          <w:bCs w:val="1"/>
          <w:color w:val="auto"/>
        </w:rPr>
        <w:t>.</w:t>
      </w:r>
      <w:r>
        <w:rPr>
          <w:rFonts w:ascii="Arial" w:cs="Arial" w:eastAsia="Arial" w:hAnsi="Arial"/>
          <w:sz w:val="17"/>
          <w:szCs w:val="17"/>
          <w:color w:val="auto"/>
        </w:rPr>
        <w:t xml:space="preserve"> The Company will seek to obtain from each regulatory commission or agency, as may be deemed to be necessary, having jurisdiction over the Plan such authority as may be required to grant Awards and to issue and sell shares of Common Stock upon exercise or vesting of the Awards; provided, however, that this undertaking will not require the Company to register under the Securities Act the Plan, any Award or any Common Stock issued or issuable pursuant to any such Award. If, after reasonable efforts and at a reasonable cost, the Company is unable to obtain from any such regulatory commission or agency</w:t>
      </w:r>
    </w:p>
    <w:p>
      <w:pPr>
        <w:spacing w:after="0" w:line="104"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64"/>
          </w:cols>
          <w:pgMar w:left="436" w:top="270" w:right="499" w:bottom="1440" w:gutter="0" w:footer="0" w:header="0"/>
        </w:sectPr>
      </w:pPr>
    </w:p>
    <w:bookmarkStart w:id="69" w:name="page70"/>
    <w:bookmarkEnd w:id="69"/>
    <w:p>
      <w:pPr>
        <w:ind w:left="984" w:right="6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authority that counsel for the Company deems necessary or advisable for the lawful issuance and sale of Common Stock under the Plan, the Company will be relieved from any liability for failure to issue and sell Common Stock upon exercise or vesting of such Awards unless and until such authority is obtained. A Participant is not eligible for the grant of an Award or the subsequent issuance of Common Stock pursuant to the Award if such grant or issuance would be in violation of any Applicable Law.</w:t>
      </w:r>
    </w:p>
    <w:p>
      <w:pPr>
        <w:spacing w:after="0" w:line="77" w:lineRule="exact"/>
        <w:rPr>
          <w:sz w:val="20"/>
          <w:szCs w:val="20"/>
          <w:color w:val="auto"/>
        </w:rPr>
      </w:pPr>
    </w:p>
    <w:p>
      <w:pPr>
        <w:ind w:left="424" w:hanging="424"/>
        <w:spacing w:after="0"/>
        <w:tabs>
          <w:tab w:leader="none" w:pos="424"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Additional Rules for Awards Subject to Section 409A</w:t>
      </w:r>
      <w:r>
        <w:rPr>
          <w:rFonts w:ascii="Arial" w:cs="Arial" w:eastAsia="Arial" w:hAnsi="Arial"/>
          <w:sz w:val="18"/>
          <w:szCs w:val="18"/>
          <w:color w:val="auto"/>
        </w:rPr>
        <w:t>.</w:t>
      </w:r>
    </w:p>
    <w:p>
      <w:pPr>
        <w:spacing w:after="0" w:line="126" w:lineRule="exact"/>
        <w:rPr>
          <w:rFonts w:ascii="Arial" w:cs="Arial" w:eastAsia="Arial" w:hAnsi="Arial"/>
          <w:sz w:val="18"/>
          <w:szCs w:val="18"/>
          <w:color w:val="auto"/>
        </w:rPr>
      </w:pPr>
    </w:p>
    <w:p>
      <w:pPr>
        <w:ind w:left="964" w:right="300" w:hanging="532"/>
        <w:spacing w:after="0" w:line="266" w:lineRule="auto"/>
        <w:tabs>
          <w:tab w:leader="none" w:pos="964" w:val="left"/>
        </w:tabs>
        <w:numPr>
          <w:ilvl w:val="1"/>
          <w:numId w:val="105"/>
        </w:numPr>
        <w:rPr>
          <w:rFonts w:ascii="Arial" w:cs="Arial" w:eastAsia="Arial" w:hAnsi="Arial"/>
          <w:sz w:val="18"/>
          <w:szCs w:val="18"/>
          <w:color w:val="auto"/>
        </w:rPr>
      </w:pPr>
      <w:r>
        <w:rPr>
          <w:rFonts w:ascii="Arial" w:cs="Arial" w:eastAsia="Arial" w:hAnsi="Arial"/>
          <w:sz w:val="18"/>
          <w:szCs w:val="18"/>
          <w:u w:val="single" w:color="auto"/>
          <w:color w:val="auto"/>
        </w:rPr>
        <w:t>Application</w:t>
      </w:r>
      <w:r>
        <w:rPr>
          <w:rFonts w:ascii="Arial" w:cs="Arial" w:eastAsia="Arial" w:hAnsi="Arial"/>
          <w:sz w:val="18"/>
          <w:szCs w:val="18"/>
          <w:b w:val="1"/>
          <w:bCs w:val="1"/>
          <w:color w:val="auto"/>
        </w:rPr>
        <w:t>.</w:t>
      </w:r>
      <w:r>
        <w:rPr>
          <w:rFonts w:ascii="Arial" w:cs="Arial" w:eastAsia="Arial" w:hAnsi="Arial"/>
          <w:sz w:val="18"/>
          <w:szCs w:val="18"/>
          <w:color w:val="auto"/>
        </w:rPr>
        <w:t xml:space="preserve"> Unless the provisions of this Section of the Plan are expressly superseded by the provisions in an Award Agreement, the provisions of this Section shall apply and shall supersede anything to the contrary set forth in the Award Agreement for a Non-Exempt Award.</w:t>
      </w:r>
    </w:p>
    <w:p>
      <w:pPr>
        <w:spacing w:after="0" w:line="81" w:lineRule="exact"/>
        <w:rPr>
          <w:rFonts w:ascii="Arial" w:cs="Arial" w:eastAsia="Arial" w:hAnsi="Arial"/>
          <w:sz w:val="18"/>
          <w:szCs w:val="18"/>
          <w:color w:val="auto"/>
        </w:rPr>
      </w:pPr>
    </w:p>
    <w:p>
      <w:pPr>
        <w:ind w:left="964" w:hanging="532"/>
        <w:spacing w:after="0" w:line="312" w:lineRule="auto"/>
        <w:tabs>
          <w:tab w:leader="none" w:pos="964" w:val="left"/>
        </w:tabs>
        <w:numPr>
          <w:ilvl w:val="1"/>
          <w:numId w:val="105"/>
        </w:numPr>
        <w:rPr>
          <w:rFonts w:ascii="Arial" w:cs="Arial" w:eastAsia="Arial" w:hAnsi="Arial"/>
          <w:sz w:val="17"/>
          <w:szCs w:val="17"/>
          <w:color w:val="auto"/>
        </w:rPr>
      </w:pPr>
      <w:r>
        <w:rPr>
          <w:rFonts w:ascii="Arial" w:cs="Arial" w:eastAsia="Arial" w:hAnsi="Arial"/>
          <w:sz w:val="17"/>
          <w:szCs w:val="17"/>
          <w:u w:val="single" w:color="auto"/>
          <w:color w:val="auto"/>
        </w:rPr>
        <w:t>Non-Exempt Awards Subject to Non-Exempt Severance Arrangements</w:t>
      </w:r>
      <w:r>
        <w:rPr>
          <w:rFonts w:ascii="Arial" w:cs="Arial" w:eastAsia="Arial" w:hAnsi="Arial"/>
          <w:sz w:val="17"/>
          <w:szCs w:val="17"/>
          <w:b w:val="1"/>
          <w:bCs w:val="1"/>
          <w:color w:val="auto"/>
        </w:rPr>
        <w:t>.</w:t>
      </w:r>
      <w:r>
        <w:rPr>
          <w:rFonts w:ascii="Arial" w:cs="Arial" w:eastAsia="Arial" w:hAnsi="Arial"/>
          <w:sz w:val="17"/>
          <w:szCs w:val="17"/>
          <w:color w:val="auto"/>
        </w:rPr>
        <w:t xml:space="preserve"> To the extent a Non-Exempt Award is subject to Section 409A due to application of a Non-Exempt Severance Arrangement, the following provisions of this subsection (b) apply.</w:t>
      </w:r>
    </w:p>
    <w:p>
      <w:pPr>
        <w:spacing w:after="0" w:line="49" w:lineRule="exact"/>
        <w:rPr>
          <w:rFonts w:ascii="Arial" w:cs="Arial" w:eastAsia="Arial" w:hAnsi="Arial"/>
          <w:sz w:val="17"/>
          <w:szCs w:val="17"/>
          <w:color w:val="auto"/>
        </w:rPr>
      </w:pPr>
    </w:p>
    <w:p>
      <w:pPr>
        <w:ind w:left="1424" w:right="220" w:hanging="439"/>
        <w:spacing w:after="0" w:line="301" w:lineRule="auto"/>
        <w:tabs>
          <w:tab w:leader="none" w:pos="1424" w:val="left"/>
        </w:tabs>
        <w:numPr>
          <w:ilvl w:val="2"/>
          <w:numId w:val="105"/>
        </w:numPr>
        <w:rPr>
          <w:rFonts w:ascii="Arial" w:cs="Arial" w:eastAsia="Arial" w:hAnsi="Arial"/>
          <w:sz w:val="16"/>
          <w:szCs w:val="16"/>
          <w:color w:val="auto"/>
        </w:rPr>
      </w:pPr>
      <w:r>
        <w:rPr>
          <w:rFonts w:ascii="Arial" w:cs="Arial" w:eastAsia="Arial" w:hAnsi="Arial"/>
          <w:sz w:val="16"/>
          <w:szCs w:val="16"/>
          <w:color w:val="auto"/>
        </w:rPr>
        <w:t>If the Non-Exempt Award vests in the ordinary course during the Participant’s Continuous Service in accordance with the vesting schedule set forth in the Award Agreement, and does not accelerate vesting under the terms of a Non-Exempt Severance Arrangement, in no event will the shares be issued in respect of such Non-Exempt Award any later than the later of: (i) December 31st of the calendar year that includes the applicable vesting date, or (ii) the 60th day that follows the applicable vesting date.</w:t>
      </w:r>
    </w:p>
    <w:p>
      <w:pPr>
        <w:spacing w:after="0" w:line="62" w:lineRule="exact"/>
        <w:rPr>
          <w:rFonts w:ascii="Arial" w:cs="Arial" w:eastAsia="Arial" w:hAnsi="Arial"/>
          <w:sz w:val="16"/>
          <w:szCs w:val="16"/>
          <w:color w:val="auto"/>
        </w:rPr>
      </w:pPr>
    </w:p>
    <w:p>
      <w:pPr>
        <w:ind w:left="1424" w:right="20" w:hanging="439"/>
        <w:spacing w:after="0" w:line="270" w:lineRule="auto"/>
        <w:tabs>
          <w:tab w:leader="none" w:pos="1424" w:val="left"/>
        </w:tabs>
        <w:numPr>
          <w:ilvl w:val="2"/>
          <w:numId w:val="105"/>
        </w:numPr>
        <w:rPr>
          <w:rFonts w:ascii="Arial" w:cs="Arial" w:eastAsia="Arial" w:hAnsi="Arial"/>
          <w:sz w:val="17"/>
          <w:szCs w:val="17"/>
          <w:color w:val="auto"/>
        </w:rPr>
      </w:pPr>
      <w:r>
        <w:rPr>
          <w:rFonts w:ascii="Arial" w:cs="Arial" w:eastAsia="Arial" w:hAnsi="Arial"/>
          <w:sz w:val="17"/>
          <w:szCs w:val="17"/>
          <w:color w:val="auto"/>
        </w:rPr>
        <w:t>If vesting of the Non-Exempt Award accelerates under the terms of a Non-Exempt Severance Arrangement in connection with the Participant’s Separation from Service, and such vesting acceleration provisions were in effect as of the date of grant of the Non-Exempt Award and, therefore, are part of the terms of such Non-Exempt Award as of the date of grant, then the shares will be earlier issued in settlement of such Non-Exempt Award upon the Participant’s Separation from Service in accordance with the terms of the Non-Exempt Severance Arrangement, but in no event later than the 60th day that follows the date of the Participant’s Separation from Service. However, if at the time the shares would otherwise be issued the Participant is subject to the distribution limitations contained in Section 409A applicable to “specified employees,” as defined in Section 409A(a)(2)(B)(i) of the Code, such shares shall not be issued before the date that is six months following the date of such Participant’s Separation from Service, or, if earlier, the date of the Participant’s death that occurs within such six month period.</w:t>
      </w:r>
    </w:p>
    <w:p>
      <w:pPr>
        <w:spacing w:after="0" w:line="11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64"/>
          </w:cols>
          <w:pgMar w:left="436" w:top="274" w:right="499" w:bottom="1440" w:gutter="0" w:footer="0" w:header="0"/>
        </w:sectPr>
      </w:pPr>
    </w:p>
    <w:bookmarkStart w:id="70" w:name="page71"/>
    <w:bookmarkEnd w:id="70"/>
    <w:p>
      <w:pPr>
        <w:ind w:left="1000" w:right="140" w:hanging="439"/>
        <w:spacing w:after="0" w:line="254" w:lineRule="auto"/>
        <w:tabs>
          <w:tab w:leader="none" w:pos="1000" w:val="left"/>
        </w:tabs>
        <w:numPr>
          <w:ilvl w:val="1"/>
          <w:numId w:val="10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vesting of a Non-Exempt Award accelerates under the terms of a Non-Exempt Severance Arrangement in connection with a Participant’s Separation from Service, and such vesting acceleration provisions were not in effect as of the date of grant of the Non-Exempt Award and, therefore, are not a part of the terms of such Non-Exempt Award on the date of grant, then such acceleration of vesting of the Non-Exempt Award shall not accelerate the issuance date of the shares, but the shares shall instead be issued on the same schedule as set forth in the Grant Notice as if they had vested in the ordinary course during the Participant’s Continuous Service, notwithstanding the vesting acceleration of the Non-Exempt Award. Such issuance schedule is intended to satisfy the requirements of payment on a specified date or pursuant to a fixed schedule, as provided under Treasury Regulations Section 1.409A-3(a)(4).</w:t>
      </w:r>
    </w:p>
    <w:p>
      <w:pPr>
        <w:spacing w:after="0" w:line="93" w:lineRule="exact"/>
        <w:rPr>
          <w:rFonts w:ascii="Arial" w:cs="Arial" w:eastAsia="Arial" w:hAnsi="Arial"/>
          <w:sz w:val="18"/>
          <w:szCs w:val="18"/>
          <w:color w:val="auto"/>
        </w:rPr>
      </w:pPr>
    </w:p>
    <w:p>
      <w:pPr>
        <w:ind w:left="540" w:hanging="532"/>
        <w:spacing w:after="0" w:line="261" w:lineRule="auto"/>
        <w:tabs>
          <w:tab w:leader="none" w:pos="540"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Treatment of Non-Exempt Awards Upon a Transaction for Employees and Consultants</w:t>
      </w:r>
      <w:r>
        <w:rPr>
          <w:rFonts w:ascii="Arial" w:cs="Arial" w:eastAsia="Arial" w:hAnsi="Arial"/>
          <w:sz w:val="18"/>
          <w:szCs w:val="18"/>
          <w:b w:val="1"/>
          <w:bCs w:val="1"/>
          <w:color w:val="auto"/>
        </w:rPr>
        <w:t>.</w:t>
      </w:r>
      <w:r>
        <w:rPr>
          <w:rFonts w:ascii="Arial" w:cs="Arial" w:eastAsia="Arial" w:hAnsi="Arial"/>
          <w:sz w:val="18"/>
          <w:szCs w:val="18"/>
          <w:color w:val="auto"/>
        </w:rPr>
        <w:t xml:space="preserve"> The provisions of this subsection (c) shall apply and shall supersede anything to the contrary set forth in the Plan with respect to the permitted treatment of any Non-Exempt Award in connection with a Transaction if the Participant was either an Employee or Consultant upon the applicable date of grant of the Non-Exempt Award.</w:t>
      </w:r>
    </w:p>
    <w:p>
      <w:pPr>
        <w:spacing w:after="0" w:line="85" w:lineRule="exact"/>
        <w:rPr>
          <w:rFonts w:ascii="Arial" w:cs="Arial" w:eastAsia="Arial" w:hAnsi="Arial"/>
          <w:sz w:val="18"/>
          <w:szCs w:val="18"/>
          <w:color w:val="auto"/>
        </w:rPr>
      </w:pPr>
    </w:p>
    <w:p>
      <w:pPr>
        <w:ind w:left="1000" w:right="680" w:hanging="439"/>
        <w:spacing w:after="0" w:line="282" w:lineRule="auto"/>
        <w:tabs>
          <w:tab w:leader="none" w:pos="1000" w:val="left"/>
        </w:tabs>
        <w:numPr>
          <w:ilvl w:val="1"/>
          <w:numId w:val="107"/>
        </w:numPr>
        <w:rPr>
          <w:rFonts w:ascii="Arial" w:cs="Arial" w:eastAsia="Arial" w:hAnsi="Arial"/>
          <w:sz w:val="18"/>
          <w:szCs w:val="18"/>
          <w:color w:val="auto"/>
        </w:rPr>
      </w:pPr>
      <w:r>
        <w:rPr>
          <w:rFonts w:ascii="Arial" w:cs="Arial" w:eastAsia="Arial" w:hAnsi="Arial"/>
          <w:sz w:val="18"/>
          <w:szCs w:val="18"/>
          <w:b w:val="1"/>
          <w:bCs w:val="1"/>
          <w:color w:val="auto"/>
        </w:rPr>
        <w:t xml:space="preserve">Vested Non-Exempt Awards. </w:t>
      </w:r>
      <w:r>
        <w:rPr>
          <w:rFonts w:ascii="Arial" w:cs="Arial" w:eastAsia="Arial" w:hAnsi="Arial"/>
          <w:sz w:val="18"/>
          <w:szCs w:val="18"/>
          <w:color w:val="auto"/>
        </w:rPr>
        <w:t>The following provisions shall apply to any Vested Non-Exempt Award in connection with a</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w:t>
      </w:r>
    </w:p>
    <w:p>
      <w:pPr>
        <w:spacing w:after="0" w:line="71" w:lineRule="exact"/>
        <w:rPr>
          <w:rFonts w:ascii="Arial" w:cs="Arial" w:eastAsia="Arial" w:hAnsi="Arial"/>
          <w:sz w:val="18"/>
          <w:szCs w:val="18"/>
          <w:color w:val="auto"/>
        </w:rPr>
      </w:pPr>
    </w:p>
    <w:p>
      <w:pPr>
        <w:ind w:left="1540" w:hanging="533"/>
        <w:spacing w:after="0" w:line="296" w:lineRule="auto"/>
        <w:tabs>
          <w:tab w:leader="none" w:pos="1540" w:val="left"/>
        </w:tabs>
        <w:numPr>
          <w:ilvl w:val="2"/>
          <w:numId w:val="107"/>
        </w:numPr>
        <w:rPr>
          <w:rFonts w:ascii="Arial" w:cs="Arial" w:eastAsia="Arial" w:hAnsi="Arial"/>
          <w:sz w:val="16"/>
          <w:szCs w:val="16"/>
          <w:color w:val="auto"/>
        </w:rPr>
      </w:pPr>
      <w:r>
        <w:rPr>
          <w:rFonts w:ascii="Arial" w:cs="Arial" w:eastAsia="Arial" w:hAnsi="Arial"/>
          <w:sz w:val="16"/>
          <w:szCs w:val="16"/>
          <w:color w:val="auto"/>
        </w:rPr>
        <w:t>If the Transaction is also a Section 409A Change in Control then the Acquiring Entity may not assume, continue or substitute the Vested Non-Exempt Award. Upon the Section 409A Change in Control the settlement of the Vested Non-Exempt Award will automatically be accelerated and the shares will be immediately issued in respect of the Vested Non-Exempt Award. Alternatively, the Company may instead provide that the Participant will receive a cash settlement equal to the Fair Market Value of the shares that would otherwise be issued to the Participant upon the Section 409A Change in Control.</w:t>
      </w:r>
    </w:p>
    <w:p>
      <w:pPr>
        <w:spacing w:after="0" w:line="66" w:lineRule="exact"/>
        <w:rPr>
          <w:rFonts w:ascii="Arial" w:cs="Arial" w:eastAsia="Arial" w:hAnsi="Arial"/>
          <w:sz w:val="16"/>
          <w:szCs w:val="16"/>
          <w:color w:val="auto"/>
        </w:rPr>
      </w:pPr>
    </w:p>
    <w:p>
      <w:pPr>
        <w:ind w:left="1540" w:right="40" w:hanging="533"/>
        <w:spacing w:after="0" w:line="272" w:lineRule="auto"/>
        <w:tabs>
          <w:tab w:leader="none" w:pos="1540" w:val="left"/>
        </w:tabs>
        <w:numPr>
          <w:ilvl w:val="2"/>
          <w:numId w:val="107"/>
        </w:numPr>
        <w:rPr>
          <w:rFonts w:ascii="Arial" w:cs="Arial" w:eastAsia="Arial" w:hAnsi="Arial"/>
          <w:sz w:val="17"/>
          <w:szCs w:val="17"/>
          <w:color w:val="auto"/>
        </w:rPr>
      </w:pPr>
      <w:r>
        <w:rPr>
          <w:rFonts w:ascii="Arial" w:cs="Arial" w:eastAsia="Arial" w:hAnsi="Arial"/>
          <w:sz w:val="17"/>
          <w:szCs w:val="17"/>
          <w:color w:val="auto"/>
        </w:rPr>
        <w:t>If the Transaction is not also a Section 409A Change in Control, then the Acquiring Entity must either assume, continue or substitute each Vested Non-Exempt Award. The shares to be issued in respect of the Vested Non-Exempt Award shall be issued to the Participant by the Acquiring Entity on the same schedule that the shares would have been issued to the Participant if the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the Fair Market Value of the shares made on the date of the Transaction.</w:t>
      </w:r>
    </w:p>
    <w:p>
      <w:pPr>
        <w:spacing w:after="0" w:line="11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580"/>
          </w:cols>
          <w:pgMar w:left="860" w:top="274" w:right="459" w:bottom="1440" w:gutter="0" w:footer="0" w:header="0"/>
        </w:sectPr>
      </w:pPr>
    </w:p>
    <w:bookmarkStart w:id="71" w:name="page72"/>
    <w:bookmarkEnd w:id="71"/>
    <w:p>
      <w:pPr>
        <w:ind w:left="439" w:right="520" w:hanging="439"/>
        <w:spacing w:after="0" w:line="282" w:lineRule="auto"/>
        <w:tabs>
          <w:tab w:leader="none" w:pos="439" w:val="left"/>
        </w:tabs>
        <w:numPr>
          <w:ilvl w:val="0"/>
          <w:numId w:val="108"/>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Unvested Non-Exempt Awards. </w:t>
      </w:r>
      <w:r>
        <w:rPr>
          <w:rFonts w:ascii="Arial" w:cs="Arial" w:eastAsia="Arial" w:hAnsi="Arial"/>
          <w:sz w:val="18"/>
          <w:szCs w:val="18"/>
          <w:color w:val="auto"/>
        </w:rPr>
        <w:t>The following provisions shall apply to any Unvested Non-Exempt Award unless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by the Board pursuant to subsection (e) of this Section.</w:t>
      </w:r>
    </w:p>
    <w:p>
      <w:pPr>
        <w:spacing w:after="0" w:line="71" w:lineRule="exact"/>
        <w:rPr>
          <w:rFonts w:ascii="Arial" w:cs="Arial" w:eastAsia="Arial" w:hAnsi="Arial"/>
          <w:sz w:val="18"/>
          <w:szCs w:val="18"/>
          <w:color w:val="auto"/>
        </w:rPr>
      </w:pPr>
    </w:p>
    <w:p>
      <w:pPr>
        <w:ind w:left="979" w:right="80" w:hanging="533"/>
        <w:spacing w:after="0" w:line="290" w:lineRule="auto"/>
        <w:tabs>
          <w:tab w:leader="none" w:pos="979" w:val="left"/>
        </w:tabs>
        <w:numPr>
          <w:ilvl w:val="1"/>
          <w:numId w:val="108"/>
        </w:numPr>
        <w:rPr>
          <w:rFonts w:ascii="Arial" w:cs="Arial" w:eastAsia="Arial" w:hAnsi="Arial"/>
          <w:sz w:val="16"/>
          <w:szCs w:val="16"/>
          <w:color w:val="auto"/>
        </w:rPr>
      </w:pPr>
      <w:r>
        <w:rPr>
          <w:rFonts w:ascii="Arial" w:cs="Arial" w:eastAsia="Arial" w:hAnsi="Arial"/>
          <w:sz w:val="16"/>
          <w:szCs w:val="16"/>
          <w:color w:val="auto"/>
        </w:rPr>
        <w:t>In the event of a Transaction, the Acquiring Entity shall assume, continue or substitute any Unvested Non-Exempt Award. Unless otherwise determined by the Board, any Unvested Non-Exempt Award will remain subject to the same vesting and forfeiture restrictions that were applicable to the Award prior to the Transaction. The shares to be issued in respect of any Unvested Non-Exempt Award shall be issued to the Participant by the Acquiring Entity on the same schedule that the shares would have been issued to the Participant if the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of the shares made on the date of the Transaction.</w:t>
      </w:r>
    </w:p>
    <w:p>
      <w:pPr>
        <w:spacing w:after="0" w:line="70" w:lineRule="exact"/>
        <w:rPr>
          <w:rFonts w:ascii="Arial" w:cs="Arial" w:eastAsia="Arial" w:hAnsi="Arial"/>
          <w:sz w:val="16"/>
          <w:szCs w:val="16"/>
          <w:color w:val="auto"/>
        </w:rPr>
      </w:pPr>
    </w:p>
    <w:p>
      <w:pPr>
        <w:ind w:left="979" w:hanging="533"/>
        <w:spacing w:after="0" w:line="289" w:lineRule="auto"/>
        <w:tabs>
          <w:tab w:leader="none" w:pos="979" w:val="left"/>
        </w:tabs>
        <w:numPr>
          <w:ilvl w:val="1"/>
          <w:numId w:val="108"/>
        </w:numPr>
        <w:rPr>
          <w:rFonts w:ascii="Arial" w:cs="Arial" w:eastAsia="Arial" w:hAnsi="Arial"/>
          <w:sz w:val="16"/>
          <w:szCs w:val="16"/>
          <w:color w:val="auto"/>
        </w:rPr>
      </w:pPr>
      <w:r>
        <w:rPr>
          <w:rFonts w:ascii="Arial" w:cs="Arial" w:eastAsia="Arial" w:hAnsi="Arial"/>
          <w:sz w:val="16"/>
          <w:szCs w:val="16"/>
          <w:color w:val="auto"/>
        </w:rPr>
        <w:t>If the Acquiring Entity will not assume, substitute or continue any Unvested Non-Exempt Award in connection with a Transaction, then such Award shall automatically terminate and be forfeited upon the Transaction with no consideration payable to any Participant in respect of such forfeited Unvested Non-Exempt Award. Notwithstanding the foregoing, to the extent permitted and in compliance with the requirements of Section 409A, the Board may in its discretion determine to elect to accelerate the vesting and settlement of the Unvested Non-Exempt Award upon the Transaction, or instead substitute a cash payment equal to the Fair Market Value of such shares that would otherwise be issued to the Participant, as further provided in subsection (e)(ii) below. In the absence of such discretionary election by the Board, any Unvested Non-Exempt Award shall be forfeited without payment of any consideration to the affected Participants if the Acquiring Entity will not assume, substitute or continue the Unvested Non-Exempt Awards in connection with the Transaction.</w:t>
      </w:r>
    </w:p>
    <w:p>
      <w:pPr>
        <w:spacing w:after="0" w:line="71" w:lineRule="exact"/>
        <w:rPr>
          <w:rFonts w:ascii="Arial" w:cs="Arial" w:eastAsia="Arial" w:hAnsi="Arial"/>
          <w:sz w:val="16"/>
          <w:szCs w:val="16"/>
          <w:color w:val="auto"/>
        </w:rPr>
      </w:pPr>
    </w:p>
    <w:p>
      <w:pPr>
        <w:ind w:left="979" w:right="100" w:hanging="533"/>
        <w:spacing w:after="0" w:line="277" w:lineRule="auto"/>
        <w:tabs>
          <w:tab w:leader="none" w:pos="979" w:val="left"/>
        </w:tabs>
        <w:numPr>
          <w:ilvl w:val="1"/>
          <w:numId w:val="108"/>
        </w:numPr>
        <w:rPr>
          <w:rFonts w:ascii="Arial" w:cs="Arial" w:eastAsia="Arial" w:hAnsi="Arial"/>
          <w:sz w:val="18"/>
          <w:szCs w:val="18"/>
          <w:color w:val="auto"/>
        </w:rPr>
      </w:pPr>
      <w:r>
        <w:rPr>
          <w:rFonts w:ascii="Arial" w:cs="Arial" w:eastAsia="Arial" w:hAnsi="Arial"/>
          <w:sz w:val="18"/>
          <w:szCs w:val="18"/>
          <w:color w:val="auto"/>
        </w:rPr>
        <w:t>The foregoing treatment shall apply with respect to all Unvested Non-Exempt Awards upon any Transaction, and regardless of whether or not such Transaction is also a Section 409A Change in Control.</w:t>
      </w:r>
    </w:p>
    <w:p>
      <w:pPr>
        <w:spacing w:after="0" w:line="103" w:lineRule="exact"/>
        <w:rPr>
          <w:sz w:val="20"/>
          <w:szCs w:val="20"/>
          <w:color w:val="auto"/>
        </w:rPr>
      </w:pPr>
    </w:p>
    <w:p>
      <w:pPr>
        <w:ind w:left="44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9999"/>
          </w:cols>
          <w:pgMar w:left="1421" w:top="270" w:right="479" w:bottom="1440" w:gutter="0" w:footer="0" w:header="0"/>
        </w:sectPr>
      </w:pPr>
    </w:p>
    <w:bookmarkStart w:id="72" w:name="page73"/>
    <w:bookmarkEnd w:id="72"/>
    <w:p>
      <w:pPr>
        <w:ind w:left="540" w:right="100" w:hanging="532"/>
        <w:spacing w:after="0" w:line="266" w:lineRule="auto"/>
        <w:tabs>
          <w:tab w:leader="none" w:pos="540"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Treatment of Non-Exempt Awards Upon a Transaction for Non-Employee Directors</w:t>
      </w:r>
      <w:r>
        <w:rPr>
          <w:rFonts w:ascii="Arial" w:cs="Arial" w:eastAsia="Arial" w:hAnsi="Arial"/>
          <w:sz w:val="18"/>
          <w:szCs w:val="18"/>
          <w:b w:val="1"/>
          <w:bCs w:val="1"/>
          <w:color w:val="auto"/>
        </w:rPr>
        <w:t>.</w:t>
      </w:r>
      <w:r>
        <w:rPr>
          <w:rFonts w:ascii="Arial" w:cs="Arial" w:eastAsia="Arial" w:hAnsi="Arial"/>
          <w:sz w:val="18"/>
          <w:szCs w:val="18"/>
          <w:color w:val="auto"/>
        </w:rPr>
        <w:t xml:space="preserve"> The following provisions of this subsection (d) shall apply and shall supersede anything to the contrary that may be set forth in the Plan with respect to the permitted treatment of a Non-Exempt Director Award in connection with a Transaction.</w:t>
      </w:r>
    </w:p>
    <w:p>
      <w:pPr>
        <w:spacing w:after="0" w:line="85" w:lineRule="exact"/>
        <w:rPr>
          <w:rFonts w:ascii="Arial" w:cs="Arial" w:eastAsia="Arial" w:hAnsi="Arial"/>
          <w:sz w:val="18"/>
          <w:szCs w:val="18"/>
          <w:color w:val="auto"/>
        </w:rPr>
      </w:pPr>
    </w:p>
    <w:p>
      <w:pPr>
        <w:ind w:left="1000" w:right="80" w:hanging="439"/>
        <w:spacing w:after="0" w:line="255" w:lineRule="auto"/>
        <w:tabs>
          <w:tab w:leader="none" w:pos="100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If the Transaction is also a Section 409A Change in Control then the Acquiring Entity may not assume, continue or substitute the Non-Exempt Director Award. Upon the Section 409A Change in Control the vesting and settlement of any Non-Exempt Director Award will automatically be accelerated and the shares will be immediately issued to the Participant in respect of the Non-Exempt Director Award. Alternatively, the Company may provide that the Participant will instead receive a cash settlement equal to the Fair Market Value of the shares that would otherwise be issued to the Participant upon the Section 409A Change in Control pursuant to the preceding provision.</w:t>
      </w:r>
    </w:p>
    <w:p>
      <w:pPr>
        <w:spacing w:after="0" w:line="97" w:lineRule="exact"/>
        <w:rPr>
          <w:rFonts w:ascii="Arial" w:cs="Arial" w:eastAsia="Arial" w:hAnsi="Arial"/>
          <w:sz w:val="18"/>
          <w:szCs w:val="18"/>
          <w:color w:val="auto"/>
        </w:rPr>
      </w:pPr>
    </w:p>
    <w:p>
      <w:pPr>
        <w:ind w:left="1000" w:hanging="439"/>
        <w:spacing w:after="0" w:line="271" w:lineRule="auto"/>
        <w:tabs>
          <w:tab w:leader="none" w:pos="1000" w:val="left"/>
        </w:tabs>
        <w:numPr>
          <w:ilvl w:val="1"/>
          <w:numId w:val="109"/>
        </w:numPr>
        <w:rPr>
          <w:rFonts w:ascii="Arial" w:cs="Arial" w:eastAsia="Arial" w:hAnsi="Arial"/>
          <w:sz w:val="17"/>
          <w:szCs w:val="17"/>
          <w:color w:val="auto"/>
        </w:rPr>
      </w:pPr>
      <w:r>
        <w:rPr>
          <w:rFonts w:ascii="Arial" w:cs="Arial" w:eastAsia="Arial" w:hAnsi="Arial"/>
          <w:sz w:val="17"/>
          <w:szCs w:val="17"/>
          <w:color w:val="auto"/>
        </w:rPr>
        <w:t>If the Transaction is not also a Section 409A Change in Control, then the Acquiring Entity must either assume, continue or substitute the Non-Exempt Director Award. Unless otherwise determined by the Board, the Non-Exempt Director Award will remain subject to the same vesting and forfeiture restrictions that were applicable to the Award prior to the Transaction. The shares to be issued in respect of the Non-Exempt Director Award shall be issued to the Participant by the Acquiring Entity on the same schedule that the shares would have been issued to the Participant if the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made on the date of the Transaction.</w:t>
      </w:r>
    </w:p>
    <w:p>
      <w:pPr>
        <w:spacing w:after="0" w:line="83" w:lineRule="exact"/>
        <w:rPr>
          <w:rFonts w:ascii="Arial" w:cs="Arial" w:eastAsia="Arial" w:hAnsi="Arial"/>
          <w:sz w:val="17"/>
          <w:szCs w:val="17"/>
          <w:color w:val="auto"/>
        </w:rPr>
      </w:pPr>
    </w:p>
    <w:p>
      <w:pPr>
        <w:ind w:left="540" w:hanging="532"/>
        <w:spacing w:after="0" w:line="342" w:lineRule="auto"/>
        <w:tabs>
          <w:tab w:leader="none" w:pos="54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If the RSU Award is a Non-Exempt Award, then the provisions in this Section 11(e) shall apply and supersede anything to the contrary that may be set forth in the Plan or the Award Agreement with respect to the permitted treatment of such Non-Exempt Award:</w:t>
      </w:r>
    </w:p>
    <w:p>
      <w:pPr>
        <w:spacing w:after="0" w:line="29" w:lineRule="exact"/>
        <w:rPr>
          <w:rFonts w:ascii="Arial" w:cs="Arial" w:eastAsia="Arial" w:hAnsi="Arial"/>
          <w:sz w:val="16"/>
          <w:szCs w:val="16"/>
          <w:color w:val="auto"/>
        </w:rPr>
      </w:pPr>
    </w:p>
    <w:p>
      <w:pPr>
        <w:ind w:left="1000" w:right="20" w:hanging="439"/>
        <w:spacing w:after="0" w:line="286" w:lineRule="auto"/>
        <w:tabs>
          <w:tab w:leader="none" w:pos="1000" w:val="left"/>
        </w:tabs>
        <w:numPr>
          <w:ilvl w:val="1"/>
          <w:numId w:val="109"/>
        </w:numPr>
        <w:rPr>
          <w:rFonts w:ascii="Arial" w:cs="Arial" w:eastAsia="Arial" w:hAnsi="Arial"/>
          <w:sz w:val="17"/>
          <w:szCs w:val="17"/>
          <w:color w:val="auto"/>
        </w:rPr>
      </w:pPr>
      <w:r>
        <w:rPr>
          <w:rFonts w:ascii="Arial" w:cs="Arial" w:eastAsia="Arial" w:hAnsi="Arial"/>
          <w:sz w:val="17"/>
          <w:szCs w:val="17"/>
          <w:color w:val="auto"/>
        </w:rPr>
        <w:t>Any exercise by the Board of discretion to accelerate the vesting of a Non-Exempt Award shall not result in any acceleration of the scheduled issuance dates for the shares in respect of the Non-Exempt Award unless earlier issuance of the shares upon the applicable vesting dates would be in compliance with the requirements of Section 409A.</w:t>
      </w:r>
    </w:p>
    <w:p>
      <w:pPr>
        <w:spacing w:after="0" w:line="70" w:lineRule="exact"/>
        <w:rPr>
          <w:rFonts w:ascii="Arial" w:cs="Arial" w:eastAsia="Arial" w:hAnsi="Arial"/>
          <w:sz w:val="17"/>
          <w:szCs w:val="17"/>
          <w:color w:val="auto"/>
        </w:rPr>
      </w:pPr>
    </w:p>
    <w:p>
      <w:pPr>
        <w:ind w:left="1000" w:right="220" w:hanging="439"/>
        <w:spacing w:after="0" w:line="274" w:lineRule="auto"/>
        <w:tabs>
          <w:tab w:leader="none" w:pos="1000" w:val="left"/>
        </w:tabs>
        <w:numPr>
          <w:ilvl w:val="1"/>
          <w:numId w:val="109"/>
        </w:numPr>
        <w:rPr>
          <w:rFonts w:ascii="Arial" w:cs="Arial" w:eastAsia="Arial" w:hAnsi="Arial"/>
          <w:sz w:val="17"/>
          <w:szCs w:val="17"/>
          <w:color w:val="auto"/>
        </w:rPr>
      </w:pPr>
      <w:r>
        <w:rPr>
          <w:rFonts w:ascii="Arial" w:cs="Arial" w:eastAsia="Arial" w:hAnsi="Arial"/>
          <w:sz w:val="17"/>
          <w:szCs w:val="17"/>
          <w:color w:val="auto"/>
        </w:rPr>
        <w:t>The Company explicitly reserves the right to earlier settle any Non-Exempt Award to the extent permitted and in compliance with the requirements of Section 409A, including pursuant to any of the exemptions available in Treasury Regulations</w:t>
      </w:r>
    </w:p>
    <w:p>
      <w:pPr>
        <w:ind w:left="1000"/>
        <w:spacing w:after="0"/>
        <w:rPr>
          <w:rFonts w:ascii="Arial" w:cs="Arial" w:eastAsia="Arial" w:hAnsi="Arial"/>
          <w:sz w:val="17"/>
          <w:szCs w:val="17"/>
          <w:color w:val="auto"/>
        </w:rPr>
      </w:pPr>
      <w:r>
        <w:rPr>
          <w:rFonts w:ascii="Arial" w:cs="Arial" w:eastAsia="Arial" w:hAnsi="Arial"/>
          <w:sz w:val="18"/>
          <w:szCs w:val="18"/>
          <w:color w:val="auto"/>
        </w:rPr>
        <w:t>Section 1.409A-3(j)(4)(ix).</w:t>
      </w:r>
    </w:p>
    <w:p>
      <w:pPr>
        <w:spacing w:after="0" w:line="14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560"/>
          </w:cols>
          <w:pgMar w:left="860" w:top="270" w:right="479" w:bottom="1440" w:gutter="0" w:footer="0" w:header="0"/>
        </w:sectPr>
      </w:pPr>
    </w:p>
    <w:bookmarkStart w:id="73" w:name="page74"/>
    <w:bookmarkEnd w:id="73"/>
    <w:p>
      <w:pPr>
        <w:ind w:left="1424" w:right="20" w:hanging="439"/>
        <w:spacing w:after="0" w:line="289" w:lineRule="auto"/>
        <w:tabs>
          <w:tab w:leader="none" w:pos="1424" w:val="left"/>
        </w:tabs>
        <w:numPr>
          <w:ilvl w:val="1"/>
          <w:numId w:val="11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extent the terms of any Non-Exempt Award provide that it will be settled upon a Transaction, to the extent it is required for compliance with the requirements of Section 409A, the Transaction event triggering settlement must also constitute a Section 409A Change in Control. To the extent the terms of a Non-Exempt Award provides that it will be settled upon a termination of employment or termination of Continuous Service, to the extent it is required for compliance with the requirements of Section 409A, the termination event triggering settlement must also constitute a Separation From Service. However, if at the time the shares would otherwise be issued to a Participant in connection with a “separation from service” such Participant is subject to the distribution limitations contained in Section 409A applicable to “specified employees,” as defined in Section 409A(a)(2)(B)(i) of the Code, such shares shall not be issued before the date that is six months following the date of the Participant’s Separation From Service, or, if earlier, the date of the Participant’s death that occurs within such six month period.</w:t>
      </w:r>
    </w:p>
    <w:p>
      <w:pPr>
        <w:spacing w:after="0" w:line="71" w:lineRule="exact"/>
        <w:rPr>
          <w:rFonts w:ascii="Arial" w:cs="Arial" w:eastAsia="Arial" w:hAnsi="Arial"/>
          <w:sz w:val="16"/>
          <w:szCs w:val="16"/>
          <w:color w:val="auto"/>
        </w:rPr>
      </w:pPr>
    </w:p>
    <w:p>
      <w:pPr>
        <w:ind w:left="1424" w:hanging="439"/>
        <w:spacing w:after="0" w:line="259" w:lineRule="auto"/>
        <w:tabs>
          <w:tab w:leader="none" w:pos="1424"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The provisions in this subsection (e) for delivery of the shares in respect of the settlement of a RSU Award that is a Non-Exempt Award are intended to comply with the requirements of Section 409A so that the delivery of the shares to the Participant in respect of such Non-Exempt Award will not trigger the additional tax imposed under Section 409A, and any ambiguities herein will be so interpreted.</w:t>
      </w:r>
    </w:p>
    <w:p>
      <w:pPr>
        <w:spacing w:after="0" w:line="92" w:lineRule="exact"/>
        <w:rPr>
          <w:rFonts w:ascii="Arial" w:cs="Arial" w:eastAsia="Arial" w:hAnsi="Arial"/>
          <w:sz w:val="18"/>
          <w:szCs w:val="18"/>
          <w:color w:val="auto"/>
        </w:rPr>
      </w:pPr>
    </w:p>
    <w:p>
      <w:pPr>
        <w:ind w:left="424" w:hanging="424"/>
        <w:spacing w:after="0"/>
        <w:tabs>
          <w:tab w:leader="none" w:pos="424"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w:t>
      </w:r>
    </w:p>
    <w:p>
      <w:pPr>
        <w:spacing w:after="0" w:line="225" w:lineRule="exact"/>
        <w:rPr>
          <w:sz w:val="20"/>
          <w:szCs w:val="20"/>
          <w:color w:val="auto"/>
        </w:rPr>
      </w:pPr>
    </w:p>
    <w:p>
      <w:pPr>
        <w:ind w:left="4" w:right="20" w:firstLine="440"/>
        <w:spacing w:after="0" w:line="279" w:lineRule="auto"/>
        <w:rPr>
          <w:sz w:val="20"/>
          <w:szCs w:val="20"/>
          <w:color w:val="auto"/>
        </w:rPr>
      </w:pPr>
      <w:r>
        <w:rPr>
          <w:rFonts w:ascii="Arial" w:cs="Arial" w:eastAsia="Arial" w:hAnsi="Arial"/>
          <w:sz w:val="17"/>
          <w:szCs w:val="17"/>
          <w:color w:val="auto"/>
        </w:rPr>
        <w:t>If all or any part of the Plan or any Award Agreement is declared by any court or governmental authority to be unlawful or invalid, such unlawfulness or invalidity shall not invalidate any portion of the Plan or such Award Agreement not declared to be unlawful or invalid. Any Section of the Plan or any Award Agreement (or part of such a Section) so declared to be unlawful or invalid shall, if possible, be construed in a manner which will give effect to the terms of such Section or part of a Section to the fullest extent possible while remaining lawful and valid.</w:t>
      </w:r>
    </w:p>
    <w:p>
      <w:pPr>
        <w:spacing w:after="0" w:line="77" w:lineRule="exact"/>
        <w:rPr>
          <w:sz w:val="20"/>
          <w:szCs w:val="20"/>
          <w:color w:val="auto"/>
        </w:rPr>
      </w:pPr>
    </w:p>
    <w:p>
      <w:pPr>
        <w:ind w:left="424" w:hanging="424"/>
        <w:spacing w:after="0"/>
        <w:tabs>
          <w:tab w:leader="none" w:pos="424"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Termination of the Plan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7"/>
          <w:szCs w:val="17"/>
          <w:color w:val="auto"/>
        </w:rPr>
        <w:t>The Board may suspend or terminate the Plan at any time. No Awards may be granted while the Plan is suspended or after it is terminated.</w:t>
      </w:r>
    </w:p>
    <w:p>
      <w:pPr>
        <w:spacing w:after="0" w:line="142" w:lineRule="exact"/>
        <w:rPr>
          <w:rFonts w:ascii="Arial" w:cs="Arial" w:eastAsia="Arial" w:hAnsi="Arial"/>
          <w:sz w:val="18"/>
          <w:szCs w:val="18"/>
          <w:color w:val="auto"/>
        </w:rPr>
      </w:pPr>
    </w:p>
    <w:p>
      <w:pPr>
        <w:ind w:left="424" w:hanging="424"/>
        <w:spacing w:after="0"/>
        <w:tabs>
          <w:tab w:leader="none" w:pos="424"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As used in the Plan, the following definitions apply to the capitalized terms indicated below:</w:t>
      </w:r>
    </w:p>
    <w:p>
      <w:pPr>
        <w:spacing w:after="0" w:line="126" w:lineRule="exact"/>
        <w:rPr>
          <w:rFonts w:ascii="Arial" w:cs="Arial" w:eastAsia="Arial" w:hAnsi="Arial"/>
          <w:sz w:val="18"/>
          <w:szCs w:val="18"/>
          <w:color w:val="auto"/>
        </w:rPr>
      </w:pPr>
    </w:p>
    <w:p>
      <w:pPr>
        <w:ind w:left="964" w:hanging="532"/>
        <w:spacing w:after="0"/>
        <w:tabs>
          <w:tab w:leader="none" w:pos="964" w:val="left"/>
        </w:tabs>
        <w:numPr>
          <w:ilvl w:val="1"/>
          <w:numId w:val="1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Acquiring Entity</w:t>
      </w:r>
      <w:r>
        <w:rPr>
          <w:rFonts w:ascii="Arial" w:cs="Arial" w:eastAsia="Arial" w:hAnsi="Arial"/>
          <w:sz w:val="18"/>
          <w:szCs w:val="18"/>
          <w:color w:val="auto"/>
        </w:rPr>
        <w:t>” means the surviving or acquiring corporation (or its parent company) in connection with a Transaction.</w:t>
      </w:r>
    </w:p>
    <w:p>
      <w:pPr>
        <w:spacing w:after="0" w:line="130" w:lineRule="exact"/>
        <w:rPr>
          <w:rFonts w:ascii="Arial" w:cs="Arial" w:eastAsia="Arial" w:hAnsi="Arial"/>
          <w:sz w:val="18"/>
          <w:szCs w:val="18"/>
          <w:color w:val="auto"/>
        </w:rPr>
      </w:pPr>
    </w:p>
    <w:p>
      <w:pPr>
        <w:ind w:left="964" w:right="180" w:hanging="532"/>
        <w:spacing w:after="0" w:line="266" w:lineRule="auto"/>
        <w:tabs>
          <w:tab w:leader="none" w:pos="964" w:val="left"/>
        </w:tabs>
        <w:numPr>
          <w:ilvl w:val="1"/>
          <w:numId w:val="112"/>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at the time of determination, any “parent” or “subsidiary” of the Company as such terms are defined in Rule 405</w:t>
      </w:r>
      <w:r>
        <w:rPr>
          <w:rFonts w:ascii="Arial" w:cs="Arial" w:eastAsia="Arial" w:hAnsi="Arial"/>
          <w:sz w:val="18"/>
          <w:szCs w:val="18"/>
          <w:b w:val="1"/>
          <w:bCs w:val="1"/>
          <w:color w:val="auto"/>
        </w:rPr>
        <w:t xml:space="preserve"> </w:t>
      </w:r>
      <w:r>
        <w:rPr>
          <w:rFonts w:ascii="Arial" w:cs="Arial" w:eastAsia="Arial" w:hAnsi="Arial"/>
          <w:sz w:val="18"/>
          <w:szCs w:val="18"/>
          <w:color w:val="auto"/>
        </w:rPr>
        <w:t>promulgated under the Securities Act. The Board may determine the time or times at which “parent” or “subsidiary” status is determined within the foregoing definition.</w:t>
      </w:r>
    </w:p>
    <w:p>
      <w:pPr>
        <w:spacing w:after="0" w:line="11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4"/>
          </w:cols>
          <w:pgMar w:left="436" w:top="274" w:right="459" w:bottom="1440" w:gutter="0" w:footer="0" w:header="0"/>
        </w:sectPr>
      </w:pPr>
    </w:p>
    <w:bookmarkStart w:id="74" w:name="page75"/>
    <w:bookmarkEnd w:id="74"/>
    <w:p>
      <w:pPr>
        <w:ind w:left="540" w:hanging="532"/>
        <w:spacing w:after="0"/>
        <w:tabs>
          <w:tab w:leader="none" w:pos="540" w:val="left"/>
        </w:tabs>
        <w:numPr>
          <w:ilvl w:val="0"/>
          <w:numId w:val="113"/>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b w:val="1"/>
          <w:bCs w:val="1"/>
          <w:i w:val="1"/>
          <w:iCs w:val="1"/>
          <w:color w:val="auto"/>
        </w:rPr>
        <w:t>Annual Meeting</w:t>
      </w:r>
      <w:r>
        <w:rPr>
          <w:rFonts w:ascii="Arial" w:cs="Arial" w:eastAsia="Arial" w:hAnsi="Arial"/>
          <w:sz w:val="17"/>
          <w:szCs w:val="17"/>
          <w:color w:val="auto"/>
        </w:rPr>
        <w:t>” means the first meeting of the Company’s stockholders held each calendar year at which Directors are selected.</w:t>
      </w:r>
    </w:p>
    <w:p>
      <w:pPr>
        <w:spacing w:after="0" w:line="142" w:lineRule="exact"/>
        <w:rPr>
          <w:rFonts w:ascii="Arial" w:cs="Arial" w:eastAsia="Arial" w:hAnsi="Arial"/>
          <w:sz w:val="17"/>
          <w:szCs w:val="17"/>
          <w:color w:val="auto"/>
        </w:rPr>
      </w:pPr>
    </w:p>
    <w:p>
      <w:pPr>
        <w:ind w:left="540" w:right="40" w:hanging="532"/>
        <w:spacing w:after="0" w:line="258" w:lineRule="auto"/>
        <w:tabs>
          <w:tab w:leader="none" w:pos="540" w:val="left"/>
        </w:tabs>
        <w:numPr>
          <w:ilvl w:val="0"/>
          <w:numId w:val="113"/>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Applicable Law</w:t>
      </w:r>
      <w:r>
        <w:rPr>
          <w:rFonts w:ascii="Arial" w:cs="Arial" w:eastAsia="Arial" w:hAnsi="Arial"/>
          <w:sz w:val="18"/>
          <w:szCs w:val="18"/>
          <w:color w:val="auto"/>
        </w:rPr>
        <w:t>” means any applicable securities, federal, state, foreign, material local or municipal or other law, statute, constitution,</w:t>
      </w:r>
      <w:r>
        <w:rPr>
          <w:rFonts w:ascii="Arial" w:cs="Arial" w:eastAsia="Arial" w:hAnsi="Arial"/>
          <w:sz w:val="18"/>
          <w:szCs w:val="18"/>
          <w:b w:val="1"/>
          <w:bCs w:val="1"/>
          <w:color w:val="auto"/>
        </w:rPr>
        <w:t xml:space="preserve"> </w:t>
      </w:r>
      <w:r>
        <w:rPr>
          <w:rFonts w:ascii="Arial" w:cs="Arial" w:eastAsia="Arial" w:hAnsi="Arial"/>
          <w:sz w:val="18"/>
          <w:szCs w:val="18"/>
          <w:color w:val="auto"/>
        </w:rPr>
        <w:t>principle of common law, resolution, ordinance, code, edict, decree, rule, listing rule, regulation, judicial decision, ruling or requirement issued, enacted, adopted, promulgated, implemented or otherwise put into effect by or under the authority of any Governmental Body (including under the authority of any applicable self-regulating organization such as the Nasdaq Stock Market, New York Stock Exchange, or the Financial Industry Regulatory Authority).</w:t>
      </w:r>
    </w:p>
    <w:p>
      <w:pPr>
        <w:spacing w:after="0" w:line="88" w:lineRule="exact"/>
        <w:rPr>
          <w:rFonts w:ascii="Arial" w:cs="Arial" w:eastAsia="Arial" w:hAnsi="Arial"/>
          <w:sz w:val="18"/>
          <w:szCs w:val="18"/>
          <w:color w:val="auto"/>
        </w:rPr>
      </w:pPr>
    </w:p>
    <w:p>
      <w:pPr>
        <w:ind w:left="540" w:right="560" w:hanging="532"/>
        <w:spacing w:after="0" w:line="312" w:lineRule="auto"/>
        <w:tabs>
          <w:tab w:leader="none" w:pos="54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Award</w:t>
      </w:r>
      <w:r>
        <w:rPr>
          <w:rFonts w:ascii="Arial" w:cs="Arial" w:eastAsia="Arial" w:hAnsi="Arial"/>
          <w:sz w:val="17"/>
          <w:szCs w:val="17"/>
          <w:color w:val="auto"/>
        </w:rPr>
        <w:t>” means any right to receive Common Stock, cash or other property granted under the Plan (including a Nonstatutory Stock Option, a Restricted Stock Award, a RSU Award, a SAR, a Performance Award or any Other Award).</w:t>
      </w:r>
    </w:p>
    <w:p>
      <w:pPr>
        <w:spacing w:after="0" w:line="45" w:lineRule="exact"/>
        <w:rPr>
          <w:rFonts w:ascii="Arial" w:cs="Arial" w:eastAsia="Arial" w:hAnsi="Arial"/>
          <w:sz w:val="17"/>
          <w:szCs w:val="17"/>
          <w:color w:val="auto"/>
        </w:rPr>
      </w:pPr>
    </w:p>
    <w:p>
      <w:pPr>
        <w:ind w:left="540" w:right="20" w:hanging="532"/>
        <w:spacing w:after="0" w:line="289" w:lineRule="auto"/>
        <w:tabs>
          <w:tab w:leader="none" w:pos="540" w:val="left"/>
        </w:tabs>
        <w:numPr>
          <w:ilvl w:val="0"/>
          <w:numId w:val="113"/>
        </w:numPr>
        <w:rPr>
          <w:rFonts w:ascii="Arial" w:cs="Arial" w:eastAsia="Arial" w:hAnsi="Arial"/>
          <w:sz w:val="17"/>
          <w:szCs w:val="17"/>
          <w:color w:val="auto"/>
        </w:rPr>
      </w:pP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Award Agreement</w:t>
      </w:r>
      <w:r>
        <w:rPr>
          <w:rFonts w:ascii="Arial" w:cs="Arial" w:eastAsia="Arial" w:hAnsi="Arial"/>
          <w:sz w:val="17"/>
          <w:szCs w:val="17"/>
          <w:color w:val="auto"/>
        </w:rPr>
        <w:t>” means a written agreement between the Company and a Participant evidencing the terms and conditions of an Award.</w:t>
      </w:r>
      <w:r>
        <w:rPr>
          <w:rFonts w:ascii="Arial" w:cs="Arial" w:eastAsia="Arial" w:hAnsi="Arial"/>
          <w:sz w:val="17"/>
          <w:szCs w:val="17"/>
          <w:b w:val="1"/>
          <w:bCs w:val="1"/>
          <w:color w:val="auto"/>
        </w:rPr>
        <w:t xml:space="preserve"> </w:t>
      </w:r>
      <w:r>
        <w:rPr>
          <w:rFonts w:ascii="Arial" w:cs="Arial" w:eastAsia="Arial" w:hAnsi="Arial"/>
          <w:sz w:val="17"/>
          <w:szCs w:val="17"/>
          <w:color w:val="auto"/>
        </w:rPr>
        <w:t>The Award Agreement generally consists of the Grant Notice and the agreement containing the written summary of the general terms and conditions applicable to the Award and which is provided to a Participant along with the Grant Notice.</w:t>
      </w:r>
    </w:p>
    <w:p>
      <w:pPr>
        <w:spacing w:after="0" w:line="63" w:lineRule="exact"/>
        <w:rPr>
          <w:rFonts w:ascii="Arial" w:cs="Arial" w:eastAsia="Arial" w:hAnsi="Arial"/>
          <w:sz w:val="17"/>
          <w:szCs w:val="17"/>
          <w:color w:val="auto"/>
        </w:rPr>
      </w:pPr>
    </w:p>
    <w:p>
      <w:pPr>
        <w:ind w:left="540" w:hanging="532"/>
        <w:spacing w:after="0" w:line="266" w:lineRule="auto"/>
        <w:tabs>
          <w:tab w:leader="none" w:pos="540" w:val="left"/>
        </w:tabs>
        <w:numPr>
          <w:ilvl w:val="0"/>
          <w:numId w:val="113"/>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 (or its designee). Any decision or determination made by the Board shall be a</w:t>
      </w:r>
      <w:r>
        <w:rPr>
          <w:rFonts w:ascii="Arial" w:cs="Arial" w:eastAsia="Arial" w:hAnsi="Arial"/>
          <w:sz w:val="18"/>
          <w:szCs w:val="18"/>
          <w:b w:val="1"/>
          <w:bCs w:val="1"/>
          <w:color w:val="auto"/>
        </w:rPr>
        <w:t xml:space="preserve"> </w:t>
      </w:r>
      <w:r>
        <w:rPr>
          <w:rFonts w:ascii="Arial" w:cs="Arial" w:eastAsia="Arial" w:hAnsi="Arial"/>
          <w:sz w:val="18"/>
          <w:szCs w:val="18"/>
          <w:color w:val="auto"/>
        </w:rPr>
        <w:t>decision or determination that is made in the sole discretion of the Board (or its designee), and such decision or determination shall be final and binding on all Participants.</w:t>
      </w:r>
    </w:p>
    <w:p>
      <w:pPr>
        <w:spacing w:after="0" w:line="85" w:lineRule="exact"/>
        <w:rPr>
          <w:rFonts w:ascii="Arial" w:cs="Arial" w:eastAsia="Arial" w:hAnsi="Arial"/>
          <w:sz w:val="18"/>
          <w:szCs w:val="18"/>
          <w:color w:val="auto"/>
        </w:rPr>
      </w:pPr>
    </w:p>
    <w:p>
      <w:pPr>
        <w:ind w:left="540" w:right="40" w:hanging="532"/>
        <w:spacing w:after="0" w:line="272" w:lineRule="auto"/>
        <w:tabs>
          <w:tab w:leader="none" w:pos="540" w:val="left"/>
        </w:tabs>
        <w:numPr>
          <w:ilvl w:val="0"/>
          <w:numId w:val="113"/>
        </w:numPr>
        <w:rPr>
          <w:rFonts w:ascii="Arial" w:cs="Arial" w:eastAsia="Arial" w:hAnsi="Arial"/>
          <w:sz w:val="17"/>
          <w:szCs w:val="17"/>
          <w:color w:val="auto"/>
        </w:rPr>
      </w:pPr>
      <w:r>
        <w:rPr>
          <w:rFonts w:ascii="Arial" w:cs="Arial" w:eastAsia="Arial" w:hAnsi="Arial"/>
          <w:sz w:val="17"/>
          <w:szCs w:val="17"/>
          <w:b w:val="1"/>
          <w:bCs w:val="1"/>
          <w:i w:val="1"/>
          <w:iCs w:val="1"/>
          <w:color w:val="auto"/>
        </w:rPr>
        <w:t>“Capitalization Adjustment</w:t>
      </w:r>
      <w:r>
        <w:rPr>
          <w:rFonts w:ascii="Arial" w:cs="Arial" w:eastAsia="Arial" w:hAnsi="Arial"/>
          <w:sz w:val="17"/>
          <w:szCs w:val="17"/>
          <w:color w:val="auto"/>
        </w:rPr>
        <w:t>” means any change that is made in, or other events that occur with respect to, the Common Stock subject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Plan or subject to any Award after the Effective Date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82" w:lineRule="exact"/>
        <w:rPr>
          <w:rFonts w:ascii="Arial" w:cs="Arial" w:eastAsia="Arial" w:hAnsi="Arial"/>
          <w:sz w:val="17"/>
          <w:szCs w:val="17"/>
          <w:color w:val="auto"/>
        </w:rPr>
      </w:pPr>
    </w:p>
    <w:p>
      <w:pPr>
        <w:ind w:left="540" w:right="120" w:hanging="532"/>
        <w:spacing w:after="0" w:line="291" w:lineRule="auto"/>
        <w:tabs>
          <w:tab w:leader="none" w:pos="54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Cause</w:t>
      </w:r>
      <w:r>
        <w:rPr>
          <w:rFonts w:ascii="Arial" w:cs="Arial" w:eastAsia="Arial" w:hAnsi="Arial"/>
          <w:sz w:val="16"/>
          <w:szCs w:val="16"/>
          <w:color w:val="auto"/>
        </w:rPr>
        <w:t>” shall have the meaning ascribed to such term in any written agreement between the Participant and the Company defining such term and, in the absence of such agreement, such term means, with respect to a Participant, the occurrence of any of the following events:</w:t>
      </w:r>
    </w:p>
    <w:p>
      <w:pPr>
        <w:ind w:left="540" w:right="200"/>
        <w:spacing w:after="0" w:line="255" w:lineRule="auto"/>
        <w:rPr>
          <w:rFonts w:ascii="Arial" w:cs="Arial" w:eastAsia="Arial" w:hAnsi="Arial"/>
          <w:sz w:val="16"/>
          <w:szCs w:val="16"/>
          <w:color w:val="auto"/>
        </w:rPr>
      </w:pPr>
      <w:r>
        <w:rPr>
          <w:rFonts w:ascii="Arial" w:cs="Arial" w:eastAsia="Arial" w:hAnsi="Arial"/>
          <w:sz w:val="18"/>
          <w:szCs w:val="18"/>
          <w:color w:val="auto"/>
        </w:rPr>
        <w:t>(i) such Participant’s commission of any felony or any crime involving fraud, dishonesty or moral turpitude under the laws of the United States or any state thereof; (ii) such Participant’s attempted commission of, or participation in, a fraud or act of dishonesty against the Company; (iii) such</w:t>
      </w:r>
    </w:p>
    <w:p>
      <w:pPr>
        <w:spacing w:after="0" w:line="12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580"/>
          </w:cols>
          <w:pgMar w:left="860" w:top="270" w:right="459" w:bottom="1440" w:gutter="0" w:footer="0" w:header="0"/>
        </w:sectPr>
      </w:pPr>
    </w:p>
    <w:bookmarkStart w:id="75" w:name="page76"/>
    <w:bookmarkEnd w:id="75"/>
    <w:p>
      <w:pPr>
        <w:ind w:left="560"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Participant’s intentional, material violation of any contract or agreement between the Participant and the Company or of any statutory duty owed to the Company; (iv) such Participant’s unauthorized use or disclosure of the Company’s confidential information or trade secrets; or</w:t>
      </w:r>
    </w:p>
    <w:p>
      <w:pPr>
        <w:ind w:left="560" w:right="40" w:firstLine="1"/>
        <w:spacing w:after="0" w:line="295" w:lineRule="auto"/>
        <w:tabs>
          <w:tab w:leader="none" w:pos="815" w:val="left"/>
        </w:tabs>
        <w:numPr>
          <w:ilvl w:val="1"/>
          <w:numId w:val="114"/>
        </w:numPr>
        <w:rPr>
          <w:rFonts w:ascii="Arial" w:cs="Arial" w:eastAsia="Arial" w:hAnsi="Arial"/>
          <w:sz w:val="16"/>
          <w:szCs w:val="16"/>
          <w:color w:val="auto"/>
        </w:rPr>
      </w:pPr>
      <w:r>
        <w:rPr>
          <w:rFonts w:ascii="Arial" w:cs="Arial" w:eastAsia="Arial" w:hAnsi="Arial"/>
          <w:sz w:val="16"/>
          <w:szCs w:val="16"/>
          <w:color w:val="auto"/>
        </w:rPr>
        <w:t>such Participant’s gross misconduct. The determination that a termination of the Participant’s Continuous Service is either for Cause or without Cause shall be made by the Company, in its sole discretion. Any determination by the Company that the Continuous Service of a Participant was terminated with or without Cause for the purposes of outstanding Awards held by such Participant shall have no effect upon any determination of the rights or obligations of the Company or such Participant for any other purpose.</w:t>
      </w:r>
    </w:p>
    <w:p>
      <w:pPr>
        <w:spacing w:after="0" w:line="62" w:lineRule="exact"/>
        <w:rPr>
          <w:rFonts w:ascii="Arial" w:cs="Arial" w:eastAsia="Arial" w:hAnsi="Arial"/>
          <w:sz w:val="16"/>
          <w:szCs w:val="16"/>
          <w:color w:val="auto"/>
        </w:rPr>
      </w:pPr>
    </w:p>
    <w:p>
      <w:pPr>
        <w:ind w:left="540" w:right="100" w:hanging="532"/>
        <w:spacing w:after="0" w:line="289" w:lineRule="auto"/>
        <w:tabs>
          <w:tab w:leader="none" w:pos="540" w:val="left"/>
        </w:tabs>
        <w:numPr>
          <w:ilvl w:val="0"/>
          <w:numId w:val="115"/>
        </w:numPr>
        <w:rPr>
          <w:rFonts w:ascii="Arial" w:cs="Arial" w:eastAsia="Arial" w:hAnsi="Arial"/>
          <w:sz w:val="17"/>
          <w:szCs w:val="17"/>
          <w:color w:val="auto"/>
        </w:rPr>
      </w:pP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Change in Control</w:t>
      </w:r>
      <w:r>
        <w:rPr>
          <w:rFonts w:ascii="Arial" w:cs="Arial" w:eastAsia="Arial" w:hAnsi="Arial"/>
          <w:sz w:val="17"/>
          <w:szCs w:val="17"/>
          <w:color w:val="auto"/>
        </w:rPr>
        <w:t>” or “</w:t>
      </w:r>
      <w:r>
        <w:rPr>
          <w:rFonts w:ascii="Arial" w:cs="Arial" w:eastAsia="Arial" w:hAnsi="Arial"/>
          <w:sz w:val="17"/>
          <w:szCs w:val="17"/>
          <w:b w:val="1"/>
          <w:bCs w:val="1"/>
          <w:i w:val="1"/>
          <w:iCs w:val="1"/>
          <w:color w:val="auto"/>
        </w:rPr>
        <w:t>Change of Control</w:t>
      </w:r>
      <w:r>
        <w:rPr>
          <w:rFonts w:ascii="Arial" w:cs="Arial" w:eastAsia="Arial" w:hAnsi="Arial"/>
          <w:sz w:val="17"/>
          <w:szCs w:val="17"/>
          <w:color w:val="auto"/>
        </w:rPr>
        <w:t>” means the occurrence, in a single transaction or in a series of related transactions, of any</w:t>
      </w:r>
      <w:r>
        <w:rPr>
          <w:rFonts w:ascii="Arial" w:cs="Arial" w:eastAsia="Arial" w:hAnsi="Arial"/>
          <w:sz w:val="17"/>
          <w:szCs w:val="17"/>
          <w:b w:val="1"/>
          <w:bCs w:val="1"/>
          <w:color w:val="auto"/>
        </w:rPr>
        <w:t xml:space="preserve"> </w:t>
      </w:r>
      <w:r>
        <w:rPr>
          <w:rFonts w:ascii="Arial" w:cs="Arial" w:eastAsia="Arial" w:hAnsi="Arial"/>
          <w:sz w:val="17"/>
          <w:szCs w:val="17"/>
          <w:color w:val="auto"/>
        </w:rPr>
        <w:t>one or more of the following events; provided, however, to the extent necessary to avoid adverse personal income tax consequences to the Participant in connection with an Award, also constitutes a Section 409A Change in Control:</w:t>
      </w:r>
    </w:p>
    <w:p>
      <w:pPr>
        <w:spacing w:after="0" w:line="67" w:lineRule="exact"/>
        <w:rPr>
          <w:rFonts w:ascii="Arial" w:cs="Arial" w:eastAsia="Arial" w:hAnsi="Arial"/>
          <w:sz w:val="17"/>
          <w:szCs w:val="17"/>
          <w:color w:val="auto"/>
        </w:rPr>
      </w:pPr>
    </w:p>
    <w:p>
      <w:pPr>
        <w:ind w:left="1000" w:hanging="439"/>
        <w:spacing w:after="0" w:line="284" w:lineRule="auto"/>
        <w:tabs>
          <w:tab w:leader="none" w:pos="1000" w:val="left"/>
        </w:tabs>
        <w:numPr>
          <w:ilvl w:val="1"/>
          <w:numId w:val="115"/>
        </w:numPr>
        <w:rPr>
          <w:rFonts w:ascii="Arial" w:cs="Arial" w:eastAsia="Arial" w:hAnsi="Arial"/>
          <w:sz w:val="16"/>
          <w:szCs w:val="16"/>
          <w:color w:val="auto"/>
        </w:rPr>
      </w:pPr>
      <w:r>
        <w:rPr>
          <w:rFonts w:ascii="Arial" w:cs="Arial" w:eastAsia="Arial" w:hAnsi="Arial"/>
          <w:sz w:val="16"/>
          <w:szCs w:val="16"/>
          <w:color w:val="auto"/>
        </w:rPr>
        <w:t>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shall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w:t>
      </w:r>
    </w:p>
    <w:p>
      <w:pPr>
        <w:spacing w:after="0" w:line="4" w:lineRule="exact"/>
        <w:rPr>
          <w:rFonts w:ascii="Arial" w:cs="Arial" w:eastAsia="Arial" w:hAnsi="Arial"/>
          <w:sz w:val="16"/>
          <w:szCs w:val="16"/>
          <w:color w:val="auto"/>
        </w:rPr>
      </w:pPr>
    </w:p>
    <w:p>
      <w:pPr>
        <w:ind w:left="1000" w:right="40"/>
        <w:spacing w:after="0" w:line="269" w:lineRule="auto"/>
        <w:rPr>
          <w:rFonts w:ascii="Arial" w:cs="Arial" w:eastAsia="Arial" w:hAnsi="Arial"/>
          <w:sz w:val="16"/>
          <w:szCs w:val="16"/>
          <w:color w:val="auto"/>
        </w:rPr>
      </w:pPr>
      <w:r>
        <w:rPr>
          <w:rFonts w:ascii="Arial" w:cs="Arial" w:eastAsia="Arial" w:hAnsi="Arial"/>
          <w:sz w:val="17"/>
          <w:szCs w:val="17"/>
          <w:color w:val="auto"/>
        </w:rPr>
        <w:t>(C) solely because the level of Ownership held by any Exchange Act Person (the “</w:t>
      </w:r>
      <w:r>
        <w:rPr>
          <w:rFonts w:ascii="Arial" w:cs="Arial" w:eastAsia="Arial" w:hAnsi="Arial"/>
          <w:sz w:val="17"/>
          <w:szCs w:val="17"/>
          <w:b w:val="1"/>
          <w:bCs w:val="1"/>
          <w:i w:val="1"/>
          <w:iCs w:val="1"/>
          <w:color w:val="auto"/>
        </w:rPr>
        <w:t>Subject Person</w:t>
      </w:r>
      <w:r>
        <w:rPr>
          <w:rFonts w:ascii="Arial" w:cs="Arial" w:eastAsia="Arial" w:hAnsi="Arial"/>
          <w:sz w:val="17"/>
          <w:szCs w:val="17"/>
          <w:color w:val="auto"/>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shall be deemed to occur;</w:t>
      </w:r>
    </w:p>
    <w:p>
      <w:pPr>
        <w:spacing w:after="0" w:line="86" w:lineRule="exact"/>
        <w:rPr>
          <w:sz w:val="20"/>
          <w:szCs w:val="20"/>
          <w:color w:val="auto"/>
        </w:rPr>
      </w:pPr>
    </w:p>
    <w:p>
      <w:pPr>
        <w:ind w:left="1000" w:right="40" w:hanging="439"/>
        <w:spacing w:after="0" w:line="286" w:lineRule="auto"/>
        <w:tabs>
          <w:tab w:leader="none" w:pos="100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w:t>
      </w:r>
    </w:p>
    <w:p>
      <w:pPr>
        <w:spacing w:after="0" w:line="9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580"/>
          </w:cols>
          <w:pgMar w:left="860" w:top="274" w:right="459" w:bottom="1440" w:gutter="0" w:footer="0" w:header="0"/>
        </w:sectPr>
      </w:pPr>
    </w:p>
    <w:bookmarkStart w:id="76" w:name="page77"/>
    <w:bookmarkEnd w:id="76"/>
    <w:p>
      <w:pPr>
        <w:ind w:left="1420"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more than 50% of the combined outstanding voting power of the surviving Entity in such merger, consolidation or similar transaction or (B) more than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 or</w:t>
      </w:r>
    </w:p>
    <w:p>
      <w:pPr>
        <w:spacing w:after="0" w:line="92" w:lineRule="exact"/>
        <w:rPr>
          <w:sz w:val="20"/>
          <w:szCs w:val="20"/>
          <w:color w:val="auto"/>
        </w:rPr>
      </w:pPr>
    </w:p>
    <w:p>
      <w:pPr>
        <w:ind w:left="1420" w:hanging="439"/>
        <w:spacing w:after="0" w:line="275" w:lineRule="auto"/>
        <w:tabs>
          <w:tab w:leader="none" w:pos="142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w:t>
      </w:r>
    </w:p>
    <w:p>
      <w:pPr>
        <w:spacing w:after="0" w:line="176" w:lineRule="exact"/>
        <w:rPr>
          <w:sz w:val="20"/>
          <w:szCs w:val="20"/>
          <w:color w:val="auto"/>
        </w:rPr>
      </w:pPr>
    </w:p>
    <w:p>
      <w:pPr>
        <w:ind w:right="80" w:firstLine="440"/>
        <w:spacing w:after="0" w:line="254" w:lineRule="auto"/>
        <w:rPr>
          <w:sz w:val="20"/>
          <w:szCs w:val="20"/>
          <w:color w:val="auto"/>
        </w:rPr>
      </w:pPr>
      <w:r>
        <w:rPr>
          <w:rFonts w:ascii="Arial" w:cs="Arial" w:eastAsia="Arial" w:hAnsi="Arial"/>
          <w:sz w:val="18"/>
          <w:szCs w:val="18"/>
          <w:color w:val="auto"/>
        </w:rPr>
        <w:t>Notwithstanding the foregoing or any other provision of this Plan, (A) the term Change in Control shall not include a sale of assets, merger or other transaction effected exclusively for the purpose of changing the domicile of the Company, and (B) the definition of Change in Control (or any analogous term) in an individual written agreement between the Company or any Affiliate and the Participant shall supersede the foregoing definition with respect to Awards subject to such agreement; provided, however, that (1) if no definition of Change in Control (or any analogous term) is set forth in such an individual written agreement, the foregoing definition shall apply and (2) no Change in Control (or any analogous term) will be deemed to occur with respect to Awards subject to such an individual written agreement without a requirement that the Change in Control (or any analogous term) actually occur.</w:t>
      </w:r>
    </w:p>
    <w:p>
      <w:pPr>
        <w:spacing w:after="0" w:line="96" w:lineRule="exact"/>
        <w:rPr>
          <w:sz w:val="20"/>
          <w:szCs w:val="20"/>
          <w:color w:val="auto"/>
        </w:rPr>
      </w:pPr>
    </w:p>
    <w:p>
      <w:pPr>
        <w:ind w:left="960" w:hanging="532"/>
        <w:spacing w:after="0"/>
        <w:tabs>
          <w:tab w:leader="none" w:pos="960" w:val="left"/>
        </w:tabs>
        <w:numPr>
          <w:ilvl w:val="0"/>
          <w:numId w:val="118"/>
        </w:numPr>
        <w:rPr>
          <w:rFonts w:ascii="Arial" w:cs="Arial" w:eastAsia="Arial" w:hAnsi="Arial"/>
          <w:sz w:val="17"/>
          <w:szCs w:val="17"/>
          <w:color w:val="auto"/>
        </w:rPr>
      </w:pP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Code</w:t>
      </w:r>
      <w:r>
        <w:rPr>
          <w:rFonts w:ascii="Arial" w:cs="Arial" w:eastAsia="Arial" w:hAnsi="Arial"/>
          <w:sz w:val="17"/>
          <w:szCs w:val="17"/>
          <w:color w:val="auto"/>
        </w:rPr>
        <w:t>” means the Internal Revenue Code of 1986, as amended, including any applicable regulations and guidance thereunder.</w:t>
      </w:r>
    </w:p>
    <w:p>
      <w:pPr>
        <w:spacing w:after="0" w:line="142" w:lineRule="exact"/>
        <w:rPr>
          <w:rFonts w:ascii="Arial" w:cs="Arial" w:eastAsia="Arial" w:hAnsi="Arial"/>
          <w:sz w:val="17"/>
          <w:szCs w:val="17"/>
          <w:color w:val="auto"/>
        </w:rPr>
      </w:pPr>
    </w:p>
    <w:p>
      <w:pPr>
        <w:ind w:left="960" w:right="60" w:hanging="532"/>
        <w:spacing w:after="0" w:line="282" w:lineRule="auto"/>
        <w:tabs>
          <w:tab w:leader="none" w:pos="960" w:val="left"/>
        </w:tabs>
        <w:numPr>
          <w:ilvl w:val="0"/>
          <w:numId w:val="118"/>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means a committee of one or more Independent Directors to whom authority has been delegated by the Board in accordance</w:t>
      </w:r>
      <w:r>
        <w:rPr>
          <w:rFonts w:ascii="Arial" w:cs="Arial" w:eastAsia="Arial" w:hAnsi="Arial"/>
          <w:sz w:val="18"/>
          <w:szCs w:val="18"/>
          <w:b w:val="1"/>
          <w:bCs w:val="1"/>
          <w:color w:val="auto"/>
        </w:rPr>
        <w:t xml:space="preserve"> </w:t>
      </w:r>
      <w:r>
        <w:rPr>
          <w:rFonts w:ascii="Arial" w:cs="Arial" w:eastAsia="Arial" w:hAnsi="Arial"/>
          <w:sz w:val="18"/>
          <w:szCs w:val="18"/>
          <w:color w:val="auto"/>
        </w:rPr>
        <w:t>with Section 7(c).</w:t>
      </w:r>
    </w:p>
    <w:p>
      <w:pPr>
        <w:spacing w:after="0" w:line="67" w:lineRule="exact"/>
        <w:rPr>
          <w:rFonts w:ascii="Arial" w:cs="Arial" w:eastAsia="Arial" w:hAnsi="Arial"/>
          <w:sz w:val="18"/>
          <w:szCs w:val="18"/>
          <w:color w:val="auto"/>
        </w:rPr>
      </w:pPr>
    </w:p>
    <w:p>
      <w:pPr>
        <w:ind w:left="960" w:hanging="532"/>
        <w:spacing w:after="0"/>
        <w:tabs>
          <w:tab w:leader="none" w:pos="960" w:val="left"/>
        </w:tabs>
        <w:numPr>
          <w:ilvl w:val="0"/>
          <w:numId w:val="118"/>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means the common stock of the Company.</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18"/>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Oyster Point Pharma, Inc., a Delaware corporation.</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18"/>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Compensation Committee</w:t>
      </w:r>
      <w:r>
        <w:rPr>
          <w:rFonts w:ascii="Arial" w:cs="Arial" w:eastAsia="Arial" w:hAnsi="Arial"/>
          <w:sz w:val="18"/>
          <w:szCs w:val="18"/>
          <w:color w:val="auto"/>
        </w:rPr>
        <w:t>” means the Compensation Committee of the Board.</w:t>
      </w:r>
    </w:p>
    <w:p>
      <w:pPr>
        <w:spacing w:after="0" w:line="130" w:lineRule="exact"/>
        <w:rPr>
          <w:rFonts w:ascii="Arial" w:cs="Arial" w:eastAsia="Arial" w:hAnsi="Arial"/>
          <w:sz w:val="18"/>
          <w:szCs w:val="18"/>
          <w:color w:val="auto"/>
        </w:rPr>
      </w:pPr>
    </w:p>
    <w:p>
      <w:pPr>
        <w:ind w:left="960" w:right="100" w:hanging="532"/>
        <w:spacing w:after="0" w:line="303" w:lineRule="auto"/>
        <w:tabs>
          <w:tab w:leader="none" w:pos="960" w:val="left"/>
        </w:tabs>
        <w:numPr>
          <w:ilvl w:val="0"/>
          <w:numId w:val="118"/>
        </w:numPr>
        <w:rPr>
          <w:rFonts w:ascii="Arial" w:cs="Arial" w:eastAsia="Arial" w:hAnsi="Arial"/>
          <w:sz w:val="16"/>
          <w:szCs w:val="16"/>
          <w:color w:val="auto"/>
        </w:rPr>
      </w:pP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Consultant</w:t>
      </w:r>
      <w:r>
        <w:rPr>
          <w:rFonts w:ascii="Arial" w:cs="Arial" w:eastAsia="Arial" w:hAnsi="Arial"/>
          <w:sz w:val="16"/>
          <w:szCs w:val="16"/>
          <w:color w:val="auto"/>
        </w:rPr>
        <w:t>” means any person, including an advisor, who is engaged by the Company or an Affiliate to render consulting or advisory</w:t>
      </w:r>
      <w:r>
        <w:rPr>
          <w:rFonts w:ascii="Arial" w:cs="Arial" w:eastAsia="Arial" w:hAnsi="Arial"/>
          <w:sz w:val="16"/>
          <w:szCs w:val="16"/>
          <w:b w:val="1"/>
          <w:bCs w:val="1"/>
          <w:color w:val="auto"/>
        </w:rPr>
        <w:t xml:space="preserve"> </w:t>
      </w:r>
      <w:r>
        <w:rPr>
          <w:rFonts w:ascii="Arial" w:cs="Arial" w:eastAsia="Arial" w:hAnsi="Arial"/>
          <w:sz w:val="16"/>
          <w:szCs w:val="16"/>
          <w:color w:val="auto"/>
        </w:rPr>
        <w:t>services and is compensated for such services Notwithstanding the foregoing, a person is treated as a Consultant under this Plan only if a Form S-8 Registration Statement under the Securities Act is available to register either the offer or the sale of the Company’s securities to such person. Consultants are not eligible to receive Awards under the Plan with respect to their service in such capacity.</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80"/>
          </w:cols>
          <w:pgMar w:left="440" w:top="274" w:right="479" w:bottom="1440" w:gutter="0" w:footer="0" w:header="0"/>
        </w:sectPr>
      </w:pPr>
    </w:p>
    <w:bookmarkStart w:id="77" w:name="page78"/>
    <w:bookmarkEnd w:id="77"/>
    <w:p>
      <w:pPr>
        <w:ind w:left="540" w:hanging="532"/>
        <w:spacing w:after="0" w:line="286" w:lineRule="auto"/>
        <w:tabs>
          <w:tab w:leader="none" w:pos="540" w:val="left"/>
        </w:tabs>
        <w:numPr>
          <w:ilvl w:val="0"/>
          <w:numId w:val="119"/>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b w:val="1"/>
          <w:bCs w:val="1"/>
          <w:i w:val="1"/>
          <w:iCs w:val="1"/>
          <w:color w:val="auto"/>
        </w:rPr>
        <w:t>Continuous Service</w:t>
      </w:r>
      <w:r>
        <w:rPr>
          <w:rFonts w:ascii="Arial" w:cs="Arial" w:eastAsia="Arial" w:hAnsi="Arial"/>
          <w:sz w:val="16"/>
          <w:szCs w:val="16"/>
          <w:color w:val="auto"/>
        </w:rPr>
        <w:t>” means that the Participant’s service with the Company or an Affiliate, whether as an Employee, Director or</w:t>
      </w:r>
      <w:r>
        <w:rPr>
          <w:rFonts w:ascii="Arial" w:cs="Arial" w:eastAsia="Arial" w:hAnsi="Arial"/>
          <w:sz w:val="16"/>
          <w:szCs w:val="16"/>
          <w:b w:val="1"/>
          <w:bCs w:val="1"/>
          <w:color w:val="auto"/>
        </w:rPr>
        <w:t xml:space="preserve"> </w:t>
      </w:r>
      <w:r>
        <w:rPr>
          <w:rFonts w:ascii="Arial" w:cs="Arial" w:eastAsia="Arial" w:hAnsi="Arial"/>
          <w:sz w:val="16"/>
          <w:szCs w:val="16"/>
          <w:color w:val="auto"/>
        </w:rPr>
        <w:t>Consultant, 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will not terminate a Participant’s Continuous Service; provided, however</w:t>
      </w:r>
      <w:r>
        <w:rPr>
          <w:rFonts w:ascii="Arial" w:cs="Arial" w:eastAsia="Arial" w:hAnsi="Arial"/>
          <w:sz w:val="16"/>
          <w:szCs w:val="16"/>
          <w:i w:val="1"/>
          <w:iCs w:val="1"/>
          <w:color w:val="auto"/>
        </w:rPr>
        <w:t>,</w:t>
      </w:r>
      <w:r>
        <w:rPr>
          <w:rFonts w:ascii="Arial" w:cs="Arial" w:eastAsia="Arial" w:hAnsi="Arial"/>
          <w:sz w:val="16"/>
          <w:szCs w:val="16"/>
          <w:color w:val="auto"/>
        </w:rPr>
        <w:t xml:space="preserve"> that if the Entity for which a Participant is rendering services ceases to qualify as an Affiliate, as determined by the Board, such Participant’s Continuous Service will be considered to have terminated on the date such Entity ceases to qualify as an Affiliate. For example, a change in status from an Employee of the Company to a Consultant of an Affiliate or to a Director will not constitute an interruption of Continuous Service. To the extent permitted by law, the Board or the chief executive officer of the Company, in that party’s sole discretion, may determine whether Continuous Service will be considered interrupted in the case of (i) any leave of absence approved by the Board or chief executive officer,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law. In addition, to the extent required for exemption from or compliance with Section 409A, the determination of whether there has been a termination of Continuous Service will be made, and such term will be construed, in a manner that is consistent with the definition of “separation from service” as defined under Treasury Regulation Section 1.409A-1(h) (without regard to any alternative definition thereunder).</w:t>
      </w:r>
    </w:p>
    <w:p>
      <w:pPr>
        <w:spacing w:after="0" w:line="69" w:lineRule="exact"/>
        <w:rPr>
          <w:rFonts w:ascii="Arial" w:cs="Arial" w:eastAsia="Arial" w:hAnsi="Arial"/>
          <w:sz w:val="16"/>
          <w:szCs w:val="16"/>
          <w:color w:val="auto"/>
        </w:rPr>
      </w:pPr>
    </w:p>
    <w:p>
      <w:pPr>
        <w:ind w:left="540" w:right="60" w:hanging="532"/>
        <w:spacing w:after="0" w:line="282" w:lineRule="auto"/>
        <w:tabs>
          <w:tab w:leader="none" w:pos="540" w:val="left"/>
        </w:tabs>
        <w:numPr>
          <w:ilvl w:val="0"/>
          <w:numId w:val="119"/>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Corporate Transaction</w:t>
      </w:r>
      <w:r>
        <w:rPr>
          <w:rFonts w:ascii="Arial" w:cs="Arial" w:eastAsia="Arial" w:hAnsi="Arial"/>
          <w:sz w:val="18"/>
          <w:szCs w:val="18"/>
          <w:color w:val="auto"/>
        </w:rPr>
        <w:t>” means the consummation, in a single transaction or in a series of related transactions, of any one or more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events:</w:t>
      </w:r>
    </w:p>
    <w:p>
      <w:pPr>
        <w:spacing w:after="0" w:line="71" w:lineRule="exact"/>
        <w:rPr>
          <w:sz w:val="20"/>
          <w:szCs w:val="20"/>
          <w:color w:val="auto"/>
        </w:rPr>
      </w:pPr>
    </w:p>
    <w:p>
      <w:pPr>
        <w:ind w:left="1000" w:right="160" w:hanging="439"/>
        <w:spacing w:after="0" w:line="277" w:lineRule="auto"/>
        <w:tabs>
          <w:tab w:leader="none" w:pos="10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 sale or other disposition of all or substantially all, as determined by the Board, of the consolidated assets of the Company and its Subsidiaries;</w:t>
      </w:r>
    </w:p>
    <w:p>
      <w:pPr>
        <w:spacing w:after="0" w:line="75" w:lineRule="exact"/>
        <w:rPr>
          <w:rFonts w:ascii="Arial" w:cs="Arial" w:eastAsia="Arial" w:hAnsi="Arial"/>
          <w:sz w:val="18"/>
          <w:szCs w:val="18"/>
          <w:color w:val="auto"/>
        </w:rPr>
      </w:pPr>
    </w:p>
    <w:p>
      <w:pPr>
        <w:ind w:left="1000" w:hanging="439"/>
        <w:spacing w:after="0"/>
        <w:tabs>
          <w:tab w:leader="none" w:pos="10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 sale or other disposition of at least 50% of the outstanding securities of the Company;</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 merger, consolidation or similar transaction following which the Company is not the surviving corporation; or</w:t>
      </w:r>
    </w:p>
    <w:p>
      <w:pPr>
        <w:spacing w:after="0" w:line="130" w:lineRule="exact"/>
        <w:rPr>
          <w:rFonts w:ascii="Arial" w:cs="Arial" w:eastAsia="Arial" w:hAnsi="Arial"/>
          <w:sz w:val="18"/>
          <w:szCs w:val="18"/>
          <w:color w:val="auto"/>
        </w:rPr>
      </w:pPr>
    </w:p>
    <w:p>
      <w:pPr>
        <w:ind w:left="1000" w:right="60" w:hanging="439"/>
        <w:spacing w:after="0" w:line="311" w:lineRule="auto"/>
        <w:tabs>
          <w:tab w:leader="none" w:pos="100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81"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520"/>
          </w:cols>
          <w:pgMar w:left="860" w:top="270" w:right="519" w:bottom="1440" w:gutter="0" w:footer="0" w:header="0"/>
        </w:sectPr>
      </w:pPr>
    </w:p>
    <w:bookmarkStart w:id="78" w:name="page79"/>
    <w:bookmarkEnd w:id="78"/>
    <w:p>
      <w:pPr>
        <w:ind w:left="540" w:hanging="532"/>
        <w:spacing w:after="0"/>
        <w:tabs>
          <w:tab w:leader="none" w:pos="540" w:val="left"/>
        </w:tabs>
        <w:numPr>
          <w:ilvl w:val="0"/>
          <w:numId w:val="121"/>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i w:val="1"/>
          <w:iCs w:val="1"/>
          <w:color w:val="auto"/>
        </w:rPr>
        <w:t>determine</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or</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i w:val="1"/>
          <w:iCs w:val="1"/>
          <w:color w:val="auto"/>
        </w:rPr>
        <w:t>determined</w:t>
      </w:r>
      <w:r>
        <w:rPr>
          <w:rFonts w:ascii="Arial" w:cs="Arial" w:eastAsia="Arial" w:hAnsi="Arial"/>
          <w:sz w:val="18"/>
          <w:szCs w:val="18"/>
          <w:color w:val="auto"/>
        </w:rPr>
        <w:t>” means as determined by the Board or the Committee (or its designee) in its sole discretion.</w:t>
      </w:r>
    </w:p>
    <w:p>
      <w:pPr>
        <w:spacing w:after="0" w:line="130" w:lineRule="exact"/>
        <w:rPr>
          <w:rFonts w:ascii="Arial" w:cs="Arial" w:eastAsia="Arial" w:hAnsi="Arial"/>
          <w:sz w:val="18"/>
          <w:szCs w:val="18"/>
          <w:color w:val="auto"/>
        </w:rPr>
      </w:pPr>
    </w:p>
    <w:p>
      <w:pPr>
        <w:ind w:left="540" w:right="120" w:hanging="532"/>
        <w:spacing w:after="0" w:line="282" w:lineRule="auto"/>
        <w:tabs>
          <w:tab w:leader="none" w:pos="540" w:val="left"/>
        </w:tabs>
        <w:numPr>
          <w:ilvl w:val="0"/>
          <w:numId w:val="121"/>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means a member of the Board. Directors are not eligible to receive Awards under the Plan with respect to their service in such</w:t>
      </w:r>
      <w:r>
        <w:rPr>
          <w:rFonts w:ascii="Arial" w:cs="Arial" w:eastAsia="Arial" w:hAnsi="Arial"/>
          <w:sz w:val="18"/>
          <w:szCs w:val="18"/>
          <w:b w:val="1"/>
          <w:bCs w:val="1"/>
          <w:color w:val="auto"/>
        </w:rPr>
        <w:t xml:space="preserve"> </w:t>
      </w:r>
      <w:r>
        <w:rPr>
          <w:rFonts w:ascii="Arial" w:cs="Arial" w:eastAsia="Arial" w:hAnsi="Arial"/>
          <w:sz w:val="18"/>
          <w:szCs w:val="18"/>
          <w:color w:val="auto"/>
        </w:rPr>
        <w:t>capacity.</w:t>
      </w:r>
    </w:p>
    <w:p>
      <w:pPr>
        <w:spacing w:after="0" w:line="67" w:lineRule="exact"/>
        <w:rPr>
          <w:rFonts w:ascii="Arial" w:cs="Arial" w:eastAsia="Arial" w:hAnsi="Arial"/>
          <w:sz w:val="18"/>
          <w:szCs w:val="18"/>
          <w:color w:val="auto"/>
        </w:rPr>
      </w:pPr>
    </w:p>
    <w:p>
      <w:pPr>
        <w:ind w:left="540" w:right="40" w:hanging="532"/>
        <w:spacing w:after="0" w:line="314" w:lineRule="auto"/>
        <w:tabs>
          <w:tab w:leader="none" w:pos="540" w:val="left"/>
        </w:tabs>
        <w:numPr>
          <w:ilvl w:val="0"/>
          <w:numId w:val="121"/>
        </w:numPr>
        <w:rPr>
          <w:rFonts w:ascii="Arial" w:cs="Arial" w:eastAsia="Arial" w:hAnsi="Arial"/>
          <w:sz w:val="16"/>
          <w:szCs w:val="16"/>
          <w:color w:val="auto"/>
        </w:rPr>
      </w:pP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Disability</w:t>
      </w:r>
      <w:r>
        <w:rPr>
          <w:rFonts w:ascii="Arial" w:cs="Arial" w:eastAsia="Arial" w:hAnsi="Arial"/>
          <w:sz w:val="16"/>
          <w:szCs w:val="16"/>
          <w:color w:val="auto"/>
        </w:rPr>
        <w:t>” means, with respect to a Participant, permanent disability as defined in Section 22(e)(3) of the Code, provided that in the case</w:t>
      </w:r>
      <w:r>
        <w:rPr>
          <w:rFonts w:ascii="Arial" w:cs="Arial" w:eastAsia="Arial" w:hAnsi="Arial"/>
          <w:sz w:val="16"/>
          <w:szCs w:val="16"/>
          <w:b w:val="1"/>
          <w:bCs w:val="1"/>
          <w:color w:val="auto"/>
        </w:rPr>
        <w:t xml:space="preserve"> </w:t>
      </w:r>
      <w:r>
        <w:rPr>
          <w:rFonts w:ascii="Arial" w:cs="Arial" w:eastAsia="Arial" w:hAnsi="Arial"/>
          <w:sz w:val="16"/>
          <w:szCs w:val="16"/>
          <w:color w:val="auto"/>
        </w:rPr>
        <w:t>of Awards other than incentive stock options, the Plan Administrator in its discretion may determine whether a permanent and total disability exists in accordance with uniform and non-discriminatory standards adopted by the Plan Administrator from time to time.</w:t>
      </w:r>
    </w:p>
    <w:p>
      <w:pPr>
        <w:spacing w:after="0" w:line="47" w:lineRule="exact"/>
        <w:rPr>
          <w:rFonts w:ascii="Arial" w:cs="Arial" w:eastAsia="Arial" w:hAnsi="Arial"/>
          <w:sz w:val="16"/>
          <w:szCs w:val="16"/>
          <w:color w:val="auto"/>
        </w:rPr>
      </w:pPr>
    </w:p>
    <w:p>
      <w:pPr>
        <w:ind w:left="540" w:right="480" w:hanging="532"/>
        <w:spacing w:after="0" w:line="282" w:lineRule="auto"/>
        <w:tabs>
          <w:tab w:leader="none" w:pos="540" w:val="left"/>
        </w:tabs>
        <w:numPr>
          <w:ilvl w:val="0"/>
          <w:numId w:val="121"/>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means [July 1], 2021, which is the date this Plan was originally approved by the Board (including a majority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Independent Directors).</w:t>
      </w:r>
    </w:p>
    <w:p>
      <w:pPr>
        <w:spacing w:after="0" w:line="67" w:lineRule="exact"/>
        <w:rPr>
          <w:rFonts w:ascii="Arial" w:cs="Arial" w:eastAsia="Arial" w:hAnsi="Arial"/>
          <w:sz w:val="18"/>
          <w:szCs w:val="18"/>
          <w:color w:val="auto"/>
        </w:rPr>
      </w:pPr>
    </w:p>
    <w:p>
      <w:pPr>
        <w:ind w:left="540" w:right="220" w:hanging="532"/>
        <w:spacing w:after="0" w:line="282" w:lineRule="auto"/>
        <w:tabs>
          <w:tab w:leader="none" w:pos="540" w:val="left"/>
        </w:tabs>
        <w:numPr>
          <w:ilvl w:val="0"/>
          <w:numId w:val="121"/>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any person employed by the Company or an Affiliate. However, service solely as a Director, or payment of a fee for</w:t>
      </w:r>
      <w:r>
        <w:rPr>
          <w:rFonts w:ascii="Arial" w:cs="Arial" w:eastAsia="Arial" w:hAnsi="Arial"/>
          <w:sz w:val="18"/>
          <w:szCs w:val="18"/>
          <w:b w:val="1"/>
          <w:bCs w:val="1"/>
          <w:color w:val="auto"/>
        </w:rPr>
        <w:t xml:space="preserve"> </w:t>
      </w:r>
      <w:r>
        <w:rPr>
          <w:rFonts w:ascii="Arial" w:cs="Arial" w:eastAsia="Arial" w:hAnsi="Arial"/>
          <w:sz w:val="18"/>
          <w:szCs w:val="18"/>
          <w:color w:val="auto"/>
        </w:rPr>
        <w:t>such services, will not cause a Director to be considered an “Employee” for purposes of the Plan.</w:t>
      </w:r>
    </w:p>
    <w:p>
      <w:pPr>
        <w:spacing w:after="0" w:line="67" w:lineRule="exact"/>
        <w:rPr>
          <w:rFonts w:ascii="Arial" w:cs="Arial" w:eastAsia="Arial" w:hAnsi="Arial"/>
          <w:sz w:val="18"/>
          <w:szCs w:val="18"/>
          <w:color w:val="auto"/>
        </w:rPr>
      </w:pPr>
    </w:p>
    <w:p>
      <w:pPr>
        <w:ind w:left="540" w:hanging="532"/>
        <w:spacing w:after="0"/>
        <w:tabs>
          <w:tab w:leader="none" w:pos="540" w:val="left"/>
        </w:tabs>
        <w:numPr>
          <w:ilvl w:val="0"/>
          <w:numId w:val="121"/>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Employer</w:t>
      </w:r>
      <w:r>
        <w:rPr>
          <w:rFonts w:ascii="Arial" w:cs="Arial" w:eastAsia="Arial" w:hAnsi="Arial"/>
          <w:sz w:val="18"/>
          <w:szCs w:val="18"/>
          <w:color w:val="auto"/>
        </w:rPr>
        <w:t>” means the Company or the Affiliate of the Company that employs the Participant.</w:t>
      </w:r>
    </w:p>
    <w:p>
      <w:pPr>
        <w:spacing w:after="0" w:line="130" w:lineRule="exact"/>
        <w:rPr>
          <w:rFonts w:ascii="Arial" w:cs="Arial" w:eastAsia="Arial" w:hAnsi="Arial"/>
          <w:sz w:val="18"/>
          <w:szCs w:val="18"/>
          <w:color w:val="auto"/>
        </w:rPr>
      </w:pPr>
    </w:p>
    <w:p>
      <w:pPr>
        <w:ind w:left="540" w:hanging="532"/>
        <w:spacing w:after="0"/>
        <w:tabs>
          <w:tab w:leader="none" w:pos="540" w:val="left"/>
        </w:tabs>
        <w:numPr>
          <w:ilvl w:val="0"/>
          <w:numId w:val="121"/>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Entity</w:t>
      </w:r>
      <w:r>
        <w:rPr>
          <w:rFonts w:ascii="Arial" w:cs="Arial" w:eastAsia="Arial" w:hAnsi="Arial"/>
          <w:sz w:val="18"/>
          <w:szCs w:val="18"/>
          <w:color w:val="auto"/>
        </w:rPr>
        <w:t>” means a corporation, partnership, limited liability company or other entity.</w:t>
      </w:r>
    </w:p>
    <w:p>
      <w:pPr>
        <w:spacing w:after="0" w:line="130" w:lineRule="exact"/>
        <w:rPr>
          <w:rFonts w:ascii="Arial" w:cs="Arial" w:eastAsia="Arial" w:hAnsi="Arial"/>
          <w:sz w:val="18"/>
          <w:szCs w:val="18"/>
          <w:color w:val="auto"/>
        </w:rPr>
      </w:pPr>
    </w:p>
    <w:p>
      <w:pPr>
        <w:ind w:left="540" w:hanging="532"/>
        <w:spacing w:after="0"/>
        <w:tabs>
          <w:tab w:leader="none" w:pos="540" w:val="left"/>
        </w:tabs>
        <w:numPr>
          <w:ilvl w:val="0"/>
          <w:numId w:val="121"/>
        </w:numPr>
        <w:rPr>
          <w:rFonts w:ascii="Arial" w:cs="Arial" w:eastAsia="Arial" w:hAnsi="Arial"/>
          <w:sz w:val="17"/>
          <w:szCs w:val="17"/>
          <w:color w:val="auto"/>
        </w:rPr>
      </w:pP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means the Securities Exchange Act of 1934, as amended, and the rules and regulations promulgated thereunder.</w:t>
      </w:r>
    </w:p>
    <w:p>
      <w:pPr>
        <w:spacing w:after="0" w:line="142" w:lineRule="exact"/>
        <w:rPr>
          <w:sz w:val="20"/>
          <w:szCs w:val="20"/>
          <w:color w:val="auto"/>
        </w:rPr>
      </w:pPr>
    </w:p>
    <w:p>
      <w:pPr>
        <w:ind w:left="540" w:hanging="532"/>
        <w:spacing w:after="0" w:line="272" w:lineRule="auto"/>
        <w:tabs>
          <w:tab w:leader="none" w:pos="540" w:val="left"/>
        </w:tabs>
        <w:numPr>
          <w:ilvl w:val="0"/>
          <w:numId w:val="122"/>
        </w:numPr>
        <w:rPr>
          <w:rFonts w:ascii="Arial" w:cs="Arial" w:eastAsia="Arial" w:hAnsi="Arial"/>
          <w:sz w:val="17"/>
          <w:szCs w:val="17"/>
          <w:color w:val="auto"/>
        </w:rPr>
      </w:pP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Exchange Act Person</w:t>
      </w:r>
      <w:r>
        <w:rPr>
          <w:rFonts w:ascii="Arial" w:cs="Arial" w:eastAsia="Arial" w:hAnsi="Arial"/>
          <w:sz w:val="17"/>
          <w:szCs w:val="17"/>
          <w:color w:val="auto"/>
        </w:rPr>
        <w:t>” means any natural person, Entity or “group” (within the meaning of Section 13(d) or 14(d) of the Exchange Act),</w:t>
      </w:r>
      <w:r>
        <w:rPr>
          <w:rFonts w:ascii="Arial" w:cs="Arial" w:eastAsia="Arial" w:hAnsi="Arial"/>
          <w:sz w:val="17"/>
          <w:szCs w:val="17"/>
          <w:b w:val="1"/>
          <w:bCs w:val="1"/>
          <w:color w:val="auto"/>
        </w:rPr>
        <w:t xml:space="preserve"> </w:t>
      </w:r>
      <w:r>
        <w:rPr>
          <w:rFonts w:ascii="Arial" w:cs="Arial" w:eastAsia="Arial" w:hAnsi="Arial"/>
          <w:sz w:val="17"/>
          <w:szCs w:val="17"/>
          <w:color w:val="auto"/>
        </w:rPr>
        <w:t>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50% of the combined voting power of the Company’s then outstanding securities.</w:t>
      </w:r>
    </w:p>
    <w:p>
      <w:pPr>
        <w:spacing w:after="0" w:line="10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560"/>
          </w:cols>
          <w:pgMar w:left="860" w:top="270" w:right="479" w:bottom="1440" w:gutter="0" w:footer="0" w:header="0"/>
        </w:sectPr>
      </w:pPr>
    </w:p>
    <w:bookmarkStart w:id="79" w:name="page80"/>
    <w:bookmarkEnd w:id="79"/>
    <w:p>
      <w:pPr>
        <w:ind w:left="540" w:right="60" w:hanging="539"/>
        <w:spacing w:after="0" w:line="282" w:lineRule="auto"/>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w:t>
      </w:r>
      <w:r>
        <w:rPr>
          <w:sz w:val="20"/>
          <w:szCs w:val="20"/>
          <w:color w:val="auto"/>
        </w:rPr>
        <w:tab/>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means, as of any date, unless otherwise determined by the Board, the value of the Common Stock (as determined on</w:t>
      </w:r>
      <w:r>
        <w:rPr>
          <w:rFonts w:ascii="Arial" w:cs="Arial" w:eastAsia="Arial" w:hAnsi="Arial"/>
          <w:sz w:val="18"/>
          <w:szCs w:val="18"/>
          <w:b w:val="1"/>
          <w:bCs w:val="1"/>
          <w:color w:val="auto"/>
        </w:rPr>
        <w:t xml:space="preserve"> </w:t>
      </w:r>
      <w:r>
        <w:rPr>
          <w:rFonts w:ascii="Arial" w:cs="Arial" w:eastAsia="Arial" w:hAnsi="Arial"/>
          <w:sz w:val="18"/>
          <w:szCs w:val="18"/>
          <w:color w:val="auto"/>
        </w:rPr>
        <w:t>a per share or aggregate basis, as applicable) determined as follows:</w:t>
      </w:r>
    </w:p>
    <w:p>
      <w:pPr>
        <w:spacing w:after="0" w:line="71" w:lineRule="exact"/>
        <w:rPr>
          <w:sz w:val="20"/>
          <w:szCs w:val="20"/>
          <w:color w:val="auto"/>
        </w:rPr>
      </w:pPr>
    </w:p>
    <w:p>
      <w:pPr>
        <w:jc w:val="both"/>
        <w:ind w:left="1000" w:right="80" w:hanging="439"/>
        <w:spacing w:after="0" w:line="311" w:lineRule="auto"/>
        <w:tabs>
          <w:tab w:leader="none" w:pos="100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If the Common Stock is listed on any established stock exchange or traded on any established market, the Fair Market Value will be the closing sales price for such stock as quoted on such exchange or market (or the exchange or market with the greatest volume of trading in the Common Stock) on the date of determination, as reported in a source the Board deems reliable.</w:t>
      </w:r>
    </w:p>
    <w:p>
      <w:pPr>
        <w:spacing w:after="0" w:line="54" w:lineRule="exact"/>
        <w:rPr>
          <w:rFonts w:ascii="Arial" w:cs="Arial" w:eastAsia="Arial" w:hAnsi="Arial"/>
          <w:sz w:val="16"/>
          <w:szCs w:val="16"/>
          <w:color w:val="auto"/>
        </w:rPr>
      </w:pPr>
    </w:p>
    <w:p>
      <w:pPr>
        <w:ind w:left="1000" w:right="140" w:hanging="439"/>
        <w:spacing w:after="0" w:line="277" w:lineRule="auto"/>
        <w:tabs>
          <w:tab w:leader="none" w:pos="10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If there is no closing sales price for the Common Stock on the date of determination, then the Fair Market Value will be the closing selling price on the last preceding date for which such quotation exists.</w:t>
      </w:r>
    </w:p>
    <w:p>
      <w:pPr>
        <w:spacing w:after="0" w:line="75" w:lineRule="exact"/>
        <w:rPr>
          <w:rFonts w:ascii="Arial" w:cs="Arial" w:eastAsia="Arial" w:hAnsi="Arial"/>
          <w:sz w:val="18"/>
          <w:szCs w:val="18"/>
          <w:color w:val="auto"/>
        </w:rPr>
      </w:pPr>
    </w:p>
    <w:p>
      <w:pPr>
        <w:ind w:left="1000" w:right="500" w:hanging="439"/>
        <w:spacing w:after="0" w:line="308" w:lineRule="auto"/>
        <w:tabs>
          <w:tab w:leader="none" w:pos="100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In the absence of such markets for the Common Stock, or if otherwise determined by the Board, the Fair Market Value will be determined by the Board in good faith and in a manner that complies with Sections 409A of the Code.</w:t>
      </w:r>
    </w:p>
    <w:p>
      <w:pPr>
        <w:spacing w:after="0" w:line="48" w:lineRule="exact"/>
        <w:rPr>
          <w:sz w:val="20"/>
          <w:szCs w:val="20"/>
          <w:color w:val="auto"/>
        </w:rPr>
      </w:pPr>
    </w:p>
    <w:p>
      <w:pPr>
        <w:ind w:left="540" w:hanging="539"/>
        <w:spacing w:after="0" w:line="294" w:lineRule="auto"/>
        <w:tabs>
          <w:tab w:leader="none" w:pos="520" w:val="left"/>
        </w:tabs>
        <w:rPr>
          <w:sz w:val="20"/>
          <w:szCs w:val="20"/>
          <w:color w:val="auto"/>
        </w:rPr>
      </w:pPr>
      <w:r>
        <w:rPr>
          <w:rFonts w:ascii="Arial" w:cs="Arial" w:eastAsia="Arial" w:hAnsi="Arial"/>
          <w:sz w:val="16"/>
          <w:szCs w:val="16"/>
          <w:color w:val="auto"/>
        </w:rPr>
        <w:t>(ac)</w:t>
      </w:r>
      <w:r>
        <w:rPr>
          <w:sz w:val="20"/>
          <w:szCs w:val="20"/>
          <w:color w:val="auto"/>
        </w:rPr>
        <w:tab/>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Governmental Body</w:t>
      </w:r>
      <w:r>
        <w:rPr>
          <w:rFonts w:ascii="Arial" w:cs="Arial" w:eastAsia="Arial" w:hAnsi="Arial"/>
          <w:sz w:val="16"/>
          <w:szCs w:val="16"/>
          <w:color w:val="auto"/>
        </w:rPr>
        <w:t>” means any: (a) nation, state, commonwealth, province, territory, county, municipality, district or other jurisdiction</w:t>
      </w:r>
      <w:r>
        <w:rPr>
          <w:rFonts w:ascii="Arial" w:cs="Arial" w:eastAsia="Arial" w:hAnsi="Arial"/>
          <w:sz w:val="16"/>
          <w:szCs w:val="16"/>
          <w:b w:val="1"/>
          <w:bCs w:val="1"/>
          <w:color w:val="auto"/>
        </w:rPr>
        <w:t xml:space="preserve"> </w:t>
      </w:r>
      <w:r>
        <w:rPr>
          <w:rFonts w:ascii="Arial" w:cs="Arial" w:eastAsia="Arial" w:hAnsi="Arial"/>
          <w:sz w:val="16"/>
          <w:szCs w:val="16"/>
          <w:color w:val="auto"/>
        </w:rPr>
        <w:t>of any nature; (b) federal, state, local, municipal, foreign or other government; (c) governmental or regulatory body, or quasi-governmental body of any nature (including any 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 powers or authority; or (d) self-regulatory organization (including the Nasdaq Stock Market, New York Stock Exchange, and the Financial Industry Regulatory Authority).</w:t>
      </w:r>
    </w:p>
    <w:p>
      <w:pPr>
        <w:spacing w:after="0" w:line="65" w:lineRule="exact"/>
        <w:rPr>
          <w:sz w:val="20"/>
          <w:szCs w:val="20"/>
          <w:color w:val="auto"/>
        </w:rPr>
      </w:pPr>
    </w:p>
    <w:p>
      <w:pPr>
        <w:jc w:val="both"/>
        <w:ind w:left="540" w:right="160" w:hanging="539"/>
        <w:spacing w:after="0" w:line="289" w:lineRule="auto"/>
        <w:tabs>
          <w:tab w:leader="none" w:pos="520" w:val="left"/>
        </w:tabs>
        <w:rPr>
          <w:sz w:val="20"/>
          <w:szCs w:val="20"/>
          <w:color w:val="auto"/>
        </w:rPr>
      </w:pPr>
      <w:r>
        <w:rPr>
          <w:rFonts w:ascii="Arial" w:cs="Arial" w:eastAsia="Arial" w:hAnsi="Arial"/>
          <w:sz w:val="17"/>
          <w:szCs w:val="17"/>
          <w:color w:val="auto"/>
        </w:rPr>
        <w:t>(ad)</w:t>
      </w:r>
      <w:r>
        <w:rPr>
          <w:sz w:val="20"/>
          <w:szCs w:val="20"/>
          <w:color w:val="auto"/>
        </w:rPr>
        <w:tab/>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Grant Notice</w:t>
      </w:r>
      <w:r>
        <w:rPr>
          <w:rFonts w:ascii="Arial" w:cs="Arial" w:eastAsia="Arial" w:hAnsi="Arial"/>
          <w:sz w:val="17"/>
          <w:szCs w:val="17"/>
          <w:color w:val="auto"/>
        </w:rPr>
        <w:t>” means the notice provided to a Participant that he or she has been granted an Award and which includes the name of the</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 the type of Award, the date of grant of the Award, number of shares of Common Stock subject to the Award or potential cash payment right, (if any), the vesting schedule for the Award (if any) and other key terms applicable to the Award.</w:t>
      </w:r>
    </w:p>
    <w:p>
      <w:pPr>
        <w:spacing w:after="0" w:line="63" w:lineRule="exact"/>
        <w:rPr>
          <w:sz w:val="20"/>
          <w:szCs w:val="20"/>
          <w:color w:val="auto"/>
        </w:rPr>
      </w:pPr>
    </w:p>
    <w:p>
      <w:pPr>
        <w:ind w:left="540" w:right="40" w:hanging="539"/>
        <w:spacing w:after="0" w:line="272" w:lineRule="auto"/>
        <w:tabs>
          <w:tab w:leader="none" w:pos="520" w:val="left"/>
        </w:tabs>
        <w:rPr>
          <w:sz w:val="20"/>
          <w:szCs w:val="20"/>
          <w:color w:val="auto"/>
        </w:rPr>
      </w:pPr>
      <w:r>
        <w:rPr>
          <w:rFonts w:ascii="Arial" w:cs="Arial" w:eastAsia="Arial" w:hAnsi="Arial"/>
          <w:sz w:val="17"/>
          <w:szCs w:val="17"/>
          <w:color w:val="auto"/>
        </w:rPr>
        <w:t>(ae)</w:t>
      </w:r>
      <w:r>
        <w:rPr>
          <w:sz w:val="20"/>
          <w:szCs w:val="20"/>
          <w:color w:val="auto"/>
        </w:rPr>
        <w:tab/>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Materially Impair</w:t>
      </w:r>
      <w:r>
        <w:rPr>
          <w:rFonts w:ascii="Arial" w:cs="Arial" w:eastAsia="Arial" w:hAnsi="Arial"/>
          <w:sz w:val="17"/>
          <w:szCs w:val="17"/>
          <w:color w:val="auto"/>
        </w:rPr>
        <w:t>” means that a Participant’s rights under an Award will be materially adversely affected by a suspension or termination</w:t>
      </w:r>
      <w:r>
        <w:rPr>
          <w:rFonts w:ascii="Arial" w:cs="Arial" w:eastAsia="Arial" w:hAnsi="Arial"/>
          <w:sz w:val="17"/>
          <w:szCs w:val="17"/>
          <w:b w:val="1"/>
          <w:bCs w:val="1"/>
          <w:color w:val="auto"/>
        </w:rPr>
        <w:t xml:space="preserve"> </w:t>
      </w:r>
      <w:r>
        <w:rPr>
          <w:rFonts w:ascii="Arial" w:cs="Arial" w:eastAsia="Arial" w:hAnsi="Arial"/>
          <w:sz w:val="17"/>
          <w:szCs w:val="17"/>
          <w:color w:val="auto"/>
        </w:rPr>
        <w:t>of the Plan, an amendment of the Plan, or an amendment to the terms of the Award, as applicable. For purposes of the Plan, a Participant’s rights under an Award will not be deemed to have been Materially Impaired by any of the foregoing actions if the Board, in its sole discretion, determines that such action, taken as a whole, does not materially impair the Participant’s rights under the Award. For example, an amendment to the terms of an Award in order to do any of the following, or that results in any of the following, will not be deemed to Materially Impair the Participant’s rights under the Award: (i) an imposition of reasonable restrictions on the minimum number of shares subject to an Option that may be exercised; (ii) to clarify the manner of exemption from, or to bring the Award into compliance with or qualify it for an exemption from, Section 409A; or (iii) to comply with other Applicable Laws.</w:t>
      </w:r>
    </w:p>
    <w:p>
      <w:pPr>
        <w:spacing w:after="0" w:line="10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560"/>
          </w:cols>
          <w:pgMar w:left="860" w:top="270" w:right="479" w:bottom="1440" w:gutter="0" w:footer="0" w:header="0"/>
        </w:sectPr>
      </w:pPr>
    </w:p>
    <w:bookmarkStart w:id="80" w:name="page81"/>
    <w:bookmarkEnd w:id="80"/>
    <w:p>
      <w:pPr>
        <w:ind w:left="540" w:right="100" w:hanging="539"/>
        <w:spacing w:after="0" w:line="294" w:lineRule="auto"/>
        <w:tabs>
          <w:tab w:leader="none" w:pos="520" w:val="left"/>
        </w:tabs>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(af)</w:t>
      </w:r>
      <w:r>
        <w:rPr>
          <w:sz w:val="20"/>
          <w:szCs w:val="20"/>
          <w:color w:val="auto"/>
        </w:rPr>
        <w:tab/>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Non-Employee Director</w:t>
      </w:r>
      <w:r>
        <w:rPr>
          <w:rFonts w:ascii="Arial" w:cs="Arial" w:eastAsia="Arial" w:hAnsi="Arial"/>
          <w:sz w:val="16"/>
          <w:szCs w:val="16"/>
          <w:color w:val="auto"/>
        </w:rPr>
        <w:t>” means a Director who either (i) is not a current employee or officer of the Company or an Affiliate, does not</w:t>
      </w:r>
      <w:r>
        <w:rPr>
          <w:rFonts w:ascii="Arial" w:cs="Arial" w:eastAsia="Arial" w:hAnsi="Arial"/>
          <w:sz w:val="16"/>
          <w:szCs w:val="16"/>
          <w:b w:val="1"/>
          <w:bCs w:val="1"/>
          <w:color w:val="auto"/>
        </w:rPr>
        <w:t xml:space="preserve"> </w:t>
      </w:r>
      <w:r>
        <w:rPr>
          <w:rFonts w:ascii="Arial" w:cs="Arial" w:eastAsia="Arial" w:hAnsi="Arial"/>
          <w:sz w:val="16"/>
          <w:szCs w:val="16"/>
          <w:color w:val="auto"/>
        </w:rPr>
        <w:t>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Arial" w:cs="Arial" w:eastAsia="Arial" w:hAnsi="Arial"/>
          <w:sz w:val="16"/>
          <w:szCs w:val="16"/>
          <w:b w:val="1"/>
          <w:bCs w:val="1"/>
          <w:i w:val="1"/>
          <w:iCs w:val="1"/>
          <w:color w:val="auto"/>
        </w:rPr>
        <w:t>Regulation S-K</w:t>
      </w:r>
      <w:r>
        <w:rPr>
          <w:rFonts w:ascii="Arial" w:cs="Arial" w:eastAsia="Arial" w:hAnsi="Arial"/>
          <w:sz w:val="16"/>
          <w:szCs w:val="16"/>
          <w:color w:val="auto"/>
        </w:rPr>
        <w:t>”)), does not possess an interest in any other transaction for which disclosure would be required under Item 404(a) of Regulation S-K, and is not engaged in a business relationship for which disclosure would be required pursuant to Item 404(b) of Regulation S-K; or (ii) is otherwise considered a “non-employee director” for purposes of Rule 16b-3.</w:t>
      </w:r>
    </w:p>
    <w:p>
      <w:pPr>
        <w:spacing w:after="0" w:line="65" w:lineRule="exact"/>
        <w:rPr>
          <w:sz w:val="20"/>
          <w:szCs w:val="20"/>
          <w:color w:val="auto"/>
        </w:rPr>
      </w:pPr>
    </w:p>
    <w:p>
      <w:pPr>
        <w:ind w:left="540" w:right="180" w:hanging="539"/>
        <w:spacing w:after="0" w:line="266" w:lineRule="auto"/>
        <w:tabs>
          <w:tab w:leader="none" w:pos="520" w:val="left"/>
        </w:tabs>
        <w:rPr>
          <w:sz w:val="20"/>
          <w:szCs w:val="20"/>
          <w:color w:val="auto"/>
        </w:rPr>
      </w:pPr>
      <w:r>
        <w:rPr>
          <w:rFonts w:ascii="Arial" w:cs="Arial" w:eastAsia="Arial" w:hAnsi="Arial"/>
          <w:sz w:val="18"/>
          <w:szCs w:val="18"/>
          <w:color w:val="auto"/>
        </w:rPr>
        <w:t>(ag)</w:t>
      </w:r>
      <w:r>
        <w:rPr>
          <w:sz w:val="20"/>
          <w:szCs w:val="20"/>
          <w:color w:val="auto"/>
        </w:rPr>
        <w:tab/>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Non-Exempt Award</w:t>
      </w:r>
      <w:r>
        <w:rPr>
          <w:rFonts w:ascii="Arial" w:cs="Arial" w:eastAsia="Arial" w:hAnsi="Arial"/>
          <w:sz w:val="18"/>
          <w:szCs w:val="18"/>
          <w:color w:val="auto"/>
        </w:rPr>
        <w:t>” means any Award that is subject to, and not exempt from, Section 409A, including as the result of (i) a deferral of</w:t>
      </w:r>
      <w:r>
        <w:rPr>
          <w:rFonts w:ascii="Arial" w:cs="Arial" w:eastAsia="Arial" w:hAnsi="Arial"/>
          <w:sz w:val="18"/>
          <w:szCs w:val="18"/>
          <w:b w:val="1"/>
          <w:bCs w:val="1"/>
          <w:color w:val="auto"/>
        </w:rPr>
        <w:t xml:space="preserve"> </w:t>
      </w:r>
      <w:r>
        <w:rPr>
          <w:rFonts w:ascii="Arial" w:cs="Arial" w:eastAsia="Arial" w:hAnsi="Arial"/>
          <w:sz w:val="18"/>
          <w:szCs w:val="18"/>
          <w:color w:val="auto"/>
        </w:rPr>
        <w:t>the issuance of the shares subject to the Award which is elected by the Participant or imposed by the Company, or (ii) the terms of any Non-Exempt Severance Agreement.</w:t>
      </w:r>
    </w:p>
    <w:p>
      <w:pPr>
        <w:spacing w:after="0" w:line="81" w:lineRule="exact"/>
        <w:rPr>
          <w:sz w:val="20"/>
          <w:szCs w:val="20"/>
          <w:color w:val="auto"/>
        </w:rPr>
      </w:pPr>
    </w:p>
    <w:p>
      <w:pPr>
        <w:ind w:left="540" w:right="420" w:hanging="539"/>
        <w:spacing w:after="0" w:line="282" w:lineRule="auto"/>
        <w:tabs>
          <w:tab w:leader="none" w:pos="520" w:val="left"/>
        </w:tabs>
        <w:rPr>
          <w:sz w:val="20"/>
          <w:szCs w:val="20"/>
          <w:color w:val="auto"/>
        </w:rPr>
      </w:pPr>
      <w:r>
        <w:rPr>
          <w:rFonts w:ascii="Arial" w:cs="Arial" w:eastAsia="Arial" w:hAnsi="Arial"/>
          <w:sz w:val="18"/>
          <w:szCs w:val="18"/>
          <w:color w:val="auto"/>
        </w:rPr>
        <w:t>(ah)</w:t>
      </w:r>
      <w:r>
        <w:rPr>
          <w:sz w:val="20"/>
          <w:szCs w:val="20"/>
          <w:color w:val="auto"/>
        </w:rPr>
        <w:tab/>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Non-Exempt Director Award</w:t>
      </w:r>
      <w:r>
        <w:rPr>
          <w:rFonts w:ascii="Arial" w:cs="Arial" w:eastAsia="Arial" w:hAnsi="Arial"/>
          <w:sz w:val="18"/>
          <w:szCs w:val="18"/>
          <w:color w:val="auto"/>
        </w:rPr>
        <w:t>” means a Non-Exempt Award granted to a Participant who was a Director but not an Employee on the</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grant date.</w:t>
      </w:r>
    </w:p>
    <w:p>
      <w:pPr>
        <w:spacing w:after="0" w:line="67" w:lineRule="exact"/>
        <w:rPr>
          <w:sz w:val="20"/>
          <w:szCs w:val="20"/>
          <w:color w:val="auto"/>
        </w:rPr>
      </w:pPr>
    </w:p>
    <w:p>
      <w:pPr>
        <w:ind w:left="540" w:hanging="539"/>
        <w:spacing w:after="0" w:line="298" w:lineRule="auto"/>
        <w:tabs>
          <w:tab w:leader="none" w:pos="520" w:val="left"/>
        </w:tabs>
        <w:rPr>
          <w:sz w:val="20"/>
          <w:szCs w:val="20"/>
          <w:color w:val="auto"/>
        </w:rPr>
      </w:pPr>
      <w:r>
        <w:rPr>
          <w:rFonts w:ascii="Arial" w:cs="Arial" w:eastAsia="Arial" w:hAnsi="Arial"/>
          <w:sz w:val="16"/>
          <w:szCs w:val="16"/>
          <w:color w:val="auto"/>
        </w:rPr>
        <w:t>(ai)</w:t>
      </w:r>
      <w:r>
        <w:rPr>
          <w:sz w:val="20"/>
          <w:szCs w:val="20"/>
          <w:color w:val="auto"/>
        </w:rPr>
        <w:tab/>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Non-Exempt Severance Arrangement</w:t>
      </w:r>
      <w:r>
        <w:rPr>
          <w:rFonts w:ascii="Arial" w:cs="Arial" w:eastAsia="Arial" w:hAnsi="Arial"/>
          <w:sz w:val="16"/>
          <w:szCs w:val="16"/>
          <w:color w:val="auto"/>
        </w:rPr>
        <w:t>” means a severance arrangement or other agreement between the Participant and the Company or</w:t>
      </w:r>
      <w:r>
        <w:rPr>
          <w:rFonts w:ascii="Arial" w:cs="Arial" w:eastAsia="Arial" w:hAnsi="Arial"/>
          <w:sz w:val="16"/>
          <w:szCs w:val="16"/>
          <w:b w:val="1"/>
          <w:bCs w:val="1"/>
          <w:color w:val="auto"/>
        </w:rPr>
        <w:t xml:space="preserve"> </w:t>
      </w:r>
      <w:r>
        <w:rPr>
          <w:rFonts w:ascii="Arial" w:cs="Arial" w:eastAsia="Arial" w:hAnsi="Arial"/>
          <w:sz w:val="16"/>
          <w:szCs w:val="16"/>
          <w:color w:val="auto"/>
        </w:rPr>
        <w:t>an Affiliate that provides for acceleration of vesting of an Award and issuance of the shares in respect of such Award upon the Participant’s termination of employment or separation from service (as such term is defined in Section 409A(a)(2)(A)(i) of the Code (and without regard to any alternative definition thereunder) (“</w:t>
      </w:r>
      <w:r>
        <w:rPr>
          <w:rFonts w:ascii="Arial" w:cs="Arial" w:eastAsia="Arial" w:hAnsi="Arial"/>
          <w:sz w:val="16"/>
          <w:szCs w:val="16"/>
          <w:b w:val="1"/>
          <w:bCs w:val="1"/>
          <w:i w:val="1"/>
          <w:iCs w:val="1"/>
          <w:color w:val="auto"/>
        </w:rPr>
        <w:t>Separation from Service</w:t>
      </w:r>
      <w:r>
        <w:rPr>
          <w:rFonts w:ascii="Arial" w:cs="Arial" w:eastAsia="Arial" w:hAnsi="Arial"/>
          <w:sz w:val="16"/>
          <w:szCs w:val="16"/>
          <w:color w:val="auto"/>
        </w:rPr>
        <w:t>”) and such severance benefit does not satisfy the requirements for an exemption from application of Section 409A provided under Treasury Regulations Section 1.409A-1(b)(4), 1.409A-1(b)(9) or otherwise.</w:t>
      </w:r>
    </w:p>
    <w:p>
      <w:pPr>
        <w:spacing w:after="0" w:line="59" w:lineRule="exact"/>
        <w:rPr>
          <w:sz w:val="20"/>
          <w:szCs w:val="20"/>
          <w:color w:val="auto"/>
        </w:rPr>
      </w:pPr>
    </w:p>
    <w:p>
      <w:pPr>
        <w:ind w:left="540" w:right="480" w:hanging="539"/>
        <w:spacing w:after="0" w:line="282" w:lineRule="auto"/>
        <w:tabs>
          <w:tab w:leader="none" w:pos="520" w:val="left"/>
        </w:tabs>
        <w:rPr>
          <w:sz w:val="20"/>
          <w:szCs w:val="20"/>
          <w:color w:val="auto"/>
        </w:rPr>
      </w:pPr>
      <w:r>
        <w:rPr>
          <w:rFonts w:ascii="Arial" w:cs="Arial" w:eastAsia="Arial" w:hAnsi="Arial"/>
          <w:sz w:val="18"/>
          <w:szCs w:val="18"/>
          <w:color w:val="auto"/>
        </w:rPr>
        <w:t>(aj)</w:t>
      </w:r>
      <w:r>
        <w:rPr>
          <w:sz w:val="20"/>
          <w:szCs w:val="20"/>
          <w:color w:val="auto"/>
        </w:rPr>
        <w:tab/>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Nonstatutory Stock Option</w:t>
      </w:r>
      <w:r>
        <w:rPr>
          <w:rFonts w:ascii="Arial" w:cs="Arial" w:eastAsia="Arial" w:hAnsi="Arial"/>
          <w:sz w:val="18"/>
          <w:szCs w:val="18"/>
          <w:color w:val="auto"/>
        </w:rPr>
        <w:t>” means any option granted pursuant to Section 4 of the Plan that does not qualify as an “incentive stock</w:t>
      </w:r>
      <w:r>
        <w:rPr>
          <w:rFonts w:ascii="Arial" w:cs="Arial" w:eastAsia="Arial" w:hAnsi="Arial"/>
          <w:sz w:val="18"/>
          <w:szCs w:val="18"/>
          <w:b w:val="1"/>
          <w:bCs w:val="1"/>
          <w:color w:val="auto"/>
        </w:rPr>
        <w:t xml:space="preserve"> </w:t>
      </w:r>
      <w:r>
        <w:rPr>
          <w:rFonts w:ascii="Arial" w:cs="Arial" w:eastAsia="Arial" w:hAnsi="Arial"/>
          <w:sz w:val="18"/>
          <w:szCs w:val="18"/>
          <w:color w:val="auto"/>
        </w:rPr>
        <w:t>option” within the meaning of Section 422 of the Code.</w:t>
      </w:r>
    </w:p>
    <w:p>
      <w:pPr>
        <w:spacing w:after="0" w:line="6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(ak)</w:t>
      </w:r>
      <w:r>
        <w:rPr>
          <w:sz w:val="20"/>
          <w:szCs w:val="20"/>
          <w:color w:val="auto"/>
        </w:rPr>
        <w:tab/>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Officer</w:t>
      </w:r>
      <w:r>
        <w:rPr>
          <w:rFonts w:ascii="Arial" w:cs="Arial" w:eastAsia="Arial" w:hAnsi="Arial"/>
          <w:sz w:val="18"/>
          <w:szCs w:val="18"/>
          <w:color w:val="auto"/>
        </w:rPr>
        <w:t>” means a person who is an officer of the Company within the meaning of Section 16 of the Exchange Act.</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(al)</w:t>
      </w:r>
      <w:r>
        <w:rPr>
          <w:sz w:val="20"/>
          <w:szCs w:val="20"/>
          <w:color w:val="auto"/>
        </w:rPr>
        <w:tab/>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means a Nonstatutory Stock Option to purchase shares of Common Stock granted pursuant to the Plan.</w:t>
      </w:r>
    </w:p>
    <w:p>
      <w:pPr>
        <w:spacing w:after="0" w:line="131" w:lineRule="exact"/>
        <w:rPr>
          <w:sz w:val="20"/>
          <w:szCs w:val="20"/>
          <w:color w:val="auto"/>
        </w:rPr>
      </w:pPr>
    </w:p>
    <w:p>
      <w:pPr>
        <w:ind w:left="540" w:right="200" w:hanging="539"/>
        <w:spacing w:after="0" w:line="261" w:lineRule="auto"/>
        <w:tabs>
          <w:tab w:leader="none" w:pos="520" w:val="left"/>
        </w:tabs>
        <w:rPr>
          <w:sz w:val="20"/>
          <w:szCs w:val="20"/>
          <w:color w:val="auto"/>
        </w:rPr>
      </w:pPr>
      <w:r>
        <w:rPr>
          <w:rFonts w:ascii="Arial" w:cs="Arial" w:eastAsia="Arial" w:hAnsi="Arial"/>
          <w:sz w:val="18"/>
          <w:szCs w:val="18"/>
          <w:color w:val="auto"/>
        </w:rPr>
        <w:t>(am)</w:t>
      </w:r>
      <w:r>
        <w:rPr>
          <w:sz w:val="20"/>
          <w:szCs w:val="20"/>
          <w:color w:val="auto"/>
        </w:rPr>
        <w:tab/>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Option Agreement</w:t>
      </w:r>
      <w:r>
        <w:rPr>
          <w:rFonts w:ascii="Arial" w:cs="Arial" w:eastAsia="Arial" w:hAnsi="Arial"/>
          <w:sz w:val="18"/>
          <w:szCs w:val="18"/>
          <w:color w:val="auto"/>
        </w:rPr>
        <w:t>” means a written agreement between the Company and the Optionholder evidencing the terms and conditions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Option grant. The Option Agreement includes the Grant Notice for the Option and the agreement containing the written summary of the general terms and conditions applicable to the Option and which is provided to a Participant along with the Grant Notice. Each Option Agreement will be subject to the terms and conditions of the Plan.</w:t>
      </w:r>
    </w:p>
    <w:p>
      <w:pPr>
        <w:spacing w:after="0" w:line="11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600"/>
          </w:cols>
          <w:pgMar w:left="860" w:top="270" w:right="439" w:bottom="1440" w:gutter="0" w:footer="0" w:header="0"/>
        </w:sectPr>
      </w:pPr>
    </w:p>
    <w:bookmarkStart w:id="81" w:name="page82"/>
    <w:bookmarkEnd w:id="81"/>
    <w:p>
      <w:pPr>
        <w:ind w:left="540" w:right="520" w:hanging="539"/>
        <w:spacing w:after="0" w:line="282" w:lineRule="auto"/>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w:t>
      </w:r>
      <w:r>
        <w:rPr>
          <w:sz w:val="20"/>
          <w:szCs w:val="20"/>
          <w:color w:val="auto"/>
        </w:rPr>
        <w:tab/>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Optionholder</w:t>
      </w:r>
      <w:r>
        <w:rPr>
          <w:rFonts w:ascii="Arial" w:cs="Arial" w:eastAsia="Arial" w:hAnsi="Arial"/>
          <w:sz w:val="18"/>
          <w:szCs w:val="18"/>
          <w:color w:val="auto"/>
        </w:rPr>
        <w:t>” means a person to whom an Option is granted pursuant to the Plan or, if applicable, such other person who holds an</w:t>
      </w:r>
      <w:r>
        <w:rPr>
          <w:rFonts w:ascii="Arial" w:cs="Arial" w:eastAsia="Arial" w:hAnsi="Arial"/>
          <w:sz w:val="18"/>
          <w:szCs w:val="18"/>
          <w:b w:val="1"/>
          <w:bCs w:val="1"/>
          <w:color w:val="auto"/>
        </w:rPr>
        <w:t xml:space="preserve"> </w:t>
      </w:r>
      <w:r>
        <w:rPr>
          <w:rFonts w:ascii="Arial" w:cs="Arial" w:eastAsia="Arial" w:hAnsi="Arial"/>
          <w:sz w:val="18"/>
          <w:szCs w:val="18"/>
          <w:color w:val="auto"/>
        </w:rPr>
        <w:t>outstanding Option.</w:t>
      </w:r>
    </w:p>
    <w:p>
      <w:pPr>
        <w:spacing w:after="0" w:line="67" w:lineRule="exact"/>
        <w:rPr>
          <w:sz w:val="20"/>
          <w:szCs w:val="20"/>
          <w:color w:val="auto"/>
        </w:rPr>
      </w:pPr>
    </w:p>
    <w:p>
      <w:pPr>
        <w:ind w:left="540" w:right="220" w:hanging="539"/>
        <w:spacing w:after="0" w:line="282" w:lineRule="auto"/>
        <w:tabs>
          <w:tab w:leader="none" w:pos="520" w:val="left"/>
        </w:tabs>
        <w:rPr>
          <w:sz w:val="20"/>
          <w:szCs w:val="20"/>
          <w:color w:val="auto"/>
        </w:rPr>
      </w:pPr>
      <w:r>
        <w:rPr>
          <w:rFonts w:ascii="Arial" w:cs="Arial" w:eastAsia="Arial" w:hAnsi="Arial"/>
          <w:sz w:val="18"/>
          <w:szCs w:val="18"/>
          <w:color w:val="auto"/>
        </w:rPr>
        <w:t>(ao)</w:t>
      </w:r>
      <w:r>
        <w:rPr>
          <w:sz w:val="20"/>
          <w:szCs w:val="20"/>
          <w:color w:val="auto"/>
        </w:rPr>
        <w:tab/>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Other Award</w:t>
      </w:r>
      <w:r>
        <w:rPr>
          <w:rFonts w:ascii="Arial" w:cs="Arial" w:eastAsia="Arial" w:hAnsi="Arial"/>
          <w:sz w:val="18"/>
          <w:szCs w:val="18"/>
          <w:color w:val="auto"/>
        </w:rPr>
        <w:t>” means an award based in whole or in part by reference to the Common Stock which is granted pursuant to the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of Section 5(c).</w:t>
      </w:r>
    </w:p>
    <w:p>
      <w:pPr>
        <w:spacing w:after="0" w:line="67" w:lineRule="exact"/>
        <w:rPr>
          <w:sz w:val="20"/>
          <w:szCs w:val="20"/>
          <w:color w:val="auto"/>
        </w:rPr>
      </w:pPr>
    </w:p>
    <w:p>
      <w:pPr>
        <w:ind w:left="540" w:right="260" w:hanging="539"/>
        <w:spacing w:after="0" w:line="347" w:lineRule="auto"/>
        <w:tabs>
          <w:tab w:leader="none" w:pos="520" w:val="left"/>
        </w:tabs>
        <w:rPr>
          <w:sz w:val="20"/>
          <w:szCs w:val="20"/>
          <w:color w:val="auto"/>
        </w:rPr>
      </w:pPr>
      <w:r>
        <w:rPr>
          <w:rFonts w:ascii="Arial" w:cs="Arial" w:eastAsia="Arial" w:hAnsi="Arial"/>
          <w:sz w:val="16"/>
          <w:szCs w:val="16"/>
          <w:color w:val="auto"/>
        </w:rPr>
        <w:t>(ap)</w:t>
      </w:r>
      <w:r>
        <w:rPr>
          <w:sz w:val="20"/>
          <w:szCs w:val="20"/>
          <w:color w:val="auto"/>
        </w:rPr>
        <w:tab/>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Other Award Agreement</w:t>
      </w:r>
      <w:r>
        <w:rPr>
          <w:rFonts w:ascii="Arial" w:cs="Arial" w:eastAsia="Arial" w:hAnsi="Arial"/>
          <w:sz w:val="16"/>
          <w:szCs w:val="16"/>
          <w:color w:val="auto"/>
        </w:rPr>
        <w:t>” means a written agreement between the Company and a holder of an Other Award evidencing the terms and</w:t>
      </w:r>
      <w:r>
        <w:rPr>
          <w:rFonts w:ascii="Arial" w:cs="Arial" w:eastAsia="Arial" w:hAnsi="Arial"/>
          <w:sz w:val="16"/>
          <w:szCs w:val="16"/>
          <w:b w:val="1"/>
          <w:bCs w:val="1"/>
          <w:color w:val="auto"/>
        </w:rPr>
        <w:t xml:space="preserve"> </w:t>
      </w:r>
      <w:r>
        <w:rPr>
          <w:rFonts w:ascii="Arial" w:cs="Arial" w:eastAsia="Arial" w:hAnsi="Arial"/>
          <w:sz w:val="16"/>
          <w:szCs w:val="16"/>
          <w:color w:val="auto"/>
        </w:rPr>
        <w:t>conditions of an Other Award grant. Each Other Award Agreement will be subject to the terms and conditions of the Plan.</w:t>
      </w:r>
    </w:p>
    <w:p>
      <w:pPr>
        <w:spacing w:after="0" w:line="21" w:lineRule="exact"/>
        <w:rPr>
          <w:sz w:val="20"/>
          <w:szCs w:val="20"/>
          <w:color w:val="auto"/>
        </w:rPr>
      </w:pPr>
    </w:p>
    <w:p>
      <w:pPr>
        <w:ind w:left="540" w:right="80" w:hanging="539"/>
        <w:spacing w:after="0" w:line="261" w:lineRule="auto"/>
        <w:tabs>
          <w:tab w:leader="none" w:pos="520" w:val="left"/>
        </w:tabs>
        <w:rPr>
          <w:sz w:val="20"/>
          <w:szCs w:val="20"/>
          <w:color w:val="auto"/>
        </w:rPr>
      </w:pPr>
      <w:r>
        <w:rPr>
          <w:rFonts w:ascii="Arial" w:cs="Arial" w:eastAsia="Arial" w:hAnsi="Arial"/>
          <w:sz w:val="18"/>
          <w:szCs w:val="18"/>
          <w:color w:val="auto"/>
        </w:rPr>
        <w:t>(aq)</w:t>
      </w:r>
      <w:r>
        <w:rPr>
          <w:sz w:val="20"/>
          <w:szCs w:val="20"/>
          <w:color w:val="auto"/>
        </w:rPr>
        <w:tab/>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Own,</w:t>
      </w:r>
      <w:r>
        <w:rPr>
          <w:rFonts w:ascii="Arial" w:cs="Arial" w:eastAsia="Arial" w:hAnsi="Arial"/>
          <w:sz w:val="18"/>
          <w:szCs w:val="18"/>
          <w:color w:val="auto"/>
        </w:rPr>
        <w:t>” “</w:t>
      </w:r>
      <w:r>
        <w:rPr>
          <w:rFonts w:ascii="Arial" w:cs="Arial" w:eastAsia="Arial" w:hAnsi="Arial"/>
          <w:sz w:val="18"/>
          <w:szCs w:val="18"/>
          <w:b w:val="1"/>
          <w:bCs w:val="1"/>
          <w:i w:val="1"/>
          <w:iCs w:val="1"/>
          <w:color w:val="auto"/>
        </w:rPr>
        <w:t>Owned,</w:t>
      </w:r>
      <w:r>
        <w:rPr>
          <w:rFonts w:ascii="Arial" w:cs="Arial" w:eastAsia="Arial" w:hAnsi="Arial"/>
          <w:sz w:val="18"/>
          <w:szCs w:val="18"/>
          <w:color w:val="auto"/>
        </w:rPr>
        <w:t>” “</w:t>
      </w:r>
      <w:r>
        <w:rPr>
          <w:rFonts w:ascii="Arial" w:cs="Arial" w:eastAsia="Arial" w:hAnsi="Arial"/>
          <w:sz w:val="18"/>
          <w:szCs w:val="18"/>
          <w:b w:val="1"/>
          <w:bCs w:val="1"/>
          <w:i w:val="1"/>
          <w:iCs w:val="1"/>
          <w:color w:val="auto"/>
        </w:rPr>
        <w:t>Owner,</w:t>
      </w:r>
      <w:r>
        <w:rPr>
          <w:rFonts w:ascii="Arial" w:cs="Arial" w:eastAsia="Arial" w:hAnsi="Arial"/>
          <w:sz w:val="18"/>
          <w:szCs w:val="18"/>
          <w:color w:val="auto"/>
        </w:rPr>
        <w:t>” “</w:t>
      </w:r>
      <w:r>
        <w:rPr>
          <w:rFonts w:ascii="Arial" w:cs="Arial" w:eastAsia="Arial" w:hAnsi="Arial"/>
          <w:sz w:val="18"/>
          <w:szCs w:val="18"/>
          <w:b w:val="1"/>
          <w:bCs w:val="1"/>
          <w:i w:val="1"/>
          <w:iCs w:val="1"/>
          <w:color w:val="auto"/>
        </w:rPr>
        <w:t>Ownership</w:t>
      </w:r>
      <w:r>
        <w:rPr>
          <w:rFonts w:ascii="Arial" w:cs="Arial" w:eastAsia="Arial" w:hAnsi="Arial"/>
          <w:sz w:val="18"/>
          <w:szCs w:val="18"/>
          <w:color w:val="auto"/>
        </w:rPr>
        <w:t>” means that a person or Entity will be deemed to “Own,” to have “Owned,” to be the “Owner”</w:t>
      </w:r>
      <w:r>
        <w:rPr>
          <w:rFonts w:ascii="Arial" w:cs="Arial" w:eastAsia="Arial" w:hAnsi="Arial"/>
          <w:sz w:val="18"/>
          <w:szCs w:val="18"/>
          <w:b w:val="1"/>
          <w:bCs w:val="1"/>
          <w:color w:val="auto"/>
        </w:rPr>
        <w:t xml:space="preserve"> </w:t>
      </w:r>
      <w:r>
        <w:rPr>
          <w:rFonts w:ascii="Arial" w:cs="Arial" w:eastAsia="Arial" w:hAnsi="Arial"/>
          <w:sz w:val="18"/>
          <w:szCs w:val="18"/>
          <w:color w:val="auto"/>
        </w:rPr>
        <w:t>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85" w:lineRule="exact"/>
        <w:rPr>
          <w:sz w:val="20"/>
          <w:szCs w:val="20"/>
          <w:color w:val="auto"/>
        </w:rPr>
      </w:pPr>
    </w:p>
    <w:p>
      <w:pPr>
        <w:ind w:left="540" w:right="180" w:hanging="539"/>
        <w:spacing w:after="0" w:line="282" w:lineRule="auto"/>
        <w:tabs>
          <w:tab w:leader="none" w:pos="520" w:val="left"/>
        </w:tabs>
        <w:rPr>
          <w:sz w:val="20"/>
          <w:szCs w:val="20"/>
          <w:color w:val="auto"/>
        </w:rPr>
      </w:pPr>
      <w:r>
        <w:rPr>
          <w:rFonts w:ascii="Arial" w:cs="Arial" w:eastAsia="Arial" w:hAnsi="Arial"/>
          <w:sz w:val="18"/>
          <w:szCs w:val="18"/>
          <w:color w:val="auto"/>
        </w:rPr>
        <w:t>(ar)</w:t>
      </w:r>
      <w:r>
        <w:rPr>
          <w:sz w:val="20"/>
          <w:szCs w:val="20"/>
          <w:color w:val="auto"/>
        </w:rPr>
        <w:tab/>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an Employee, Director or Consultant to whom an Award is granted pursuant to the Plan or, if applicable, such other</w:t>
      </w:r>
      <w:r>
        <w:rPr>
          <w:rFonts w:ascii="Arial" w:cs="Arial" w:eastAsia="Arial" w:hAnsi="Arial"/>
          <w:sz w:val="18"/>
          <w:szCs w:val="18"/>
          <w:b w:val="1"/>
          <w:bCs w:val="1"/>
          <w:color w:val="auto"/>
        </w:rPr>
        <w:t xml:space="preserve"> </w:t>
      </w:r>
      <w:r>
        <w:rPr>
          <w:rFonts w:ascii="Arial" w:cs="Arial" w:eastAsia="Arial" w:hAnsi="Arial"/>
          <w:sz w:val="18"/>
          <w:szCs w:val="18"/>
          <w:color w:val="auto"/>
        </w:rPr>
        <w:t>person who holds an outstanding Award.</w:t>
      </w:r>
    </w:p>
    <w:p>
      <w:pPr>
        <w:spacing w:after="0" w:line="67" w:lineRule="exact"/>
        <w:rPr>
          <w:sz w:val="20"/>
          <w:szCs w:val="20"/>
          <w:color w:val="auto"/>
        </w:rPr>
      </w:pPr>
    </w:p>
    <w:p>
      <w:pPr>
        <w:ind w:left="540" w:right="160" w:hanging="539"/>
        <w:spacing w:after="0" w:line="261" w:lineRule="auto"/>
        <w:tabs>
          <w:tab w:leader="none" w:pos="520" w:val="left"/>
        </w:tabs>
        <w:rPr>
          <w:sz w:val="20"/>
          <w:szCs w:val="20"/>
          <w:color w:val="auto"/>
        </w:rPr>
      </w:pPr>
      <w:r>
        <w:rPr>
          <w:rFonts w:ascii="Arial" w:cs="Arial" w:eastAsia="Arial" w:hAnsi="Arial"/>
          <w:sz w:val="18"/>
          <w:szCs w:val="18"/>
          <w:color w:val="auto"/>
        </w:rPr>
        <w:t>(as)</w:t>
      </w:r>
      <w:r>
        <w:rPr>
          <w:sz w:val="20"/>
          <w:szCs w:val="20"/>
          <w:color w:val="auto"/>
        </w:rPr>
        <w:tab/>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Performance Award</w:t>
      </w:r>
      <w:r>
        <w:rPr>
          <w:rFonts w:ascii="Arial" w:cs="Arial" w:eastAsia="Arial" w:hAnsi="Arial"/>
          <w:sz w:val="18"/>
          <w:szCs w:val="18"/>
          <w:color w:val="auto"/>
        </w:rPr>
        <w:t>” means an Award that may vest or may be exercised or a cash award that may vest or become earned and paid</w:t>
      </w:r>
      <w:r>
        <w:rPr>
          <w:rFonts w:ascii="Arial" w:cs="Arial" w:eastAsia="Arial" w:hAnsi="Arial"/>
          <w:sz w:val="18"/>
          <w:szCs w:val="18"/>
          <w:b w:val="1"/>
          <w:bCs w:val="1"/>
          <w:color w:val="auto"/>
        </w:rPr>
        <w:t xml:space="preserve"> </w:t>
      </w:r>
      <w:r>
        <w:rPr>
          <w:rFonts w:ascii="Arial" w:cs="Arial" w:eastAsia="Arial" w:hAnsi="Arial"/>
          <w:sz w:val="18"/>
          <w:szCs w:val="18"/>
          <w:color w:val="auto"/>
        </w:rPr>
        <w:t>contingent upon the attainment during a Performance Period of certain Performance Goals and which is granted under the terms and conditions of Section 5(b) pursuant to such terms as are approved a majority of the Company’s Independent Directors or the Independent Compensation Committee.</w:t>
      </w:r>
    </w:p>
    <w:p>
      <w:pPr>
        <w:spacing w:after="0" w:line="85" w:lineRule="exact"/>
        <w:rPr>
          <w:sz w:val="20"/>
          <w:szCs w:val="20"/>
          <w:color w:val="auto"/>
        </w:rPr>
      </w:pPr>
    </w:p>
    <w:p>
      <w:pPr>
        <w:ind w:left="540" w:right="260" w:hanging="539"/>
        <w:spacing w:after="0" w:line="261" w:lineRule="auto"/>
        <w:tabs>
          <w:tab w:leader="none" w:pos="520" w:val="left"/>
        </w:tabs>
        <w:rPr>
          <w:sz w:val="20"/>
          <w:szCs w:val="20"/>
          <w:color w:val="auto"/>
        </w:rPr>
      </w:pPr>
      <w:r>
        <w:rPr>
          <w:rFonts w:ascii="Arial" w:cs="Arial" w:eastAsia="Arial" w:hAnsi="Arial"/>
          <w:sz w:val="18"/>
          <w:szCs w:val="18"/>
          <w:color w:val="auto"/>
        </w:rPr>
        <w:t>(at)</w:t>
      </w:r>
      <w:r>
        <w:rPr>
          <w:sz w:val="20"/>
          <w:szCs w:val="20"/>
          <w:color w:val="auto"/>
        </w:rPr>
        <w:tab/>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Performance Criteria</w:t>
      </w:r>
      <w:r>
        <w:rPr>
          <w:rFonts w:ascii="Arial" w:cs="Arial" w:eastAsia="Arial" w:hAnsi="Arial"/>
          <w:sz w:val="18"/>
          <w:szCs w:val="18"/>
          <w:color w:val="auto"/>
        </w:rPr>
        <w:t>” means the one or more criteria that a majority of the Company’s Independent Directors or the Independent</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Committee will select for purposes of establishing the Performance Goals for a Performance Period. The Performance Criteria that will be used to establish such Performance Goals may be based on any measure of performance selected by the Company’s Independent Directors or the Independent Compensation Committee.</w:t>
      </w:r>
    </w:p>
    <w:p>
      <w:pPr>
        <w:spacing w:after="0" w:line="85" w:lineRule="exact"/>
        <w:rPr>
          <w:sz w:val="20"/>
          <w:szCs w:val="20"/>
          <w:color w:val="auto"/>
        </w:rPr>
      </w:pPr>
    </w:p>
    <w:p>
      <w:pPr>
        <w:ind w:left="540" w:hanging="539"/>
        <w:spacing w:after="0" w:line="294" w:lineRule="auto"/>
        <w:tabs>
          <w:tab w:leader="none" w:pos="520" w:val="left"/>
        </w:tabs>
        <w:rPr>
          <w:sz w:val="20"/>
          <w:szCs w:val="20"/>
          <w:color w:val="auto"/>
        </w:rPr>
      </w:pPr>
      <w:r>
        <w:rPr>
          <w:rFonts w:ascii="Arial" w:cs="Arial" w:eastAsia="Arial" w:hAnsi="Arial"/>
          <w:sz w:val="16"/>
          <w:szCs w:val="16"/>
          <w:color w:val="auto"/>
        </w:rPr>
        <w:t>(au)</w:t>
      </w:r>
      <w:r>
        <w:rPr>
          <w:sz w:val="20"/>
          <w:szCs w:val="20"/>
          <w:color w:val="auto"/>
        </w:rPr>
        <w:tab/>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Performance Goals</w:t>
      </w:r>
      <w:r>
        <w:rPr>
          <w:rFonts w:ascii="Arial" w:cs="Arial" w:eastAsia="Arial" w:hAnsi="Arial"/>
          <w:sz w:val="16"/>
          <w:szCs w:val="16"/>
          <w:color w:val="auto"/>
        </w:rPr>
        <w:t>” means, for a Performance Period, the one or more goals established by a majority of the Company’s Independent</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or the Independent Compensation Committee for the Performance 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Company’s Independent Directors or the Independent Compensation Committee (i) in the Award Agreement at the time the Award is granted or (ii) in such other document setting forth the Performance</w:t>
      </w:r>
    </w:p>
    <w:p>
      <w:pPr>
        <w:spacing w:after="0" w:line="9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580"/>
          </w:cols>
          <w:pgMar w:left="860" w:top="270" w:right="459" w:bottom="1440" w:gutter="0" w:footer="0" w:header="0"/>
        </w:sectPr>
      </w:pPr>
    </w:p>
    <w:bookmarkStart w:id="82" w:name="page83"/>
    <w:bookmarkEnd w:id="82"/>
    <w:p>
      <w:pPr>
        <w:ind w:left="56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Goals at the time the Performance Goals are established, the Company’s Independent Directors or the Independent Compensation Committee will appropriately make adjustments in the method of calculating the attainment of Performance Goals for a Performance Period as follows: (1) to exclude restructuring and/or other nonrecurring charges; (2) to exclude exchange rate effects; (3) to exclude the effects of changes to generally accepted accounting principles; (4) to exclude the effects of any statutory adjustments to corporate tax rates;</w:t>
      </w:r>
    </w:p>
    <w:p>
      <w:pPr>
        <w:spacing w:after="0" w:line="1" w:lineRule="exact"/>
        <w:rPr>
          <w:sz w:val="20"/>
          <w:szCs w:val="20"/>
          <w:color w:val="auto"/>
        </w:rPr>
      </w:pPr>
    </w:p>
    <w:p>
      <w:pPr>
        <w:ind w:left="560" w:firstLine="1"/>
        <w:spacing w:after="0" w:line="267" w:lineRule="auto"/>
        <w:tabs>
          <w:tab w:leader="none" w:pos="815"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to exclude the effects of items that are “unusual” in nature or occur “infrequently” as determined under generally accepted accounting principles; (6) to exclude the dilutive effects of acquisitions or joint ventures; (7) to assume that any business divested by the Company achieved performance objectives at targeted levels during the balance of a Performance Period following such divestiture; (8) to exclude the effect of any change in the outstanding shares of common stock of the Company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the Company’s bonus plans; (10) to exclude costs incurred in connection with potential acquisitions or divestitures that are required to be expensed under generally accepted accounting principles; (11) to exclude the goodwill and intangible asset impairment charges that are required to be recorded under generally accepted accounting principles; and (12) to exclude the effects of the timing of acceptance for review and/or approval of submissions to the U.S. Food and Drug Administration or any other regulatory body. In addition, the Company’s Independent Directors or the Independent Compensation Committee retains the discretion to reduce, increase or eliminate the compensation or economic benefit due upon attainment of Performance Goals and to define the manner of calculating the Performance Criteria it selects to use for such Performance Period. Partial achievement of the specified criteria may result in the payment or vesting corresponding to the degree of achievement as specified in the Award Agreement or the written terms of a Performance Award.</w:t>
      </w:r>
    </w:p>
    <w:p>
      <w:pPr>
        <w:spacing w:after="0" w:line="81" w:lineRule="exact"/>
        <w:rPr>
          <w:sz w:val="20"/>
          <w:szCs w:val="20"/>
          <w:color w:val="auto"/>
        </w:rPr>
      </w:pPr>
    </w:p>
    <w:p>
      <w:pPr>
        <w:ind w:left="540" w:right="40" w:hanging="539"/>
        <w:spacing w:after="0" w:line="281" w:lineRule="auto"/>
        <w:tabs>
          <w:tab w:leader="none" w:pos="520" w:val="left"/>
        </w:tabs>
        <w:rPr>
          <w:sz w:val="20"/>
          <w:szCs w:val="20"/>
          <w:color w:val="auto"/>
        </w:rPr>
      </w:pPr>
      <w:r>
        <w:rPr>
          <w:rFonts w:ascii="Arial" w:cs="Arial" w:eastAsia="Arial" w:hAnsi="Arial"/>
          <w:sz w:val="17"/>
          <w:szCs w:val="17"/>
          <w:color w:val="auto"/>
        </w:rPr>
        <w:t>(av)</w:t>
      </w:r>
      <w:r>
        <w:rPr>
          <w:sz w:val="20"/>
          <w:szCs w:val="20"/>
          <w:color w:val="auto"/>
        </w:rPr>
        <w:tab/>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Performance Period</w:t>
      </w:r>
      <w:r>
        <w:rPr>
          <w:rFonts w:ascii="Arial" w:cs="Arial" w:eastAsia="Arial" w:hAnsi="Arial"/>
          <w:sz w:val="17"/>
          <w:szCs w:val="17"/>
          <w:color w:val="auto"/>
        </w:rPr>
        <w:t>” means the period of time selected by a majority of the Company’s Independent Directors or the Independent</w:t>
      </w:r>
      <w:r>
        <w:rPr>
          <w:rFonts w:ascii="Arial" w:cs="Arial" w:eastAsia="Arial" w:hAnsi="Arial"/>
          <w:sz w:val="17"/>
          <w:szCs w:val="17"/>
          <w:b w:val="1"/>
          <w:bCs w:val="1"/>
          <w:color w:val="auto"/>
        </w:rPr>
        <w:t xml:space="preserve"> </w:t>
      </w:r>
      <w:r>
        <w:rPr>
          <w:rFonts w:ascii="Arial" w:cs="Arial" w:eastAsia="Arial" w:hAnsi="Arial"/>
          <w:sz w:val="17"/>
          <w:szCs w:val="17"/>
          <w:color w:val="auto"/>
        </w:rPr>
        <w:t>Compensation Committee over which the attainment of one or more Performance Goals will be measured for the purpose of determining a Participant’s right to vesting or exercise of an Award. Performance Periods may be of varying and overlapping duration, at the sole discretion of a majority of the Company’s Independent Directors or the Independent Compensation Committee.</w:t>
      </w:r>
    </w:p>
    <w:p>
      <w:pPr>
        <w:spacing w:after="0" w:line="7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(aw)</w:t>
      </w:r>
      <w:r>
        <w:rPr>
          <w:sz w:val="20"/>
          <w:szCs w:val="20"/>
          <w:color w:val="auto"/>
        </w:rPr>
        <w:tab/>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this Oyster Point Pharma, Inc. 2021 Inducement Plan, as it may be amended.</w:t>
      </w:r>
    </w:p>
    <w:p>
      <w:pPr>
        <w:spacing w:after="0" w:line="131" w:lineRule="exact"/>
        <w:rPr>
          <w:sz w:val="20"/>
          <w:szCs w:val="20"/>
          <w:color w:val="auto"/>
        </w:rPr>
      </w:pPr>
    </w:p>
    <w:p>
      <w:pPr>
        <w:ind w:left="540" w:right="20" w:hanging="539"/>
        <w:spacing w:after="0" w:line="282" w:lineRule="auto"/>
        <w:tabs>
          <w:tab w:leader="none" w:pos="520" w:val="left"/>
        </w:tabs>
        <w:rPr>
          <w:sz w:val="20"/>
          <w:szCs w:val="20"/>
          <w:color w:val="auto"/>
        </w:rPr>
      </w:pPr>
      <w:r>
        <w:rPr>
          <w:rFonts w:ascii="Arial" w:cs="Arial" w:eastAsia="Arial" w:hAnsi="Arial"/>
          <w:sz w:val="18"/>
          <w:szCs w:val="18"/>
          <w:color w:val="auto"/>
        </w:rPr>
        <w:t>(ax)</w:t>
      </w:r>
      <w:r>
        <w:rPr>
          <w:sz w:val="20"/>
          <w:szCs w:val="20"/>
          <w:color w:val="auto"/>
        </w:rPr>
        <w:tab/>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Plan Administrator</w:t>
      </w:r>
      <w:r>
        <w:rPr>
          <w:rFonts w:ascii="Arial" w:cs="Arial" w:eastAsia="Arial" w:hAnsi="Arial"/>
          <w:sz w:val="18"/>
          <w:szCs w:val="18"/>
          <w:color w:val="auto"/>
        </w:rPr>
        <w:t>” means the person, persons, and/or third-party administrator designated by the Company to administer the day to day</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operations of the Plan and the Company’s other equity incentive programs.</w:t>
      </w:r>
    </w:p>
    <w:p>
      <w:pPr>
        <w:spacing w:after="0" w:line="9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580"/>
          </w:cols>
          <w:pgMar w:left="860" w:top="274" w:right="459" w:bottom="1440" w:gutter="0" w:footer="0" w:header="0"/>
        </w:sectPr>
      </w:pPr>
    </w:p>
    <w:bookmarkStart w:id="83" w:name="page84"/>
    <w:bookmarkEnd w:id="83"/>
    <w:p>
      <w:pPr>
        <w:ind w:left="540" w:right="500" w:hanging="539"/>
        <w:spacing w:after="0" w:line="282" w:lineRule="auto"/>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(ay)</w:t>
      </w:r>
      <w:r>
        <w:rPr>
          <w:sz w:val="20"/>
          <w:szCs w:val="20"/>
          <w:color w:val="auto"/>
        </w:rPr>
        <w:tab/>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Post-Termination Exercise Period</w:t>
      </w:r>
      <w:r>
        <w:rPr>
          <w:rFonts w:ascii="Arial" w:cs="Arial" w:eastAsia="Arial" w:hAnsi="Arial"/>
          <w:sz w:val="18"/>
          <w:szCs w:val="18"/>
          <w:color w:val="auto"/>
        </w:rPr>
        <w:t>” means the period following termination of a Participant’s Continuous Service within which an</w:t>
      </w:r>
      <w:r>
        <w:rPr>
          <w:rFonts w:ascii="Arial" w:cs="Arial" w:eastAsia="Arial" w:hAnsi="Arial"/>
          <w:sz w:val="18"/>
          <w:szCs w:val="18"/>
          <w:b w:val="1"/>
          <w:bCs w:val="1"/>
          <w:color w:val="auto"/>
        </w:rPr>
        <w:t xml:space="preserve"> </w:t>
      </w:r>
      <w:r>
        <w:rPr>
          <w:rFonts w:ascii="Arial" w:cs="Arial" w:eastAsia="Arial" w:hAnsi="Arial"/>
          <w:sz w:val="18"/>
          <w:szCs w:val="18"/>
          <w:color w:val="auto"/>
        </w:rPr>
        <w:t>Option or SAR is exercisable, as specified in Section 4(h).</w:t>
      </w:r>
    </w:p>
    <w:p>
      <w:pPr>
        <w:spacing w:after="0" w:line="6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(az)</w:t>
      </w:r>
      <w:r>
        <w:rPr>
          <w:sz w:val="20"/>
          <w:szCs w:val="20"/>
          <w:color w:val="auto"/>
        </w:rPr>
        <w:tab/>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Prospectus</w:t>
      </w:r>
      <w:r>
        <w:rPr>
          <w:rFonts w:ascii="Arial" w:cs="Arial" w:eastAsia="Arial" w:hAnsi="Arial"/>
          <w:sz w:val="18"/>
          <w:szCs w:val="18"/>
          <w:color w:val="auto"/>
        </w:rPr>
        <w:t>” means the document containing the Plan information specified in Section 10(a) of the Securities Act.</w:t>
      </w:r>
    </w:p>
    <w:p>
      <w:pPr>
        <w:spacing w:after="0" w:line="131" w:lineRule="exact"/>
        <w:rPr>
          <w:sz w:val="20"/>
          <w:szCs w:val="20"/>
          <w:color w:val="auto"/>
        </w:rPr>
      </w:pPr>
    </w:p>
    <w:p>
      <w:pPr>
        <w:ind w:left="540" w:hanging="539"/>
        <w:spacing w:after="0" w:line="282" w:lineRule="auto"/>
        <w:tabs>
          <w:tab w:leader="none" w:pos="520" w:val="left"/>
        </w:tabs>
        <w:rPr>
          <w:sz w:val="20"/>
          <w:szCs w:val="20"/>
          <w:color w:val="auto"/>
        </w:rPr>
      </w:pPr>
      <w:r>
        <w:rPr>
          <w:rFonts w:ascii="Arial" w:cs="Arial" w:eastAsia="Arial" w:hAnsi="Arial"/>
          <w:sz w:val="18"/>
          <w:szCs w:val="18"/>
          <w:color w:val="auto"/>
        </w:rPr>
        <w:t>(ba)</w:t>
      </w:r>
      <w:r>
        <w:rPr>
          <w:sz w:val="20"/>
          <w:szCs w:val="20"/>
          <w:color w:val="auto"/>
        </w:rPr>
        <w:tab/>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Restricted Stock Award</w:t>
      </w:r>
      <w:r>
        <w:rPr>
          <w:rFonts w:ascii="Arial" w:cs="Arial" w:eastAsia="Arial" w:hAnsi="Arial"/>
          <w:sz w:val="18"/>
          <w:szCs w:val="18"/>
          <w:color w:val="auto"/>
        </w:rPr>
        <w:t>” or “</w:t>
      </w:r>
      <w:r>
        <w:rPr>
          <w:rFonts w:ascii="Arial" w:cs="Arial" w:eastAsia="Arial" w:hAnsi="Arial"/>
          <w:sz w:val="18"/>
          <w:szCs w:val="18"/>
          <w:b w:val="1"/>
          <w:bCs w:val="1"/>
          <w:i w:val="1"/>
          <w:iCs w:val="1"/>
          <w:color w:val="auto"/>
        </w:rPr>
        <w:t>RSA</w:t>
      </w:r>
      <w:r>
        <w:rPr>
          <w:rFonts w:ascii="Arial" w:cs="Arial" w:eastAsia="Arial" w:hAnsi="Arial"/>
          <w:sz w:val="18"/>
          <w:szCs w:val="18"/>
          <w:color w:val="auto"/>
        </w:rPr>
        <w:t>” means an Award of shares of Common Stock which is granted pursuant to the terms and conditions of</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5(a).</w:t>
      </w:r>
    </w:p>
    <w:p>
      <w:pPr>
        <w:spacing w:after="0" w:line="67" w:lineRule="exact"/>
        <w:rPr>
          <w:sz w:val="20"/>
          <w:szCs w:val="20"/>
          <w:color w:val="auto"/>
        </w:rPr>
      </w:pPr>
    </w:p>
    <w:p>
      <w:pPr>
        <w:ind w:left="540" w:right="80" w:hanging="532"/>
        <w:spacing w:after="0" w:line="258" w:lineRule="auto"/>
        <w:tabs>
          <w:tab w:leader="none" w:pos="540" w:val="left"/>
        </w:tabs>
        <w:numPr>
          <w:ilvl w:val="0"/>
          <w:numId w:val="125"/>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Restricted Stock Award Agreement</w:t>
      </w:r>
      <w:r>
        <w:rPr>
          <w:rFonts w:ascii="Arial" w:cs="Arial" w:eastAsia="Arial" w:hAnsi="Arial"/>
          <w:sz w:val="18"/>
          <w:szCs w:val="18"/>
          <w:color w:val="auto"/>
        </w:rPr>
        <w:t>” means a written agreement between the Company and a holder of a Restricted Stock Award</w:t>
      </w:r>
      <w:r>
        <w:rPr>
          <w:rFonts w:ascii="Arial" w:cs="Arial" w:eastAsia="Arial" w:hAnsi="Arial"/>
          <w:sz w:val="18"/>
          <w:szCs w:val="18"/>
          <w:b w:val="1"/>
          <w:bCs w:val="1"/>
          <w:color w:val="auto"/>
        </w:rPr>
        <w:t xml:space="preserve"> </w:t>
      </w:r>
      <w:r>
        <w:rPr>
          <w:rFonts w:ascii="Arial" w:cs="Arial" w:eastAsia="Arial" w:hAnsi="Arial"/>
          <w:sz w:val="18"/>
          <w:szCs w:val="18"/>
          <w:color w:val="auto"/>
        </w:rPr>
        <w:t>evidencing the terms and conditions of a Restricted Stock Award grant. The Restricted Stock Award Agreement includes the Grant Notice for the Restricted Stock Award and the agreement containing the written summary of the general terms and conditions applicable to the Restricted Stock Award and which is provided to a Participant along with the Grant Notice. Each Restricted Stock Award Agreement will be subject to the terms and conditions of the Plan.</w:t>
      </w:r>
    </w:p>
    <w:p>
      <w:pPr>
        <w:spacing w:after="0" w:line="89" w:lineRule="exact"/>
        <w:rPr>
          <w:sz w:val="20"/>
          <w:szCs w:val="20"/>
          <w:color w:val="auto"/>
        </w:rPr>
      </w:pPr>
    </w:p>
    <w:p>
      <w:pPr>
        <w:ind w:left="540" w:hanging="539"/>
        <w:spacing w:after="0" w:line="282" w:lineRule="auto"/>
        <w:tabs>
          <w:tab w:leader="none" w:pos="520" w:val="left"/>
        </w:tabs>
        <w:rPr>
          <w:sz w:val="20"/>
          <w:szCs w:val="20"/>
          <w:color w:val="auto"/>
        </w:rPr>
      </w:pPr>
      <w:r>
        <w:rPr>
          <w:rFonts w:ascii="Arial" w:cs="Arial" w:eastAsia="Arial" w:hAnsi="Arial"/>
          <w:sz w:val="18"/>
          <w:szCs w:val="18"/>
          <w:color w:val="auto"/>
        </w:rPr>
        <w:t>(bc)</w:t>
      </w:r>
      <w:r>
        <w:rPr>
          <w:sz w:val="20"/>
          <w:szCs w:val="20"/>
          <w:color w:val="auto"/>
        </w:rPr>
        <w:tab/>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RSU Award</w:t>
      </w:r>
      <w:r>
        <w:rPr>
          <w:rFonts w:ascii="Arial" w:cs="Arial" w:eastAsia="Arial" w:hAnsi="Arial"/>
          <w:sz w:val="18"/>
          <w:szCs w:val="18"/>
          <w:color w:val="auto"/>
        </w:rPr>
        <w:t>” or “</w:t>
      </w:r>
      <w:r>
        <w:rPr>
          <w:rFonts w:ascii="Arial" w:cs="Arial" w:eastAsia="Arial" w:hAnsi="Arial"/>
          <w:sz w:val="18"/>
          <w:szCs w:val="18"/>
          <w:b w:val="1"/>
          <w:bCs w:val="1"/>
          <w:i w:val="1"/>
          <w:iCs w:val="1"/>
          <w:color w:val="auto"/>
        </w:rPr>
        <w:t>RSU</w:t>
      </w:r>
      <w:r>
        <w:rPr>
          <w:rFonts w:ascii="Arial" w:cs="Arial" w:eastAsia="Arial" w:hAnsi="Arial"/>
          <w:sz w:val="18"/>
          <w:szCs w:val="18"/>
          <w:color w:val="auto"/>
        </w:rPr>
        <w:t>” means an Award of restricted stock units representing the right to receive an issuance of shares of Common Stock</w:t>
      </w:r>
      <w:r>
        <w:rPr>
          <w:rFonts w:ascii="Arial" w:cs="Arial" w:eastAsia="Arial" w:hAnsi="Arial"/>
          <w:sz w:val="18"/>
          <w:szCs w:val="18"/>
          <w:b w:val="1"/>
          <w:bCs w:val="1"/>
          <w:color w:val="auto"/>
        </w:rPr>
        <w:t xml:space="preserve"> </w:t>
      </w:r>
      <w:r>
        <w:rPr>
          <w:rFonts w:ascii="Arial" w:cs="Arial" w:eastAsia="Arial" w:hAnsi="Arial"/>
          <w:sz w:val="18"/>
          <w:szCs w:val="18"/>
          <w:color w:val="auto"/>
        </w:rPr>
        <w:t>which is granted pursuant to the terms and conditions of Section 5(a).</w:t>
      </w:r>
    </w:p>
    <w:p>
      <w:pPr>
        <w:spacing w:after="0" w:line="67" w:lineRule="exact"/>
        <w:rPr>
          <w:sz w:val="20"/>
          <w:szCs w:val="20"/>
          <w:color w:val="auto"/>
        </w:rPr>
      </w:pPr>
    </w:p>
    <w:p>
      <w:pPr>
        <w:ind w:left="540" w:hanging="539"/>
        <w:spacing w:after="0" w:line="281" w:lineRule="auto"/>
        <w:tabs>
          <w:tab w:leader="none" w:pos="520" w:val="left"/>
        </w:tabs>
        <w:rPr>
          <w:sz w:val="20"/>
          <w:szCs w:val="20"/>
          <w:color w:val="auto"/>
        </w:rPr>
      </w:pPr>
      <w:r>
        <w:rPr>
          <w:rFonts w:ascii="Arial" w:cs="Arial" w:eastAsia="Arial" w:hAnsi="Arial"/>
          <w:sz w:val="17"/>
          <w:szCs w:val="17"/>
          <w:color w:val="auto"/>
        </w:rPr>
        <w:t>(bd)</w:t>
      </w:r>
      <w:r>
        <w:rPr>
          <w:sz w:val="20"/>
          <w:szCs w:val="20"/>
          <w:color w:val="auto"/>
        </w:rPr>
        <w:tab/>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RSU Award Agreement</w:t>
      </w:r>
      <w:r>
        <w:rPr>
          <w:rFonts w:ascii="Arial" w:cs="Arial" w:eastAsia="Arial" w:hAnsi="Arial"/>
          <w:sz w:val="17"/>
          <w:szCs w:val="17"/>
          <w:color w:val="auto"/>
        </w:rPr>
        <w:t>” means a written agreement between the Company and a holder of a RSU Award evidencing the terms and</w:t>
      </w:r>
      <w:r>
        <w:rPr>
          <w:rFonts w:ascii="Arial" w:cs="Arial" w:eastAsia="Arial" w:hAnsi="Arial"/>
          <w:sz w:val="17"/>
          <w:szCs w:val="17"/>
          <w:b w:val="1"/>
          <w:bCs w:val="1"/>
          <w:color w:val="auto"/>
        </w:rPr>
        <w:t xml:space="preserve"> </w:t>
      </w:r>
      <w:r>
        <w:rPr>
          <w:rFonts w:ascii="Arial" w:cs="Arial" w:eastAsia="Arial" w:hAnsi="Arial"/>
          <w:sz w:val="17"/>
          <w:szCs w:val="17"/>
          <w:color w:val="auto"/>
        </w:rPr>
        <w:t>conditions of a RSU Award grant. The RSU Award Agreement includes the Grant Notice for the RSU Award and the agreement containing the written summary of the general terms and conditions applicable to the RSU Award and which is provided to a Participant along with the Grant Notice. Each RSU Award Agreement will be subject to the terms and conditions of the Plan.</w:t>
      </w:r>
    </w:p>
    <w:p>
      <w:pPr>
        <w:spacing w:after="0" w:line="70" w:lineRule="exact"/>
        <w:rPr>
          <w:sz w:val="20"/>
          <w:szCs w:val="20"/>
          <w:color w:val="auto"/>
        </w:rPr>
      </w:pPr>
    </w:p>
    <w:p>
      <w:pPr>
        <w:spacing w:after="0"/>
        <w:tabs>
          <w:tab w:leader="none" w:pos="520" w:val="left"/>
        </w:tabs>
        <w:rPr>
          <w:sz w:val="20"/>
          <w:szCs w:val="20"/>
          <w:color w:val="auto"/>
        </w:rPr>
      </w:pPr>
      <w:r>
        <w:rPr>
          <w:rFonts w:ascii="Arial" w:cs="Arial" w:eastAsia="Arial" w:hAnsi="Arial"/>
          <w:sz w:val="17"/>
          <w:szCs w:val="17"/>
          <w:color w:val="auto"/>
        </w:rPr>
        <w:t>(be)</w:t>
      </w:r>
      <w:r>
        <w:rPr>
          <w:sz w:val="20"/>
          <w:szCs w:val="20"/>
          <w:color w:val="auto"/>
        </w:rPr>
        <w:tab/>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Rule 16b-3</w:t>
      </w:r>
      <w:r>
        <w:rPr>
          <w:rFonts w:ascii="Arial" w:cs="Arial" w:eastAsia="Arial" w:hAnsi="Arial"/>
          <w:sz w:val="17"/>
          <w:szCs w:val="17"/>
          <w:color w:val="auto"/>
        </w:rPr>
        <w:t>” means Rule 16b-3 promulgated under the Exchange Act or any successor to Rule 16b-3, as in effect from time to time.</w:t>
      </w:r>
    </w:p>
    <w:p>
      <w:pPr>
        <w:spacing w:after="0" w:line="14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(bf)</w:t>
      </w:r>
      <w:r>
        <w:rPr>
          <w:sz w:val="20"/>
          <w:szCs w:val="20"/>
          <w:color w:val="auto"/>
        </w:rPr>
        <w:tab/>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Rule 405</w:t>
      </w:r>
      <w:r>
        <w:rPr>
          <w:rFonts w:ascii="Arial" w:cs="Arial" w:eastAsia="Arial" w:hAnsi="Arial"/>
          <w:sz w:val="18"/>
          <w:szCs w:val="18"/>
          <w:color w:val="auto"/>
        </w:rPr>
        <w:t>” means Rule 405 promulgated under the Securities Act.</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(bg)</w:t>
      </w:r>
      <w:r>
        <w:rPr>
          <w:sz w:val="20"/>
          <w:szCs w:val="20"/>
          <w:color w:val="auto"/>
        </w:rPr>
        <w:tab/>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Section 409A</w:t>
      </w:r>
      <w:r>
        <w:rPr>
          <w:rFonts w:ascii="Arial" w:cs="Arial" w:eastAsia="Arial" w:hAnsi="Arial"/>
          <w:sz w:val="18"/>
          <w:szCs w:val="18"/>
          <w:color w:val="auto"/>
        </w:rPr>
        <w:t>” means Section 409A of the Code and the regulations and other guidance thereunder.</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7"/>
          <w:szCs w:val="17"/>
          <w:color w:val="auto"/>
        </w:rPr>
        <w:t>(bh)</w:t>
      </w:r>
      <w:r>
        <w:rPr>
          <w:sz w:val="20"/>
          <w:szCs w:val="20"/>
          <w:color w:val="auto"/>
        </w:rPr>
        <w:tab/>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Section 409A Change in Control</w:t>
      </w:r>
      <w:r>
        <w:rPr>
          <w:rFonts w:ascii="Arial" w:cs="Arial" w:eastAsia="Arial" w:hAnsi="Arial"/>
          <w:sz w:val="17"/>
          <w:szCs w:val="17"/>
          <w:color w:val="auto"/>
        </w:rPr>
        <w:t>” means a change in the ownership or effective control of the Company, or in the ownership of a</w:t>
      </w:r>
    </w:p>
    <w:p>
      <w:pPr>
        <w:spacing w:after="0" w:line="39" w:lineRule="exact"/>
        <w:rPr>
          <w:sz w:val="20"/>
          <w:szCs w:val="20"/>
          <w:color w:val="auto"/>
        </w:rPr>
      </w:pPr>
    </w:p>
    <w:p>
      <w:pPr>
        <w:ind w:left="540" w:right="1100"/>
        <w:spacing w:after="0" w:line="260" w:lineRule="auto"/>
        <w:rPr>
          <w:sz w:val="20"/>
          <w:szCs w:val="20"/>
          <w:color w:val="auto"/>
        </w:rPr>
      </w:pPr>
      <w:r>
        <w:rPr>
          <w:rFonts w:ascii="Arial" w:cs="Arial" w:eastAsia="Arial" w:hAnsi="Arial"/>
          <w:sz w:val="18"/>
          <w:szCs w:val="18"/>
          <w:color w:val="auto"/>
        </w:rPr>
        <w:t>substantial portion of the Company’s assets, as provided in Section 409A(a)(2)(A)(v) of the Code and Treasury Regulations Section 1.409A-3(i)(5) (without regard to any alternative definition thereunder).</w:t>
      </w:r>
    </w:p>
    <w:p>
      <w:pPr>
        <w:spacing w:after="0" w:line="8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(bi)</w:t>
      </w:r>
      <w:r>
        <w:rPr>
          <w:sz w:val="20"/>
          <w:szCs w:val="20"/>
          <w:color w:val="auto"/>
        </w:rPr>
        <w:tab/>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162"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560"/>
          </w:cols>
          <w:pgMar w:left="860" w:top="270" w:right="479" w:bottom="1440" w:gutter="0" w:footer="0" w:header="0"/>
        </w:sectPr>
      </w:pPr>
    </w:p>
    <w:bookmarkStart w:id="84" w:name="page85"/>
    <w:bookmarkEnd w:id="84"/>
    <w:p>
      <w:pPr>
        <w:spacing w:after="0"/>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(bj)</w:t>
      </w:r>
      <w:r>
        <w:rPr>
          <w:sz w:val="20"/>
          <w:szCs w:val="20"/>
          <w:color w:val="auto"/>
        </w:rPr>
        <w:tab/>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Share Reserve</w:t>
      </w:r>
      <w:r>
        <w:rPr>
          <w:rFonts w:ascii="Arial" w:cs="Arial" w:eastAsia="Arial" w:hAnsi="Arial"/>
          <w:sz w:val="18"/>
          <w:szCs w:val="18"/>
          <w:color w:val="auto"/>
        </w:rPr>
        <w:t>” means the number of shares available for issuance under the Plan as set forth in Section 2(a).</w:t>
      </w:r>
    </w:p>
    <w:p>
      <w:pPr>
        <w:spacing w:after="0" w:line="131" w:lineRule="exact"/>
        <w:rPr>
          <w:sz w:val="20"/>
          <w:szCs w:val="20"/>
          <w:color w:val="auto"/>
        </w:rPr>
      </w:pPr>
    </w:p>
    <w:p>
      <w:pPr>
        <w:ind w:left="540" w:right="260" w:hanging="539"/>
        <w:spacing w:after="0" w:line="282" w:lineRule="auto"/>
        <w:tabs>
          <w:tab w:leader="none" w:pos="520" w:val="left"/>
        </w:tabs>
        <w:rPr>
          <w:sz w:val="20"/>
          <w:szCs w:val="20"/>
          <w:color w:val="auto"/>
        </w:rPr>
      </w:pPr>
      <w:r>
        <w:rPr>
          <w:rFonts w:ascii="Arial" w:cs="Arial" w:eastAsia="Arial" w:hAnsi="Arial"/>
          <w:sz w:val="18"/>
          <w:szCs w:val="18"/>
          <w:color w:val="auto"/>
        </w:rPr>
        <w:t>(bk)</w:t>
      </w:r>
      <w:r>
        <w:rPr>
          <w:sz w:val="20"/>
          <w:szCs w:val="20"/>
          <w:color w:val="auto"/>
        </w:rPr>
        <w:tab/>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Stock Appreciation Right</w:t>
      </w:r>
      <w:r>
        <w:rPr>
          <w:rFonts w:ascii="Arial" w:cs="Arial" w:eastAsia="Arial" w:hAnsi="Arial"/>
          <w:sz w:val="18"/>
          <w:szCs w:val="18"/>
          <w:color w:val="auto"/>
        </w:rPr>
        <w:t>” or “</w:t>
      </w:r>
      <w:r>
        <w:rPr>
          <w:rFonts w:ascii="Arial" w:cs="Arial" w:eastAsia="Arial" w:hAnsi="Arial"/>
          <w:sz w:val="18"/>
          <w:szCs w:val="18"/>
          <w:b w:val="1"/>
          <w:bCs w:val="1"/>
          <w:i w:val="1"/>
          <w:iCs w:val="1"/>
          <w:color w:val="auto"/>
        </w:rPr>
        <w:t>SAR</w:t>
      </w:r>
      <w:r>
        <w:rPr>
          <w:rFonts w:ascii="Arial" w:cs="Arial" w:eastAsia="Arial" w:hAnsi="Arial"/>
          <w:sz w:val="18"/>
          <w:szCs w:val="18"/>
          <w:color w:val="auto"/>
        </w:rPr>
        <w:t>” means a right to receive the appreciation on Common Stock that is granted pursuant to the terms</w:t>
      </w:r>
      <w:r>
        <w:rPr>
          <w:rFonts w:ascii="Arial" w:cs="Arial" w:eastAsia="Arial" w:hAnsi="Arial"/>
          <w:sz w:val="18"/>
          <w:szCs w:val="18"/>
          <w:b w:val="1"/>
          <w:bCs w:val="1"/>
          <w:color w:val="auto"/>
        </w:rPr>
        <w:t xml:space="preserve"> </w:t>
      </w:r>
      <w:r>
        <w:rPr>
          <w:rFonts w:ascii="Arial" w:cs="Arial" w:eastAsia="Arial" w:hAnsi="Arial"/>
          <w:sz w:val="18"/>
          <w:szCs w:val="18"/>
          <w:color w:val="auto"/>
        </w:rPr>
        <w:t>and conditions of Section 4.</w:t>
      </w:r>
    </w:p>
    <w:p>
      <w:pPr>
        <w:spacing w:after="0" w:line="71" w:lineRule="exact"/>
        <w:rPr>
          <w:sz w:val="20"/>
          <w:szCs w:val="20"/>
          <w:color w:val="auto"/>
        </w:rPr>
      </w:pPr>
    </w:p>
    <w:p>
      <w:pPr>
        <w:ind w:left="540" w:hanging="539"/>
        <w:spacing w:after="0" w:line="259" w:lineRule="auto"/>
        <w:tabs>
          <w:tab w:leader="none" w:pos="520" w:val="left"/>
        </w:tabs>
        <w:rPr>
          <w:sz w:val="20"/>
          <w:szCs w:val="20"/>
          <w:color w:val="auto"/>
        </w:rPr>
      </w:pPr>
      <w:r>
        <w:rPr>
          <w:rFonts w:ascii="Arial" w:cs="Arial" w:eastAsia="Arial" w:hAnsi="Arial"/>
          <w:sz w:val="18"/>
          <w:szCs w:val="18"/>
          <w:color w:val="auto"/>
        </w:rPr>
        <w:t>(bl)</w:t>
      </w:r>
      <w:r>
        <w:rPr>
          <w:sz w:val="20"/>
          <w:szCs w:val="20"/>
          <w:color w:val="auto"/>
        </w:rPr>
        <w:tab/>
      </w:r>
      <w:r>
        <w:rPr>
          <w:rFonts w:ascii="Arial" w:cs="Arial" w:eastAsia="Arial" w:hAnsi="Arial"/>
          <w:sz w:val="18"/>
          <w:szCs w:val="18"/>
          <w:b w:val="1"/>
          <w:bCs w:val="1"/>
          <w:i w:val="1"/>
          <w:iCs w:val="1"/>
          <w:color w:val="auto"/>
        </w:rPr>
        <w:t>“SAR Agreement</w:t>
      </w:r>
      <w:r>
        <w:rPr>
          <w:rFonts w:ascii="Arial" w:cs="Arial" w:eastAsia="Arial" w:hAnsi="Arial"/>
          <w:sz w:val="18"/>
          <w:szCs w:val="18"/>
          <w:color w:val="auto"/>
        </w:rPr>
        <w:t>” means a written agreement between the Company and a holder of a SAR evidencing the terms and conditions of a SAR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grant. The SAR Agreement includes the Grant Notice for the SAR and the agreement containing the written summary of the general terms and conditions applicable to the SAR and which is provided to a Participant along with the Grant Notice. Each SAR Agreement will be subject to the terms and conditions of the Plan.</w:t>
      </w:r>
    </w:p>
    <w:p>
      <w:pPr>
        <w:spacing w:after="0" w:line="88" w:lineRule="exact"/>
        <w:rPr>
          <w:sz w:val="20"/>
          <w:szCs w:val="20"/>
          <w:color w:val="auto"/>
        </w:rPr>
      </w:pPr>
    </w:p>
    <w:p>
      <w:pPr>
        <w:ind w:left="540" w:right="220" w:hanging="539"/>
        <w:spacing w:after="0" w:line="256" w:lineRule="auto"/>
        <w:tabs>
          <w:tab w:leader="none" w:pos="520" w:val="left"/>
        </w:tabs>
        <w:rPr>
          <w:sz w:val="20"/>
          <w:szCs w:val="20"/>
          <w:color w:val="auto"/>
        </w:rPr>
      </w:pPr>
      <w:r>
        <w:rPr>
          <w:rFonts w:ascii="Arial" w:cs="Arial" w:eastAsia="Arial" w:hAnsi="Arial"/>
          <w:sz w:val="18"/>
          <w:szCs w:val="18"/>
          <w:color w:val="auto"/>
        </w:rPr>
        <w:t>(bm)</w:t>
      </w:r>
      <w:r>
        <w:rPr>
          <w:sz w:val="20"/>
          <w:szCs w:val="20"/>
          <w:color w:val="auto"/>
        </w:rPr>
        <w:tab/>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with respect to the Company, (i) any corporation of which more than 50% of the outstanding capital stock having</w:t>
      </w:r>
      <w:r>
        <w:rPr>
          <w:rFonts w:ascii="Arial" w:cs="Arial" w:eastAsia="Arial" w:hAnsi="Arial"/>
          <w:sz w:val="18"/>
          <w:szCs w:val="18"/>
          <w:b w:val="1"/>
          <w:bCs w:val="1"/>
          <w:color w:val="auto"/>
        </w:rPr>
        <w:t xml:space="preserve"> </w:t>
      </w:r>
      <w:r>
        <w:rPr>
          <w:rFonts w:ascii="Arial" w:cs="Arial" w:eastAsia="Arial" w:hAnsi="Arial"/>
          <w:sz w:val="18"/>
          <w:szCs w:val="18"/>
          <w:color w:val="auto"/>
        </w:rPr>
        <w:t>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w:t>
      </w:r>
    </w:p>
    <w:p>
      <w:pPr>
        <w:spacing w:after="0" w:line="93" w:lineRule="exact"/>
        <w:rPr>
          <w:sz w:val="20"/>
          <w:szCs w:val="20"/>
          <w:color w:val="auto"/>
        </w:rPr>
      </w:pPr>
    </w:p>
    <w:p>
      <w:pPr>
        <w:ind w:left="540" w:right="80" w:hanging="539"/>
        <w:spacing w:after="0" w:line="347" w:lineRule="auto"/>
        <w:tabs>
          <w:tab w:leader="none" w:pos="520" w:val="left"/>
        </w:tabs>
        <w:rPr>
          <w:sz w:val="20"/>
          <w:szCs w:val="20"/>
          <w:color w:val="auto"/>
        </w:rPr>
      </w:pPr>
      <w:r>
        <w:rPr>
          <w:rFonts w:ascii="Arial" w:cs="Arial" w:eastAsia="Arial" w:hAnsi="Arial"/>
          <w:sz w:val="16"/>
          <w:szCs w:val="16"/>
          <w:color w:val="auto"/>
        </w:rPr>
        <w:t>(bn)</w:t>
      </w:r>
      <w:r>
        <w:rPr>
          <w:sz w:val="20"/>
          <w:szCs w:val="20"/>
          <w:color w:val="auto"/>
        </w:rPr>
        <w:tab/>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Trading Policy</w:t>
      </w:r>
      <w:r>
        <w:rPr>
          <w:rFonts w:ascii="Arial" w:cs="Arial" w:eastAsia="Arial" w:hAnsi="Arial"/>
          <w:sz w:val="16"/>
          <w:szCs w:val="16"/>
          <w:color w:val="auto"/>
        </w:rPr>
        <w:t>” means the Company’s policy permitting certain individuals to sell Company shares only during certain “window”</w:t>
      </w:r>
      <w:r>
        <w:rPr>
          <w:rFonts w:ascii="Arial" w:cs="Arial" w:eastAsia="Arial" w:hAnsi="Arial"/>
          <w:sz w:val="16"/>
          <w:szCs w:val="16"/>
          <w:b w:val="1"/>
          <w:bCs w:val="1"/>
          <w:color w:val="auto"/>
        </w:rPr>
        <w:t xml:space="preserve"> </w:t>
      </w:r>
      <w:r>
        <w:rPr>
          <w:rFonts w:ascii="Arial" w:cs="Arial" w:eastAsia="Arial" w:hAnsi="Arial"/>
          <w:sz w:val="16"/>
          <w:szCs w:val="16"/>
          <w:color w:val="auto"/>
        </w:rPr>
        <w:t>periods and/or otherwise restricts the ability of certain individuals to transfer or encumber Company shares, as in effect from time to time.</w:t>
      </w:r>
    </w:p>
    <w:p>
      <w:pPr>
        <w:spacing w:after="0" w:line="2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(bo)</w:t>
      </w:r>
      <w:r>
        <w:rPr>
          <w:sz w:val="20"/>
          <w:szCs w:val="20"/>
          <w:color w:val="auto"/>
        </w:rPr>
        <w:tab/>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Transaction</w:t>
      </w:r>
      <w:r>
        <w:rPr>
          <w:rFonts w:ascii="Arial" w:cs="Arial" w:eastAsia="Arial" w:hAnsi="Arial"/>
          <w:sz w:val="18"/>
          <w:szCs w:val="18"/>
          <w:color w:val="auto"/>
        </w:rPr>
        <w:t>” means a Corporate Transaction or Change in Control.</w:t>
      </w:r>
    </w:p>
    <w:p>
      <w:pPr>
        <w:spacing w:after="0" w:line="131" w:lineRule="exact"/>
        <w:rPr>
          <w:sz w:val="20"/>
          <w:szCs w:val="20"/>
          <w:color w:val="auto"/>
        </w:rPr>
      </w:pPr>
    </w:p>
    <w:p>
      <w:pPr>
        <w:ind w:left="540" w:right="260" w:hanging="539"/>
        <w:spacing w:after="0" w:line="282" w:lineRule="auto"/>
        <w:tabs>
          <w:tab w:leader="none" w:pos="520" w:val="left"/>
        </w:tabs>
        <w:rPr>
          <w:sz w:val="20"/>
          <w:szCs w:val="20"/>
          <w:color w:val="auto"/>
        </w:rPr>
      </w:pPr>
      <w:r>
        <w:rPr>
          <w:rFonts w:ascii="Arial" w:cs="Arial" w:eastAsia="Arial" w:hAnsi="Arial"/>
          <w:sz w:val="18"/>
          <w:szCs w:val="18"/>
          <w:color w:val="auto"/>
        </w:rPr>
        <w:t>(bp)</w:t>
      </w:r>
      <w:r>
        <w:rPr>
          <w:sz w:val="20"/>
          <w:szCs w:val="20"/>
          <w:color w:val="auto"/>
        </w:rPr>
        <w:tab/>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Unvested Non-Exempt Award</w:t>
      </w:r>
      <w:r>
        <w:rPr>
          <w:rFonts w:ascii="Arial" w:cs="Arial" w:eastAsia="Arial" w:hAnsi="Arial"/>
          <w:sz w:val="18"/>
          <w:szCs w:val="18"/>
          <w:color w:val="auto"/>
        </w:rPr>
        <w:t>” means the portion of any Non-Exempt Award that had not vested in accordance with its terms upon or</w:t>
      </w:r>
      <w:r>
        <w:rPr>
          <w:rFonts w:ascii="Arial" w:cs="Arial" w:eastAsia="Arial" w:hAnsi="Arial"/>
          <w:sz w:val="18"/>
          <w:szCs w:val="18"/>
          <w:b w:val="1"/>
          <w:bCs w:val="1"/>
          <w:color w:val="auto"/>
        </w:rPr>
        <w:t xml:space="preserve"> </w:t>
      </w:r>
      <w:r>
        <w:rPr>
          <w:rFonts w:ascii="Arial" w:cs="Arial" w:eastAsia="Arial" w:hAnsi="Arial"/>
          <w:sz w:val="18"/>
          <w:szCs w:val="18"/>
          <w:color w:val="auto"/>
        </w:rPr>
        <w:t>prior to the date of any Transaction.</w:t>
      </w:r>
    </w:p>
    <w:p>
      <w:pPr>
        <w:spacing w:after="0" w:line="67" w:lineRule="exact"/>
        <w:rPr>
          <w:sz w:val="20"/>
          <w:szCs w:val="20"/>
          <w:color w:val="auto"/>
        </w:rPr>
      </w:pPr>
    </w:p>
    <w:p>
      <w:pPr>
        <w:ind w:left="540" w:right="160" w:hanging="539"/>
        <w:spacing w:after="0" w:line="282" w:lineRule="auto"/>
        <w:tabs>
          <w:tab w:leader="none" w:pos="520" w:val="left"/>
        </w:tabs>
        <w:rPr>
          <w:sz w:val="20"/>
          <w:szCs w:val="20"/>
          <w:color w:val="auto"/>
        </w:rPr>
      </w:pPr>
      <w:r>
        <w:rPr>
          <w:rFonts w:ascii="Arial" w:cs="Arial" w:eastAsia="Arial" w:hAnsi="Arial"/>
          <w:sz w:val="18"/>
          <w:szCs w:val="18"/>
          <w:color w:val="auto"/>
        </w:rPr>
        <w:t>(bq)</w:t>
      </w:r>
      <w:r>
        <w:rPr>
          <w:sz w:val="20"/>
          <w:szCs w:val="20"/>
          <w:color w:val="auto"/>
        </w:rPr>
        <w:tab/>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Vested Non-Exempt Award</w:t>
      </w:r>
      <w:r>
        <w:rPr>
          <w:rFonts w:ascii="Arial" w:cs="Arial" w:eastAsia="Arial" w:hAnsi="Arial"/>
          <w:sz w:val="18"/>
          <w:szCs w:val="18"/>
          <w:color w:val="auto"/>
        </w:rPr>
        <w:t>” means the portion of any Non-Exempt Award that had vested in accordance with its terms upon or prior to</w:t>
      </w:r>
      <w:r>
        <w:rPr>
          <w:rFonts w:ascii="Arial" w:cs="Arial" w:eastAsia="Arial" w:hAnsi="Arial"/>
          <w:sz w:val="18"/>
          <w:szCs w:val="18"/>
          <w:b w:val="1"/>
          <w:bCs w:val="1"/>
          <w:color w:val="auto"/>
        </w:rPr>
        <w:t xml:space="preserve"> </w:t>
      </w:r>
      <w:r>
        <w:rPr>
          <w:rFonts w:ascii="Arial" w:cs="Arial" w:eastAsia="Arial" w:hAnsi="Arial"/>
          <w:sz w:val="18"/>
          <w:szCs w:val="18"/>
          <w:color w:val="auto"/>
        </w:rPr>
        <w:t>the date of a Transaction.</w:t>
      </w:r>
    </w:p>
    <w:p>
      <w:pPr>
        <w:spacing w:after="0" w:line="9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560"/>
          </w:cols>
          <w:pgMar w:left="860" w:top="270" w:right="47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Calculation of Filing Fee Tables</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Form S-8</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(Form Type)</w:t>
      </w:r>
    </w:p>
    <w:p>
      <w:pPr>
        <w:spacing w:after="0" w:line="200" w:lineRule="exact"/>
        <w:rPr>
          <w:sz w:val="20"/>
          <w:szCs w:val="20"/>
          <w:color w:val="auto"/>
        </w:rPr>
      </w:pPr>
    </w:p>
    <w:p>
      <w:pPr>
        <w:spacing w:after="0" w:line="223"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Viatris Inc.</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(Exact Name of Registrant as Specified in its Charter)</w:t>
      </w:r>
    </w:p>
    <w:p>
      <w:pPr>
        <w:spacing w:after="0" w:line="211"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Table 1: Newly Registered Securities</w:t>
      </w:r>
    </w:p>
    <w:p>
      <w:pPr>
        <w:spacing w:after="0" w:line="246" w:lineRule="exact"/>
        <w:rPr>
          <w:sz w:val="20"/>
          <w:szCs w:val="20"/>
          <w:color w:val="auto"/>
        </w:rPr>
      </w:pPr>
    </w:p>
    <w:tbl>
      <w:tblPr>
        <w:tblLayout w:type="fixed"/>
        <w:tblInd w:w="1154" w:type="dxa"/>
        <w:tblCellMar>
          <w:top w:w="0" w:type="dxa"/>
          <w:left w:w="0" w:type="dxa"/>
          <w:bottom w:w="0" w:type="dxa"/>
          <w:right w:w="0" w:type="dxa"/>
        </w:tblCellMar>
      </w:tblPr>
      <w:tr>
        <w:trPr>
          <w:trHeight w:val="148"/>
        </w:trPr>
        <w:tc>
          <w:tcPr>
            <w:tcW w:w="660" w:type="dxa"/>
            <w:vAlign w:val="bottom"/>
            <w:tcBorders>
              <w:top w:val="single" w:sz="8" w:color="auto"/>
              <w:left w:val="single" w:sz="8" w:color="auto"/>
              <w:right w:val="single" w:sz="8" w:color="auto"/>
            </w:tcBorders>
          </w:tcPr>
          <w:p>
            <w:pPr>
              <w:spacing w:after="0"/>
              <w:rPr>
                <w:sz w:val="12"/>
                <w:szCs w:val="12"/>
                <w:color w:val="auto"/>
              </w:rPr>
            </w:pPr>
          </w:p>
        </w:tc>
        <w:tc>
          <w:tcPr>
            <w:tcW w:w="3100" w:type="dxa"/>
            <w:vAlign w:val="bottom"/>
            <w:tcBorders>
              <w:top w:val="single" w:sz="8" w:color="auto"/>
              <w:right w:val="single" w:sz="8" w:color="auto"/>
            </w:tcBorders>
          </w:tcPr>
          <w:p>
            <w:pPr>
              <w:spacing w:after="0"/>
              <w:rPr>
                <w:sz w:val="12"/>
                <w:szCs w:val="12"/>
                <w:color w:val="auto"/>
              </w:rPr>
            </w:pPr>
          </w:p>
        </w:tc>
        <w:tc>
          <w:tcPr>
            <w:tcW w:w="660" w:type="dxa"/>
            <w:vAlign w:val="bottom"/>
            <w:tcBorders>
              <w:top w:val="single" w:sz="8" w:color="auto"/>
              <w:right w:val="single" w:sz="8" w:color="auto"/>
            </w:tcBorders>
          </w:tcPr>
          <w:p>
            <w:pPr>
              <w:spacing w:after="0"/>
              <w:rPr>
                <w:sz w:val="12"/>
                <w:szCs w:val="12"/>
                <w:color w:val="auto"/>
              </w:rPr>
            </w:pPr>
          </w:p>
        </w:tc>
        <w:tc>
          <w:tcPr>
            <w:tcW w:w="800" w:type="dxa"/>
            <w:vAlign w:val="bottom"/>
            <w:tcBorders>
              <w:top w:val="single" w:sz="8" w:color="auto"/>
              <w:right w:val="single" w:sz="8" w:color="auto"/>
            </w:tcBorders>
          </w:tcPr>
          <w:p>
            <w:pPr>
              <w:spacing w:after="0"/>
              <w:rPr>
                <w:sz w:val="12"/>
                <w:szCs w:val="12"/>
                <w:color w:val="auto"/>
              </w:rPr>
            </w:pPr>
          </w:p>
        </w:tc>
        <w:tc>
          <w:tcPr>
            <w:tcW w:w="600" w:type="dxa"/>
            <w:vAlign w:val="bottom"/>
            <w:tcBorders>
              <w:top w:val="single" w:sz="8" w:color="auto"/>
              <w:right w:val="single" w:sz="8" w:color="auto"/>
            </w:tcBorders>
          </w:tcPr>
          <w:p>
            <w:pPr>
              <w:jc w:val="center"/>
              <w:spacing w:after="0" w:line="148" w:lineRule="exact"/>
              <w:rPr>
                <w:sz w:val="20"/>
                <w:szCs w:val="20"/>
                <w:color w:val="auto"/>
              </w:rPr>
            </w:pPr>
            <w:r>
              <w:rPr>
                <w:rFonts w:ascii="Arial" w:cs="Arial" w:eastAsia="Arial" w:hAnsi="Arial"/>
                <w:sz w:val="13"/>
                <w:szCs w:val="13"/>
                <w:color w:val="auto"/>
                <w:w w:val="82"/>
              </w:rPr>
              <w:t>Proposed</w:t>
            </w:r>
          </w:p>
        </w:tc>
        <w:tc>
          <w:tcPr>
            <w:tcW w:w="1200" w:type="dxa"/>
            <w:vAlign w:val="bottom"/>
            <w:tcBorders>
              <w:top w:val="single" w:sz="8" w:color="auto"/>
              <w:right w:val="single" w:sz="8" w:color="auto"/>
            </w:tcBorders>
          </w:tcPr>
          <w:p>
            <w:pPr>
              <w:spacing w:after="0"/>
              <w:rPr>
                <w:sz w:val="12"/>
                <w:szCs w:val="12"/>
                <w:color w:val="auto"/>
              </w:rPr>
            </w:pPr>
          </w:p>
        </w:tc>
        <w:tc>
          <w:tcPr>
            <w:tcW w:w="920" w:type="dxa"/>
            <w:vAlign w:val="bottom"/>
            <w:tcBorders>
              <w:top w:val="single" w:sz="8" w:color="auto"/>
              <w:right w:val="single" w:sz="8" w:color="auto"/>
            </w:tcBorders>
          </w:tcPr>
          <w:p>
            <w:pPr>
              <w:spacing w:after="0"/>
              <w:rPr>
                <w:sz w:val="12"/>
                <w:szCs w:val="12"/>
                <w:color w:val="auto"/>
              </w:rPr>
            </w:pPr>
          </w:p>
        </w:tc>
        <w:tc>
          <w:tcPr>
            <w:tcW w:w="820" w:type="dxa"/>
            <w:vAlign w:val="bottom"/>
            <w:tcBorders>
              <w:top w:val="single" w:sz="8" w:color="auto"/>
              <w:right w:val="single" w:sz="8" w:color="auto"/>
            </w:tcBorders>
          </w:tcPr>
          <w:p>
            <w:pPr>
              <w:spacing w:after="0"/>
              <w:rPr>
                <w:sz w:val="12"/>
                <w:szCs w:val="12"/>
                <w:color w:val="auto"/>
              </w:rPr>
            </w:pPr>
          </w:p>
        </w:tc>
      </w:tr>
      <w:tr>
        <w:trPr>
          <w:trHeight w:val="135"/>
        </w:trPr>
        <w:tc>
          <w:tcPr>
            <w:tcW w:w="660" w:type="dxa"/>
            <w:vAlign w:val="bottom"/>
            <w:tcBorders>
              <w:left w:val="single" w:sz="8" w:color="auto"/>
              <w:right w:val="single" w:sz="8" w:color="auto"/>
            </w:tcBorders>
          </w:tcPr>
          <w:p>
            <w:pPr>
              <w:spacing w:after="0"/>
              <w:rPr>
                <w:sz w:val="11"/>
                <w:szCs w:val="11"/>
                <w:color w:val="auto"/>
              </w:rPr>
            </w:pPr>
          </w:p>
        </w:tc>
        <w:tc>
          <w:tcPr>
            <w:tcW w:w="31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5"/>
              </w:rPr>
              <w:t>Maximum</w:t>
            </w:r>
          </w:p>
        </w:tc>
        <w:tc>
          <w:tcPr>
            <w:tcW w:w="120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r>
      <w:tr>
        <w:trPr>
          <w:trHeight w:val="135"/>
        </w:trPr>
        <w:tc>
          <w:tcPr>
            <w:tcW w:w="660" w:type="dxa"/>
            <w:vAlign w:val="bottom"/>
            <w:tcBorders>
              <w:left w:val="single" w:sz="8" w:color="auto"/>
              <w:right w:val="single" w:sz="8" w:color="auto"/>
            </w:tcBorders>
          </w:tcPr>
          <w:p>
            <w:pPr>
              <w:spacing w:after="0"/>
              <w:rPr>
                <w:sz w:val="11"/>
                <w:szCs w:val="11"/>
                <w:color w:val="auto"/>
              </w:rPr>
            </w:pPr>
          </w:p>
        </w:tc>
        <w:tc>
          <w:tcPr>
            <w:tcW w:w="31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0"/>
              </w:rPr>
              <w:t>Fee</w:t>
            </w:r>
          </w:p>
        </w:tc>
        <w:tc>
          <w:tcPr>
            <w:tcW w:w="80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0"/>
              </w:rPr>
              <w:t>Offering</w:t>
            </w:r>
          </w:p>
        </w:tc>
        <w:tc>
          <w:tcPr>
            <w:tcW w:w="12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8"/>
              </w:rPr>
              <w:t>Proposed Maximum</w:t>
            </w:r>
          </w:p>
        </w:tc>
        <w:tc>
          <w:tcPr>
            <w:tcW w:w="92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4"/>
              </w:rPr>
              <w:t>Amount of</w:t>
            </w:r>
          </w:p>
        </w:tc>
      </w:tr>
      <w:tr>
        <w:trPr>
          <w:trHeight w:val="135"/>
        </w:trPr>
        <w:tc>
          <w:tcPr>
            <w:tcW w:w="660" w:type="dxa"/>
            <w:vAlign w:val="bottom"/>
            <w:tcBorders>
              <w:left w:val="single" w:sz="8" w:color="auto"/>
              <w:right w:val="single" w:sz="8" w:color="auto"/>
            </w:tcBorders>
          </w:tcPr>
          <w:p>
            <w:pPr>
              <w:jc w:val="center"/>
              <w:ind w:left="48"/>
              <w:spacing w:after="0" w:line="135" w:lineRule="exact"/>
              <w:rPr>
                <w:sz w:val="20"/>
                <w:szCs w:val="20"/>
                <w:color w:val="auto"/>
              </w:rPr>
            </w:pPr>
            <w:r>
              <w:rPr>
                <w:rFonts w:ascii="Arial" w:cs="Arial" w:eastAsia="Arial" w:hAnsi="Arial"/>
                <w:sz w:val="13"/>
                <w:szCs w:val="13"/>
                <w:color w:val="auto"/>
                <w:w w:val="89"/>
              </w:rPr>
              <w:t>Security</w:t>
            </w:r>
          </w:p>
        </w:tc>
        <w:tc>
          <w:tcPr>
            <w:tcW w:w="31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0"/>
              </w:rPr>
              <w:t>Calculation</w:t>
            </w:r>
          </w:p>
        </w:tc>
        <w:tc>
          <w:tcPr>
            <w:tcW w:w="8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Amount</w:t>
            </w:r>
          </w:p>
        </w:tc>
        <w:tc>
          <w:tcPr>
            <w:tcW w:w="6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5"/>
              </w:rPr>
              <w:t>Price Per</w:t>
            </w:r>
          </w:p>
        </w:tc>
        <w:tc>
          <w:tcPr>
            <w:tcW w:w="12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Aggregate Offering</w:t>
            </w:r>
          </w:p>
        </w:tc>
        <w:tc>
          <w:tcPr>
            <w:tcW w:w="92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6"/>
              </w:rPr>
              <w:t>Registration</w:t>
            </w:r>
          </w:p>
        </w:tc>
      </w:tr>
      <w:tr>
        <w:trPr>
          <w:trHeight w:val="161"/>
        </w:trPr>
        <w:tc>
          <w:tcPr>
            <w:tcW w:w="660" w:type="dxa"/>
            <w:vAlign w:val="bottom"/>
            <w:tcBorders>
              <w:left w:val="single" w:sz="8" w:color="auto"/>
              <w:bottom w:val="single" w:sz="8" w:color="auto"/>
              <w:right w:val="single" w:sz="8" w:color="auto"/>
            </w:tcBorders>
          </w:tcPr>
          <w:p>
            <w:pPr>
              <w:jc w:val="center"/>
              <w:ind w:left="48"/>
              <w:spacing w:after="0"/>
              <w:rPr>
                <w:sz w:val="20"/>
                <w:szCs w:val="20"/>
                <w:color w:val="auto"/>
              </w:rPr>
            </w:pPr>
            <w:r>
              <w:rPr>
                <w:rFonts w:ascii="Arial" w:cs="Arial" w:eastAsia="Arial" w:hAnsi="Arial"/>
                <w:sz w:val="13"/>
                <w:szCs w:val="13"/>
                <w:color w:val="auto"/>
                <w:w w:val="89"/>
              </w:rPr>
              <w:t>Type</w:t>
            </w:r>
          </w:p>
        </w:tc>
        <w:tc>
          <w:tcPr>
            <w:tcW w:w="3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8"/>
              </w:rPr>
              <w:t>Security Class Title</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9"/>
              </w:rPr>
              <w:t>Rule</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7"/>
              </w:rPr>
              <w:t>Registered (1)</w:t>
            </w:r>
          </w:p>
        </w:tc>
        <w:tc>
          <w:tcPr>
            <w:tcW w:w="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4"/>
              </w:rPr>
              <w:t>Share (2)</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5"/>
              </w:rPr>
              <w:t>Price (2)</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5"/>
              </w:rPr>
              <w:t>Fee Rate</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0"/>
              </w:rPr>
              <w:t>Fee</w:t>
            </w:r>
          </w:p>
        </w:tc>
      </w:tr>
      <w:tr>
        <w:trPr>
          <w:trHeight w:val="245"/>
        </w:trPr>
        <w:tc>
          <w:tcPr>
            <w:tcW w:w="660" w:type="dxa"/>
            <w:vAlign w:val="bottom"/>
            <w:tcBorders>
              <w:left w:val="single" w:sz="8" w:color="auto"/>
              <w:bottom w:val="single" w:sz="8" w:color="auto"/>
              <w:right w:val="single" w:sz="8" w:color="auto"/>
            </w:tcBorders>
          </w:tcPr>
          <w:p>
            <w:pPr>
              <w:jc w:val="center"/>
              <w:ind w:left="68"/>
              <w:spacing w:after="0"/>
              <w:rPr>
                <w:sz w:val="20"/>
                <w:szCs w:val="20"/>
                <w:color w:val="auto"/>
              </w:rPr>
            </w:pPr>
            <w:r>
              <w:rPr>
                <w:rFonts w:ascii="Arial" w:cs="Arial" w:eastAsia="Arial" w:hAnsi="Arial"/>
                <w:sz w:val="18"/>
                <w:szCs w:val="18"/>
                <w:color w:val="auto"/>
                <w:w w:val="95"/>
              </w:rPr>
              <w:t>Equity</w:t>
            </w:r>
          </w:p>
        </w:tc>
        <w:tc>
          <w:tcPr>
            <w:tcW w:w="3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Other</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5,317,073</w:t>
            </w:r>
          </w:p>
        </w:tc>
        <w:tc>
          <w:tcPr>
            <w:tcW w:w="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$11.18</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$59,444,876.14</w:t>
            </w:r>
          </w:p>
        </w:tc>
        <w:tc>
          <w:tcPr>
            <w:tcW w:w="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w w:val="92"/>
              </w:rPr>
              <w:t>0.00011020</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$6,550.83</w:t>
            </w:r>
          </w:p>
        </w:tc>
      </w:tr>
      <w:tr>
        <w:trPr>
          <w:trHeight w:val="237"/>
        </w:trPr>
        <w:tc>
          <w:tcPr>
            <w:tcW w:w="660" w:type="dxa"/>
            <w:vAlign w:val="bottom"/>
            <w:tcBorders>
              <w:left w:val="single" w:sz="8" w:color="auto"/>
              <w:bottom w:val="single" w:sz="8" w:color="auto"/>
            </w:tcBorders>
          </w:tcPr>
          <w:p>
            <w:pPr>
              <w:spacing w:after="0"/>
              <w:rPr>
                <w:sz w:val="20"/>
                <w:szCs w:val="20"/>
                <w:color w:val="auto"/>
              </w:rPr>
            </w:pPr>
          </w:p>
        </w:tc>
        <w:tc>
          <w:tcPr>
            <w:tcW w:w="3100" w:type="dxa"/>
            <w:vAlign w:val="bottom"/>
            <w:tcBorders>
              <w:bottom w:val="single" w:sz="8" w:color="auto"/>
            </w:tcBorders>
          </w:tcPr>
          <w:p>
            <w:pPr>
              <w:jc w:val="center"/>
              <w:ind w:left="835"/>
              <w:spacing w:after="0"/>
              <w:rPr>
                <w:sz w:val="20"/>
                <w:szCs w:val="20"/>
                <w:color w:val="auto"/>
              </w:rPr>
            </w:pPr>
            <w:r>
              <w:rPr>
                <w:rFonts w:ascii="Arial" w:cs="Arial" w:eastAsia="Arial" w:hAnsi="Arial"/>
                <w:sz w:val="18"/>
                <w:szCs w:val="18"/>
                <w:color w:val="auto"/>
                <w:w w:val="93"/>
              </w:rPr>
              <w:t>Total Offering Amounts</w:t>
            </w:r>
          </w:p>
        </w:tc>
        <w:tc>
          <w:tcPr>
            <w:tcW w:w="660" w:type="dxa"/>
            <w:vAlign w:val="bottom"/>
            <w:tcBorders>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$59,444,876.14</w:t>
            </w:r>
          </w:p>
        </w:tc>
        <w:tc>
          <w:tcPr>
            <w:tcW w:w="92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$6,550.83</w:t>
            </w:r>
          </w:p>
        </w:tc>
      </w:tr>
      <w:tr>
        <w:trPr>
          <w:trHeight w:val="236"/>
        </w:trPr>
        <w:tc>
          <w:tcPr>
            <w:tcW w:w="660" w:type="dxa"/>
            <w:vAlign w:val="bottom"/>
            <w:tcBorders>
              <w:left w:val="single" w:sz="8" w:color="auto"/>
              <w:bottom w:val="single" w:sz="8" w:color="auto"/>
            </w:tcBorders>
          </w:tcPr>
          <w:p>
            <w:pPr>
              <w:spacing w:after="0"/>
              <w:rPr>
                <w:sz w:val="20"/>
                <w:szCs w:val="20"/>
                <w:color w:val="auto"/>
              </w:rPr>
            </w:pPr>
          </w:p>
        </w:tc>
        <w:tc>
          <w:tcPr>
            <w:tcW w:w="3100" w:type="dxa"/>
            <w:vAlign w:val="bottom"/>
            <w:tcBorders>
              <w:bottom w:val="single" w:sz="8" w:color="auto"/>
            </w:tcBorders>
          </w:tcPr>
          <w:p>
            <w:pPr>
              <w:jc w:val="center"/>
              <w:ind w:left="855"/>
              <w:spacing w:after="0"/>
              <w:rPr>
                <w:sz w:val="20"/>
                <w:szCs w:val="20"/>
                <w:color w:val="auto"/>
              </w:rPr>
            </w:pPr>
            <w:r>
              <w:rPr>
                <w:rFonts w:ascii="Arial" w:cs="Arial" w:eastAsia="Arial" w:hAnsi="Arial"/>
                <w:sz w:val="18"/>
                <w:szCs w:val="18"/>
                <w:color w:val="auto"/>
                <w:w w:val="89"/>
              </w:rPr>
              <w:t>Total Fee Offsets</w:t>
            </w:r>
          </w:p>
        </w:tc>
        <w:tc>
          <w:tcPr>
            <w:tcW w:w="660" w:type="dxa"/>
            <w:vAlign w:val="bottom"/>
            <w:tcBorders>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8"/>
                <w:szCs w:val="18"/>
                <w:color w:val="auto"/>
              </w:rPr>
              <w:t>—</w:t>
            </w:r>
          </w:p>
        </w:tc>
      </w:tr>
      <w:tr>
        <w:trPr>
          <w:trHeight w:val="237"/>
        </w:trPr>
        <w:tc>
          <w:tcPr>
            <w:tcW w:w="660" w:type="dxa"/>
            <w:vAlign w:val="bottom"/>
            <w:tcBorders>
              <w:left w:val="single" w:sz="8" w:color="auto"/>
              <w:bottom w:val="single" w:sz="8" w:color="auto"/>
            </w:tcBorders>
          </w:tcPr>
          <w:p>
            <w:pPr>
              <w:spacing w:after="0"/>
              <w:rPr>
                <w:sz w:val="20"/>
                <w:szCs w:val="20"/>
                <w:color w:val="auto"/>
              </w:rPr>
            </w:pPr>
          </w:p>
        </w:tc>
        <w:tc>
          <w:tcPr>
            <w:tcW w:w="3100" w:type="dxa"/>
            <w:vAlign w:val="bottom"/>
            <w:tcBorders>
              <w:bottom w:val="single" w:sz="8" w:color="auto"/>
            </w:tcBorders>
          </w:tcPr>
          <w:p>
            <w:pPr>
              <w:jc w:val="center"/>
              <w:ind w:left="835"/>
              <w:spacing w:after="0"/>
              <w:rPr>
                <w:sz w:val="20"/>
                <w:szCs w:val="20"/>
                <w:color w:val="auto"/>
              </w:rPr>
            </w:pPr>
            <w:r>
              <w:rPr>
                <w:rFonts w:ascii="Arial" w:cs="Arial" w:eastAsia="Arial" w:hAnsi="Arial"/>
                <w:sz w:val="18"/>
                <w:szCs w:val="18"/>
                <w:color w:val="auto"/>
                <w:w w:val="88"/>
              </w:rPr>
              <w:t>Net Fee Due</w:t>
            </w:r>
          </w:p>
        </w:tc>
        <w:tc>
          <w:tcPr>
            <w:tcW w:w="660" w:type="dxa"/>
            <w:vAlign w:val="bottom"/>
            <w:tcBorders>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$6,550.83</w:t>
            </w:r>
          </w:p>
        </w:tc>
      </w:tr>
    </w:tbl>
    <w:p>
      <w:pPr>
        <w:spacing w:after="0" w:line="229" w:lineRule="exact"/>
        <w:rPr>
          <w:sz w:val="20"/>
          <w:szCs w:val="20"/>
          <w:color w:val="auto"/>
        </w:rPr>
      </w:pPr>
    </w:p>
    <w:p>
      <w:pPr>
        <w:ind w:left="424" w:right="60" w:hanging="424"/>
        <w:spacing w:after="0" w:line="266" w:lineRule="auto"/>
        <w:tabs>
          <w:tab w:leader="none" w:pos="424"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This Registration Statement on Form S-8 (“Registration Statement”) registers 5,317,073 shares of common stock, par value $0.01 per share (“Common Stock”), of Viatris Inc. (the “Registrant”) issuable to holders of Oyster Point Pharma, Inc. (“Oyster Point”) stock options, restricted stock units and performance stock units under the Oyster Point Pharma, Inc. 2016 Equity Incentive Plan, the Oyster Point Pharma, Inc. 2019 Equity Incentive Plan and the Oyster Point Pharma, Inc. 2021 Inducement Plan (the “Equity Plans”). The shares of Common Stock represented herein include (i) 276,432 shares of Common Stock issuable pursuant to the exercise of outstanding stock options under the Equity Plans and assumed by the Registrant in connection with the merger (the “Merger”) of Oyster Point, with and into Iris Purchaser Inc., a Delaware corporation and a wholly owned subsidiary of the Registrant, pursuant an Agreement and Plan of Merger, dated November 7, 2022, among the Registrant, Iris Purchaser Inc. and Oyster Point, (ii) 878,003 shares of Common Stock issuable pursuant to outstanding restricted stock units under the Equity Plans and assumed by the Registrant in connection with the Merger, (iii) 1,051,459 shares of Common Stock issuable pursuant to outstanding performance stock units under the Equity Plans and assumed by the Registrant in connection with the Merger, and (iv) 3,111,179 shares reserved for future issuance under the Oyster Point Pharma, Inc. 2016 Equity Incentive Plan, the Oyster Point Pharma, Inc. 2019 Equity Incentive Plan or the Registrant’s 2020 Stock Incentive Plan or its successor. Pursuant to Rule 416 under the Securities Act of 1933, as amended (the “Securities Act”), this Registration Statement shall also cover additional shares of Common Stock which may become issuable by reason of any stock split, stock dividend, recapitalization, or other similar transaction effected without consideration which results in the increase in the number of the outstanding shares of Common Stock.</w:t>
      </w:r>
    </w:p>
    <w:p>
      <w:pPr>
        <w:spacing w:after="0" w:line="4" w:lineRule="exact"/>
        <w:rPr>
          <w:rFonts w:ascii="Arial" w:cs="Arial" w:eastAsia="Arial" w:hAnsi="Arial"/>
          <w:sz w:val="17"/>
          <w:szCs w:val="17"/>
          <w:color w:val="auto"/>
        </w:rPr>
      </w:pPr>
    </w:p>
    <w:p>
      <w:pPr>
        <w:ind w:left="424" w:right="420" w:hanging="424"/>
        <w:spacing w:after="0" w:line="290" w:lineRule="auto"/>
        <w:tabs>
          <w:tab w:leader="none" w:pos="424" w:val="left"/>
        </w:tabs>
        <w:numPr>
          <w:ilvl w:val="0"/>
          <w:numId w:val="126"/>
        </w:numPr>
        <w:rPr>
          <w:rFonts w:ascii="Arial" w:cs="Arial" w:eastAsia="Arial" w:hAnsi="Arial"/>
          <w:sz w:val="17"/>
          <w:szCs w:val="17"/>
          <w:color w:val="auto"/>
        </w:rPr>
      </w:pPr>
      <w:r>
        <w:rPr>
          <w:rFonts w:ascii="Arial" w:cs="Arial" w:eastAsia="Arial" w:hAnsi="Arial"/>
          <w:sz w:val="17"/>
          <w:szCs w:val="17"/>
          <w:color w:val="auto"/>
        </w:rPr>
        <w:t>Estimated solely for the purpose of calculating the registration fee pursuant to Rules 457(c) and 457(h) under the Securities Act, based on the average of the high and low prices of shares of Common Stock as reported on the NASDAQ Stock Market on March 2, 2023.</w:t>
      </w:r>
    </w:p>
    <w:sectPr>
      <w:pgSz w:w="11900" w:h="16838" w:orient="portrait"/>
      <w:cols w:equalWidth="0" w:num="1">
        <w:col w:w="11024"/>
      </w:cols>
      <w:pgMar w:left="436"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9BE4F1"/>
    <w:multiLevelType w:val="hybridMultilevel"/>
    <w:lvl w:ilvl="0">
      <w:lvlJc w:val="left"/>
      <w:lvlText w:val="•"/>
      <w:numFmt w:val="bullet"/>
      <w:start w:val="1"/>
    </w:lvl>
  </w:abstractNum>
  <w:abstractNum w:abstractNumId="1">
    <w:nsid w:val="310C50B3"/>
    <w:multiLevelType w:val="hybridMultilevel"/>
    <w:lvl w:ilvl="0">
      <w:lvlJc w:val="left"/>
      <w:lvlText w:val="•"/>
      <w:numFmt w:val="bullet"/>
      <w:start w:val="1"/>
    </w:lvl>
  </w:abstractNum>
  <w:abstractNum w:abstractNumId="2">
    <w:nsid w:val="5FF87E05"/>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
    <w:nsid w:val="2F305DEF"/>
    <w:multiLevelType w:val="hybridMultilevel"/>
    <w:lvl w:ilvl="0">
      <w:lvlJc w:val="left"/>
      <w:lvlText w:val="%1"/>
      <w:numFmt w:val="lowerLetter"/>
      <w:start w:val="1"/>
    </w:lvl>
    <w:lvl w:ilvl="1">
      <w:lvlJc w:val="left"/>
      <w:lvlText w:val="(%2)"/>
      <w:numFmt w:val="decimal"/>
      <w:start w:val="2"/>
    </w:lvl>
  </w:abstractNum>
  <w:abstractNum w:abstractNumId="4">
    <w:nsid w:val="25A70BF7"/>
    <w:multiLevelType w:val="hybridMultilevel"/>
    <w:lvl w:ilvl="0">
      <w:lvlJc w:val="left"/>
      <w:lvlText w:val="(%1)"/>
      <w:numFmt w:val="lowerLetter"/>
      <w:start w:val="2"/>
    </w:lvl>
    <w:lvl w:ilvl="1">
      <w:lvlJc w:val="left"/>
      <w:lvlText w:val="%2"/>
      <w:numFmt w:val="decimal"/>
      <w:start w:val="1"/>
    </w:lvl>
  </w:abstractNum>
  <w:abstractNum w:abstractNumId="5">
    <w:nsid w:val="1DBABF00"/>
    <w:multiLevelType w:val="hybridMultilevel"/>
    <w:lvl w:ilvl="0">
      <w:lvlJc w:val="left"/>
      <w:lvlText w:val="%1."/>
      <w:numFmt w:val="decimal"/>
      <w:start w:val="1"/>
    </w:lvl>
    <w:lvl w:ilvl="1">
      <w:lvlJc w:val="left"/>
      <w:lvlText w:val="•"/>
      <w:numFmt w:val="bullet"/>
      <w:start w:val="1"/>
    </w:lvl>
  </w:abstractNum>
  <w:abstractNum w:abstractNumId="6">
    <w:nsid w:val="4AD084E9"/>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7">
    <w:nsid w:val="1F48EAA1"/>
    <w:multiLevelType w:val="hybridMultilevel"/>
    <w:lvl w:ilvl="0">
      <w:lvlJc w:val="left"/>
      <w:lvlText w:val="(%1)"/>
      <w:numFmt w:val="lowerRoman"/>
      <w:start w:val="2"/>
    </w:lvl>
  </w:abstractNum>
  <w:abstractNum w:abstractNumId="8">
    <w:nsid w:val="1381823A"/>
    <w:multiLevelType w:val="hybridMultilevel"/>
    <w:lvl w:ilvl="0">
      <w:lvlJc w:val="left"/>
      <w:lvlText w:val="(%1)"/>
      <w:numFmt w:val="lowerLetter"/>
      <w:start w:val="7"/>
    </w:lvl>
  </w:abstractNum>
  <w:abstractNum w:abstractNumId="9">
    <w:nsid w:val="5DB70AE5"/>
    <w:multiLevelType w:val="hybridMultilevel"/>
    <w:lvl w:ilvl="0">
      <w:lvlJc w:val="left"/>
      <w:lvlText w:val="(%1)"/>
      <w:numFmt w:val="lowerLetter"/>
      <w:start w:val="8"/>
    </w:lvl>
    <w:lvl w:ilvl="1">
      <w:lvlJc w:val="left"/>
      <w:lvlText w:val="(%2)"/>
      <w:numFmt w:val="lowerRoman"/>
      <w:start w:val="1"/>
    </w:lvl>
  </w:abstractNum>
  <w:abstractNum w:abstractNumId="10">
    <w:nsid w:val="100F8FCA"/>
    <w:multiLevelType w:val="hybridMultilevel"/>
    <w:lvl w:ilvl="0">
      <w:lvlJc w:val="left"/>
      <w:lvlText w:val="%1"/>
      <w:numFmt w:val="lowerLetter"/>
      <w:start w:val="1"/>
    </w:lvl>
    <w:lvl w:ilvl="1">
      <w:lvlJc w:val="left"/>
      <w:lvlText w:val="(%2)"/>
      <w:numFmt w:val="lowerRoman"/>
      <w:start w:val="2"/>
    </w:lvl>
  </w:abstractNum>
  <w:abstractNum w:abstractNumId="11">
    <w:nsid w:val="6590700B"/>
    <w:multiLevelType w:val="hybridMultilevel"/>
    <w:lvl w:ilvl="0">
      <w:lvlJc w:val="left"/>
      <w:lvlText w:val="(%1)"/>
      <w:numFmt w:val="lowerLetter"/>
      <w:start w:val="18"/>
    </w:lvl>
    <w:lvl w:ilvl="1">
      <w:lvlJc w:val="left"/>
      <w:lvlText w:val="%2"/>
      <w:numFmt w:val="lowerRoman"/>
      <w:start w:val="1"/>
    </w:lvl>
  </w:abstractNum>
  <w:abstractNum w:abstractNumId="12">
    <w:nsid w:val="15014ACB"/>
    <w:multiLevelType w:val="hybridMultilevel"/>
    <w:lvl w:ilvl="0">
      <w:lvlJc w:val="left"/>
      <w:lvlText w:val="(%1)"/>
      <w:numFmt w:val="lowerLetter"/>
      <w:start w:val="27"/>
    </w:lvl>
  </w:abstractNum>
  <w:abstractNum w:abstractNumId="13">
    <w:nsid w:val="5F5E7FD0"/>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14">
    <w:nsid w:val="98A3148"/>
    <w:multiLevelType w:val="hybridMultilevel"/>
    <w:lvl w:ilvl="0">
      <w:lvlJc w:val="left"/>
      <w:lvlText w:val="%1"/>
      <w:numFmt w:val="lowerLetter"/>
      <w:start w:val="1"/>
    </w:lvl>
    <w:lvl w:ilvl="1">
      <w:lvlJc w:val="left"/>
      <w:lvlText w:val="(%2)"/>
      <w:numFmt w:val="lowerLetter"/>
      <w:start w:val="35"/>
    </w:lvl>
  </w:abstractNum>
  <w:abstractNum w:abstractNumId="15">
    <w:nsid w:val="799D0247"/>
    <w:multiLevelType w:val="hybridMultilevel"/>
    <w:lvl w:ilvl="0">
      <w:lvlJc w:val="left"/>
      <w:lvlText w:val="(%1)"/>
      <w:numFmt w:val="lowerLetter"/>
      <w:start w:val="2"/>
    </w:lvl>
    <w:lvl w:ilvl="1">
      <w:lvlJc w:val="left"/>
      <w:lvlText w:val="(%2)"/>
      <w:numFmt w:val="lowerLetter"/>
      <w:start w:val="9"/>
    </w:lvl>
  </w:abstractNum>
  <w:abstractNum w:abstractNumId="16">
    <w:nsid w:val="6B94764"/>
    <w:multiLevelType w:val="hybridMultilevel"/>
    <w:lvl w:ilvl="0">
      <w:lvlJc w:val="left"/>
      <w:lvlText w:val="(%1)"/>
      <w:numFmt w:val="lowerRoman"/>
      <w:start w:val="2"/>
    </w:lvl>
  </w:abstractNum>
  <w:abstractNum w:abstractNumId="17">
    <w:nsid w:val="42C296BD"/>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lvl w:ilvl="3">
      <w:lvlJc w:val="left"/>
      <w:lvlText w:val="(%4)"/>
      <w:numFmt w:val="lowerRoman"/>
      <w:start w:val="11"/>
    </w:lvl>
  </w:abstractNum>
  <w:abstractNum w:abstractNumId="18">
    <w:nsid w:val="168E121F"/>
    <w:multiLevelType w:val="hybridMultilevel"/>
    <w:lvl w:ilvl="0">
      <w:lvlJc w:val="left"/>
      <w:lvlText w:val="%1"/>
      <w:numFmt w:val="decimal"/>
      <w:start w:val="1"/>
    </w:lvl>
    <w:lvl w:ilvl="1">
      <w:lvlJc w:val="left"/>
      <w:lvlText w:val="(%2)"/>
      <w:numFmt w:val="lowerLetter"/>
      <w:start w:val="3"/>
    </w:lvl>
    <w:lvl w:ilvl="2">
      <w:lvlJc w:val="left"/>
      <w:lvlText w:val="%3"/>
      <w:numFmt w:val="decimal"/>
      <w:start w:val="1"/>
    </w:lvl>
    <w:lvl w:ilvl="3">
      <w:lvlJc w:val="left"/>
      <w:lvlText w:val="%4"/>
      <w:numFmt w:val="lowerRoman"/>
      <w:start w:val="1"/>
    </w:lvl>
  </w:abstractNum>
  <w:abstractNum w:abstractNumId="19">
    <w:nsid w:val="1EBA5D23"/>
    <w:multiLevelType w:val="hybridMultilevel"/>
    <w:lvl w:ilvl="0">
      <w:lvlJc w:val="left"/>
      <w:lvlText w:val="%1."/>
      <w:numFmt w:val="decimal"/>
      <w:start w:val="5"/>
    </w:lvl>
    <w:lvl w:ilvl="1">
      <w:lvlJc w:val="left"/>
      <w:lvlText w:val="(%2)"/>
      <w:numFmt w:val="lowerLetter"/>
      <w:start w:val="1"/>
    </w:lvl>
    <w:lvl w:ilvl="2">
      <w:lvlJc w:val="left"/>
      <w:lvlText w:val="(%3)"/>
      <w:numFmt w:val="decimal"/>
      <w:start w:val="10"/>
    </w:lvl>
    <w:lvl w:ilvl="3">
      <w:lvlJc w:val="left"/>
      <w:lvlText w:val="%4"/>
      <w:numFmt w:val="lowerRoman"/>
      <w:start w:val="1"/>
    </w:lvl>
  </w:abstractNum>
  <w:abstractNum w:abstractNumId="20">
    <w:nsid w:val="661E3F1E"/>
    <w:multiLevelType w:val="hybridMultilevel"/>
    <w:lvl w:ilvl="0">
      <w:lvlJc w:val="left"/>
      <w:lvlText w:val="(%1)"/>
      <w:numFmt w:val="lowerLetter"/>
      <w:start w:val="5"/>
    </w:lvl>
    <w:lvl w:ilvl="1">
      <w:lvlJc w:val="left"/>
      <w:lvlText w:val="(%2)"/>
      <w:numFmt w:val="lowerRoman"/>
      <w:start w:val="1"/>
    </w:lvl>
  </w:abstractNum>
  <w:abstractNum w:abstractNumId="21">
    <w:nsid w:val="5DC79EA8"/>
    <w:multiLevelType w:val="hybridMultilevel"/>
    <w:lvl w:ilvl="0">
      <w:lvlJc w:val="left"/>
      <w:lvlText w:val="(%1)"/>
      <w:numFmt w:val="lowerLetter"/>
      <w:start w:val="6"/>
    </w:lvl>
    <w:lvl w:ilvl="1">
      <w:lvlJc w:val="left"/>
      <w:lvlText w:val="(%2)"/>
      <w:numFmt w:val="lowerRoman"/>
      <w:start w:val="1"/>
    </w:lvl>
  </w:abstractNum>
  <w:abstractNum w:abstractNumId="22">
    <w:nsid w:val="540A471C"/>
    <w:multiLevelType w:val="hybridMultilevel"/>
    <w:lvl w:ilvl="0">
      <w:lvlJc w:val="left"/>
      <w:lvlText w:val="(%1)"/>
      <w:numFmt w:val="lowerRoman"/>
      <w:start w:val="2"/>
    </w:lvl>
  </w:abstractNum>
  <w:abstractNum w:abstractNumId="23">
    <w:nsid w:val="7BD3EE7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24">
    <w:nsid w:val="51D9C564"/>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25">
    <w:nsid w:val="613EFDC5"/>
    <w:multiLevelType w:val="hybridMultilevel"/>
    <w:lvl w:ilvl="0">
      <w:lvlJc w:val="left"/>
      <w:lvlText w:val="(%1)"/>
      <w:numFmt w:val="lowerLetter"/>
      <w:start w:val="5"/>
    </w:lvl>
    <w:lvl w:ilvl="1">
      <w:lvlJc w:val="left"/>
      <w:lvlText w:val="(%2)"/>
      <w:numFmt w:val="lowerRoman"/>
      <w:start w:val="1"/>
    </w:lvl>
  </w:abstractNum>
  <w:abstractNum w:abstractNumId="26">
    <w:nsid w:val="BF72B14"/>
    <w:multiLevelType w:val="hybridMultilevel"/>
    <w:lvl w:ilvl="0">
      <w:lvlJc w:val="left"/>
      <w:lvlText w:val="%1."/>
      <w:numFmt w:val="decimal"/>
      <w:start w:val="8"/>
    </w:lvl>
    <w:lvl w:ilvl="1">
      <w:lvlJc w:val="left"/>
      <w:lvlText w:val="(%2)"/>
      <w:numFmt w:val="lowerLetter"/>
      <w:start w:val="1"/>
    </w:lvl>
  </w:abstractNum>
  <w:abstractNum w:abstractNumId="27">
    <w:nsid w:val="11447B73"/>
    <w:multiLevelType w:val="hybridMultilevel"/>
    <w:lvl w:ilvl="0">
      <w:lvlJc w:val="left"/>
      <w:lvlText w:val="%1"/>
      <w:numFmt w:val="decimal"/>
      <w:start w:val="1"/>
    </w:lvl>
    <w:lvl w:ilvl="1">
      <w:lvlJc w:val="left"/>
      <w:lvlText w:val="(%2)"/>
      <w:numFmt w:val="lowerLetter"/>
      <w:start w:val="6"/>
    </w:lvl>
  </w:abstractNum>
  <w:abstractNum w:abstractNumId="28">
    <w:nsid w:val="42963E5A"/>
    <w:multiLevelType w:val="hybridMultilevel"/>
    <w:lvl w:ilvl="0">
      <w:lvlJc w:val="left"/>
      <w:lvlText w:val="%1."/>
      <w:numFmt w:val="decimal"/>
      <w:start w:val="9"/>
    </w:lvl>
    <w:lvl w:ilvl="1">
      <w:lvlJc w:val="left"/>
      <w:lvlText w:val="(%2)"/>
      <w:numFmt w:val="lowerLetter"/>
      <w:start w:val="1"/>
    </w:lvl>
  </w:abstractNum>
  <w:abstractNum w:abstractNumId="29">
    <w:nsid w:val="A0382C5"/>
    <w:multiLevelType w:val="hybridMultilevel"/>
    <w:lvl w:ilvl="0">
      <w:lvlJc w:val="left"/>
      <w:lvlText w:val="%1."/>
      <w:numFmt w:val="decimal"/>
      <w:start w:val="10"/>
    </w:lvl>
    <w:lvl w:ilvl="1">
      <w:lvlJc w:val="left"/>
      <w:lvlText w:val="(%2)"/>
      <w:numFmt w:val="lowerLetter"/>
      <w:start w:val="1"/>
    </w:lvl>
  </w:abstractNum>
  <w:abstractNum w:abstractNumId="30">
    <w:nsid w:val="8F2B15E"/>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31">
    <w:nsid w:val="1A32234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32">
    <w:nsid w:val="3B0FD379"/>
    <w:multiLevelType w:val="hybridMultilevel"/>
    <w:lvl w:ilvl="0">
      <w:lvlJc w:val="left"/>
      <w:lvlText w:val="%1."/>
      <w:numFmt w:val="decimal"/>
      <w:start w:val="14"/>
    </w:lvl>
    <w:lvl w:ilvl="1">
      <w:lvlJc w:val="left"/>
      <w:lvlText w:val="(%2)"/>
      <w:numFmt w:val="lowerLetter"/>
      <w:start w:val="1"/>
    </w:lvl>
    <w:lvl w:ilvl="2">
      <w:lvlJc w:val="left"/>
      <w:lvlText w:val="%3"/>
      <w:numFmt w:val="lowerLetter"/>
      <w:start w:val="1"/>
    </w:lvl>
  </w:abstractNum>
  <w:abstractNum w:abstractNumId="33">
    <w:nsid w:val="68EB2F63"/>
    <w:multiLevelType w:val="hybridMultilevel"/>
    <w:lvl w:ilvl="0">
      <w:lvlJc w:val="left"/>
      <w:lvlText w:val="%1."/>
      <w:numFmt w:val="decimal"/>
      <w:start w:val="17"/>
    </w:lvl>
    <w:lvl w:ilvl="1">
      <w:lvlJc w:val="left"/>
      <w:lvlText w:val="(%2)"/>
      <w:numFmt w:val="lowerLetter"/>
      <w:start w:val="1"/>
    </w:lvl>
  </w:abstractNum>
  <w:abstractNum w:abstractNumId="34">
    <w:nsid w:val="4962813B"/>
    <w:multiLevelType w:val="hybridMultilevel"/>
    <w:lvl w:ilvl="0">
      <w:lvlJc w:val="left"/>
      <w:lvlText w:val="%1."/>
      <w:numFmt w:val="decimal"/>
      <w:start w:val="22"/>
    </w:lvl>
  </w:abstractNum>
  <w:abstractNum w:abstractNumId="35">
    <w:nsid w:val="60B6DF70"/>
    <w:multiLevelType w:val="hybridMultilevel"/>
    <w:lvl w:ilvl="0">
      <w:lvlJc w:val="left"/>
      <w:lvlText w:val="%1."/>
      <w:numFmt w:val="decimal"/>
      <w:start w:val="1"/>
    </w:lvl>
    <w:lvl w:ilvl="1">
      <w:lvlJc w:val="left"/>
      <w:lvlText w:val="•"/>
      <w:numFmt w:val="bullet"/>
      <w:start w:val="1"/>
    </w:lvl>
  </w:abstractNum>
  <w:abstractNum w:abstractNumId="36">
    <w:nsid w:val="6A5EE64"/>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37">
    <w:nsid w:val="14330624"/>
    <w:multiLevelType w:val="hybridMultilevel"/>
    <w:lvl w:ilvl="0">
      <w:lvlJc w:val="left"/>
      <w:lvlText w:val="(%1)"/>
      <w:numFmt w:val="lowerRoman"/>
      <w:start w:val="2"/>
    </w:lvl>
  </w:abstractNum>
  <w:abstractNum w:abstractNumId="38">
    <w:nsid w:val="7FFFCA11"/>
    <w:multiLevelType w:val="hybridMultilevel"/>
    <w:lvl w:ilvl="0">
      <w:lvlJc w:val="left"/>
      <w:lvlText w:val="(%1)"/>
      <w:numFmt w:val="lowerLetter"/>
      <w:start w:val="7"/>
    </w:lvl>
  </w:abstractNum>
  <w:abstractNum w:abstractNumId="39">
    <w:nsid w:val="1A27709E"/>
    <w:multiLevelType w:val="hybridMultilevel"/>
    <w:lvl w:ilvl="0">
      <w:lvlJc w:val="left"/>
      <w:lvlText w:val="(%1)"/>
      <w:numFmt w:val="lowerLetter"/>
      <w:start w:val="16"/>
    </w:lvl>
    <w:lvl w:ilvl="1">
      <w:lvlJc w:val="left"/>
      <w:lvlText w:val="(%2)"/>
      <w:numFmt w:val="lowerRoman"/>
      <w:start w:val="1"/>
    </w:lvl>
  </w:abstractNum>
  <w:abstractNum w:abstractNumId="40">
    <w:nsid w:val="71EA1109"/>
    <w:multiLevelType w:val="hybridMultilevel"/>
    <w:lvl w:ilvl="0">
      <w:lvlJc w:val="left"/>
      <w:lvlText w:val="(%1)"/>
      <w:numFmt w:val="lowerLetter"/>
      <w:start w:val="18"/>
    </w:lvl>
  </w:abstractNum>
  <w:abstractNum w:abstractNumId="41">
    <w:nsid w:val="100F59DC"/>
    <w:multiLevelType w:val="hybridMultilevel"/>
    <w:lvl w:ilvl="0">
      <w:lvlJc w:val="left"/>
      <w:lvlText w:val="(%1)"/>
      <w:numFmt w:val="lowerLetter"/>
      <w:start w:val="23"/>
    </w:lvl>
  </w:abstractNum>
  <w:abstractNum w:abstractNumId="42">
    <w:nsid w:val="7FB7E0AA"/>
    <w:multiLevelType w:val="hybridMultilevel"/>
    <w:lvl w:ilvl="0">
      <w:lvlJc w:val="left"/>
      <w:lvlText w:val="(%1)"/>
      <w:numFmt w:val="lowerLetter"/>
      <w:start w:val="27"/>
    </w:lvl>
  </w:abstractNum>
  <w:abstractNum w:abstractNumId="43">
    <w:nsid w:val="6EB5BD4"/>
    <w:multiLevelType w:val="hybridMultilevel"/>
    <w:lvl w:ilvl="0">
      <w:lvlJc w:val="left"/>
      <w:lvlText w:val="%1"/>
      <w:numFmt w:val="decimal"/>
      <w:start w:val="1"/>
    </w:lvl>
    <w:lvl w:ilvl="1">
      <w:lvlJc w:val="left"/>
      <w:lvlText w:val="(%2)"/>
      <w:numFmt w:val="lowerLetter"/>
      <w:start w:val="37"/>
    </w:lvl>
  </w:abstractNum>
  <w:abstractNum w:abstractNumId="44">
    <w:nsid w:val="6F6DD9AC"/>
    <w:multiLevelType w:val="hybridMultilevel"/>
    <w:lvl w:ilvl="0">
      <w:lvlJc w:val="left"/>
      <w:lvlText w:val="%1."/>
      <w:numFmt w:val="decimal"/>
      <w:start w:val="3"/>
    </w:lvl>
    <w:lvl w:ilvl="1">
      <w:lvlJc w:val="left"/>
      <w:lvlText w:val="(%2)"/>
      <w:numFmt w:val="lowerLetter"/>
      <w:start w:val="1"/>
    </w:lvl>
  </w:abstractNum>
  <w:abstractNum w:abstractNumId="45">
    <w:nsid w:val="94211F2"/>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46">
    <w:nsid w:val="885E1B"/>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47">
    <w:nsid w:val="76272110"/>
    <w:multiLevelType w:val="hybridMultilevel"/>
    <w:lvl w:ilvl="0">
      <w:lvlJc w:val="left"/>
      <w:lvlText w:val="%1"/>
      <w:numFmt w:val="lowerLetter"/>
      <w:start w:val="1"/>
    </w:lvl>
    <w:lvl w:ilvl="1">
      <w:lvlJc w:val="left"/>
      <w:lvlText w:val="(%2)"/>
      <w:numFmt w:val="lowerRoman"/>
      <w:start w:val="4"/>
    </w:lvl>
  </w:abstractNum>
  <w:abstractNum w:abstractNumId="48">
    <w:nsid w:val="4C04A8AF"/>
    <w:multiLevelType w:val="hybridMultilevel"/>
    <w:lvl w:ilvl="0">
      <w:lvlJc w:val="left"/>
      <w:lvlText w:val="(%1)"/>
      <w:numFmt w:val="lowerLetter"/>
      <w:start w:val="3"/>
    </w:lvl>
    <w:lvl w:ilvl="1">
      <w:lvlJc w:val="left"/>
      <w:lvlText w:val="%2"/>
      <w:numFmt w:val="lowerRoman"/>
      <w:start w:val="1"/>
    </w:lvl>
  </w:abstractNum>
  <w:abstractNum w:abstractNumId="49">
    <w:nsid w:val="1716703B"/>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decimal"/>
      <w:start w:val="1"/>
    </w:lvl>
    <w:lvl w:ilvl="4">
      <w:lvlJc w:val="left"/>
      <w:lvlText w:val="(%5)"/>
      <w:numFmt w:val="upperLetter"/>
      <w:start w:val="1"/>
    </w:lvl>
  </w:abstractNum>
  <w:abstractNum w:abstractNumId="50">
    <w:nsid w:val="14E17E33"/>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lvl w:ilvl="3">
      <w:lvlJc w:val="left"/>
      <w:lvlText w:val="(%4)"/>
      <w:numFmt w:val="decimal"/>
      <w:start w:val="2"/>
    </w:lvl>
  </w:abstractNum>
  <w:abstractNum w:abstractNumId="51">
    <w:nsid w:val="3222E7CD"/>
    <w:multiLevelType w:val="hybridMultilevel"/>
    <w:lvl w:ilvl="0">
      <w:lvlJc w:val="left"/>
      <w:lvlText w:val="%1"/>
      <w:numFmt w:val="lowerLetter"/>
      <w:start w:val="1"/>
    </w:lvl>
    <w:lvl w:ilvl="1">
      <w:lvlJc w:val="left"/>
      <w:lvlText w:val="(%2)"/>
      <w:numFmt w:val="lowerRoman"/>
      <w:start w:val="2"/>
    </w:lvl>
    <w:lvl w:ilvl="2">
      <w:lvlJc w:val="left"/>
      <w:lvlText w:val="(%3)"/>
      <w:numFmt w:val="decimal"/>
      <w:start w:val="5"/>
    </w:lvl>
    <w:lvl w:ilvl="3">
      <w:lvlJc w:val="left"/>
      <w:lvlText w:val="%4"/>
      <w:numFmt w:val="decimal"/>
      <w:start w:val="1"/>
    </w:lvl>
  </w:abstractNum>
  <w:abstractNum w:abstractNumId="52">
    <w:nsid w:val="74DE0EE3"/>
    <w:multiLevelType w:val="hybridMultilevel"/>
    <w:lvl w:ilvl="0">
      <w:lvlJc w:val="left"/>
      <w:lvlText w:val="(%1)"/>
      <w:numFmt w:val="lowerLetter"/>
      <w:start w:val="4"/>
    </w:lvl>
    <w:lvl w:ilvl="1">
      <w:lvlJc w:val="left"/>
      <w:lvlText w:val="(%2)"/>
      <w:numFmt w:val="lowerRoman"/>
      <w:start w:val="1"/>
    </w:lvl>
    <w:lvl w:ilvl="2">
      <w:lvlJc w:val="left"/>
      <w:lvlText w:val="%3"/>
      <w:numFmt w:val="decimal"/>
      <w:start w:val="1"/>
    </w:lvl>
    <w:lvl w:ilvl="3">
      <w:lvlJc w:val="left"/>
      <w:lvlText w:val="%4"/>
      <w:numFmt w:val="decimal"/>
      <w:start w:val="1"/>
    </w:lvl>
  </w:abstractNum>
  <w:abstractNum w:abstractNumId="53">
    <w:nsid w:val="68EBC550"/>
    <w:multiLevelType w:val="hybridMultilevel"/>
    <w:lvl w:ilvl="0">
      <w:lvlJc w:val="left"/>
      <w:lvlText w:val="(%1)"/>
      <w:numFmt w:val="lowerRoman"/>
      <w:start w:val="2"/>
    </w:lvl>
  </w:abstractNum>
  <w:abstractNum w:abstractNumId="54">
    <w:nsid w:val="2DF6D64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lvl w:ilvl="3">
      <w:lvlJc w:val="left"/>
      <w:lvlText w:val="(%4)"/>
      <w:numFmt w:val="decimal"/>
      <w:start w:val="1"/>
    </w:lvl>
  </w:abstractNum>
  <w:abstractNum w:abstractNumId="55">
    <w:nsid w:val="46B7D447"/>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56">
    <w:nsid w:val="4A2AC315"/>
    <w:multiLevelType w:val="hybridMultilevel"/>
    <w:lvl w:ilvl="0">
      <w:lvlJc w:val="left"/>
      <w:lvlText w:val="%1"/>
      <w:numFmt w:val="decimal"/>
      <w:start w:val="1"/>
    </w:lvl>
    <w:lvl w:ilvl="1">
      <w:lvlJc w:val="left"/>
      <w:lvlText w:val="(%2)"/>
      <w:numFmt w:val="lowerLetter"/>
      <w:start w:val="2"/>
    </w:lvl>
  </w:abstractNum>
  <w:abstractNum w:abstractNumId="57">
    <w:nsid w:val="39EE015C"/>
    <w:multiLevelType w:val="hybridMultilevel"/>
    <w:lvl w:ilvl="0">
      <w:lvlJc w:val="left"/>
      <w:lvlText w:val="%1."/>
      <w:numFmt w:val="decimal"/>
      <w:start w:val="8"/>
    </w:lvl>
    <w:lvl w:ilvl="1">
      <w:lvlJc w:val="left"/>
      <w:lvlText w:val="(%2)"/>
      <w:numFmt w:val="lowerLetter"/>
      <w:start w:val="1"/>
    </w:lvl>
  </w:abstractNum>
  <w:abstractNum w:abstractNumId="58">
    <w:nsid w:val="57FC4FBB"/>
    <w:multiLevelType w:val="hybridMultilevel"/>
    <w:lvl w:ilvl="0">
      <w:lvlJc w:val="left"/>
      <w:lvlText w:val="%1"/>
      <w:numFmt w:val="decimal"/>
      <w:start w:val="1"/>
    </w:lvl>
    <w:lvl w:ilvl="1">
      <w:lvlJc w:val="left"/>
      <w:lvlText w:val="(%2)"/>
      <w:numFmt w:val="lowerLetter"/>
      <w:start w:val="2"/>
    </w:lvl>
  </w:abstractNum>
  <w:abstractNum w:abstractNumId="59">
    <w:nsid w:val="CC1016F"/>
    <w:multiLevelType w:val="hybridMultilevel"/>
    <w:lvl w:ilvl="0">
      <w:lvlJc w:val="left"/>
      <w:lvlText w:val="%1."/>
      <w:numFmt w:val="decimal"/>
      <w:start w:val="9"/>
    </w:lvl>
    <w:lvl w:ilvl="1">
      <w:lvlJc w:val="left"/>
      <w:lvlText w:val="(%2)"/>
      <w:numFmt w:val="lowerLetter"/>
      <w:start w:val="1"/>
    </w:lvl>
  </w:abstractNum>
  <w:abstractNum w:abstractNumId="60">
    <w:nsid w:val="43F18422"/>
    <w:multiLevelType w:val="hybridMultilevel"/>
    <w:lvl w:ilvl="0">
      <w:lvlJc w:val="left"/>
      <w:lvlText w:val="(%1)"/>
      <w:numFmt w:val="lowerLetter"/>
      <w:start w:val="5"/>
    </w:lvl>
    <w:lvl w:ilvl="1">
      <w:lvlJc w:val="left"/>
      <w:lvlText w:val="(%2)"/>
      <w:numFmt w:val="lowerRoman"/>
      <w:start w:val="1"/>
    </w:lvl>
  </w:abstractNum>
  <w:abstractNum w:abstractNumId="61">
    <w:nsid w:val="60EF0119"/>
    <w:multiLevelType w:val="hybridMultilevel"/>
    <w:lvl w:ilvl="0">
      <w:lvlJc w:val="left"/>
      <w:lvlText w:val="%1."/>
      <w:numFmt w:val="decimal"/>
      <w:start w:val="10"/>
    </w:lvl>
    <w:lvl w:ilvl="1">
      <w:lvlJc w:val="left"/>
      <w:lvlText w:val="(%2)"/>
      <w:numFmt w:val="lowerLetter"/>
      <w:start w:val="1"/>
    </w:lvl>
  </w:abstractNum>
  <w:abstractNum w:abstractNumId="62">
    <w:nsid w:val="26F324BA"/>
    <w:multiLevelType w:val="hybridMultilevel"/>
    <w:lvl w:ilvl="0">
      <w:lvlJc w:val="left"/>
      <w:lvlText w:val="%1"/>
      <w:numFmt w:val="decimal"/>
      <w:start w:val="1"/>
    </w:lvl>
    <w:lvl w:ilvl="1">
      <w:lvlJc w:val="left"/>
      <w:lvlText w:val="(%2)"/>
      <w:numFmt w:val="lowerLetter"/>
      <w:start w:val="4"/>
    </w:lvl>
  </w:abstractNum>
  <w:abstractNum w:abstractNumId="63">
    <w:nsid w:val="7F01579B"/>
    <w:multiLevelType w:val="hybridMultilevel"/>
    <w:lvl w:ilvl="0">
      <w:lvlJc w:val="left"/>
      <w:lvlText w:val="%1."/>
      <w:numFmt w:val="decimal"/>
      <w:start w:val="11"/>
    </w:lvl>
    <w:lvl w:ilvl="1">
      <w:lvlJc w:val="left"/>
      <w:lvlText w:val="%2"/>
      <w:numFmt w:val="lowerLetter"/>
      <w:start w:val="1"/>
    </w:lvl>
  </w:abstractNum>
  <w:abstractNum w:abstractNumId="64">
    <w:nsid w:val="49DA307D"/>
    <w:multiLevelType w:val="hybridMultilevel"/>
    <w:lvl w:ilvl="0">
      <w:lvlJc w:val="left"/>
      <w:lvlText w:val="%1."/>
      <w:numFmt w:val="decimal"/>
      <w:start w:val="14"/>
    </w:lvl>
    <w:lvl w:ilvl="1">
      <w:lvlJc w:val="left"/>
      <w:lvlText w:val="(%2)"/>
      <w:numFmt w:val="lowerLetter"/>
      <w:start w:val="1"/>
    </w:lvl>
  </w:abstractNum>
  <w:abstractNum w:abstractNumId="65">
    <w:nsid w:val="7055A5F5"/>
    <w:multiLevelType w:val="hybridMultilevel"/>
    <w:lvl w:ilvl="0">
      <w:lvlJc w:val="left"/>
      <w:lvlText w:val="%1"/>
      <w:numFmt w:val="decimal"/>
      <w:start w:val="1"/>
    </w:lvl>
    <w:lvl w:ilvl="1">
      <w:lvlJc w:val="left"/>
      <w:lvlText w:val="(%2)"/>
      <w:numFmt w:val="lowerLetter"/>
      <w:start w:val="4"/>
    </w:lvl>
  </w:abstractNum>
  <w:abstractNum w:abstractNumId="66">
    <w:nsid w:val="5FB8370B"/>
    <w:multiLevelType w:val="hybridMultilevel"/>
    <w:lvl w:ilvl="0">
      <w:lvlJc w:val="left"/>
      <w:lvlText w:val="%1."/>
      <w:numFmt w:val="decimal"/>
      <w:start w:val="15"/>
    </w:lvl>
    <w:lvl w:ilvl="1">
      <w:lvlJc w:val="left"/>
      <w:lvlText w:val="(%2)"/>
      <w:numFmt w:val="lowerLetter"/>
      <w:start w:val="1"/>
    </w:lvl>
  </w:abstractNum>
  <w:abstractNum w:abstractNumId="67">
    <w:nsid w:val="50801EE1"/>
    <w:multiLevelType w:val="hybridMultilevel"/>
    <w:lvl w:ilvl="0">
      <w:lvlJc w:val="left"/>
      <w:lvlText w:val="%1"/>
      <w:numFmt w:val="decimal"/>
      <w:start w:val="1"/>
    </w:lvl>
    <w:lvl w:ilvl="1">
      <w:lvlJc w:val="left"/>
      <w:lvlText w:val="(%2)"/>
      <w:numFmt w:val="lowerLetter"/>
      <w:start w:val="3"/>
    </w:lvl>
  </w:abstractNum>
  <w:abstractNum w:abstractNumId="68">
    <w:nsid w:val="488AC1A"/>
    <w:multiLevelType w:val="hybridMultilevel"/>
    <w:lvl w:ilvl="0">
      <w:lvlJc w:val="left"/>
      <w:lvlText w:val="%1."/>
      <w:numFmt w:val="decimal"/>
      <w:start w:val="16"/>
    </w:lvl>
    <w:lvl w:ilvl="1">
      <w:lvlJc w:val="left"/>
      <w:lvlText w:val="(%2)"/>
      <w:numFmt w:val="lowerLetter"/>
      <w:start w:val="1"/>
    </w:lvl>
  </w:abstractNum>
  <w:abstractNum w:abstractNumId="69">
    <w:nsid w:val="5FB8011C"/>
    <w:multiLevelType w:val="hybridMultilevel"/>
    <w:lvl w:ilvl="0">
      <w:lvlJc w:val="left"/>
      <w:lvlText w:val="%1"/>
      <w:numFmt w:val="decimal"/>
      <w:start w:val="1"/>
    </w:lvl>
    <w:lvl w:ilvl="1">
      <w:lvlJc w:val="left"/>
      <w:lvlText w:val="(%2)"/>
      <w:numFmt w:val="lowerLetter"/>
      <w:start w:val="3"/>
    </w:lvl>
  </w:abstractNum>
  <w:abstractNum w:abstractNumId="70">
    <w:nsid w:val="6AA78F7F"/>
    <w:multiLevelType w:val="hybridMultilevel"/>
    <w:lvl w:ilvl="0">
      <w:lvlJc w:val="left"/>
      <w:lvlText w:val="%1."/>
      <w:numFmt w:val="decimal"/>
      <w:start w:val="20"/>
    </w:lvl>
    <w:lvl w:ilvl="1">
      <w:lvlJc w:val="left"/>
      <w:lvlText w:val="(%2)"/>
      <w:numFmt w:val="lowerLetter"/>
      <w:start w:val="1"/>
    </w:lvl>
  </w:abstractNum>
  <w:abstractNum w:abstractNumId="71">
    <w:nsid w:val="7672BD23"/>
    <w:multiLevelType w:val="hybridMultilevel"/>
    <w:lvl w:ilvl="0">
      <w:lvlJc w:val="left"/>
      <w:lvlText w:val="%1"/>
      <w:numFmt w:val="decimal"/>
      <w:start w:val="1"/>
    </w:lvl>
    <w:lvl w:ilvl="1">
      <w:lvlJc w:val="left"/>
      <w:lvlText w:val="(%2)"/>
      <w:numFmt w:val="lowerLetter"/>
      <w:start w:val="2"/>
    </w:lvl>
  </w:abstractNum>
  <w:abstractNum w:abstractNumId="72">
    <w:nsid w:val="6FC75AF8"/>
    <w:multiLevelType w:val="hybridMultilevel"/>
    <w:lvl w:ilvl="0">
      <w:lvlJc w:val="left"/>
      <w:lvlText w:val="%1."/>
      <w:numFmt w:val="decimal"/>
      <w:start w:val="23"/>
    </w:lvl>
    <w:lvl w:ilvl="1">
      <w:lvlJc w:val="left"/>
      <w:lvlText w:val="%2"/>
      <w:numFmt w:val="lowerLetter"/>
      <w:start w:val="1"/>
    </w:lvl>
  </w:abstractNum>
  <w:abstractNum w:abstractNumId="73">
    <w:nsid w:val="6A5F7029"/>
    <w:multiLevelType w:val="hybridMultilevel"/>
    <w:lvl w:ilvl="0">
      <w:lvlJc w:val="left"/>
      <w:lvlText w:val="%1."/>
      <w:numFmt w:val="decimal"/>
      <w:start w:val="1"/>
    </w:lvl>
    <w:lvl w:ilvl="1">
      <w:lvlJc w:val="left"/>
      <w:lvlText w:val="(%2)"/>
      <w:numFmt w:val="lowerLetter"/>
      <w:start w:val="1"/>
    </w:lvl>
  </w:abstractNum>
  <w:abstractNum w:abstractNumId="74">
    <w:nsid w:val="7D5E18F8"/>
    <w:multiLevelType w:val="hybridMultilevel"/>
    <w:lvl w:ilvl="0">
      <w:lvlJc w:val="left"/>
      <w:lvlText w:val="(%1)"/>
      <w:numFmt w:val="lowerRoman"/>
      <w:start w:val="1"/>
    </w:lvl>
    <w:lvl w:ilvl="1">
      <w:lvlJc w:val="left"/>
      <w:lvlText w:val="(%2)"/>
      <w:numFmt w:val="decimal"/>
      <w:start w:val="1"/>
    </w:lvl>
  </w:abstractNum>
  <w:abstractNum w:abstractNumId="75">
    <w:nsid w:val="5F3534A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decimal"/>
      <w:start w:val="2"/>
    </w:lvl>
  </w:abstractNum>
  <w:abstractNum w:abstractNumId="76">
    <w:nsid w:val="73A1821B"/>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77">
    <w:nsid w:val="7DE67713"/>
    <w:multiLevelType w:val="hybridMultilevel"/>
    <w:lvl w:ilvl="0">
      <w:lvlJc w:val="left"/>
      <w:lvlText w:val="(%1)"/>
      <w:numFmt w:val="lowerLetter"/>
      <w:start w:val="1"/>
    </w:lvl>
  </w:abstractNum>
  <w:abstractNum w:abstractNumId="78">
    <w:nsid w:val="555C55B5"/>
    <w:multiLevelType w:val="hybridMultilevel"/>
    <w:lvl w:ilvl="0">
      <w:lvlJc w:val="left"/>
      <w:lvlText w:val="(%1)"/>
      <w:numFmt w:val="lowerLetter"/>
      <w:start w:val="3"/>
    </w:lvl>
    <w:lvl w:ilvl="1">
      <w:lvlJc w:val="left"/>
      <w:lvlText w:val="(%2)"/>
      <w:numFmt w:val="lowerRoman"/>
      <w:start w:val="1"/>
    </w:lvl>
  </w:abstractNum>
  <w:abstractNum w:abstractNumId="79">
    <w:nsid w:val="3FA62ACA"/>
    <w:multiLevelType w:val="hybridMultilevel"/>
    <w:lvl w:ilvl="0">
      <w:lvlJc w:val="left"/>
      <w:lvlText w:val="%1"/>
      <w:numFmt w:val="lowerLetter"/>
      <w:start w:val="1"/>
    </w:lvl>
    <w:lvl w:ilvl="1">
      <w:lvlJc w:val="left"/>
      <w:lvlText w:val="(%2)"/>
      <w:numFmt w:val="lowerLetter"/>
      <w:start w:val="22"/>
    </w:lvl>
  </w:abstractNum>
  <w:abstractNum w:abstractNumId="80">
    <w:nsid w:val="14FCE74E"/>
    <w:multiLevelType w:val="hybridMultilevel"/>
    <w:lvl w:ilvl="0">
      <w:lvlJc w:val="left"/>
      <w:lvlText w:val="(%1)"/>
      <w:numFmt w:val="lowerLetter"/>
      <w:start w:val="4"/>
    </w:lvl>
    <w:lvl w:ilvl="1">
      <w:lvlJc w:val="left"/>
      <w:lvlText w:val="%2"/>
      <w:numFmt w:val="lowerLetter"/>
      <w:start w:val="1"/>
    </w:lvl>
  </w:abstractNum>
  <w:abstractNum w:abstractNumId="81">
    <w:nsid w:val="6A3DD3E8"/>
    <w:multiLevelType w:val="hybridMultilevel"/>
    <w:lvl w:ilvl="0">
      <w:lvlJc w:val="left"/>
      <w:lvlText w:val="(%1)"/>
      <w:numFmt w:val="lowerRoman"/>
      <w:start w:val="1"/>
    </w:lvl>
  </w:abstractNum>
  <w:abstractNum w:abstractNumId="82">
    <w:nsid w:val="71C91298"/>
    <w:multiLevelType w:val="hybridMultilevel"/>
    <w:lvl w:ilvl="0">
      <w:lvlJc w:val="left"/>
      <w:lvlText w:val="(%1)"/>
      <w:numFmt w:val="lowerLetter"/>
      <w:start w:val="9"/>
    </w:lvl>
  </w:abstractNum>
  <w:abstractNum w:abstractNumId="83">
    <w:nsid w:val="9DAF632"/>
    <w:multiLevelType w:val="hybridMultilevel"/>
    <w:lvl w:ilvl="0">
      <w:lvlJc w:val="left"/>
      <w:lvlText w:val="%1"/>
      <w:numFmt w:val="decimal"/>
      <w:start w:val="1"/>
    </w:lvl>
    <w:lvl w:ilvl="1">
      <w:lvlJc w:val="left"/>
      <w:lvlText w:val="(%2)"/>
      <w:numFmt w:val="lowerLetter"/>
      <w:start w:val="11"/>
    </w:lvl>
    <w:lvl w:ilvl="2">
      <w:lvlJc w:val="left"/>
      <w:lvlText w:val="%3"/>
      <w:numFmt w:val="lowerRoman"/>
      <w:start w:val="1"/>
    </w:lvl>
    <w:lvl w:ilvl="3">
      <w:lvlJc w:val="left"/>
      <w:lvlText w:val="%4"/>
      <w:numFmt w:val="decimal"/>
      <w:start w:val="1"/>
    </w:lvl>
  </w:abstractNum>
  <w:abstractNum w:abstractNumId="84">
    <w:nsid w:val="53299938"/>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85">
    <w:nsid w:val="1FBFE8E0"/>
    <w:multiLevelType w:val="hybridMultilevel"/>
    <w:lvl w:ilvl="0">
      <w:lvlJc w:val="left"/>
      <w:lvlText w:val="(%1)"/>
      <w:numFmt w:val="lowerRoman"/>
      <w:start w:val="2"/>
    </w:lvl>
    <w:lvl w:ilvl="1">
      <w:lvlJc w:val="left"/>
      <w:lvlText w:val="(%2)"/>
      <w:numFmt w:val="decimal"/>
      <w:start w:val="1"/>
    </w:lvl>
  </w:abstractNum>
  <w:abstractNum w:abstractNumId="86">
    <w:nsid w:val="5092CA7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2"/>
    </w:lvl>
  </w:abstractNum>
  <w:abstractNum w:abstractNumId="87">
    <w:nsid w:val="1D545C4D"/>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88">
    <w:nsid w:val="59ADEA3D"/>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89">
    <w:nsid w:val="288F1A34"/>
    <w:multiLevelType w:val="hybridMultilevel"/>
    <w:lvl w:ilvl="0">
      <w:lvlJc w:val="left"/>
      <w:lvlText w:val="(%1)"/>
      <w:numFmt w:val="lowerLetter"/>
      <w:start w:val="3"/>
    </w:lvl>
    <w:lvl w:ilvl="1">
      <w:lvlJc w:val="left"/>
      <w:lvlText w:val="(%2)"/>
      <w:numFmt w:val="lowerRoman"/>
      <w:start w:val="1"/>
    </w:lvl>
  </w:abstractNum>
  <w:abstractNum w:abstractNumId="90">
    <w:nsid w:val="2A155DBC"/>
    <w:multiLevelType w:val="hybridMultilevel"/>
    <w:lvl w:ilvl="0">
      <w:lvlJc w:val="left"/>
      <w:lvlText w:val="%1"/>
      <w:numFmt w:val="lowerLetter"/>
      <w:start w:val="1"/>
    </w:lvl>
    <w:lvl w:ilvl="1">
      <w:lvlJc w:val="left"/>
      <w:lvlText w:val="(%2)"/>
      <w:numFmt w:val="lowerRoman"/>
      <w:start w:val="3"/>
    </w:lvl>
  </w:abstractNum>
  <w:abstractNum w:abstractNumId="91">
    <w:nsid w:val="1D9F6E5F"/>
    <w:multiLevelType w:val="hybridMultilevel"/>
    <w:lvl w:ilvl="0">
      <w:lvlJc w:val="left"/>
      <w:lvlText w:val="(%1)"/>
      <w:numFmt w:val="lowerLetter"/>
      <w:start w:val="4"/>
    </w:lvl>
    <w:lvl w:ilvl="1">
      <w:lvlJc w:val="left"/>
      <w:lvlText w:val="%2"/>
      <w:numFmt w:val="lowerRoman"/>
      <w:start w:val="1"/>
    </w:lvl>
  </w:abstractNum>
  <w:abstractNum w:abstractNumId="92">
    <w:nsid w:val="97E1B4E"/>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93">
    <w:nsid w:val="51088277"/>
    <w:multiLevelType w:val="hybridMultilevel"/>
    <w:lvl w:ilvl="0">
      <w:lvlJc w:val="left"/>
      <w:lvlText w:val="(%1)"/>
      <w:numFmt w:val="lowerRoman"/>
      <w:start w:val="5"/>
    </w:lvl>
  </w:abstractNum>
  <w:abstractNum w:abstractNumId="94">
    <w:nsid w:val="1CA0C5FA"/>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95">
    <w:nsid w:val="53584BCB"/>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96">
    <w:nsid w:val="415E286C"/>
    <w:multiLevelType w:val="hybridMultilevel"/>
    <w:lvl w:ilvl="0">
      <w:lvlJc w:val="left"/>
      <w:lvlText w:val="(%1)"/>
      <w:numFmt w:val="lowerLetter"/>
      <w:start w:val="2"/>
    </w:lvl>
  </w:abstractNum>
  <w:abstractNum w:abstractNumId="97">
    <w:nsid w:val="7C58FD05"/>
    <w:multiLevelType w:val="hybridMultilevel"/>
    <w:lvl w:ilvl="0">
      <w:lvlJc w:val="left"/>
      <w:lvlText w:val="%1"/>
      <w:numFmt w:val="lowerLetter"/>
      <w:start w:val="1"/>
    </w:lvl>
    <w:lvl w:ilvl="1">
      <w:lvlJc w:val="left"/>
      <w:lvlText w:val="(%2)"/>
      <w:numFmt w:val="lowerLetter"/>
      <w:start w:val="22"/>
    </w:lvl>
  </w:abstractNum>
  <w:abstractNum w:abstractNumId="98">
    <w:nsid w:val="23D86AAC"/>
    <w:multiLevelType w:val="hybridMultilevel"/>
    <w:lvl w:ilvl="0">
      <w:lvlJc w:val="left"/>
      <w:lvlText w:val="(%1)"/>
      <w:numFmt w:val="lowerLetter"/>
      <w:start w:val="3"/>
    </w:lvl>
    <w:lvl w:ilvl="1">
      <w:lvlJc w:val="left"/>
      <w:lvlText w:val="(%2)"/>
      <w:numFmt w:val="lowerLetter"/>
      <w:start w:val="35"/>
    </w:lvl>
  </w:abstractNum>
  <w:abstractNum w:abstractNumId="99">
    <w:nsid w:val="45E6D486"/>
    <w:multiLevelType w:val="hybridMultilevel"/>
    <w:lvl w:ilvl="0">
      <w:lvlJc w:val="left"/>
      <w:lvlText w:val="%1."/>
      <w:numFmt w:val="decimal"/>
      <w:start w:val="9"/>
    </w:lvl>
    <w:lvl w:ilvl="1">
      <w:lvlJc w:val="left"/>
      <w:lvlText w:val="(%2)"/>
      <w:numFmt w:val="lowerLetter"/>
      <w:start w:val="1"/>
    </w:lvl>
  </w:abstractNum>
  <w:abstractNum w:abstractNumId="100">
    <w:nsid w:val="5C10FE21"/>
    <w:multiLevelType w:val="hybridMultilevel"/>
    <w:lvl w:ilvl="0">
      <w:lvlJc w:val="left"/>
      <w:lvlText w:val="(%1)"/>
      <w:numFmt w:val="lowerLetter"/>
      <w:start w:val="6"/>
    </w:lvl>
  </w:abstractNum>
  <w:abstractNum w:abstractNumId="101">
    <w:nsid w:val="E7FFA2B"/>
    <w:multiLevelType w:val="hybridMultilevel"/>
    <w:lvl w:ilvl="0">
      <w:lvlJc w:val="left"/>
      <w:lvlText w:val="(%1)"/>
      <w:numFmt w:val="lowerLetter"/>
      <w:start w:val="10"/>
    </w:lvl>
  </w:abstractNum>
  <w:abstractNum w:abstractNumId="102">
    <w:nsid w:val="3C5991AA"/>
    <w:multiLevelType w:val="hybridMultilevel"/>
    <w:lvl w:ilvl="0">
      <w:lvlJc w:val="left"/>
      <w:lvlText w:val="%1"/>
      <w:numFmt w:val="decimal"/>
      <w:start w:val="1"/>
    </w:lvl>
    <w:lvl w:ilvl="1">
      <w:lvlJc w:val="left"/>
      <w:lvlText w:val="(%2)"/>
      <w:numFmt w:val="lowerLetter"/>
      <w:start w:val="14"/>
    </w:lvl>
  </w:abstractNum>
  <w:abstractNum w:abstractNumId="103">
    <w:nsid w:val="4BD8591A"/>
    <w:multiLevelType w:val="hybridMultilevel"/>
    <w:lvl w:ilvl="0">
      <w:lvlJc w:val="left"/>
      <w:lvlText w:val="%1."/>
      <w:numFmt w:val="decimal"/>
      <w:start w:val="10"/>
    </w:lvl>
    <w:lvl w:ilvl="1">
      <w:lvlJc w:val="left"/>
      <w:lvlText w:val="(%2)"/>
      <w:numFmt w:val="lowerLetter"/>
      <w:start w:val="1"/>
    </w:lvl>
  </w:abstractNum>
  <w:abstractNum w:abstractNumId="104">
    <w:nsid w:val="78DF6A55"/>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105">
    <w:nsid w:val="39B7AAA2"/>
    <w:multiLevelType w:val="hybridMultilevel"/>
    <w:lvl w:ilvl="0">
      <w:lvlJc w:val="left"/>
      <w:lvlText w:val="%1"/>
      <w:numFmt w:val="lowerLetter"/>
      <w:start w:val="1"/>
    </w:lvl>
    <w:lvl w:ilvl="1">
      <w:lvlJc w:val="left"/>
      <w:lvlText w:val="(%2)"/>
      <w:numFmt w:val="lowerLetter"/>
      <w:start w:val="61"/>
    </w:lvl>
    <w:lvl w:ilvl="2">
      <w:lvlJc w:val="left"/>
      <w:lvlText w:val="%3"/>
      <w:numFmt w:val="decimal"/>
      <w:start w:val="1"/>
    </w:lvl>
  </w:abstractNum>
  <w:abstractNum w:abstractNumId="106">
    <w:nsid w:val="2B0D8DBE"/>
    <w:multiLevelType w:val="hybridMultilevel"/>
    <w:lvl w:ilvl="0">
      <w:lvlJc w:val="left"/>
      <w:lvlText w:val="(%1)"/>
      <w:numFmt w:val="lowerLetter"/>
      <w:start w:val="3"/>
    </w:lvl>
    <w:lvl w:ilvl="1">
      <w:lvlJc w:val="left"/>
      <w:lvlText w:val="(%2)"/>
      <w:numFmt w:val="lowerLetter"/>
      <w:start w:val="9"/>
    </w:lvl>
    <w:lvl w:ilvl="2">
      <w:lvlJc w:val="left"/>
      <w:lvlText w:val="(%3)"/>
      <w:numFmt w:val="decimal"/>
      <w:start w:val="1"/>
    </w:lvl>
  </w:abstractNum>
  <w:abstractNum w:abstractNumId="107">
    <w:nsid w:val="6C80EC70"/>
    <w:multiLevelType w:val="hybridMultilevel"/>
    <w:lvl w:ilvl="0">
      <w:lvlJc w:val="left"/>
      <w:lvlText w:val="(%1)"/>
      <w:numFmt w:val="lowerRoman"/>
      <w:start w:val="2"/>
    </w:lvl>
    <w:lvl w:ilvl="1">
      <w:lvlJc w:val="left"/>
      <w:lvlText w:val="(%2)"/>
      <w:numFmt w:val="decimal"/>
      <w:start w:val="1"/>
    </w:lvl>
  </w:abstractNum>
  <w:abstractNum w:abstractNumId="108">
    <w:nsid w:val="379E21B5"/>
    <w:multiLevelType w:val="hybridMultilevel"/>
    <w:lvl w:ilvl="0">
      <w:lvlJc w:val="left"/>
      <w:lvlText w:val="(%1)"/>
      <w:numFmt w:val="lowerLetter"/>
      <w:start w:val="4"/>
    </w:lvl>
    <w:lvl w:ilvl="1">
      <w:lvlJc w:val="left"/>
      <w:lvlText w:val="(%2)"/>
      <w:numFmt w:val="lowerRoman"/>
      <w:start w:val="1"/>
    </w:lvl>
  </w:abstractNum>
  <w:abstractNum w:abstractNumId="109">
    <w:nsid w:val="69E373"/>
    <w:multiLevelType w:val="hybridMultilevel"/>
    <w:lvl w:ilvl="0">
      <w:lvlJc w:val="left"/>
      <w:lvlText w:val="%1"/>
      <w:numFmt w:val="decimal"/>
      <w:start w:val="1"/>
    </w:lvl>
    <w:lvl w:ilvl="1">
      <w:lvlJc w:val="left"/>
      <w:lvlText w:val="(%2)"/>
      <w:numFmt w:val="lowerRoman"/>
      <w:start w:val="3"/>
    </w:lvl>
  </w:abstractNum>
  <w:abstractNum w:abstractNumId="110">
    <w:nsid w:val="2C27173B"/>
    <w:multiLevelType w:val="hybridMultilevel"/>
    <w:lvl w:ilvl="0">
      <w:lvlJc w:val="left"/>
      <w:lvlText w:val="%1."/>
      <w:numFmt w:val="decimal"/>
      <w:start w:val="12"/>
    </w:lvl>
    <w:lvl w:ilvl="1">
      <w:lvlJc w:val="left"/>
      <w:lvlText w:val="%2"/>
      <w:numFmt w:val="lowerRoman"/>
      <w:start w:val="1"/>
    </w:lvl>
  </w:abstractNum>
  <w:abstractNum w:abstractNumId="111">
    <w:nsid w:val="4C9B0904"/>
    <w:multiLevelType w:val="hybridMultilevel"/>
    <w:lvl w:ilvl="0">
      <w:lvlJc w:val="left"/>
      <w:lvlText w:val="%1."/>
      <w:numFmt w:val="decimal"/>
      <w:start w:val="13"/>
    </w:lvl>
    <w:lvl w:ilvl="1">
      <w:lvlJc w:val="left"/>
      <w:lvlText w:val="(%2)"/>
      <w:numFmt w:val="lowerLetter"/>
      <w:start w:val="1"/>
    </w:lvl>
  </w:abstractNum>
  <w:abstractNum w:abstractNumId="112">
    <w:nsid w:val="6AA7B75C"/>
    <w:multiLevelType w:val="hybridMultilevel"/>
    <w:lvl w:ilvl="0">
      <w:lvlJc w:val="left"/>
      <w:lvlText w:val="(%1)"/>
      <w:numFmt w:val="lowerLetter"/>
      <w:start w:val="3"/>
    </w:lvl>
  </w:abstractNum>
  <w:abstractNum w:abstractNumId="113">
    <w:nsid w:val="1DF029D3"/>
    <w:multiLevelType w:val="hybridMultilevel"/>
    <w:lvl w:ilvl="0">
      <w:lvlJc w:val="left"/>
      <w:lvlText w:val="%1"/>
      <w:numFmt w:val="lowerLetter"/>
      <w:start w:val="1"/>
    </w:lvl>
    <w:lvl w:ilvl="1">
      <w:lvlJc w:val="left"/>
      <w:lvlText w:val="(%2)"/>
      <w:numFmt w:val="lowerLetter"/>
      <w:start w:val="22"/>
    </w:lvl>
  </w:abstractNum>
  <w:abstractNum w:abstractNumId="114">
    <w:nsid w:val="5675FF36"/>
    <w:multiLevelType w:val="hybridMultilevel"/>
    <w:lvl w:ilvl="0">
      <w:lvlJc w:val="left"/>
      <w:lvlText w:val="(%1)"/>
      <w:numFmt w:val="lowerLetter"/>
      <w:start w:val="10"/>
    </w:lvl>
    <w:lvl w:ilvl="1">
      <w:lvlJc w:val="left"/>
      <w:lvlText w:val="(%2)"/>
      <w:numFmt w:val="lowerLetter"/>
      <w:start w:val="9"/>
    </w:lvl>
  </w:abstractNum>
  <w:abstractNum w:abstractNumId="115">
    <w:nsid w:val="3DD15094"/>
    <w:multiLevelType w:val="hybridMultilevel"/>
    <w:lvl w:ilvl="0">
      <w:lvlJc w:val="left"/>
      <w:lvlText w:val="(%1)"/>
      <w:numFmt w:val="lowerRoman"/>
      <w:start w:val="2"/>
    </w:lvl>
  </w:abstractNum>
  <w:abstractNum w:abstractNumId="116">
    <w:nsid w:val="3DB012B3"/>
    <w:multiLevelType w:val="hybridMultilevel"/>
    <w:lvl w:ilvl="0">
      <w:lvlJc w:val="left"/>
      <w:lvlText w:val="(%1)"/>
      <w:numFmt w:val="lowerRoman"/>
      <w:start w:val="3"/>
    </w:lvl>
  </w:abstractNum>
  <w:abstractNum w:abstractNumId="117">
    <w:nsid w:val="2708C9AF"/>
    <w:multiLevelType w:val="hybridMultilevel"/>
    <w:lvl w:ilvl="0">
      <w:lvlJc w:val="left"/>
      <w:lvlText w:val="(%1)"/>
      <w:numFmt w:val="lowerLetter"/>
      <w:start w:val="11"/>
    </w:lvl>
  </w:abstractNum>
  <w:abstractNum w:abstractNumId="118">
    <w:nsid w:val="5B25ACE2"/>
    <w:multiLevelType w:val="hybridMultilevel"/>
    <w:lvl w:ilvl="0">
      <w:lvlJc w:val="left"/>
      <w:lvlText w:val="(%1)"/>
      <w:numFmt w:val="lowerLetter"/>
      <w:start w:val="17"/>
    </w:lvl>
  </w:abstractNum>
  <w:abstractNum w:abstractNumId="119">
    <w:nsid w:val="175DFCF0"/>
    <w:multiLevelType w:val="hybridMultilevel"/>
    <w:lvl w:ilvl="0">
      <w:lvlJc w:val="left"/>
      <w:lvlText w:val="(%1)"/>
      <w:numFmt w:val="lowerRoman"/>
      <w:start w:val="1"/>
    </w:lvl>
  </w:abstractNum>
  <w:abstractNum w:abstractNumId="120">
    <w:nsid w:val="4F97E3E4"/>
    <w:multiLevelType w:val="hybridMultilevel"/>
    <w:lvl w:ilvl="0">
      <w:lvlJc w:val="left"/>
      <w:lvlText w:val="(%1)"/>
      <w:numFmt w:val="lowerLetter"/>
      <w:start w:val="19"/>
    </w:lvl>
  </w:abstractNum>
  <w:abstractNum w:abstractNumId="121">
    <w:nsid w:val="53B0A9E"/>
    <w:multiLevelType w:val="hybridMultilevel"/>
    <w:lvl w:ilvl="0">
      <w:lvlJc w:val="left"/>
      <w:lvlText w:val="(%1)"/>
      <w:numFmt w:val="lowerLetter"/>
      <w:start w:val="27"/>
    </w:lvl>
  </w:abstractNum>
  <w:abstractNum w:abstractNumId="122">
    <w:nsid w:val="34FD6B4F"/>
    <w:multiLevelType w:val="hybridMultilevel"/>
    <w:lvl w:ilvl="0">
      <w:lvlJc w:val="left"/>
      <w:lvlText w:val="(%1)"/>
      <w:numFmt w:val="lowerRoman"/>
      <w:start w:val="1"/>
    </w:lvl>
  </w:abstractNum>
  <w:abstractNum w:abstractNumId="123">
    <w:nsid w:val="5915FF32"/>
    <w:multiLevelType w:val="hybridMultilevel"/>
    <w:lvl w:ilvl="0">
      <w:lvlJc w:val="left"/>
      <w:lvlText w:val="(%1)"/>
      <w:numFmt w:val="decimal"/>
      <w:start w:val="5"/>
    </w:lvl>
  </w:abstractNum>
  <w:abstractNum w:abstractNumId="124">
    <w:nsid w:val="56438D15"/>
    <w:multiLevelType w:val="hybridMultilevel"/>
    <w:lvl w:ilvl="0">
      <w:lvlJc w:val="left"/>
      <w:lvlText w:val="(%1)"/>
      <w:numFmt w:val="lowerLetter"/>
      <w:start w:val="28"/>
    </w:lvl>
  </w:abstractNum>
  <w:abstractNum w:abstractNumId="125">
    <w:nsid w:val="519E314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jpeg"/><Relationship Id="rId33" Type="http://schemas.openxmlformats.org/officeDocument/2006/relationships/image" Target="media/image19.jpe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73" Type="http://schemas.openxmlformats.org/officeDocument/2006/relationships/image" Target="media/image59.png"/><Relationship Id="rId74" Type="http://schemas.openxmlformats.org/officeDocument/2006/relationships/image" Target="media/image60.png"/><Relationship Id="rId75"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png"/><Relationship Id="rId78" Type="http://schemas.openxmlformats.org/officeDocument/2006/relationships/image" Target="media/image64.png"/><Relationship Id="rId79" Type="http://schemas.openxmlformats.org/officeDocument/2006/relationships/image" Target="media/image65.png"/><Relationship Id="rId80" Type="http://schemas.openxmlformats.org/officeDocument/2006/relationships/image" Target="media/image66.png"/><Relationship Id="rId81" Type="http://schemas.openxmlformats.org/officeDocument/2006/relationships/image" Target="media/image67.png"/><Relationship Id="rId82" Type="http://schemas.openxmlformats.org/officeDocument/2006/relationships/image" Target="media/image68.png"/><Relationship Id="rId83" Type="http://schemas.openxmlformats.org/officeDocument/2006/relationships/image" Target="media/image69.png"/><Relationship Id="rId84" Type="http://schemas.openxmlformats.org/officeDocument/2006/relationships/image" Target="media/image70.png"/><Relationship Id="rId85" Type="http://schemas.openxmlformats.org/officeDocument/2006/relationships/image" Target="media/image71.png"/><Relationship Id="rId86" Type="http://schemas.openxmlformats.org/officeDocument/2006/relationships/image" Target="media/image72.png"/><Relationship Id="rId87" Type="http://schemas.openxmlformats.org/officeDocument/2006/relationships/image" Target="media/image73.png"/><Relationship Id="rId88" Type="http://schemas.openxmlformats.org/officeDocument/2006/relationships/image" Target="media/image74.png"/><Relationship Id="rId89" Type="http://schemas.openxmlformats.org/officeDocument/2006/relationships/image" Target="media/image75.png"/><Relationship Id="rId90" Type="http://schemas.openxmlformats.org/officeDocument/2006/relationships/image" Target="media/image76.png"/><Relationship Id="rId91" Type="http://schemas.openxmlformats.org/officeDocument/2006/relationships/image" Target="media/image77.png"/><Relationship Id="rId92" Type="http://schemas.openxmlformats.org/officeDocument/2006/relationships/image" Target="media/image78.png"/><Relationship Id="rId93" Type="http://schemas.openxmlformats.org/officeDocument/2006/relationships/image" Target="media/image79.png"/><Relationship Id="rId94" Type="http://schemas.openxmlformats.org/officeDocument/2006/relationships/image" Target="media/image80.png"/><Relationship Id="rId95" Type="http://schemas.openxmlformats.org/officeDocument/2006/relationships/image" Target="media/image81.png"/><Relationship Id="rId96" Type="http://schemas.openxmlformats.org/officeDocument/2006/relationships/image" Target="media/image82.png"/><Relationship Id="rId97" Type="http://schemas.openxmlformats.org/officeDocument/2006/relationships/image" Target="media/image83.png"/><Relationship Id="rId98" Type="http://schemas.openxmlformats.org/officeDocument/2006/relationships/image" Target="media/image84.png"/><Relationship Id="rId99" Type="http://schemas.openxmlformats.org/officeDocument/2006/relationships/image" Target="media/image85.png"/><Relationship Id="rId100" Type="http://schemas.openxmlformats.org/officeDocument/2006/relationships/image" Target="media/image86.png"/><Relationship Id="rId101" Type="http://schemas.openxmlformats.org/officeDocument/2006/relationships/image" Target="media/image87.png"/><Relationship Id="rId102" Type="http://schemas.openxmlformats.org/officeDocument/2006/relationships/image" Target="media/image88.png"/><Relationship Id="rId103" Type="http://schemas.openxmlformats.org/officeDocument/2006/relationships/image" Target="media/image89.png"/><Relationship Id="rId104" Type="http://schemas.openxmlformats.org/officeDocument/2006/relationships/image" Target="media/image90.png"/><Relationship Id="rId105" Type="http://schemas.openxmlformats.org/officeDocument/2006/relationships/image" Target="media/image91.png"/><Relationship Id="rId18" Type="http://schemas.openxmlformats.org/officeDocument/2006/relationships/hyperlink" Target="http://www.sec.gov/ix?doc=/Archives/edgar/data/1792044/000179204423000008/vtrs-20221231.htm" TargetMode="External"/><Relationship Id="rId19" Type="http://schemas.openxmlformats.org/officeDocument/2006/relationships/hyperlink" Target="http://www.sec.gov/ix?doc=/Archives/edgar/data/0001792044/000119312523050797/d452663d8k.htm" TargetMode="External"/><Relationship Id="rId20" Type="http://schemas.openxmlformats.org/officeDocument/2006/relationships/hyperlink" Target="http://www.sec.gov/ix?doc=/Archives/edgar/data/1792044/000119312523050806/d465534d8ka.htm" TargetMode="External"/><Relationship Id="rId21" Type="http://schemas.openxmlformats.org/officeDocument/2006/relationships/hyperlink" Target="http://www.sec.gov/Archives/edgar/data/1792044/000179204421000009/ex_410-vtrsx20201231x10k.htm" TargetMode="External"/><Relationship Id="rId24" Type="http://schemas.openxmlformats.org/officeDocument/2006/relationships/hyperlink" Target="http://www.sec.gov/Archives/edgar/data/1792044/000119312520298226/d56774dex31.htm" TargetMode="External"/><Relationship Id="rId25" Type="http://schemas.openxmlformats.org/officeDocument/2006/relationships/hyperlink" Target="http://www.sec.gov/Archives/edgar/data/1792044/000119312520298226/d56774dex33.htm" TargetMode="External"/><Relationship Id="rId26" Type="http://schemas.openxmlformats.org/officeDocument/2006/relationships/hyperlink" Target="http://www.sec.gov/Archives/edgar/data/1792044/000179204421000009/ex_32-vtrsx20201231x10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2023-03-03T17:21:41Z</dcterms:created>
  <dcterms:modified xsi:type="dcterms:W3CDTF">2023-03-03T17:21:41Z</dcterms:modified>
</cp:coreProperties>
</file>