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Campbell Paul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80" w:type="dxa"/>
            <w:vAlign w:val="bottom"/>
            <w:gridSpan w:val="7"/>
            <w:vMerge w:val="continue"/>
          </w:tcPr>
          <w:p>
            <w:pPr>
              <w:spacing w:after="0"/>
              <w:rPr>
                <w:sz w:val="8"/>
                <w:szCs w:val="8"/>
                <w:color w:val="auto"/>
              </w:rPr>
            </w:pPr>
          </w:p>
        </w:tc>
        <w:tc>
          <w:tcPr>
            <w:tcW w:w="378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CANONSBURG PA</w:t>
            </w:r>
          </w:p>
        </w:tc>
        <w:tc>
          <w:tcPr>
            <w:tcW w:w="820" w:type="dxa"/>
            <w:vAlign w:val="bottom"/>
          </w:tcPr>
          <w:p>
            <w:pPr>
              <w:spacing w:after="0"/>
              <w:rPr>
                <w:sz w:val="20"/>
                <w:szCs w:val="20"/>
                <w:color w:val="auto"/>
              </w:rPr>
            </w:pPr>
          </w:p>
        </w:tc>
        <w:tc>
          <w:tcPr>
            <w:tcW w:w="134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15317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920" w:type="dxa"/>
            <w:vAlign w:val="bottom"/>
            <w:gridSpan w:val="6"/>
          </w:tcPr>
          <w:p>
            <w:pPr>
              <w:ind w:left="10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400" w:type="dxa"/>
            <w:vAlign w:val="bottom"/>
            <w:gridSpan w:val="3"/>
            <w:vMerge w:val="continue"/>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ind w:left="20"/>
              <w:spacing w:after="0"/>
              <w:rPr>
                <w:sz w:val="20"/>
                <w:szCs w:val="20"/>
                <w:color w:val="auto"/>
              </w:rPr>
            </w:pPr>
            <w:r>
              <w:rPr>
                <w:rFonts w:ascii="Arial" w:cs="Arial" w:eastAsia="Arial" w:hAnsi="Arial"/>
                <w:sz w:val="12"/>
                <w:szCs w:val="12"/>
                <w:b w:val="1"/>
                <w:bCs w:val="1"/>
                <w:color w:val="auto"/>
                <w:w w:val="79"/>
              </w:rPr>
              <w:t>3.</w:t>
            </w:r>
          </w:p>
        </w:tc>
        <w:tc>
          <w:tcPr>
            <w:tcW w:w="62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74"/>
              </w:rPr>
              <w:t>8)</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03/23/2026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w:t>
            </w:r>
          </w:p>
        </w:tc>
        <w:tc>
          <w:tcPr>
            <w:tcW w:w="8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21,350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13.2805</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right"/>
              <w:ind w:right="277"/>
              <w:spacing w:after="0"/>
              <w:rPr>
                <w:sz w:val="20"/>
                <w:szCs w:val="20"/>
                <w:color w:val="auto"/>
              </w:rPr>
            </w:pPr>
            <w:r>
              <w:rPr>
                <w:rFonts w:ascii="Times New Roman" w:cs="Times New Roman" w:eastAsia="Times New Roman" w:hAnsi="Times New Roman"/>
                <w:sz w:val="17"/>
                <w:szCs w:val="17"/>
                <w:color w:val="0000FF"/>
              </w:rPr>
              <w:t>366,288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ind w:right="417"/>
              <w:spacing w:after="0"/>
              <w:rPr>
                <w:sz w:val="20"/>
                <w:szCs w:val="20"/>
                <w:color w:val="auto"/>
              </w:rPr>
            </w:pPr>
            <w:r>
              <w:rPr>
                <w:rFonts w:ascii="Times New Roman" w:cs="Times New Roman" w:eastAsia="Times New Roman" w:hAnsi="Times New Roman"/>
                <w:sz w:val="17"/>
                <w:szCs w:val="17"/>
                <w:color w:val="0000FF"/>
              </w:rPr>
              <w:t>318</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20" w:type="dxa"/>
            <w:vAlign w:val="bottom"/>
          </w:tcPr>
          <w:p>
            <w:pPr>
              <w:spacing w:after="0"/>
              <w:rPr>
                <w:sz w:val="14"/>
                <w:szCs w:val="14"/>
                <w:color w:val="auto"/>
              </w:rPr>
            </w:pPr>
          </w:p>
        </w:tc>
        <w:tc>
          <w:tcPr>
            <w:tcW w:w="146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price of the reporting person's disposition of 21,350 shares of common stock in transactions ranging from $13.205 to $13.34. The reporting person undertakes to provide to the issuer, any security holder of the issuer, or the staff of the Securities and Exchange Commission, upon request, full information regarding the number of shares of common stock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Accounting Officer and Corporate Controller</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Kevin Macikowski, by</w:t>
            </w:r>
          </w:p>
        </w:tc>
        <w:tc>
          <w:tcPr>
            <w:tcW w:w="2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03/24/2026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57568"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2026-03-24T17:05:32Z</dcterms:created>
  <dcterms:modified xsi:type="dcterms:W3CDTF">2026-03-24T17:05:32Z</dcterms:modified>
</cp:coreProperties>
</file>