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-229235</wp:posOffset>
            </wp:positionV>
            <wp:extent cx="127635" cy="127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" cy="127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624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5231765</wp:posOffset>
            </wp:positionH>
            <wp:positionV relativeFrom="paragraph">
              <wp:posOffset>-610870</wp:posOffset>
            </wp:positionV>
            <wp:extent cx="57150" cy="624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3945890</wp:posOffset>
            </wp:positionH>
            <wp:positionV relativeFrom="paragraph">
              <wp:posOffset>-610870</wp:posOffset>
            </wp:positionV>
            <wp:extent cx="57150" cy="6242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12700</wp:posOffset>
            </wp:positionV>
            <wp:extent cx="7047865" cy="4090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090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420"/>
            <w:col w:w="846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KORMAN HARRY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1000 MYLAN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Viatris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VTRS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06/21/2021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2" w:right="700" w:firstLine="2"/>
        <w:spacing w:after="0" w:line="231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8"/>
        <w:spacing w:after="0"/>
        <w:tabs>
          <w:tab w:leader="none" w:pos="51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3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2" w:space="720"/>
            <w:col w:w="3358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3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0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CANONSBURG PA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15317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9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5"/>
              </w:rPr>
              <w:t>101.1537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Equivalent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2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06/21/2021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101.1537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101.1537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Represents dividend equivalent units ("DEUs") that accrued with respect to restricted stock units ("RSUs") previously granted on March 2, 2021 and vest on the same schedule as the underlying RSUs.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ind w:left="660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Kevin Macikowski, by power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06/23/2021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-26035</wp:posOffset>
            </wp:positionV>
            <wp:extent cx="13576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7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-15875</wp:posOffset>
            </wp:positionV>
            <wp:extent cx="4527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7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-79375</wp:posOffset>
            </wp:positionV>
            <wp:extent cx="4730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both"/>
        <w:ind w:left="40" w:right="3780" w:hanging="2"/>
        <w:spacing w:after="0" w:line="324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7548" TargetMode="External"/><Relationship Id="rId13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2021-06-23T19:32:21Z</dcterms:created>
  <dcterms:modified xsi:type="dcterms:W3CDTF">2021-06-23T19:32:21Z</dcterms:modified>
</cp:coreProperties>
</file>