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VIATRIS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4"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317615" cy="8229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761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406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540"/>
        <w:spacing w:after="0"/>
        <w:rPr>
          <w:sz w:val="20"/>
          <w:szCs w:val="20"/>
          <w:color w:val="auto"/>
        </w:rPr>
      </w:pPr>
      <w:r>
        <w:rPr>
          <w:rFonts w:ascii="Arial" w:cs="Arial" w:eastAsia="Arial" w:hAnsi="Arial"/>
          <w:sz w:val="25"/>
          <w:szCs w:val="25"/>
          <w:color w:val="3F3F3F"/>
        </w:rPr>
        <w:t>Message from</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40"/>
          <w:szCs w:val="40"/>
          <w:color w:val="3F3F3F"/>
        </w:rPr>
        <w:t>the Chair of the Board, Melina Higgins</w:t>
      </w:r>
    </w:p>
    <w:p>
      <w:pPr>
        <w:spacing w:after="0" w:line="200" w:lineRule="exact"/>
        <w:rPr>
          <w:sz w:val="20"/>
          <w:szCs w:val="20"/>
          <w:color w:val="auto"/>
        </w:rPr>
      </w:pPr>
    </w:p>
    <w:p>
      <w:pPr>
        <w:spacing w:after="0" w:line="341" w:lineRule="exact"/>
        <w:rPr>
          <w:sz w:val="20"/>
          <w:szCs w:val="20"/>
          <w:color w:val="auto"/>
        </w:rPr>
      </w:pPr>
    </w:p>
    <w:p>
      <w:pPr>
        <w:ind w:left="1560"/>
        <w:spacing w:after="0"/>
        <w:rPr>
          <w:sz w:val="20"/>
          <w:szCs w:val="20"/>
          <w:color w:val="auto"/>
        </w:rPr>
      </w:pPr>
      <w:r>
        <w:rPr>
          <w:rFonts w:ascii="Arial" w:cs="Arial" w:eastAsia="Arial" w:hAnsi="Arial"/>
          <w:sz w:val="18"/>
          <w:szCs w:val="18"/>
          <w:color w:val="F5C400"/>
        </w:rPr>
        <w:t>          </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22"/>
          <w:szCs w:val="22"/>
          <w:color w:val="231161"/>
        </w:rPr>
        <w:t>Dear Fellow Shareholders,</w:t>
      </w:r>
    </w:p>
    <w:p>
      <w:pPr>
        <w:spacing w:after="0" w:line="23" w:lineRule="exact"/>
        <w:rPr>
          <w:sz w:val="20"/>
          <w:szCs w:val="20"/>
          <w:color w:val="auto"/>
        </w:rPr>
      </w:pPr>
    </w:p>
    <w:p>
      <w:pPr>
        <w:ind w:left="1540" w:right="1679"/>
        <w:spacing w:after="0" w:line="259" w:lineRule="auto"/>
        <w:rPr>
          <w:sz w:val="20"/>
          <w:szCs w:val="20"/>
          <w:color w:val="auto"/>
        </w:rPr>
      </w:pPr>
      <w:r>
        <w:rPr>
          <w:rFonts w:ascii="Arial" w:cs="Arial" w:eastAsia="Arial" w:hAnsi="Arial"/>
          <w:sz w:val="16"/>
          <w:szCs w:val="16"/>
          <w:color w:val="3F3F3F"/>
        </w:rPr>
        <w:t>It is a great pleasure to address you for the first time as Chair of the Board. On behalf of the entire Board of Directors, I want to thank you for your investment and confidence in Viatris. It is a privilege to serve in this role and to work closely with my fellow Board members and the management team to ensure our continued success.</w:t>
      </w:r>
    </w:p>
    <w:p>
      <w:pPr>
        <w:spacing w:after="0" w:line="70" w:lineRule="exact"/>
        <w:rPr>
          <w:sz w:val="20"/>
          <w:szCs w:val="20"/>
          <w:color w:val="auto"/>
        </w:rPr>
      </w:pPr>
    </w:p>
    <w:p>
      <w:pPr>
        <w:ind w:left="1540" w:right="1739"/>
        <w:spacing w:after="0" w:line="234" w:lineRule="auto"/>
        <w:rPr>
          <w:sz w:val="20"/>
          <w:szCs w:val="20"/>
          <w:color w:val="auto"/>
        </w:rPr>
      </w:pPr>
      <w:r>
        <w:rPr>
          <w:rFonts w:ascii="Arial" w:cs="Arial" w:eastAsia="Arial" w:hAnsi="Arial"/>
          <w:sz w:val="16"/>
          <w:szCs w:val="16"/>
          <w:color w:val="3F3F3F"/>
        </w:rPr>
        <w:t>2023 marked the beginning of a new chapter in Viatris’ journey. Since the company’s launch in 2020, we have successfully executed on our original initiatives and achieved our stated goals and targets. Our efforts culminated in the completion of our planned divestitures in July. As intended, we used the proceeds from those divestitures to prepay our 2025 and half of our 2026 debt maturities, putting us firmly on track to achieve our long-term gross leverage target.</w:t>
      </w:r>
      <w:r>
        <w:rPr>
          <w:rFonts w:ascii="Arial" w:cs="Arial" w:eastAsia="Arial" w:hAnsi="Arial"/>
          <w:sz w:val="24"/>
          <w:szCs w:val="24"/>
          <w:color w:val="3F3F3F"/>
          <w:vertAlign w:val="superscript"/>
        </w:rPr>
        <w:t>1</w:t>
      </w:r>
      <w:r>
        <w:rPr>
          <w:rFonts w:ascii="Arial" w:cs="Arial" w:eastAsia="Arial" w:hAnsi="Arial"/>
          <w:sz w:val="16"/>
          <w:szCs w:val="16"/>
          <w:color w:val="3F3F3F"/>
        </w:rPr>
        <w:t xml:space="preserve"> This positions us well to continue executing our long-term strategy while maximizing shareholder value.</w:t>
      </w:r>
    </w:p>
    <w:p>
      <w:pPr>
        <w:spacing w:after="0" w:line="86" w:lineRule="exact"/>
        <w:rPr>
          <w:sz w:val="20"/>
          <w:szCs w:val="20"/>
          <w:color w:val="auto"/>
        </w:rPr>
      </w:pPr>
    </w:p>
    <w:p>
      <w:pPr>
        <w:ind w:left="1540" w:right="1659"/>
        <w:spacing w:after="0" w:line="252" w:lineRule="auto"/>
        <w:rPr>
          <w:sz w:val="20"/>
          <w:szCs w:val="20"/>
          <w:color w:val="auto"/>
        </w:rPr>
      </w:pPr>
      <w:r>
        <w:rPr>
          <w:rFonts w:ascii="Arial" w:cs="Arial" w:eastAsia="Arial" w:hAnsi="Arial"/>
          <w:sz w:val="16"/>
          <w:szCs w:val="16"/>
          <w:color w:val="3F3F3F"/>
        </w:rPr>
        <w:t>Considering that many corporate management transitions can be challenging, I am proud of how we successfully navigated several seamless leadership changes. At the management level, on April 1, 2023, Scott A. Smith became Viatris’ new CEO, bringing with him more than 35 years of experience in building, growing, and managing large, complex organizations, as well as a proven track record of developing and executing regulatory, clinical, and business development strategies. Since then, the Board has worked with Scott to ensure the smooth transition of a newly established leadership team that brings the diverse skills and experiences needed to drive our future.</w:t>
      </w:r>
    </w:p>
    <w:p>
      <w:pPr>
        <w:spacing w:after="0" w:line="75" w:lineRule="exact"/>
        <w:rPr>
          <w:sz w:val="20"/>
          <w:szCs w:val="20"/>
          <w:color w:val="auto"/>
        </w:rPr>
      </w:pPr>
    </w:p>
    <w:p>
      <w:pPr>
        <w:ind w:left="1540" w:right="1659"/>
        <w:spacing w:after="0" w:line="251" w:lineRule="auto"/>
        <w:rPr>
          <w:sz w:val="20"/>
          <w:szCs w:val="20"/>
          <w:color w:val="auto"/>
        </w:rPr>
      </w:pPr>
      <w:r>
        <w:rPr>
          <w:rFonts w:ascii="Arial" w:cs="Arial" w:eastAsia="Arial" w:hAnsi="Arial"/>
          <w:sz w:val="16"/>
          <w:szCs w:val="16"/>
          <w:color w:val="3F3F3F"/>
        </w:rPr>
        <w:t>At the Board level, we remain committed to strong corporate governance. We continue to focus on refreshing our Board with highly qualified independent directors from diverse backgrounds to help further guide and advance our strategy. Since December 2022, we have successfully transitioned four retiring directors, welcomed four new directors, and refocused our Science and Technology Committee on our growth strategy. In May 2023, we announced that, at the end of the year, Robert J. Coury — the architect and major driving force behind the creation of Viatris — would not stand for re-election to the Board, but rather would transition to a new role as Chairman Emeritus and Senior Strategic Advisor. I was honored to be elected as our Board’s new independent Chair in December 2023.</w:t>
      </w:r>
    </w:p>
    <w:p>
      <w:pPr>
        <w:spacing w:after="0" w:line="293" w:lineRule="exact"/>
        <w:rPr>
          <w:sz w:val="20"/>
          <w:szCs w:val="20"/>
          <w:color w:val="auto"/>
        </w:rPr>
      </w:pPr>
    </w:p>
    <w:p>
      <w:pPr>
        <w:ind w:left="1880" w:right="1719" w:hanging="225"/>
        <w:spacing w:after="0" w:line="265" w:lineRule="auto"/>
        <w:tabs>
          <w:tab w:leader="none" w:pos="1880" w:val="left"/>
        </w:tabs>
        <w:numPr>
          <w:ilvl w:val="0"/>
          <w:numId w:val="6"/>
        </w:numPr>
        <w:rPr>
          <w:rFonts w:ascii="Arial" w:cs="Arial" w:eastAsia="Arial" w:hAnsi="Arial"/>
          <w:sz w:val="24"/>
          <w:szCs w:val="24"/>
          <w:color w:val="3F3F3F"/>
          <w:vertAlign w:val="superscript"/>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 — “Non-GAAP Financial Measures” for more information.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rPr>
          <w:sz w:val="20"/>
          <w:szCs w:val="20"/>
          <w:color w:val="auto"/>
        </w:rPr>
      </w:pPr>
      <w:r>
        <w:rPr>
          <w:rFonts w:ascii="Arial" w:cs="Arial" w:eastAsia="Arial" w:hAnsi="Arial"/>
          <w:sz w:val="18"/>
          <w:szCs w:val="18"/>
          <w:color w:val="3F3F3F"/>
        </w:rPr>
        <w:t> </w:t>
      </w:r>
    </w:p>
    <w:p>
      <w:pPr>
        <w:sectPr>
          <w:pgSz w:w="11900" w:h="16838" w:orient="portrait"/>
          <w:cols w:equalWidth="0" w:num="1">
            <w:col w:w="10139"/>
          </w:cols>
          <w:pgMar w:left="320" w:top="4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406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spacing w:after="0" w:line="16" w:lineRule="exact"/>
        <w:rPr>
          <w:sz w:val="20"/>
          <w:szCs w:val="20"/>
          <w:color w:val="auto"/>
        </w:rPr>
      </w:pPr>
    </w:p>
    <w:p>
      <w:pPr>
        <w:ind w:left="2060" w:right="159"/>
        <w:spacing w:after="0" w:line="250" w:lineRule="auto"/>
        <w:rPr>
          <w:sz w:val="20"/>
          <w:szCs w:val="20"/>
          <w:color w:val="auto"/>
        </w:rPr>
      </w:pPr>
      <w:r>
        <w:rPr>
          <w:rFonts w:ascii="Arial" w:cs="Arial" w:eastAsia="Arial" w:hAnsi="Arial"/>
          <w:sz w:val="16"/>
          <w:szCs w:val="16"/>
          <w:color w:val="3F3F3F"/>
        </w:rPr>
        <w:t>With this strong foundation in place, the company is well-positioned to focus on the next phase of its strategy. Viatris is not only stronger and more streamlined, but more importantly, our future direction is much clearer and more focused: a capital allocation story. We believe that how we prioritize capital allocation going forward will be the single most critical factor in driving, optimizing, and maximizing shareholder value. Returning value to shareholders through dividends and share repurchases will remain a central element of our capital allocation priorities.</w:t>
      </w:r>
    </w:p>
    <w:p>
      <w:pPr>
        <w:spacing w:after="0" w:line="90" w:lineRule="exact"/>
        <w:rPr>
          <w:sz w:val="20"/>
          <w:szCs w:val="20"/>
          <w:color w:val="auto"/>
        </w:rPr>
      </w:pPr>
    </w:p>
    <w:p>
      <w:pPr>
        <w:ind w:left="2060" w:right="299"/>
        <w:spacing w:after="0" w:line="266" w:lineRule="auto"/>
        <w:rPr>
          <w:sz w:val="20"/>
          <w:szCs w:val="20"/>
          <w:color w:val="auto"/>
        </w:rPr>
      </w:pPr>
      <w:r>
        <w:rPr>
          <w:rFonts w:ascii="Arial" w:cs="Arial" w:eastAsia="Arial" w:hAnsi="Arial"/>
          <w:sz w:val="16"/>
          <w:szCs w:val="16"/>
          <w:color w:val="3F3F3F"/>
        </w:rPr>
        <w:t>This is a new chapter for Viatris, but it is also a continuation of what we have worked so hard to build — a company rooted in responsible governance, poised for growth, and committed to creating lasting value for all our shareholders.</w:t>
      </w:r>
    </w:p>
    <w:p>
      <w:pPr>
        <w:spacing w:after="0" w:line="77" w:lineRule="exact"/>
        <w:rPr>
          <w:sz w:val="20"/>
          <w:szCs w:val="20"/>
          <w:color w:val="auto"/>
        </w:rPr>
      </w:pPr>
    </w:p>
    <w:p>
      <w:pPr>
        <w:ind w:left="2060" w:right="559"/>
        <w:spacing w:after="0" w:line="286" w:lineRule="auto"/>
        <w:rPr>
          <w:sz w:val="20"/>
          <w:szCs w:val="20"/>
          <w:color w:val="auto"/>
        </w:rPr>
      </w:pPr>
      <w:r>
        <w:rPr>
          <w:rFonts w:ascii="Arial" w:cs="Arial" w:eastAsia="Arial" w:hAnsi="Arial"/>
          <w:sz w:val="16"/>
          <w:szCs w:val="16"/>
          <w:color w:val="3F3F3F"/>
        </w:rPr>
        <w:t>In closing, we are extremely pleased with the progress made in 2023 and with where we stand today. We appreciate your continued trust and support.</w:t>
      </w:r>
    </w:p>
    <w:p>
      <w:pPr>
        <w:spacing w:after="0" w:line="200" w:lineRule="exact"/>
        <w:rPr>
          <w:sz w:val="20"/>
          <w:szCs w:val="20"/>
          <w:color w:val="auto"/>
        </w:rPr>
      </w:pPr>
    </w:p>
    <w:p>
      <w:pPr>
        <w:spacing w:after="0" w:line="239"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Sincerely,</w:t>
      </w:r>
    </w:p>
    <w:p>
      <w:pPr>
        <w:spacing w:after="0" w:line="383"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Melina Higgins</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Chair of the Board</w:t>
      </w:r>
    </w:p>
    <w:p>
      <w:pPr>
        <w:ind w:left="120"/>
        <w:spacing w:after="0" w:line="237"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rPr>
          <w:sz w:val="20"/>
          <w:szCs w:val="20"/>
          <w:color w:val="auto"/>
        </w:rPr>
      </w:pPr>
      <w:r>
        <w:rPr>
          <w:rFonts w:ascii="Arial" w:cs="Arial" w:eastAsia="Arial" w:hAnsi="Arial"/>
          <w:sz w:val="18"/>
          <w:szCs w:val="18"/>
          <w:color w:val="3F3F3F"/>
        </w:rPr>
        <w:t> </w:t>
      </w:r>
    </w:p>
    <w:p>
      <w:pPr>
        <w:sectPr>
          <w:pgSz w:w="11900" w:h="16838" w:orient="portrait"/>
          <w:cols w:equalWidth="0" w:num="1">
            <w:col w:w="10139"/>
          </w:cols>
          <w:pgMar w:left="320" w:top="48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406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540"/>
        <w:spacing w:after="0"/>
        <w:rPr>
          <w:sz w:val="20"/>
          <w:szCs w:val="20"/>
          <w:color w:val="auto"/>
        </w:rPr>
      </w:pPr>
      <w:r>
        <w:rPr>
          <w:rFonts w:ascii="Arial" w:cs="Arial" w:eastAsia="Arial" w:hAnsi="Arial"/>
          <w:sz w:val="25"/>
          <w:szCs w:val="25"/>
          <w:color w:val="3F3F3F"/>
        </w:rPr>
        <w:t>Message from</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40"/>
          <w:szCs w:val="40"/>
          <w:color w:val="3F3F3F"/>
        </w:rPr>
        <w:t>Scott A. Smith, Chief Executive Officer</w:t>
      </w:r>
    </w:p>
    <w:p>
      <w:pPr>
        <w:spacing w:after="0" w:line="200" w:lineRule="exact"/>
        <w:rPr>
          <w:sz w:val="20"/>
          <w:szCs w:val="20"/>
          <w:color w:val="auto"/>
        </w:rPr>
      </w:pPr>
    </w:p>
    <w:p>
      <w:pPr>
        <w:spacing w:after="0" w:line="341" w:lineRule="exact"/>
        <w:rPr>
          <w:sz w:val="20"/>
          <w:szCs w:val="20"/>
          <w:color w:val="auto"/>
        </w:rPr>
      </w:pPr>
    </w:p>
    <w:p>
      <w:pPr>
        <w:ind w:left="1560"/>
        <w:spacing w:after="0"/>
        <w:rPr>
          <w:sz w:val="20"/>
          <w:szCs w:val="20"/>
          <w:color w:val="auto"/>
        </w:rPr>
      </w:pPr>
      <w:r>
        <w:rPr>
          <w:rFonts w:ascii="Arial" w:cs="Arial" w:eastAsia="Arial" w:hAnsi="Arial"/>
          <w:sz w:val="18"/>
          <w:szCs w:val="18"/>
          <w:color w:val="F5C400"/>
        </w:rPr>
        <w:t>          </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22"/>
          <w:szCs w:val="22"/>
          <w:color w:val="231161"/>
        </w:rPr>
        <w:t>Dear Viatris Shareholders,</w:t>
      </w:r>
    </w:p>
    <w:p>
      <w:pPr>
        <w:spacing w:after="0" w:line="23" w:lineRule="exact"/>
        <w:rPr>
          <w:sz w:val="20"/>
          <w:szCs w:val="20"/>
          <w:color w:val="auto"/>
        </w:rPr>
      </w:pPr>
    </w:p>
    <w:p>
      <w:pPr>
        <w:ind w:left="1540" w:right="1879"/>
        <w:spacing w:after="0" w:line="259" w:lineRule="auto"/>
        <w:rPr>
          <w:sz w:val="20"/>
          <w:szCs w:val="20"/>
          <w:color w:val="auto"/>
        </w:rPr>
      </w:pPr>
      <w:r>
        <w:rPr>
          <w:rFonts w:ascii="Arial" w:cs="Arial" w:eastAsia="Arial" w:hAnsi="Arial"/>
          <w:sz w:val="16"/>
          <w:szCs w:val="16"/>
          <w:color w:val="3F3F3F"/>
        </w:rPr>
        <w:t>Since becoming CEO of Viatris on April 1, 2023, I have had the opportunity to meet many talented people across our company and have gained a deep appreciation for everyone’s passion, dedication and commitment to Viatris’ success and the impact we can make together for patients. I could not be more excited about our future.</w:t>
      </w:r>
    </w:p>
    <w:p>
      <w:pPr>
        <w:spacing w:after="0" w:line="70"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An Inflection Point for our Company</w:t>
      </w:r>
    </w:p>
    <w:p>
      <w:pPr>
        <w:spacing w:after="0" w:line="46" w:lineRule="exact"/>
        <w:rPr>
          <w:sz w:val="20"/>
          <w:szCs w:val="20"/>
          <w:color w:val="auto"/>
        </w:rPr>
      </w:pPr>
    </w:p>
    <w:p>
      <w:pPr>
        <w:ind w:left="1540" w:right="1799"/>
        <w:spacing w:after="0" w:line="256" w:lineRule="auto"/>
        <w:rPr>
          <w:sz w:val="20"/>
          <w:szCs w:val="20"/>
          <w:color w:val="auto"/>
        </w:rPr>
      </w:pPr>
      <w:r>
        <w:rPr>
          <w:rFonts w:ascii="Arial" w:cs="Arial" w:eastAsia="Arial" w:hAnsi="Arial"/>
          <w:sz w:val="16"/>
          <w:szCs w:val="16"/>
          <w:color w:val="3F3F3F"/>
        </w:rPr>
        <w:t>We are at an important inflection point for our company. Four years ago, Viatris embarked on a journey to build a new kind of healthcare company. By combining Mylan N.V. — a strong global generics company — and the Upjohn business — a division of Pfizer Inc. with 20 of the most iconic off-patent brands — the goal was to build a unique global pharmaceutical company with the scale to bring patients access to high-quality medicines worldwide.</w:t>
      </w:r>
    </w:p>
    <w:p>
      <w:pPr>
        <w:spacing w:after="0" w:line="72" w:lineRule="exact"/>
        <w:rPr>
          <w:sz w:val="20"/>
          <w:szCs w:val="20"/>
          <w:color w:val="auto"/>
        </w:rPr>
      </w:pPr>
    </w:p>
    <w:p>
      <w:pPr>
        <w:ind w:left="1540" w:right="1679"/>
        <w:spacing w:after="0" w:line="253" w:lineRule="auto"/>
        <w:rPr>
          <w:sz w:val="20"/>
          <w:szCs w:val="20"/>
          <w:color w:val="auto"/>
        </w:rPr>
      </w:pPr>
      <w:r>
        <w:rPr>
          <w:rFonts w:ascii="Arial" w:cs="Arial" w:eastAsia="Arial" w:hAnsi="Arial"/>
          <w:sz w:val="16"/>
          <w:szCs w:val="16"/>
          <w:color w:val="3F3F3F"/>
        </w:rPr>
        <w:t>The Viatris team has done an outstanding job executing the plan that was laid out when the two companies were brought together. Now that we have successfully simplified and streamlined our business, returned our base business to growth and strengthened our balance sheet, we are ready to look to the future. Our vision is to accelerate growth and shareholder returns by building on the strength of our base business with an expanding portfolio of innovative, best-in-class, patent-protected assets that have the potential for meaningful revenue growth and patient impact.</w:t>
      </w:r>
    </w:p>
    <w:p>
      <w:pPr>
        <w:spacing w:after="0" w:line="267"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Strong Financial Results Provide Strong Foundation for Future Growth</w:t>
      </w:r>
    </w:p>
    <w:p>
      <w:pPr>
        <w:spacing w:after="0" w:line="32" w:lineRule="exact"/>
        <w:rPr>
          <w:sz w:val="20"/>
          <w:szCs w:val="20"/>
          <w:color w:val="auto"/>
        </w:rPr>
      </w:pPr>
    </w:p>
    <w:p>
      <w:pPr>
        <w:ind w:left="1540" w:right="1819"/>
        <w:spacing w:after="0" w:line="250" w:lineRule="auto"/>
        <w:rPr>
          <w:sz w:val="20"/>
          <w:szCs w:val="20"/>
          <w:color w:val="auto"/>
        </w:rPr>
      </w:pPr>
      <w:r>
        <w:rPr>
          <w:rFonts w:ascii="Arial" w:cs="Arial" w:eastAsia="Arial" w:hAnsi="Arial"/>
          <w:sz w:val="16"/>
          <w:szCs w:val="16"/>
          <w:color w:val="3F3F3F"/>
        </w:rPr>
        <w:t>Importantly, we accomplished our near-term goals while continuing to deliver strong financial results. In 2023, we reported total revenues of $15.4 billion, U.S. GAAP net earnings of $54.7 million, adjusted EBITDA of $5.1 billion, U.S. GAAP net cash provided by operating activities of $2.8 billion and free cash flow of $2.4 billion. Our generation of strong cash flow allows us to return capital to shareholders through share repurchases and dividends while also fueling our base business and providing the capital to make strategic investments in future growth.</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sectPr>
          <w:pgSz w:w="11900" w:h="16838" w:orient="portrait"/>
          <w:cols w:equalWidth="0" w:num="1">
            <w:col w:w="10139"/>
          </w:cols>
          <w:pgMar w:left="320" w:top="4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406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A Bold Vision for the Future</w:t>
      </w:r>
    </w:p>
    <w:p>
      <w:pPr>
        <w:spacing w:after="0" w:line="59" w:lineRule="exact"/>
        <w:rPr>
          <w:sz w:val="20"/>
          <w:szCs w:val="20"/>
          <w:color w:val="auto"/>
        </w:rPr>
      </w:pPr>
    </w:p>
    <w:p>
      <w:pPr>
        <w:jc w:val="both"/>
        <w:ind w:left="2760" w:right="879"/>
        <w:spacing w:after="0" w:line="328" w:lineRule="auto"/>
        <w:rPr>
          <w:sz w:val="20"/>
          <w:szCs w:val="20"/>
          <w:color w:val="auto"/>
        </w:rPr>
      </w:pPr>
      <w:r>
        <w:rPr>
          <w:rFonts w:ascii="Arial" w:cs="Arial" w:eastAsia="Arial" w:hAnsi="Arial"/>
          <w:sz w:val="16"/>
          <w:szCs w:val="16"/>
          <w:color w:val="3F3F3F"/>
        </w:rPr>
        <w:t>We believe all the great work done over the last several years has put the company in the position to deliver on our future vision. In August 2024, we laid out three strategic pillars on which we will focus to ensure our success:</w:t>
      </w:r>
    </w:p>
    <w:p>
      <w:pPr>
        <w:spacing w:after="0" w:line="29" w:lineRule="exact"/>
        <w:rPr>
          <w:sz w:val="20"/>
          <w:szCs w:val="20"/>
          <w:color w:val="auto"/>
        </w:rPr>
      </w:pPr>
    </w:p>
    <w:p>
      <w:pPr>
        <w:ind w:left="2960" w:right="559" w:hanging="212"/>
        <w:spacing w:after="0" w:line="259" w:lineRule="auto"/>
        <w:tabs>
          <w:tab w:leader="none" w:pos="296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 xml:space="preserve">Our </w:t>
      </w:r>
      <w:r>
        <w:rPr>
          <w:rFonts w:ascii="Arial" w:cs="Arial" w:eastAsia="Arial" w:hAnsi="Arial"/>
          <w:sz w:val="16"/>
          <w:szCs w:val="16"/>
          <w:b w:val="1"/>
          <w:bCs w:val="1"/>
          <w:color w:val="9659A1"/>
        </w:rPr>
        <w:t>Diversified and Growing Base Business</w:t>
      </w:r>
      <w:r>
        <w:rPr>
          <w:rFonts w:ascii="Arial" w:cs="Arial" w:eastAsia="Arial" w:hAnsi="Arial"/>
          <w:sz w:val="16"/>
          <w:szCs w:val="16"/>
          <w:color w:val="3F3F3F"/>
        </w:rPr>
        <w:t>. As we’ve said, our extensive global footprint already reaches approximately 1 billion patients every year.</w:t>
      </w:r>
      <w:r>
        <w:rPr>
          <w:rFonts w:ascii="Arial" w:cs="Arial" w:eastAsia="Arial" w:hAnsi="Arial"/>
          <w:sz w:val="24"/>
          <w:szCs w:val="24"/>
          <w:color w:val="3F3F3F"/>
          <w:vertAlign w:val="superscript"/>
        </w:rPr>
        <w:t>1</w:t>
      </w:r>
      <w:r>
        <w:rPr>
          <w:rFonts w:ascii="Arial" w:cs="Arial" w:eastAsia="Arial" w:hAnsi="Arial"/>
          <w:sz w:val="16"/>
          <w:szCs w:val="16"/>
          <w:color w:val="3F3F3F"/>
        </w:rPr>
        <w:t xml:space="preserve"> Our continued success in this part of our business comes from our large and diversified portfolio of generics and off-patent</w:t>
      </w:r>
    </w:p>
    <w:p>
      <w:pPr>
        <w:spacing w:after="0" w:line="7" w:lineRule="exact"/>
        <w:rPr>
          <w:rFonts w:ascii="Arial" w:cs="Arial" w:eastAsia="Arial" w:hAnsi="Arial"/>
          <w:sz w:val="16"/>
          <w:szCs w:val="16"/>
          <w:color w:val="3F3F3F"/>
        </w:rPr>
      </w:pPr>
    </w:p>
    <w:p>
      <w:pPr>
        <w:ind w:left="2960" w:right="679"/>
        <w:spacing w:after="0" w:line="334" w:lineRule="auto"/>
        <w:rPr>
          <w:rFonts w:ascii="Arial" w:cs="Arial" w:eastAsia="Arial" w:hAnsi="Arial"/>
          <w:sz w:val="16"/>
          <w:szCs w:val="16"/>
          <w:color w:val="3F3F3F"/>
        </w:rPr>
      </w:pPr>
      <w:r>
        <w:rPr>
          <w:rFonts w:ascii="Arial" w:cs="Arial" w:eastAsia="Arial" w:hAnsi="Arial"/>
          <w:sz w:val="16"/>
          <w:szCs w:val="16"/>
          <w:color w:val="3F3F3F"/>
        </w:rPr>
        <w:t>brands that extends across markets and therapeutic areas. Here we have a clear legacy of deep product knowledge and extensive commercialization and development expertise.</w:t>
      </w:r>
    </w:p>
    <w:p>
      <w:pPr>
        <w:ind w:left="2960" w:right="519" w:hanging="212"/>
        <w:spacing w:after="0" w:line="305" w:lineRule="auto"/>
        <w:tabs>
          <w:tab w:leader="none" w:pos="296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 xml:space="preserve">Our </w:t>
      </w:r>
      <w:r>
        <w:rPr>
          <w:rFonts w:ascii="Arial" w:cs="Arial" w:eastAsia="Arial" w:hAnsi="Arial"/>
          <w:sz w:val="16"/>
          <w:szCs w:val="16"/>
          <w:b w:val="1"/>
          <w:bCs w:val="1"/>
          <w:color w:val="9659A1"/>
        </w:rPr>
        <w:t>Financial Strength &amp; Significant Cash Flow</w:t>
      </w:r>
      <w:r>
        <w:rPr>
          <w:rFonts w:ascii="Arial" w:cs="Arial" w:eastAsia="Arial" w:hAnsi="Arial"/>
          <w:sz w:val="16"/>
          <w:szCs w:val="16"/>
          <w:color w:val="3F3F3F"/>
        </w:rPr>
        <w:t>. Our strong balance sheet and sector-leading cash flow generation differentiate us from our peers. We expect to continue to deliver on our financial commitments, including debt reduction and returning capital to shareholders</w:t>
      </w:r>
    </w:p>
    <w:p>
      <w:pPr>
        <w:ind w:left="2960" w:right="579"/>
        <w:spacing w:after="0" w:line="259" w:lineRule="auto"/>
        <w:rPr>
          <w:rFonts w:ascii="Arial" w:cs="Arial" w:eastAsia="Arial" w:hAnsi="Arial"/>
          <w:sz w:val="16"/>
          <w:szCs w:val="16"/>
          <w:color w:val="3F3F3F"/>
        </w:rPr>
      </w:pPr>
      <w:r>
        <w:rPr>
          <w:rFonts w:ascii="Arial" w:cs="Arial" w:eastAsia="Arial" w:hAnsi="Arial"/>
          <w:sz w:val="16"/>
          <w:szCs w:val="16"/>
          <w:color w:val="3F3F3F"/>
        </w:rPr>
        <w:t>through dividends and share repurchases. With the divestiture proceeds now in hand, we believe we have a clear line of sight to meet our long-term gross leverage target</w:t>
      </w:r>
      <w:r>
        <w:rPr>
          <w:rFonts w:ascii="Arial" w:cs="Arial" w:eastAsia="Arial" w:hAnsi="Arial"/>
          <w:sz w:val="24"/>
          <w:szCs w:val="24"/>
          <w:color w:val="3F3F3F"/>
          <w:vertAlign w:val="superscript"/>
        </w:rPr>
        <w:t>2</w:t>
      </w:r>
      <w:r>
        <w:rPr>
          <w:rFonts w:ascii="Arial" w:cs="Arial" w:eastAsia="Arial" w:hAnsi="Arial"/>
          <w:sz w:val="16"/>
          <w:szCs w:val="16"/>
          <w:color w:val="3F3F3F"/>
        </w:rPr>
        <w:t xml:space="preserve"> by the end of 2024.</w:t>
      </w:r>
    </w:p>
    <w:p>
      <w:pPr>
        <w:spacing w:after="0" w:line="47" w:lineRule="exact"/>
        <w:rPr>
          <w:rFonts w:ascii="Arial" w:cs="Arial" w:eastAsia="Arial" w:hAnsi="Arial"/>
          <w:sz w:val="16"/>
          <w:szCs w:val="16"/>
          <w:color w:val="3F3F3F"/>
        </w:rPr>
      </w:pPr>
    </w:p>
    <w:p>
      <w:pPr>
        <w:jc w:val="both"/>
        <w:ind w:left="2960" w:right="559" w:hanging="212"/>
        <w:spacing w:after="0" w:line="305" w:lineRule="auto"/>
        <w:tabs>
          <w:tab w:leader="none" w:pos="296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 xml:space="preserve">Our </w:t>
      </w:r>
      <w:r>
        <w:rPr>
          <w:rFonts w:ascii="Arial" w:cs="Arial" w:eastAsia="Arial" w:hAnsi="Arial"/>
          <w:sz w:val="16"/>
          <w:szCs w:val="16"/>
          <w:b w:val="1"/>
          <w:bCs w:val="1"/>
          <w:color w:val="9659A1"/>
        </w:rPr>
        <w:t>Expanding Innovative Portfolio</w:t>
      </w:r>
      <w:r>
        <w:rPr>
          <w:rFonts w:ascii="Arial" w:cs="Arial" w:eastAsia="Arial" w:hAnsi="Arial"/>
          <w:sz w:val="16"/>
          <w:szCs w:val="16"/>
          <w:color w:val="3F3F3F"/>
        </w:rPr>
        <w:t>. This area represents an increasing focus on efforts to identify, vet and secure innovative, best-in-class, patent-protected assets. We are looking for assets that target significant unmet medical need in areas in which the company can be</w:t>
      </w:r>
    </w:p>
    <w:p>
      <w:pPr>
        <w:ind w:left="2960" w:right="599"/>
        <w:spacing w:after="0" w:line="339" w:lineRule="auto"/>
        <w:rPr>
          <w:rFonts w:ascii="Arial" w:cs="Arial" w:eastAsia="Arial" w:hAnsi="Arial"/>
          <w:sz w:val="16"/>
          <w:szCs w:val="16"/>
          <w:color w:val="3F3F3F"/>
        </w:rPr>
      </w:pPr>
      <w:r>
        <w:rPr>
          <w:rFonts w:ascii="Arial" w:cs="Arial" w:eastAsia="Arial" w:hAnsi="Arial"/>
          <w:sz w:val="16"/>
          <w:szCs w:val="16"/>
          <w:color w:val="3F3F3F"/>
        </w:rPr>
        <w:t>successful. By expanding our innovative portfolio, we have the potential to drive accelerated and durable revenue growth.</w:t>
      </w:r>
    </w:p>
    <w:p>
      <w:pPr>
        <w:spacing w:after="0" w:line="7" w:lineRule="exact"/>
        <w:rPr>
          <w:sz w:val="20"/>
          <w:szCs w:val="20"/>
          <w:color w:val="auto"/>
        </w:rPr>
      </w:pPr>
    </w:p>
    <w:p>
      <w:pPr>
        <w:ind w:left="2760"/>
        <w:spacing w:after="0"/>
        <w:rPr>
          <w:sz w:val="20"/>
          <w:szCs w:val="20"/>
          <w:color w:val="auto"/>
        </w:rPr>
      </w:pPr>
      <w:r>
        <w:rPr>
          <w:rFonts w:ascii="Arial" w:cs="Arial" w:eastAsia="Arial" w:hAnsi="Arial"/>
          <w:sz w:val="16"/>
          <w:szCs w:val="16"/>
          <w:color w:val="3F3F3F"/>
        </w:rPr>
        <w:t xml:space="preserve">             </w:t>
      </w:r>
    </w:p>
    <w:p>
      <w:pPr>
        <w:spacing w:after="0" w:line="32" w:lineRule="exact"/>
        <w:rPr>
          <w:sz w:val="20"/>
          <w:szCs w:val="20"/>
          <w:color w:val="auto"/>
        </w:rPr>
      </w:pPr>
    </w:p>
    <w:p>
      <w:pPr>
        <w:ind w:left="2960" w:right="539" w:hanging="212"/>
        <w:spacing w:after="0" w:line="273" w:lineRule="auto"/>
        <w:tabs>
          <w:tab w:leader="none" w:pos="2960" w:val="left"/>
        </w:tabs>
        <w:numPr>
          <w:ilvl w:val="0"/>
          <w:numId w:val="8"/>
        </w:numPr>
        <w:rPr>
          <w:rFonts w:ascii="Arial" w:cs="Arial" w:eastAsia="Arial" w:hAnsi="Arial"/>
          <w:sz w:val="24"/>
          <w:szCs w:val="24"/>
          <w:color w:val="3F3F3F"/>
          <w:vertAlign w:val="superscript"/>
        </w:rPr>
      </w:pPr>
      <w:r>
        <w:rPr>
          <w:rFonts w:ascii="Arial" w:cs="Arial" w:eastAsia="Arial" w:hAnsi="Arial"/>
          <w:sz w:val="16"/>
          <w:szCs w:val="16"/>
          <w:color w:val="3F3F3F"/>
        </w:rPr>
        <w:t>The number of patients served is an estimate calculated using internal sales data (global volume of doses sold in 2023 in all markets as aligned with IQVIA standard units), divided by estimated per patient usage, which is based on treatment dose, treatment duration, and treatment adherence as estimated by Viatris Medical Affairs based on approved label</w:t>
      </w:r>
    </w:p>
    <w:p>
      <w:pPr>
        <w:spacing w:after="0" w:line="3" w:lineRule="exact"/>
        <w:rPr>
          <w:rFonts w:ascii="Arial" w:cs="Arial" w:eastAsia="Arial" w:hAnsi="Arial"/>
          <w:sz w:val="24"/>
          <w:szCs w:val="24"/>
          <w:color w:val="3F3F3F"/>
          <w:vertAlign w:val="superscript"/>
        </w:rPr>
      </w:pPr>
    </w:p>
    <w:p>
      <w:pPr>
        <w:ind w:left="2960" w:right="579"/>
        <w:spacing w:after="0" w:line="303" w:lineRule="auto"/>
        <w:rPr>
          <w:rFonts w:ascii="Arial" w:cs="Arial" w:eastAsia="Arial" w:hAnsi="Arial"/>
          <w:sz w:val="24"/>
          <w:szCs w:val="24"/>
          <w:color w:val="3F3F3F"/>
          <w:vertAlign w:val="superscript"/>
        </w:rPr>
      </w:pPr>
      <w:r>
        <w:rPr>
          <w:rFonts w:ascii="Arial" w:cs="Arial" w:eastAsia="Arial" w:hAnsi="Arial"/>
          <w:sz w:val="16"/>
          <w:szCs w:val="16"/>
          <w:color w:val="3F3F3F"/>
        </w:rPr>
        <w:t>indication and instructions for use, current international guideline recommendations, and common usage in clinical practice. Patients using multiple Viatris medicines may be counted as multiple patients. Certain adjustments were applied in consideration of now completed divestitures and to account for acceptable alternatives to the patient usage factors noted</w:t>
      </w:r>
    </w:p>
    <w:p>
      <w:pPr>
        <w:spacing w:after="0" w:line="2" w:lineRule="exact"/>
        <w:rPr>
          <w:sz w:val="20"/>
          <w:szCs w:val="20"/>
          <w:color w:val="auto"/>
        </w:rPr>
      </w:pPr>
    </w:p>
    <w:p>
      <w:pPr>
        <w:ind w:left="2960" w:right="1479"/>
        <w:spacing w:after="0" w:line="299" w:lineRule="auto"/>
        <w:rPr>
          <w:sz w:val="20"/>
          <w:szCs w:val="20"/>
          <w:color w:val="auto"/>
        </w:rPr>
      </w:pPr>
      <w:r>
        <w:rPr>
          <w:rFonts w:ascii="Arial" w:cs="Arial" w:eastAsia="Arial" w:hAnsi="Arial"/>
          <w:sz w:val="16"/>
          <w:szCs w:val="16"/>
          <w:color w:val="3F3F3F"/>
        </w:rPr>
        <w:t>above and rounded to the nearest hundred million. Estimates may be subject to reassessment.</w:t>
      </w:r>
    </w:p>
    <w:p>
      <w:pPr>
        <w:spacing w:after="0" w:line="1" w:lineRule="exact"/>
        <w:rPr>
          <w:sz w:val="20"/>
          <w:szCs w:val="20"/>
          <w:color w:val="auto"/>
        </w:rPr>
      </w:pPr>
    </w:p>
    <w:p>
      <w:pPr>
        <w:ind w:left="2960" w:right="539" w:hanging="212"/>
        <w:spacing w:after="0" w:line="265" w:lineRule="auto"/>
        <w:tabs>
          <w:tab w:leader="none" w:pos="2960" w:val="left"/>
        </w:tabs>
        <w:numPr>
          <w:ilvl w:val="0"/>
          <w:numId w:val="9"/>
        </w:numPr>
        <w:rPr>
          <w:rFonts w:ascii="Arial" w:cs="Arial" w:eastAsia="Arial" w:hAnsi="Arial"/>
          <w:sz w:val="24"/>
          <w:szCs w:val="24"/>
          <w:color w:val="3F3F3F"/>
          <w:vertAlign w:val="superscript"/>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 — “Non-GAAP Financial Measures” for more information.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sectPr>
          <w:pgSz w:w="11900" w:h="16838" w:orient="portrait"/>
          <w:cols w:equalWidth="0" w:num="1">
            <w:col w:w="10139"/>
          </w:cols>
          <w:pgMar w:left="320" w:top="4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406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Expanding our Innovative Portfolio</w:t>
      </w:r>
    </w:p>
    <w:p>
      <w:pPr>
        <w:spacing w:after="0" w:line="113" w:lineRule="exact"/>
        <w:rPr>
          <w:sz w:val="20"/>
          <w:szCs w:val="20"/>
          <w:color w:val="auto"/>
        </w:rPr>
      </w:pPr>
    </w:p>
    <w:p>
      <w:pPr>
        <w:ind w:left="1540" w:right="1799"/>
        <w:spacing w:after="0" w:line="266" w:lineRule="auto"/>
        <w:rPr>
          <w:sz w:val="20"/>
          <w:szCs w:val="20"/>
          <w:color w:val="auto"/>
        </w:rPr>
      </w:pPr>
      <w:r>
        <w:rPr>
          <w:rFonts w:ascii="Arial" w:cs="Arial" w:eastAsia="Arial" w:hAnsi="Arial"/>
          <w:sz w:val="16"/>
          <w:szCs w:val="16"/>
          <w:color w:val="3F3F3F"/>
        </w:rPr>
        <w:t>In February 2024, we entered into a global research and development collaboration for the exclusive global development and commercialization rights to two Phase 3 assets — selatogrel and cenerimod.</w:t>
      </w:r>
    </w:p>
    <w:p>
      <w:pPr>
        <w:spacing w:after="0" w:line="63" w:lineRule="exact"/>
        <w:rPr>
          <w:sz w:val="20"/>
          <w:szCs w:val="20"/>
          <w:color w:val="auto"/>
        </w:rPr>
      </w:pPr>
    </w:p>
    <w:p>
      <w:pPr>
        <w:ind w:left="1540" w:right="1779"/>
        <w:spacing w:after="0" w:line="259" w:lineRule="auto"/>
        <w:rPr>
          <w:sz w:val="20"/>
          <w:szCs w:val="20"/>
          <w:color w:val="auto"/>
        </w:rPr>
      </w:pPr>
      <w:r>
        <w:rPr>
          <w:rFonts w:ascii="Arial" w:cs="Arial" w:eastAsia="Arial" w:hAnsi="Arial"/>
          <w:sz w:val="16"/>
          <w:szCs w:val="16"/>
          <w:color w:val="3F3F3F"/>
        </w:rPr>
        <w:t>This global collaboration includes the option to expand the collaboration with additional pipeline assets in the future and highlights our ability to identify, vet, and secure high-growth assets in areas of unmet medical need. And to do it in a way that reinforces our disciplined approach to capital allocation.</w:t>
      </w:r>
    </w:p>
    <w:p>
      <w:pPr>
        <w:spacing w:after="0" w:line="70" w:lineRule="exact"/>
        <w:rPr>
          <w:sz w:val="20"/>
          <w:szCs w:val="20"/>
          <w:color w:val="auto"/>
        </w:rPr>
      </w:pPr>
    </w:p>
    <w:p>
      <w:pPr>
        <w:ind w:left="1540" w:right="1699"/>
        <w:spacing w:after="0" w:line="254" w:lineRule="auto"/>
        <w:rPr>
          <w:sz w:val="20"/>
          <w:szCs w:val="20"/>
          <w:color w:val="auto"/>
        </w:rPr>
      </w:pPr>
      <w:r>
        <w:rPr>
          <w:rFonts w:ascii="Arial" w:cs="Arial" w:eastAsia="Arial" w:hAnsi="Arial"/>
          <w:sz w:val="16"/>
          <w:szCs w:val="16"/>
          <w:color w:val="3F3F3F"/>
        </w:rPr>
        <w:t>Selatogrel, a potentially life-saving medicine, aims to become the first and only self-administered treatment for Acute Myocardial Infarction, or heart attack, by filling the medical gap between the onset of symptoms and hospitalization when early intervention is critical. It builds on our existing global cardiovascular franchise and our deep knowledge and experience in self-administered medication for acute life-threatening conditions. At our R&amp;D Event in March 2024, we reviewed selatogrel’s global Phase 3 multi-center trial.</w:t>
      </w:r>
    </w:p>
    <w:p>
      <w:pPr>
        <w:spacing w:after="0" w:line="74" w:lineRule="exact"/>
        <w:rPr>
          <w:sz w:val="20"/>
          <w:szCs w:val="20"/>
          <w:color w:val="auto"/>
        </w:rPr>
      </w:pPr>
    </w:p>
    <w:p>
      <w:pPr>
        <w:ind w:left="1540" w:right="1659"/>
        <w:spacing w:after="0" w:line="253" w:lineRule="auto"/>
        <w:rPr>
          <w:sz w:val="20"/>
          <w:szCs w:val="20"/>
          <w:color w:val="auto"/>
        </w:rPr>
      </w:pPr>
      <w:r>
        <w:rPr>
          <w:rFonts w:ascii="Arial" w:cs="Arial" w:eastAsia="Arial" w:hAnsi="Arial"/>
          <w:sz w:val="16"/>
          <w:szCs w:val="16"/>
          <w:color w:val="3F3F3F"/>
        </w:rPr>
        <w:t>Cenerimod is a novel immunology asset that has the potential to be a first-in-class oral therapy for the treatment of systemic lupus erythematosus, the most common form of lupus. Through lifecycle management, cenerimod has the potential for broad application across multiple autoimmune diseases and could become a cornerstone asset in our immunology platform. At our R&amp;D Event, we reviewed key learnings from the comprehensive Phase 2 program that has already been conducted and two ongoing Phase 3 multicenter, randomized, double-blind, placebo-controlled, parallel-group studies for cenerimod.</w:t>
      </w:r>
    </w:p>
    <w:p>
      <w:pPr>
        <w:spacing w:after="0" w:line="73" w:lineRule="exact"/>
        <w:rPr>
          <w:sz w:val="20"/>
          <w:szCs w:val="20"/>
          <w:color w:val="auto"/>
        </w:rPr>
      </w:pPr>
    </w:p>
    <w:p>
      <w:pPr>
        <w:ind w:left="1540" w:right="1699"/>
        <w:spacing w:after="0" w:line="256" w:lineRule="auto"/>
        <w:rPr>
          <w:sz w:val="20"/>
          <w:szCs w:val="20"/>
          <w:color w:val="auto"/>
        </w:rPr>
      </w:pPr>
      <w:r>
        <w:rPr>
          <w:rFonts w:ascii="Arial" w:cs="Arial" w:eastAsia="Arial" w:hAnsi="Arial"/>
          <w:sz w:val="16"/>
          <w:szCs w:val="16"/>
          <w:color w:val="3F3F3F"/>
        </w:rPr>
        <w:t>We expect the additional leadership and scientific expertise we have brought in along with our impressive core competencies in key areas such as global manufacturing, medical affairs, regulatory, legal and commercialization will drive the success of these assets and our expanding innovative portfolio. We have already made significant progress in accelerating the development of both selatogrel and cenerimod.</w:t>
      </w:r>
    </w:p>
    <w:p>
      <w:pPr>
        <w:spacing w:after="0" w:line="72" w:lineRule="exact"/>
        <w:rPr>
          <w:sz w:val="20"/>
          <w:szCs w:val="20"/>
          <w:color w:val="auto"/>
        </w:rPr>
      </w:pPr>
    </w:p>
    <w:p>
      <w:pPr>
        <w:ind w:left="1540" w:right="1739"/>
        <w:spacing w:after="0" w:line="266" w:lineRule="auto"/>
        <w:rPr>
          <w:sz w:val="20"/>
          <w:szCs w:val="20"/>
          <w:color w:val="auto"/>
        </w:rPr>
      </w:pPr>
      <w:r>
        <w:rPr>
          <w:rFonts w:ascii="Arial" w:cs="Arial" w:eastAsia="Arial" w:hAnsi="Arial"/>
          <w:sz w:val="16"/>
          <w:szCs w:val="16"/>
          <w:color w:val="3F3F3F"/>
        </w:rPr>
        <w:t>These two assets add to our already existing innovative pipeline, which includes an enriched tear film gene therapy technology we acquired as part of the Oyster Point acquisition in January 2023. This technology has the potential to treat a multitude of ophthalmic diseases.</w:t>
      </w:r>
    </w:p>
    <w:p>
      <w:pPr>
        <w:spacing w:after="0" w:line="63" w:lineRule="exact"/>
        <w:rPr>
          <w:sz w:val="20"/>
          <w:szCs w:val="20"/>
          <w:color w:val="auto"/>
        </w:rPr>
      </w:pPr>
    </w:p>
    <w:p>
      <w:pPr>
        <w:jc w:val="both"/>
        <w:ind w:left="1540" w:right="1659"/>
        <w:spacing w:after="0" w:line="252" w:lineRule="auto"/>
        <w:rPr>
          <w:sz w:val="20"/>
          <w:szCs w:val="20"/>
          <w:color w:val="auto"/>
        </w:rPr>
      </w:pPr>
      <w:r>
        <w:rPr>
          <w:rFonts w:ascii="Arial" w:cs="Arial" w:eastAsia="Arial" w:hAnsi="Arial"/>
          <w:sz w:val="16"/>
          <w:szCs w:val="16"/>
          <w:color w:val="3F3F3F"/>
        </w:rPr>
        <w:t>Our ability to invest in collaborations that expand our innovative pipeline is a result of our strong execution across our diversified and growing base business, our financial strength and our ability to generate significant cash flow.</w:t>
      </w:r>
    </w:p>
    <w:p>
      <w:pPr>
        <w:ind w:left="120"/>
        <w:spacing w:after="0" w:line="233"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54"/>
          <w:szCs w:val="54"/>
          <w:color w:val="3F3F3F"/>
        </w:rPr>
        <w:t> </w:t>
      </w:r>
    </w:p>
    <w:p>
      <w:pPr>
        <w:ind w:left="120"/>
        <w:spacing w:after="0" w:line="236"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rPr>
          <w:sz w:val="20"/>
          <w:szCs w:val="20"/>
          <w:color w:val="auto"/>
        </w:rPr>
      </w:pPr>
      <w:r>
        <w:rPr>
          <w:rFonts w:ascii="Arial" w:cs="Arial" w:eastAsia="Arial" w:hAnsi="Arial"/>
          <w:sz w:val="18"/>
          <w:szCs w:val="18"/>
          <w:color w:val="3F3F3F"/>
        </w:rPr>
        <w:t> </w:t>
      </w:r>
    </w:p>
    <w:p>
      <w:pPr>
        <w:sectPr>
          <w:pgSz w:w="11900" w:h="16838" w:orient="portrait"/>
          <w:cols w:equalWidth="0" w:num="1">
            <w:col w:w="10139"/>
          </w:cols>
          <w:pgMar w:left="320" w:top="48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406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w:t>
      </w:r>
    </w:p>
    <w:p>
      <w:pPr>
        <w:spacing w:after="0" w:line="16" w:lineRule="exact"/>
        <w:rPr>
          <w:sz w:val="20"/>
          <w:szCs w:val="20"/>
          <w:color w:val="auto"/>
        </w:rPr>
      </w:pPr>
    </w:p>
    <w:p>
      <w:pPr>
        <w:ind w:left="2060" w:right="139"/>
        <w:spacing w:after="0" w:line="249" w:lineRule="auto"/>
        <w:rPr>
          <w:sz w:val="20"/>
          <w:szCs w:val="20"/>
          <w:color w:val="auto"/>
        </w:rPr>
      </w:pPr>
      <w:r>
        <w:rPr>
          <w:rFonts w:ascii="Arial" w:cs="Arial" w:eastAsia="Arial" w:hAnsi="Arial"/>
          <w:sz w:val="16"/>
          <w:szCs w:val="16"/>
          <w:color w:val="3F3F3F"/>
        </w:rPr>
        <w:t>Overall, I am incredibly proud of what we have accomplished together. We have built a strong foundation, have a bold vision for our future and possess the key ingredients necessary to continue achieving our goals. Our continued success can be attributed to our approximately 32,000 colleagues around the world who come to work every day to deliver on our mission to empower people worldwide to live healthier at every stage of life. It is their passion, dedication and talent that have gotten us to this point, and we believe it is that same passion, dedication and talent that will enable us to be successful in the next part of our journey. Our future is bright, as we expect to continue to accelerate our growth, increase the impact we have on patients and deliver for shareholders.</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Thank you for your continued investment in Viatris and for your continued support of our mission.</w:t>
      </w:r>
    </w:p>
    <w:p>
      <w:pPr>
        <w:spacing w:after="0" w:line="200" w:lineRule="exact"/>
        <w:rPr>
          <w:sz w:val="20"/>
          <w:szCs w:val="20"/>
          <w:color w:val="auto"/>
        </w:rPr>
      </w:pPr>
    </w:p>
    <w:p>
      <w:pPr>
        <w:spacing w:after="0" w:line="305"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Sincerely,</w:t>
      </w:r>
    </w:p>
    <w:p>
      <w:pPr>
        <w:spacing w:after="0" w:line="383"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Scott A. Smith</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6"/>
          <w:szCs w:val="16"/>
          <w:color w:val="3F3F3F"/>
        </w:rPr>
        <w:t>Chief Executive Officer</w:t>
      </w:r>
    </w:p>
    <w:p>
      <w:pPr>
        <w:ind w:left="120"/>
        <w:spacing w:after="0" w:line="237"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4"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line="235" w:lineRule="auto"/>
        <w:rPr>
          <w:sz w:val="20"/>
          <w:szCs w:val="20"/>
          <w:color w:val="auto"/>
        </w:rPr>
      </w:pPr>
      <w:r>
        <w:rPr>
          <w:rFonts w:ascii="Arial" w:cs="Arial" w:eastAsia="Arial" w:hAnsi="Arial"/>
          <w:sz w:val="18"/>
          <w:szCs w:val="18"/>
          <w:color w:val="3F3F3F"/>
        </w:rPr>
        <w:t> </w:t>
      </w:r>
    </w:p>
    <w:p>
      <w:pPr>
        <w:ind w:left="120"/>
        <w:spacing w:after="0"/>
        <w:rPr>
          <w:sz w:val="20"/>
          <w:szCs w:val="20"/>
          <w:color w:val="auto"/>
        </w:rPr>
      </w:pPr>
      <w:r>
        <w:rPr>
          <w:rFonts w:ascii="Arial" w:cs="Arial" w:eastAsia="Arial" w:hAnsi="Arial"/>
          <w:sz w:val="18"/>
          <w:szCs w:val="18"/>
          <w:color w:val="3F3F3F"/>
        </w:rPr>
        <w:t> </w:t>
      </w:r>
    </w:p>
    <w:p>
      <w:pPr>
        <w:sectPr>
          <w:pgSz w:w="11900" w:h="16838" w:orient="portrait"/>
          <w:cols w:equalWidth="0" w:num="1">
            <w:col w:w="10139"/>
          </w:cols>
          <w:pgMar w:left="320" w:top="48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64" w:lineRule="exact"/>
        <w:rPr>
          <w:sz w:val="20"/>
          <w:szCs w:val="20"/>
          <w:color w:val="auto"/>
        </w:rPr>
      </w:pPr>
    </w:p>
    <w:p>
      <w:pPr>
        <w:ind w:left="120" w:right="1300"/>
        <w:spacing w:after="0" w:line="273" w:lineRule="auto"/>
        <w:rPr>
          <w:sz w:val="20"/>
          <w:szCs w:val="20"/>
          <w:color w:val="auto"/>
        </w:rPr>
      </w:pPr>
      <w:r>
        <w:rPr>
          <w:rFonts w:ascii="Arial" w:cs="Arial" w:eastAsia="Arial" w:hAnsi="Arial"/>
          <w:sz w:val="40"/>
          <w:szCs w:val="40"/>
          <w:color w:val="3F3F3F"/>
        </w:rPr>
        <w:t>Notice of 2024 Annual Meeting of Shareholders</w:t>
      </w:r>
    </w:p>
    <w:p>
      <w:pPr>
        <w:spacing w:after="0" w:line="386"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5"/>
          <w:szCs w:val="15"/>
          <w:color w:val="231161"/>
        </w:rPr>
        <w:t>Date and Time:</w:t>
      </w:r>
      <w:r>
        <w:rPr>
          <w:sz w:val="20"/>
          <w:szCs w:val="20"/>
          <w:color w:val="auto"/>
        </w:rPr>
        <w:tab/>
      </w:r>
      <w:r>
        <w:rPr>
          <w:rFonts w:ascii="Arial" w:cs="Arial" w:eastAsia="Arial" w:hAnsi="Arial"/>
          <w:sz w:val="15"/>
          <w:szCs w:val="15"/>
          <w:color w:val="231161"/>
        </w:rPr>
        <w:t>Location:</w:t>
      </w:r>
    </w:p>
    <w:p>
      <w:pPr>
        <w:ind w:left="120"/>
        <w:spacing w:after="0" w:line="230" w:lineRule="auto"/>
        <w:tabs>
          <w:tab w:leader="none" w:pos="3740" w:val="left"/>
        </w:tabs>
        <w:rPr>
          <w:sz w:val="20"/>
          <w:szCs w:val="20"/>
          <w:color w:val="auto"/>
        </w:rPr>
      </w:pPr>
      <w:r>
        <w:rPr>
          <w:rFonts w:ascii="Arial" w:cs="Arial" w:eastAsia="Arial" w:hAnsi="Arial"/>
          <w:sz w:val="15"/>
          <w:szCs w:val="15"/>
          <w:color w:val="3F3F3F"/>
        </w:rPr>
        <w:t>Friday, December 6, 2024</w:t>
      </w:r>
      <w:r>
        <w:rPr>
          <w:sz w:val="20"/>
          <w:szCs w:val="20"/>
          <w:color w:val="auto"/>
        </w:rPr>
        <w:tab/>
      </w:r>
      <w:r>
        <w:rPr>
          <w:rFonts w:ascii="Arial" w:cs="Arial" w:eastAsia="Arial" w:hAnsi="Arial"/>
          <w:sz w:val="15"/>
          <w:szCs w:val="15"/>
          <w:color w:val="3F3F3F"/>
        </w:rPr>
        <w:t>DoubleTree Crystal City</w:t>
      </w:r>
    </w:p>
    <w:p>
      <w:pPr>
        <w:ind w:left="120"/>
        <w:spacing w:after="0" w:line="225" w:lineRule="auto"/>
        <w:tabs>
          <w:tab w:leader="none" w:pos="3740" w:val="left"/>
        </w:tabs>
        <w:rPr>
          <w:sz w:val="20"/>
          <w:szCs w:val="20"/>
          <w:color w:val="auto"/>
        </w:rPr>
      </w:pPr>
      <w:r>
        <w:rPr>
          <w:rFonts w:ascii="Arial" w:cs="Arial" w:eastAsia="Arial" w:hAnsi="Arial"/>
          <w:sz w:val="15"/>
          <w:szCs w:val="15"/>
          <w:color w:val="3F3F3F"/>
        </w:rPr>
        <w:t>11:00 a.m. Eastern Time</w:t>
      </w:r>
      <w:r>
        <w:rPr>
          <w:sz w:val="20"/>
          <w:szCs w:val="20"/>
          <w:color w:val="auto"/>
        </w:rPr>
        <w:tab/>
      </w:r>
      <w:r>
        <w:rPr>
          <w:rFonts w:ascii="Arial" w:cs="Arial" w:eastAsia="Arial" w:hAnsi="Arial"/>
          <w:sz w:val="15"/>
          <w:szCs w:val="15"/>
          <w:color w:val="3F3F3F"/>
        </w:rPr>
        <w:t>300 Army Navy Drive</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5"/>
          <w:szCs w:val="15"/>
          <w:color w:val="3F3F3F"/>
        </w:rPr>
        <w:t>Arlington, VA 22202</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Dear Viatris Shareholders: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You are cordially invited to attend the 2024 Annual Meeting of Shareholders (the “2024 Annual Meeting”) of Viatris Inc. (“Viatris” or the “Company”). The meeting will be held on Friday, December 6, 2024 at 11:00 a.m. Eastern Time at the DoubleTree Crystal City, 300 Army Navy Drive, Arlington, VA 22202. At the meeting, holders of Viatris’ issued and outstanding common stock as of the close of business (5:00 p.m. Eastern Time) on October 11, 2024 (the “Record Date”) will be asked to consider and act upon the following items of business, which are more fully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4269105" cy="642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9105" cy="642620"/>
                    </a:xfrm>
                    <a:prstGeom prst="rect">
                      <a:avLst/>
                    </a:prstGeom>
                    <a:noFill/>
                  </pic:spPr>
                </pic:pic>
              </a:graphicData>
            </a:graphic>
          </wp:anchor>
        </w:drawing>
      </w:r>
    </w:p>
    <w:p>
      <w:pPr>
        <w:spacing w:after="0" w:line="347" w:lineRule="exact"/>
        <w:rPr>
          <w:sz w:val="20"/>
          <w:szCs w:val="20"/>
          <w:color w:val="auto"/>
        </w:rPr>
      </w:pPr>
    </w:p>
    <w:p>
      <w:pPr>
        <w:ind w:left="180" w:right="200"/>
        <w:spacing w:after="0" w:line="236" w:lineRule="auto"/>
        <w:rPr>
          <w:sz w:val="20"/>
          <w:szCs w:val="20"/>
          <w:color w:val="auto"/>
        </w:rPr>
      </w:pPr>
      <w:r>
        <w:rPr>
          <w:rFonts w:ascii="Arial" w:cs="Arial" w:eastAsia="Arial" w:hAnsi="Arial"/>
          <w:sz w:val="15"/>
          <w:szCs w:val="15"/>
          <w:b w:val="1"/>
          <w:bCs w:val="1"/>
          <w:color w:val="732282"/>
        </w:rPr>
        <w:t>If you wish to attend the 2024 Annual Meeting (which is currently scheduled to be held in person), please so inform Viatris in writing by sending notice to the attention of Viatris’ Corporate Secretary at 1000 Mylan Blvd., Canonsburg, PA 15317 or by e-mail to corporatesecretary@viatris.com, in each case prior to 5:00 p.m. Eastern Time on December 5, 2024. See “Important Meeting Information” in this Notice and “How can I attend the 2024 Annual Meeting?” on page A-2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299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Items of Business</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6080" w:type="dxa"/>
            <w:vAlign w:val="bottom"/>
            <w:shd w:val="clear" w:color="auto" w:fill="732282"/>
          </w:tcPr>
          <w:p>
            <w:pPr>
              <w:spacing w:after="0"/>
              <w:rPr>
                <w:sz w:val="24"/>
                <w:szCs w:val="24"/>
                <w:color w:val="auto"/>
              </w:rPr>
            </w:pPr>
          </w:p>
        </w:tc>
        <w:tc>
          <w:tcPr>
            <w:tcW w:w="620" w:type="dxa"/>
            <w:vAlign w:val="bottom"/>
            <w:shd w:val="clear" w:color="auto" w:fill="732282"/>
          </w:tcPr>
          <w:p>
            <w:pPr>
              <w:jc w:val="right"/>
              <w:ind w:right="44"/>
              <w:spacing w:after="0"/>
              <w:rPr>
                <w:sz w:val="20"/>
                <w:szCs w:val="20"/>
                <w:color w:val="auto"/>
              </w:rPr>
            </w:pPr>
            <w:r>
              <w:rPr>
                <w:rFonts w:ascii="Arial" w:cs="Arial" w:eastAsia="Arial" w:hAnsi="Arial"/>
                <w:sz w:val="15"/>
                <w:szCs w:val="15"/>
                <w:b w:val="1"/>
                <w:bCs w:val="1"/>
                <w:color w:val="FFFFFF"/>
              </w:rPr>
              <w:t>Page</w:t>
            </w:r>
          </w:p>
        </w:tc>
      </w:tr>
      <w:tr>
        <w:trPr>
          <w:trHeight w:val="250"/>
        </w:trPr>
        <w:tc>
          <w:tcPr>
            <w:tcW w:w="6080" w:type="dxa"/>
            <w:vAlign w:val="bottom"/>
          </w:tcPr>
          <w:p>
            <w:pPr>
              <w:ind w:left="60"/>
              <w:spacing w:after="0"/>
              <w:rPr>
                <w:sz w:val="20"/>
                <w:szCs w:val="20"/>
                <w:color w:val="auto"/>
              </w:rPr>
            </w:pPr>
            <w:r>
              <w:rPr>
                <w:rFonts w:ascii="Arial" w:cs="Arial" w:eastAsia="Arial" w:hAnsi="Arial"/>
                <w:sz w:val="15"/>
                <w:szCs w:val="15"/>
                <w:color w:val="3F3F3F"/>
              </w:rPr>
              <w:t>1.    Election of 12 director nominees each to hold office until the 2025 annual meeting.</w:t>
            </w:r>
          </w:p>
        </w:tc>
        <w:tc>
          <w:tcPr>
            <w:tcW w:w="620" w:type="dxa"/>
            <w:vAlign w:val="bottom"/>
          </w:tcPr>
          <w:p>
            <w:pPr>
              <w:jc w:val="right"/>
              <w:ind w:right="44"/>
              <w:spacing w:after="0"/>
              <w:rPr>
                <w:sz w:val="20"/>
                <w:szCs w:val="20"/>
                <w:color w:val="auto"/>
              </w:rPr>
            </w:pPr>
            <w:r>
              <w:rPr>
                <w:rFonts w:ascii="Arial" w:cs="Arial" w:eastAsia="Arial" w:hAnsi="Arial"/>
                <w:sz w:val="15"/>
                <w:szCs w:val="15"/>
                <w:color w:val="3F3F3F"/>
              </w:rPr>
              <w:t>15</w:t>
            </w:r>
          </w:p>
        </w:tc>
      </w:tr>
      <w:tr>
        <w:trPr>
          <w:trHeight w:val="47"/>
        </w:trPr>
        <w:tc>
          <w:tcPr>
            <w:tcW w:w="608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12"/>
        </w:trPr>
        <w:tc>
          <w:tcPr>
            <w:tcW w:w="6080" w:type="dxa"/>
            <w:vAlign w:val="bottom"/>
            <w:shd w:val="clear" w:color="auto" w:fill="E5E5E5"/>
          </w:tcPr>
          <w:p>
            <w:pPr>
              <w:ind w:left="60"/>
              <w:spacing w:after="0"/>
              <w:rPr>
                <w:sz w:val="20"/>
                <w:szCs w:val="20"/>
                <w:color w:val="auto"/>
              </w:rPr>
            </w:pPr>
            <w:r>
              <w:rPr>
                <w:rFonts w:ascii="Arial" w:cs="Arial" w:eastAsia="Arial" w:hAnsi="Arial"/>
                <w:sz w:val="15"/>
                <w:szCs w:val="15"/>
                <w:color w:val="3F3F3F"/>
              </w:rPr>
              <w:t>2.    Approval of, on a non-binding advisory basis, the 2023 compensation of the named</w:t>
            </w:r>
          </w:p>
        </w:tc>
        <w:tc>
          <w:tcPr>
            <w:tcW w:w="620" w:type="dxa"/>
            <w:vAlign w:val="bottom"/>
            <w:shd w:val="clear" w:color="auto" w:fill="E5E5E5"/>
          </w:tcPr>
          <w:p>
            <w:pPr>
              <w:spacing w:after="0"/>
              <w:rPr>
                <w:sz w:val="18"/>
                <w:szCs w:val="18"/>
                <w:color w:val="auto"/>
              </w:rPr>
            </w:pPr>
          </w:p>
        </w:tc>
      </w:tr>
      <w:tr>
        <w:trPr>
          <w:trHeight w:val="227"/>
        </w:trPr>
        <w:tc>
          <w:tcPr>
            <w:tcW w:w="608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5"/>
                <w:szCs w:val="15"/>
                <w:color w:val="3F3F3F"/>
              </w:rPr>
              <w:t>executive officers of the Company.</w:t>
            </w:r>
          </w:p>
        </w:tc>
        <w:tc>
          <w:tcPr>
            <w:tcW w:w="620" w:type="dxa"/>
            <w:vAlign w:val="bottom"/>
            <w:tcBorders>
              <w:bottom w:val="single" w:sz="8" w:color="E5E5E5"/>
            </w:tcBorders>
            <w:shd w:val="clear" w:color="auto" w:fill="E5E5E5"/>
          </w:tcPr>
          <w:p>
            <w:pPr>
              <w:jc w:val="right"/>
              <w:ind w:right="44"/>
              <w:spacing w:after="0"/>
              <w:rPr>
                <w:sz w:val="20"/>
                <w:szCs w:val="20"/>
                <w:color w:val="auto"/>
              </w:rPr>
            </w:pPr>
            <w:r>
              <w:rPr>
                <w:rFonts w:ascii="Arial" w:cs="Arial" w:eastAsia="Arial" w:hAnsi="Arial"/>
                <w:sz w:val="15"/>
                <w:szCs w:val="15"/>
                <w:color w:val="3F3F3F"/>
              </w:rPr>
              <w:t>47</w:t>
            </w:r>
          </w:p>
        </w:tc>
      </w:tr>
      <w:tr>
        <w:trPr>
          <w:trHeight w:val="212"/>
        </w:trPr>
        <w:tc>
          <w:tcPr>
            <w:tcW w:w="6080" w:type="dxa"/>
            <w:vAlign w:val="bottom"/>
          </w:tcPr>
          <w:p>
            <w:pPr>
              <w:ind w:left="60"/>
              <w:spacing w:after="0"/>
              <w:rPr>
                <w:sz w:val="20"/>
                <w:szCs w:val="20"/>
                <w:color w:val="auto"/>
              </w:rPr>
            </w:pPr>
            <w:r>
              <w:rPr>
                <w:rFonts w:ascii="Arial" w:cs="Arial" w:eastAsia="Arial" w:hAnsi="Arial"/>
                <w:sz w:val="15"/>
                <w:szCs w:val="15"/>
                <w:color w:val="3F3F3F"/>
              </w:rPr>
              <w:t>3.    Ratification of the selection of Deloitte &amp; Touche LLP as the Company’s independent</w:t>
            </w:r>
          </w:p>
        </w:tc>
        <w:tc>
          <w:tcPr>
            <w:tcW w:w="620" w:type="dxa"/>
            <w:vAlign w:val="bottom"/>
          </w:tcPr>
          <w:p>
            <w:pPr>
              <w:spacing w:after="0"/>
              <w:rPr>
                <w:sz w:val="18"/>
                <w:szCs w:val="18"/>
                <w:color w:val="auto"/>
              </w:rPr>
            </w:pPr>
          </w:p>
        </w:tc>
      </w:tr>
      <w:tr>
        <w:trPr>
          <w:trHeight w:val="200"/>
        </w:trPr>
        <w:tc>
          <w:tcPr>
            <w:tcW w:w="6080" w:type="dxa"/>
            <w:vAlign w:val="bottom"/>
          </w:tcPr>
          <w:p>
            <w:pPr>
              <w:ind w:left="360"/>
              <w:spacing w:after="0"/>
              <w:rPr>
                <w:sz w:val="20"/>
                <w:szCs w:val="20"/>
                <w:color w:val="auto"/>
              </w:rPr>
            </w:pPr>
            <w:r>
              <w:rPr>
                <w:rFonts w:ascii="Arial" w:cs="Arial" w:eastAsia="Arial" w:hAnsi="Arial"/>
                <w:sz w:val="15"/>
                <w:szCs w:val="15"/>
                <w:color w:val="3F3F3F"/>
              </w:rPr>
              <w:t>registered public accounting firm for the fiscal year ending December 31, 2024.</w:t>
            </w:r>
          </w:p>
        </w:tc>
        <w:tc>
          <w:tcPr>
            <w:tcW w:w="620" w:type="dxa"/>
            <w:vAlign w:val="bottom"/>
          </w:tcPr>
          <w:p>
            <w:pPr>
              <w:jc w:val="right"/>
              <w:ind w:right="44"/>
              <w:spacing w:after="0"/>
              <w:rPr>
                <w:sz w:val="20"/>
                <w:szCs w:val="20"/>
                <w:color w:val="auto"/>
              </w:rPr>
            </w:pPr>
            <w:r>
              <w:rPr>
                <w:rFonts w:ascii="Arial" w:cs="Arial" w:eastAsia="Arial" w:hAnsi="Arial"/>
                <w:sz w:val="15"/>
                <w:szCs w:val="15"/>
                <w:color w:val="3F3F3F"/>
              </w:rPr>
              <w:t>84</w:t>
            </w:r>
          </w:p>
        </w:tc>
      </w:tr>
      <w:tr>
        <w:trPr>
          <w:trHeight w:val="47"/>
        </w:trPr>
        <w:tc>
          <w:tcPr>
            <w:tcW w:w="608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77"/>
        </w:trPr>
        <w:tc>
          <w:tcPr>
            <w:tcW w:w="60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3F3F3F"/>
              </w:rPr>
              <w:t>4.    Approval of an amendment to the Viatris Inc. 2020 Stock Incentive Plan.</w:t>
            </w:r>
          </w:p>
        </w:tc>
        <w:tc>
          <w:tcPr>
            <w:tcW w:w="620" w:type="dxa"/>
            <w:vAlign w:val="bottom"/>
            <w:tcBorders>
              <w:bottom w:val="single" w:sz="8" w:color="E5E5E5"/>
            </w:tcBorders>
            <w:shd w:val="clear" w:color="auto" w:fill="E5E5E5"/>
          </w:tcPr>
          <w:p>
            <w:pPr>
              <w:jc w:val="right"/>
              <w:ind w:right="44"/>
              <w:spacing w:after="0"/>
              <w:rPr>
                <w:sz w:val="20"/>
                <w:szCs w:val="20"/>
                <w:color w:val="auto"/>
              </w:rPr>
            </w:pPr>
            <w:r>
              <w:rPr>
                <w:rFonts w:ascii="Arial" w:cs="Arial" w:eastAsia="Arial" w:hAnsi="Arial"/>
                <w:sz w:val="15"/>
                <w:szCs w:val="15"/>
                <w:color w:val="3F3F3F"/>
              </w:rPr>
              <w:t>87</w:t>
            </w:r>
          </w:p>
        </w:tc>
      </w:tr>
      <w:tr>
        <w:trPr>
          <w:trHeight w:val="212"/>
        </w:trPr>
        <w:tc>
          <w:tcPr>
            <w:tcW w:w="6080" w:type="dxa"/>
            <w:vAlign w:val="bottom"/>
          </w:tcPr>
          <w:p>
            <w:pPr>
              <w:ind w:left="60"/>
              <w:spacing w:after="0"/>
              <w:rPr>
                <w:sz w:val="20"/>
                <w:szCs w:val="20"/>
                <w:color w:val="auto"/>
              </w:rPr>
            </w:pPr>
            <w:r>
              <w:rPr>
                <w:rFonts w:ascii="Arial" w:cs="Arial" w:eastAsia="Arial" w:hAnsi="Arial"/>
                <w:sz w:val="15"/>
                <w:szCs w:val="15"/>
                <w:color w:val="3F3F3F"/>
              </w:rPr>
              <w:t>5.    Transaction of any other business that properly comes before the meeting and any</w:t>
            </w:r>
          </w:p>
        </w:tc>
        <w:tc>
          <w:tcPr>
            <w:tcW w:w="620" w:type="dxa"/>
            <w:vAlign w:val="bottom"/>
          </w:tcPr>
          <w:p>
            <w:pPr>
              <w:spacing w:after="0"/>
              <w:rPr>
                <w:sz w:val="18"/>
                <w:szCs w:val="18"/>
                <w:color w:val="auto"/>
              </w:rPr>
            </w:pPr>
          </w:p>
        </w:tc>
      </w:tr>
      <w:tr>
        <w:trPr>
          <w:trHeight w:val="200"/>
        </w:trPr>
        <w:tc>
          <w:tcPr>
            <w:tcW w:w="6080" w:type="dxa"/>
            <w:vAlign w:val="bottom"/>
          </w:tcPr>
          <w:p>
            <w:pPr>
              <w:ind w:left="360"/>
              <w:spacing w:after="0"/>
              <w:rPr>
                <w:sz w:val="20"/>
                <w:szCs w:val="20"/>
                <w:color w:val="auto"/>
              </w:rPr>
            </w:pPr>
            <w:r>
              <w:rPr>
                <w:rFonts w:ascii="Arial" w:cs="Arial" w:eastAsia="Arial" w:hAnsi="Arial"/>
                <w:sz w:val="15"/>
                <w:szCs w:val="15"/>
                <w:color w:val="3F3F3F"/>
              </w:rPr>
              <w:t>adjournments or postponements of the meeting.</w:t>
            </w:r>
          </w:p>
        </w:tc>
        <w:tc>
          <w:tcPr>
            <w:tcW w:w="620" w:type="dxa"/>
            <w:vAlign w:val="bottom"/>
          </w:tcPr>
          <w:p>
            <w:pPr>
              <w:spacing w:after="0"/>
              <w:rPr>
                <w:sz w:val="17"/>
                <w:szCs w:val="17"/>
                <w:color w:val="auto"/>
              </w:rPr>
            </w:pPr>
          </w:p>
        </w:tc>
      </w:tr>
      <w:tr>
        <w:trPr>
          <w:trHeight w:val="47"/>
        </w:trPr>
        <w:tc>
          <w:tcPr>
            <w:tcW w:w="6080" w:type="dxa"/>
            <w:vAlign w:val="bottom"/>
            <w:tcBorders>
              <w:bottom w:val="single" w:sz="8" w:color="732282"/>
            </w:tcBorders>
          </w:tcPr>
          <w:p>
            <w:pPr>
              <w:spacing w:after="0"/>
              <w:rPr>
                <w:sz w:val="4"/>
                <w:szCs w:val="4"/>
                <w:color w:val="auto"/>
              </w:rPr>
            </w:pPr>
          </w:p>
        </w:tc>
        <w:tc>
          <w:tcPr>
            <w:tcW w:w="620" w:type="dxa"/>
            <w:vAlign w:val="bottom"/>
            <w:tcBorders>
              <w:bottom w:val="single" w:sz="8" w:color="732282"/>
            </w:tcBorders>
          </w:tcPr>
          <w:p>
            <w:pPr>
              <w:spacing w:after="0"/>
              <w:rPr>
                <w:sz w:val="4"/>
                <w:szCs w:val="4"/>
                <w:color w:val="auto"/>
              </w:rPr>
            </w:pPr>
          </w:p>
        </w:tc>
      </w:tr>
    </w:tbl>
    <w:p>
      <w:pPr>
        <w:spacing w:after="0" w:line="158" w:lineRule="exact"/>
        <w:rPr>
          <w:sz w:val="20"/>
          <w:szCs w:val="20"/>
          <w:color w:val="auto"/>
        </w:rPr>
      </w:pPr>
    </w:p>
    <w:p>
      <w:pPr>
        <w:ind w:left="120" w:right="40"/>
        <w:spacing w:after="0" w:line="231" w:lineRule="auto"/>
        <w:rPr>
          <w:sz w:val="20"/>
          <w:szCs w:val="20"/>
          <w:color w:val="auto"/>
        </w:rPr>
      </w:pPr>
      <w:r>
        <w:rPr>
          <w:rFonts w:ascii="Arial" w:cs="Arial" w:eastAsia="Arial" w:hAnsi="Arial"/>
          <w:sz w:val="15"/>
          <w:szCs w:val="15"/>
          <w:color w:val="3F3F3F"/>
        </w:rPr>
        <w:t>Only shareholders of record as of the Record Date are entitled to receive notice of, participate in and to vote at the 2024 Annual Meeting and any postponements or adjournments thereof. On or about October 25, 2024, we mailed to Viatris shareholders as of the Record Date a Notice of Internet Availability of Proxy Materials (“Internet Notice”), which includes instructions on how to access our 2024 Proxy Statement and 2023 Annual Report on the Internet, and how to cast your vote. See ”Why did I receive a notice in the mail regarding the Internet availability of proxy materials instead of a full set of proxy materials?” on page A-1 for more information. If you received your proxy materials for the 2024 Annual Meeting by mail, the Proxy Statement, the 2023 Annual Report and proxy card were enclosed.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right="140"/>
        <w:spacing w:after="0" w:line="232" w:lineRule="auto"/>
        <w:rPr>
          <w:sz w:val="20"/>
          <w:szCs w:val="20"/>
          <w:color w:val="auto"/>
        </w:rPr>
      </w:pPr>
      <w:r>
        <w:rPr>
          <w:rFonts w:ascii="Arial" w:cs="Arial" w:eastAsia="Arial" w:hAnsi="Arial"/>
          <w:sz w:val="15"/>
          <w:szCs w:val="15"/>
          <w:b w:val="1"/>
          <w:bCs w:val="1"/>
          <w:color w:val="3F3F3F"/>
        </w:rPr>
        <w:t>Please know that your vote is very important, and you are encouraged to vote promptly. Please carefully review the proxy materials for the 2024 Annual Meeting and follow the instructions below to cast your vote on all of the voting matters. Whether or not you expect to attend the 2024 Annual Meeting, we urge you to read the proxy statement and vote your shares as soon as possible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-1165860</wp:posOffset>
            </wp:positionV>
            <wp:extent cx="2511425" cy="6086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11425" cy="6086475"/>
                    </a:xfrm>
                    <a:prstGeom prst="rect">
                      <a:avLst/>
                    </a:prstGeom>
                    <a:noFill/>
                  </pic:spPr>
                </pic:pic>
              </a:graphicData>
            </a:graphic>
          </wp:anchor>
        </w:drawing>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22"/>
          <w:szCs w:val="22"/>
          <w:color w:val="231161"/>
        </w:rPr>
        <w:t>Voting Information</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5"/>
          <w:szCs w:val="15"/>
          <w:color w:val="231161"/>
        </w:rPr>
        <w:t>How to Vote</w:t>
      </w:r>
    </w:p>
    <w:p>
      <w:pPr>
        <w:spacing w:after="0" w:line="71" w:lineRule="exact"/>
        <w:rPr>
          <w:sz w:val="20"/>
          <w:szCs w:val="20"/>
          <w:color w:val="auto"/>
        </w:rPr>
      </w:pPr>
    </w:p>
    <w:p>
      <w:pPr>
        <w:ind w:left="240" w:right="120"/>
        <w:spacing w:after="0" w:line="236" w:lineRule="auto"/>
        <w:rPr>
          <w:sz w:val="20"/>
          <w:szCs w:val="20"/>
          <w:color w:val="auto"/>
        </w:rPr>
      </w:pPr>
      <w:r>
        <w:rPr>
          <w:rFonts w:ascii="Arial" w:cs="Arial" w:eastAsia="Arial" w:hAnsi="Arial"/>
          <w:sz w:val="15"/>
          <w:szCs w:val="15"/>
          <w:color w:val="3F3F3F"/>
        </w:rPr>
        <w:t>Please vote using one of the following advance voting methods. In all cases, you should have your Internet Notice, or if you requested to receive printed proxy materials, your proxy card or voting instruction form, in hand and follow the instructions.</w:t>
      </w:r>
    </w:p>
    <w:p>
      <w:pPr>
        <w:spacing w:after="0" w:line="65" w:lineRule="exact"/>
        <w:rPr>
          <w:sz w:val="20"/>
          <w:szCs w:val="20"/>
          <w:color w:val="auto"/>
        </w:rPr>
      </w:pPr>
    </w:p>
    <w:p>
      <w:pPr>
        <w:spacing w:after="0"/>
        <w:tabs>
          <w:tab w:leader="none" w:pos="220" w:val="left"/>
          <w:tab w:leader="none" w:pos="3780" w:val="left"/>
        </w:tabs>
        <w:rPr>
          <w:sz w:val="20"/>
          <w:szCs w:val="20"/>
          <w:color w:val="auto"/>
        </w:rPr>
      </w:pPr>
      <w:r>
        <w:rPr>
          <w:rFonts w:ascii="Arial" w:cs="Arial" w:eastAsia="Arial" w:hAnsi="Arial"/>
          <w:sz w:val="14"/>
          <w:szCs w:val="14"/>
          <w:b w:val="1"/>
          <w:bCs w:val="1"/>
          <w:color w:val="231161"/>
        </w:rPr>
        <w:t> </w:t>
      </w:r>
      <w:r>
        <w:rPr>
          <w:sz w:val="20"/>
          <w:szCs w:val="20"/>
          <w:color w:val="auto"/>
        </w:rPr>
        <w:tab/>
      </w:r>
      <w:r>
        <w:rPr>
          <w:rFonts w:ascii="Arial" w:cs="Arial" w:eastAsia="Arial" w:hAnsi="Arial"/>
          <w:sz w:val="14"/>
          <w:szCs w:val="14"/>
          <w:color w:val="732282"/>
        </w:rPr>
        <w:t>Shareholders of Record</w:t>
      </w:r>
      <w:r>
        <w:rPr>
          <w:sz w:val="20"/>
          <w:szCs w:val="20"/>
          <w:color w:val="auto"/>
        </w:rPr>
        <w:tab/>
      </w:r>
      <w:r>
        <w:rPr>
          <w:rFonts w:ascii="Arial" w:cs="Arial" w:eastAsia="Arial" w:hAnsi="Arial"/>
          <w:sz w:val="4"/>
          <w:szCs w:val="4"/>
          <w:b w:val="1"/>
          <w:bCs w:val="1"/>
          <w:color w:val="231161"/>
        </w:rPr>
        <w:t> </w:t>
      </w:r>
    </w:p>
    <w:p>
      <w:pPr>
        <w:spacing w:after="0" w:line="7" w:lineRule="exact"/>
        <w:rPr>
          <w:sz w:val="20"/>
          <w:szCs w:val="20"/>
          <w:color w:val="auto"/>
        </w:rPr>
      </w:pPr>
    </w:p>
    <w:p>
      <w:pPr>
        <w:ind w:left="240" w:right="340"/>
        <w:spacing w:after="0" w:line="236" w:lineRule="auto"/>
        <w:rPr>
          <w:sz w:val="20"/>
          <w:szCs w:val="20"/>
          <w:color w:val="auto"/>
        </w:rPr>
      </w:pPr>
      <w:r>
        <w:rPr>
          <w:rFonts w:ascii="Arial" w:cs="Arial" w:eastAsia="Arial" w:hAnsi="Arial"/>
          <w:sz w:val="15"/>
          <w:szCs w:val="15"/>
          <w:color w:val="3F3F3F"/>
        </w:rPr>
        <w:t>(shares registered on the books of the Company via Equiniti Trust Company (formerly American Stock Transfer))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3F3F3F"/>
        </w:rPr>
        <w:t>Via Internet</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Visit https://www.proxyvotenow.com/vtrs</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3F3F3F"/>
        </w:rPr>
        <w:t>By phone</w:t>
      </w:r>
    </w:p>
    <w:p>
      <w:pPr>
        <w:spacing w:after="0" w:line="6" w:lineRule="exact"/>
        <w:rPr>
          <w:sz w:val="20"/>
          <w:szCs w:val="20"/>
          <w:color w:val="auto"/>
        </w:rPr>
      </w:pPr>
    </w:p>
    <w:p>
      <w:pPr>
        <w:ind w:left="1140" w:right="120"/>
        <w:spacing w:after="0"/>
        <w:rPr>
          <w:sz w:val="20"/>
          <w:szCs w:val="20"/>
          <w:color w:val="auto"/>
        </w:rPr>
      </w:pPr>
      <w:r>
        <w:rPr>
          <w:rFonts w:ascii="Arial" w:cs="Arial" w:eastAsia="Arial" w:hAnsi="Arial"/>
          <w:sz w:val="11"/>
          <w:szCs w:val="11"/>
          <w:color w:val="3F3F3F"/>
        </w:rPr>
        <w:t>Call 1-855-429-7917 or the telephone number on your proxy card</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3F3F3F"/>
        </w:rPr>
        <w:t>By mail</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Sign, date and return</w:t>
      </w:r>
    </w:p>
    <w:p>
      <w:pPr>
        <w:ind w:left="1140"/>
        <w:spacing w:after="0"/>
        <w:rPr>
          <w:sz w:val="20"/>
          <w:szCs w:val="20"/>
          <w:color w:val="auto"/>
        </w:rPr>
      </w:pPr>
      <w:r>
        <w:rPr>
          <w:rFonts w:ascii="Arial" w:cs="Arial" w:eastAsia="Arial" w:hAnsi="Arial"/>
          <w:sz w:val="11"/>
          <w:szCs w:val="11"/>
          <w:color w:val="3F3F3F"/>
        </w:rPr>
        <w:t>your proxy card</w:t>
      </w:r>
    </w:p>
    <w:p>
      <w:pPr>
        <w:spacing w:after="0" w:line="57" w:lineRule="exact"/>
        <w:rPr>
          <w:sz w:val="20"/>
          <w:szCs w:val="20"/>
          <w:color w:val="auto"/>
        </w:rPr>
      </w:pPr>
    </w:p>
    <w:p>
      <w:pPr>
        <w:ind w:left="240" w:hanging="233"/>
        <w:spacing w:after="0"/>
        <w:tabs>
          <w:tab w:leader="none" w:pos="240" w:val="left"/>
        </w:tabs>
        <w:numPr>
          <w:ilvl w:val="0"/>
          <w:numId w:val="10"/>
        </w:numPr>
        <w:rPr>
          <w:rFonts w:ascii="Arial" w:cs="Arial" w:eastAsia="Arial" w:hAnsi="Arial"/>
          <w:sz w:val="14"/>
          <w:szCs w:val="14"/>
          <w:b w:val="1"/>
          <w:bCs w:val="1"/>
          <w:color w:val="231161"/>
        </w:rPr>
      </w:pPr>
      <w:r>
        <w:rPr>
          <w:rFonts w:ascii="Arial" w:cs="Arial" w:eastAsia="Arial" w:hAnsi="Arial"/>
          <w:sz w:val="14"/>
          <w:szCs w:val="14"/>
          <w:color w:val="732282"/>
        </w:rPr>
        <w:t>Beneficial Owners</w:t>
      </w:r>
    </w:p>
    <w:p>
      <w:pPr>
        <w:spacing w:after="0" w:line="6" w:lineRule="exact"/>
        <w:rPr>
          <w:rFonts w:ascii="Arial" w:cs="Arial" w:eastAsia="Arial" w:hAnsi="Arial"/>
          <w:sz w:val="14"/>
          <w:szCs w:val="14"/>
          <w:b w:val="1"/>
          <w:bCs w:val="1"/>
          <w:color w:val="231161"/>
        </w:rPr>
      </w:pPr>
    </w:p>
    <w:p>
      <w:pPr>
        <w:ind w:left="240" w:right="580"/>
        <w:spacing w:after="0" w:line="244" w:lineRule="auto"/>
        <w:rPr>
          <w:rFonts w:ascii="Arial" w:cs="Arial" w:eastAsia="Arial" w:hAnsi="Arial"/>
          <w:sz w:val="14"/>
          <w:szCs w:val="14"/>
          <w:b w:val="1"/>
          <w:bCs w:val="1"/>
          <w:color w:val="231161"/>
        </w:rPr>
      </w:pPr>
      <w:r>
        <w:rPr>
          <w:rFonts w:ascii="Arial" w:cs="Arial" w:eastAsia="Arial" w:hAnsi="Arial"/>
          <w:sz w:val="15"/>
          <w:szCs w:val="15"/>
          <w:color w:val="3F3F3F"/>
        </w:rPr>
        <w:t>(shares held through your bank or brokerage account)</w:t>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3F3F3F"/>
        </w:rPr>
        <w:t>Via Internet</w:t>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visit www.proxyvote.com</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3F3F3F"/>
        </w:rPr>
        <w:t>By phone</w:t>
      </w:r>
    </w:p>
    <w:p>
      <w:pPr>
        <w:spacing w:after="0" w:line="6" w:lineRule="exact"/>
        <w:rPr>
          <w:sz w:val="20"/>
          <w:szCs w:val="20"/>
          <w:color w:val="auto"/>
        </w:rPr>
      </w:pPr>
    </w:p>
    <w:p>
      <w:pPr>
        <w:ind w:left="1140" w:right="120"/>
        <w:spacing w:after="0"/>
        <w:rPr>
          <w:sz w:val="20"/>
          <w:szCs w:val="20"/>
          <w:color w:val="auto"/>
        </w:rPr>
      </w:pPr>
      <w:r>
        <w:rPr>
          <w:rFonts w:ascii="Arial" w:cs="Arial" w:eastAsia="Arial" w:hAnsi="Arial"/>
          <w:sz w:val="11"/>
          <w:szCs w:val="11"/>
          <w:color w:val="3F3F3F"/>
        </w:rPr>
        <w:t>Call 1-800-454-8683 or the telephone number on your voting instruction form</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3F3F3F"/>
        </w:rPr>
        <w:t>By mail</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Sign, date and return</w:t>
      </w:r>
    </w:p>
    <w:p>
      <w:pPr>
        <w:ind w:left="1140"/>
        <w:spacing w:after="0"/>
        <w:rPr>
          <w:sz w:val="20"/>
          <w:szCs w:val="20"/>
          <w:color w:val="auto"/>
        </w:rPr>
      </w:pPr>
      <w:r>
        <w:rPr>
          <w:rFonts w:ascii="Arial" w:cs="Arial" w:eastAsia="Arial" w:hAnsi="Arial"/>
          <w:sz w:val="11"/>
          <w:szCs w:val="11"/>
          <w:color w:val="3F3F3F"/>
        </w:rPr>
        <w:t>your voting instruction form</w:t>
      </w:r>
    </w:p>
    <w:p>
      <w:pPr>
        <w:spacing w:after="0" w:line="48" w:lineRule="exact"/>
        <w:rPr>
          <w:sz w:val="20"/>
          <w:szCs w:val="20"/>
          <w:color w:val="auto"/>
        </w:rPr>
      </w:pPr>
    </w:p>
    <w:p>
      <w:pPr>
        <w:ind w:left="240" w:right="220"/>
        <w:spacing w:after="0" w:line="230" w:lineRule="auto"/>
        <w:rPr>
          <w:sz w:val="20"/>
          <w:szCs w:val="20"/>
          <w:color w:val="auto"/>
        </w:rPr>
      </w:pPr>
      <w:r>
        <w:rPr>
          <w:rFonts w:ascii="Arial" w:cs="Arial" w:eastAsia="Arial" w:hAnsi="Arial"/>
          <w:sz w:val="15"/>
          <w:szCs w:val="15"/>
          <w:color w:val="3F3F3F"/>
        </w:rPr>
        <w:t>All shareholders of record may vote in person at the 2024 Annual Meeting. Beneficial owners may vote in person at the 2024 Annual Meeting if they have a legal proxy, and follow the instructions described in the response to the question titled “How do I vote if I am a beneficial owner of shares of Viatris common stock and hold them in street name?” on page A-4. See “Important Meeting Information” below on how to attend the 2024 Annual Meeting.</w:t>
      </w:r>
    </w:p>
    <w:p>
      <w:pPr>
        <w:sectPr>
          <w:pgSz w:w="11900" w:h="16838" w:orient="portrait"/>
          <w:cols w:equalWidth="0" w:num="2">
            <w:col w:w="6840" w:space="340"/>
            <w:col w:w="3840"/>
          </w:cols>
          <w:pgMar w:left="320" w:top="482"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1263015</wp:posOffset>
            </wp:positionV>
            <wp:extent cx="488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Important Meeting Information</w:t>
      </w:r>
    </w:p>
    <w:p>
      <w:pPr>
        <w:spacing w:after="0" w:line="11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b w:val="1"/>
          <w:bCs w:val="1"/>
          <w:color w:val="732282"/>
        </w:rPr>
        <w:t>If you plan to attend the 2024 Annual Meeting in person, you must register in advance. See the question titled “How can I attend the 2024 Annual Meeting?” on page A-2 for information about the location, format and how to register to attend the meeting.</w:t>
      </w:r>
    </w:p>
    <w:p>
      <w:pPr>
        <w:spacing w:after="0" w:line="32"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b w:val="1"/>
          <w:bCs w:val="1"/>
          <w:color w:val="3F3F3F"/>
        </w:rPr>
        <w:t>For important information concerning the 2024 Annual Meeting, voting and other matters, please refer to Appendix A – Questions and Answers, beginning on page A-1.</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By Order of the Viatris Inc. Board of Directors,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Burt Park</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Chief Governance Counsel and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October 25, 2024</w:t>
      </w:r>
    </w:p>
    <w:p>
      <w:pPr>
        <w:spacing w:after="0" w:line="200" w:lineRule="exact"/>
        <w:rPr>
          <w:sz w:val="20"/>
          <w:szCs w:val="20"/>
          <w:color w:val="auto"/>
        </w:rPr>
      </w:pPr>
    </w:p>
    <w:p>
      <w:pPr>
        <w:spacing w:after="0" w:line="22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732282"/>
        </w:rPr>
        <w:t>IMPORTANT NOTICE REGARDING THE AVAILABILITY OF PROXY MATERIALS FOR</w:t>
      </w:r>
    </w:p>
    <w:p>
      <w:pPr>
        <w:spacing w:after="0" w:line="21" w:lineRule="exact"/>
        <w:rPr>
          <w:sz w:val="20"/>
          <w:szCs w:val="20"/>
          <w:color w:val="auto"/>
        </w:rPr>
      </w:pPr>
    </w:p>
    <w:p>
      <w:pPr>
        <w:jc w:val="center"/>
        <w:ind w:left="920" w:right="1600"/>
        <w:spacing w:after="0" w:line="256" w:lineRule="auto"/>
        <w:rPr>
          <w:sz w:val="20"/>
          <w:szCs w:val="20"/>
          <w:color w:val="auto"/>
        </w:rPr>
      </w:pPr>
      <w:r>
        <w:rPr>
          <w:rFonts w:ascii="Arial" w:cs="Arial" w:eastAsia="Arial" w:hAnsi="Arial"/>
          <w:sz w:val="16"/>
          <w:szCs w:val="16"/>
          <w:b w:val="1"/>
          <w:bCs w:val="1"/>
          <w:color w:val="732282"/>
        </w:rPr>
        <w:t xml:space="preserve">THE 2024 ANNUAL MEETING OF SHAREHOLDERS TO BE HELD ON DECEMBER 6, 2024. </w:t>
      </w:r>
      <w:r>
        <w:rPr>
          <w:rFonts w:ascii="Arial" w:cs="Arial" w:eastAsia="Arial" w:hAnsi="Arial"/>
          <w:sz w:val="16"/>
          <w:szCs w:val="16"/>
          <w:b w:val="1"/>
          <w:bCs w:val="1"/>
          <w:color w:val="3F3F3F"/>
        </w:rPr>
        <w:t>The Notice of Annual Meeting, Proxy Statement and 2023 Annual Report are available at www.proxydocs.com/VTRSV. Information on our website is not considered part of this Proxy Statement.</w:t>
      </w:r>
    </w:p>
    <w:p>
      <w:pPr>
        <w:sectPr>
          <w:pgSz w:w="11900" w:h="16838" w:orient="portrait"/>
          <w:cols w:equalWidth="0" w:num="1">
            <w:col w:w="10640"/>
          </w:cols>
          <w:pgMar w:left="320" w:top="482" w:right="9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Table of Contents</w:t>
      </w:r>
    </w:p>
    <w:p>
      <w:pPr>
        <w:spacing w:after="0" w:line="200" w:lineRule="exact"/>
        <w:rPr>
          <w:sz w:val="20"/>
          <w:szCs w:val="20"/>
          <w:color w:val="auto"/>
        </w:rPr>
      </w:pP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Message from the Chair of the Board, Melina Higgins</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Message from Scott A. Smith, Chief Executive Officer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40" w:type="dxa"/>
            <w:vAlign w:val="bottom"/>
            <w:tcBorders>
              <w:top w:val="single" w:sz="8" w:color="0000EE"/>
              <w:bottom w:val="single" w:sz="8" w:color="0000EE"/>
            </w:tcBorders>
            <w:gridSpan w:val="32"/>
          </w:tcPr>
          <w:p>
            <w:pPr>
              <w:spacing w:after="0"/>
              <w:rPr>
                <w:sz w:val="20"/>
                <w:szCs w:val="20"/>
                <w:color w:val="auto"/>
              </w:rPr>
            </w:pPr>
            <w:r>
              <w:rPr>
                <w:rFonts w:ascii="Arial" w:cs="Arial" w:eastAsia="Arial" w:hAnsi="Arial"/>
                <w:sz w:val="22"/>
                <w:szCs w:val="22"/>
                <w:b w:val="1"/>
                <w:bCs w:val="1"/>
                <w:color w:val="0000EE"/>
                <w:w w:val="97"/>
              </w:rPr>
              <w:t>Notice of 2024 Annual Meeting of Shareholders</w:t>
            </w:r>
          </w:p>
        </w:tc>
        <w:tc>
          <w:tcPr>
            <w:tcW w:w="620" w:type="dxa"/>
            <w:vAlign w:val="bottom"/>
            <w:tcBorders>
              <w:top w:val="single" w:sz="8" w:color="0000EE"/>
            </w:tcBorders>
            <w:gridSpan w:val="2"/>
          </w:tcPr>
          <w:p>
            <w:pPr>
              <w:spacing w:after="0"/>
              <w:rPr>
                <w:sz w:val="24"/>
                <w:szCs w:val="24"/>
                <w:color w:val="auto"/>
              </w:rPr>
            </w:pPr>
          </w:p>
        </w:tc>
        <w:tc>
          <w:tcPr>
            <w:tcW w:w="484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80" w:type="dxa"/>
            <w:vAlign w:val="bottom"/>
            <w:tcBorders>
              <w:bottom w:val="single" w:sz="8" w:color="0000EE"/>
            </w:tcBorders>
            <w:gridSpan w:val="35"/>
          </w:tcPr>
          <w:p>
            <w:pPr>
              <w:spacing w:after="0"/>
              <w:rPr>
                <w:sz w:val="20"/>
                <w:szCs w:val="20"/>
                <w:color w:val="auto"/>
              </w:rPr>
            </w:pPr>
            <w:r>
              <w:rPr>
                <w:rFonts w:ascii="Arial" w:cs="Arial" w:eastAsia="Arial" w:hAnsi="Arial"/>
                <w:sz w:val="22"/>
                <w:szCs w:val="22"/>
                <w:b w:val="1"/>
                <w:bCs w:val="1"/>
                <w:color w:val="0000EE"/>
                <w:w w:val="97"/>
              </w:rPr>
              <w:t>The Breadth and Power of the Viatris Business Model</w:t>
            </w:r>
          </w:p>
        </w:tc>
        <w:tc>
          <w:tcPr>
            <w:tcW w:w="482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Company Snapshot</w:t>
            </w:r>
          </w:p>
        </w:tc>
        <w:tc>
          <w:tcPr>
            <w:tcW w:w="8500" w:type="dxa"/>
            <w:vAlign w:val="bottom"/>
            <w:gridSpan w:val="38"/>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394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9"/>
              </w:rPr>
              <w:t>Our Commitment to Good Corporate Governance</w:t>
            </w:r>
          </w:p>
        </w:tc>
        <w:tc>
          <w:tcPr>
            <w:tcW w:w="6140" w:type="dxa"/>
            <w:vAlign w:val="bottom"/>
            <w:gridSpan w:val="13"/>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6</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Building Sustainable Access to Medicine at Scale</w:t>
            </w:r>
          </w:p>
        </w:tc>
        <w:tc>
          <w:tcPr>
            <w:tcW w:w="640" w:type="dxa"/>
            <w:vAlign w:val="bottom"/>
          </w:tcPr>
          <w:p>
            <w:pPr>
              <w:jc w:val="right"/>
              <w:spacing w:after="0"/>
              <w:rPr>
                <w:sz w:val="20"/>
                <w:szCs w:val="20"/>
                <w:color w:val="auto"/>
              </w:rPr>
            </w:pPr>
            <w:r>
              <w:rPr>
                <w:rFonts w:ascii="Arial" w:cs="Arial" w:eastAsia="Arial" w:hAnsi="Arial"/>
                <w:sz w:val="18"/>
                <w:szCs w:val="18"/>
                <w:color w:val="3F3F3F"/>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Viatris’ Board of Directors</w:t>
            </w: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12</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24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Item 1 – Election of Directors</w:t>
            </w:r>
          </w:p>
        </w:tc>
        <w:tc>
          <w:tcPr>
            <w:tcW w:w="7640" w:type="dxa"/>
            <w:vAlign w:val="bottom"/>
            <w:gridSpan w:val="32"/>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How Our Board Governs and Is Governed</w:t>
            </w:r>
          </w:p>
        </w:tc>
        <w:tc>
          <w:tcPr>
            <w:tcW w:w="640" w:type="dxa"/>
            <w:vAlign w:val="bottom"/>
          </w:tcPr>
          <w:p>
            <w:pPr>
              <w:jc w:val="right"/>
              <w:spacing w:after="0"/>
              <w:rPr>
                <w:sz w:val="20"/>
                <w:szCs w:val="20"/>
                <w:color w:val="auto"/>
              </w:rPr>
            </w:pPr>
            <w:r>
              <w:rPr>
                <w:rFonts w:ascii="Arial" w:cs="Arial" w:eastAsia="Arial" w:hAnsi="Arial"/>
                <w:sz w:val="18"/>
                <w:szCs w:val="18"/>
                <w:color w:val="3F3F3F"/>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Board Refreshment and Succession Planning</w:t>
            </w:r>
          </w:p>
        </w:tc>
        <w:tc>
          <w:tcPr>
            <w:tcW w:w="640" w:type="dxa"/>
            <w:vAlign w:val="bottom"/>
          </w:tcPr>
          <w:p>
            <w:pPr>
              <w:jc w:val="right"/>
              <w:spacing w:after="0"/>
              <w:rPr>
                <w:sz w:val="20"/>
                <w:szCs w:val="20"/>
                <w:color w:val="auto"/>
              </w:rPr>
            </w:pPr>
            <w:r>
              <w:rPr>
                <w:rFonts w:ascii="Arial" w:cs="Arial" w:eastAsia="Arial" w:hAnsi="Arial"/>
                <w:sz w:val="18"/>
                <w:szCs w:val="18"/>
                <w:color w:val="3F3F3F"/>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Annual Board and Committee Self-Evaluations</w:t>
            </w:r>
          </w:p>
        </w:tc>
        <w:tc>
          <w:tcPr>
            <w:tcW w:w="640" w:type="dxa"/>
            <w:vAlign w:val="bottom"/>
          </w:tcPr>
          <w:p>
            <w:pPr>
              <w:jc w:val="right"/>
              <w:spacing w:after="0"/>
              <w:rPr>
                <w:sz w:val="20"/>
                <w:szCs w:val="20"/>
                <w:color w:val="auto"/>
              </w:rPr>
            </w:pPr>
            <w:r>
              <w:rPr>
                <w:rFonts w:ascii="Arial" w:cs="Arial" w:eastAsia="Arial" w:hAnsi="Arial"/>
                <w:sz w:val="18"/>
                <w:szCs w:val="18"/>
                <w:color w:val="3F3F3F"/>
              </w:rPr>
              <w:t>33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Setting and Overseeing Strategy</w:t>
            </w:r>
          </w:p>
        </w:tc>
        <w:tc>
          <w:tcPr>
            <w:tcW w:w="1100" w:type="dxa"/>
            <w:vAlign w:val="bottom"/>
            <w:tcBorders>
              <w:top w:val="single" w:sz="8" w:color="0000EE"/>
            </w:tcBorders>
            <w:gridSpan w:val="10"/>
          </w:tcPr>
          <w:p>
            <w:pPr>
              <w:spacing w:after="0"/>
              <w:rPr>
                <w:sz w:val="18"/>
                <w:szCs w:val="18"/>
                <w:color w:val="auto"/>
              </w:rPr>
            </w:pPr>
          </w:p>
        </w:tc>
        <w:tc>
          <w:tcPr>
            <w:tcW w:w="6380" w:type="dxa"/>
            <w:vAlign w:val="bottom"/>
            <w:gridSpan w:val="20"/>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33</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Risk Oversight</w:t>
            </w:r>
          </w:p>
        </w:tc>
        <w:tc>
          <w:tcPr>
            <w:tcW w:w="640" w:type="dxa"/>
            <w:vAlign w:val="bottom"/>
          </w:tcPr>
          <w:p>
            <w:pPr>
              <w:jc w:val="right"/>
              <w:spacing w:after="0"/>
              <w:rPr>
                <w:sz w:val="20"/>
                <w:szCs w:val="20"/>
                <w:color w:val="auto"/>
              </w:rPr>
            </w:pPr>
            <w:r>
              <w:rPr>
                <w:rFonts w:ascii="Arial" w:cs="Arial" w:eastAsia="Arial" w:hAnsi="Arial"/>
                <w:sz w:val="18"/>
                <w:szCs w:val="18"/>
                <w:color w:val="3F3F3F"/>
              </w:rPr>
              <w:t>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7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How Our Directors Are Selected and Evaluated</w:t>
            </w:r>
          </w:p>
        </w:tc>
        <w:tc>
          <w:tcPr>
            <w:tcW w:w="6320" w:type="dxa"/>
            <w:vAlign w:val="bottom"/>
            <w:gridSpan w:val="18"/>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38</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80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Certain Relationships and Related Transactions</w:t>
            </w:r>
          </w:p>
        </w:tc>
        <w:tc>
          <w:tcPr>
            <w:tcW w:w="6280" w:type="dxa"/>
            <w:vAlign w:val="bottom"/>
            <w:gridSpan w:val="1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39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How Non-Employee Directors Are Compensated</w:t>
            </w:r>
          </w:p>
        </w:tc>
        <w:tc>
          <w:tcPr>
            <w:tcW w:w="640" w:type="dxa"/>
            <w:vAlign w:val="bottom"/>
          </w:tcPr>
          <w:p>
            <w:pPr>
              <w:jc w:val="right"/>
              <w:spacing w:after="0"/>
              <w:rPr>
                <w:sz w:val="20"/>
                <w:szCs w:val="20"/>
                <w:color w:val="auto"/>
              </w:rPr>
            </w:pPr>
            <w:r>
              <w:rPr>
                <w:rFonts w:ascii="Arial" w:cs="Arial" w:eastAsia="Arial" w:hAnsi="Arial"/>
                <w:sz w:val="18"/>
                <w:szCs w:val="18"/>
                <w:color w:val="3F3F3F"/>
              </w:rPr>
              <w:t>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Security Ownership</w:t>
            </w: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43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Security Ownership of Directors, Nominees, NEOs, and Executive Officers</w:t>
            </w:r>
          </w:p>
        </w:tc>
        <w:tc>
          <w:tcPr>
            <w:tcW w:w="640" w:type="dxa"/>
            <w:vAlign w:val="bottom"/>
          </w:tcPr>
          <w:p>
            <w:pPr>
              <w:jc w:val="right"/>
              <w:spacing w:after="0"/>
              <w:rPr>
                <w:sz w:val="20"/>
                <w:szCs w:val="20"/>
                <w:color w:val="auto"/>
              </w:rPr>
            </w:pPr>
            <w:r>
              <w:rPr>
                <w:rFonts w:ascii="Arial" w:cs="Arial" w:eastAsia="Arial" w:hAnsi="Arial"/>
                <w:sz w:val="18"/>
                <w:szCs w:val="18"/>
                <w:color w:val="3F3F3F"/>
              </w:rPr>
              <w:t>43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920" w:type="dxa"/>
            <w:vAlign w:val="bottom"/>
            <w:tcBorders>
              <w:top w:val="single" w:sz="8" w:color="0000EE"/>
              <w:bottom w:val="single" w:sz="8" w:color="0000EE"/>
            </w:tcBorders>
            <w:gridSpan w:val="28"/>
          </w:tcPr>
          <w:p>
            <w:pPr>
              <w:spacing w:after="0"/>
              <w:rPr>
                <w:sz w:val="20"/>
                <w:szCs w:val="20"/>
                <w:color w:val="auto"/>
              </w:rPr>
            </w:pPr>
            <w:r>
              <w:rPr>
                <w:rFonts w:ascii="Arial" w:cs="Arial" w:eastAsia="Arial" w:hAnsi="Arial"/>
                <w:sz w:val="18"/>
                <w:szCs w:val="18"/>
                <w:color w:val="0000EE"/>
                <w:w w:val="99"/>
              </w:rPr>
              <w:t>Security Ownership of Certain Beneficial Owners</w:t>
            </w:r>
          </w:p>
        </w:tc>
        <w:tc>
          <w:tcPr>
            <w:tcW w:w="1980" w:type="dxa"/>
            <w:vAlign w:val="bottom"/>
            <w:tcBorders>
              <w:top w:val="single" w:sz="8" w:color="0000EE"/>
            </w:tcBorders>
            <w:gridSpan w:val="7"/>
          </w:tcPr>
          <w:p>
            <w:pPr>
              <w:spacing w:after="0"/>
              <w:rPr>
                <w:sz w:val="18"/>
                <w:szCs w:val="18"/>
                <w:color w:val="auto"/>
              </w:rPr>
            </w:pPr>
          </w:p>
        </w:tc>
        <w:tc>
          <w:tcPr>
            <w:tcW w:w="4180" w:type="dxa"/>
            <w:vAlign w:val="bottom"/>
            <w:gridSpan w:val="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44</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Delinquent Section 16(a) Reports</w:t>
            </w:r>
          </w:p>
        </w:tc>
        <w:tc>
          <w:tcPr>
            <w:tcW w:w="7420" w:type="dxa"/>
            <w:vAlign w:val="bottom"/>
            <w:gridSpan w:val="29"/>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44</w:t>
            </w:r>
          </w:p>
        </w:tc>
        <w:tc>
          <w:tcPr>
            <w:tcW w:w="0" w:type="dxa"/>
            <w:vAlign w:val="bottom"/>
          </w:tcPr>
          <w:p>
            <w:pPr>
              <w:spacing w:after="0"/>
              <w:rPr>
                <w:sz w:val="1"/>
                <w:szCs w:val="1"/>
                <w:color w:val="auto"/>
              </w:rPr>
            </w:pPr>
          </w:p>
        </w:tc>
      </w:tr>
      <w:tr>
        <w:trPr>
          <w:trHeight w:val="318"/>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Executive Officers</w:t>
            </w: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45</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Item 2 – Advisory Vote to Approve the 2023 Compensation of the Named Executive Officers of the</w:t>
            </w:r>
          </w:p>
        </w:tc>
        <w:tc>
          <w:tcPr>
            <w:tcW w:w="640" w:type="dxa"/>
            <w:vAlign w:val="bottom"/>
            <w:vMerge w:val="restart"/>
          </w:tcPr>
          <w:p>
            <w:pPr>
              <w:jc w:val="right"/>
              <w:spacing w:after="0"/>
              <w:rPr>
                <w:sz w:val="20"/>
                <w:szCs w:val="20"/>
                <w:color w:val="auto"/>
              </w:rPr>
            </w:pPr>
            <w:r>
              <w:rPr>
                <w:rFonts w:ascii="Arial" w:cs="Arial" w:eastAsia="Arial" w:hAnsi="Arial"/>
                <w:sz w:val="22"/>
                <w:szCs w:val="22"/>
                <w:b w:val="1"/>
                <w:bCs w:val="1"/>
                <w:color w:val="231161"/>
              </w:rPr>
              <w:t>47</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980" w:type="dxa"/>
            <w:vAlign w:val="bottom"/>
            <w:tcBorders>
              <w:top w:val="single" w:sz="8" w:color="0000EE"/>
              <w:bottom w:val="single" w:sz="8" w:color="0000EE"/>
            </w:tcBorders>
          </w:tcPr>
          <w:p>
            <w:pPr>
              <w:spacing w:after="0" w:line="223" w:lineRule="exact"/>
              <w:rPr>
                <w:sz w:val="20"/>
                <w:szCs w:val="20"/>
                <w:color w:val="auto"/>
              </w:rPr>
            </w:pPr>
            <w:r>
              <w:rPr>
                <w:rFonts w:ascii="Arial" w:cs="Arial" w:eastAsia="Arial" w:hAnsi="Arial"/>
                <w:sz w:val="22"/>
                <w:szCs w:val="22"/>
                <w:b w:val="1"/>
                <w:bCs w:val="1"/>
                <w:color w:val="0000EE"/>
                <w:w w:val="95"/>
              </w:rPr>
              <w:t>Company</w:t>
            </w:r>
          </w:p>
        </w:tc>
        <w:tc>
          <w:tcPr>
            <w:tcW w:w="8780" w:type="dxa"/>
            <w:vAlign w:val="bottom"/>
            <w:tcBorders>
              <w:top w:val="single" w:sz="8" w:color="0000EE"/>
            </w:tcBorders>
            <w:gridSpan w:val="40"/>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Compensation Discussion and Analysis</w:t>
            </w: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48</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3880" w:type="dxa"/>
            <w:vAlign w:val="bottom"/>
            <w:tcBorders>
              <w:top w:val="single" w:sz="8" w:color="0000EE"/>
            </w:tcBorders>
            <w:gridSpan w:val="27"/>
          </w:tcPr>
          <w:p>
            <w:pPr>
              <w:spacing w:after="0"/>
              <w:rPr>
                <w:sz w:val="20"/>
                <w:szCs w:val="20"/>
                <w:color w:val="auto"/>
              </w:rPr>
            </w:pPr>
            <w:r>
              <w:rPr>
                <w:rFonts w:ascii="Arial" w:cs="Arial" w:eastAsia="Arial" w:hAnsi="Arial"/>
                <w:sz w:val="18"/>
                <w:szCs w:val="18"/>
                <w:color w:val="0000EE"/>
              </w:rPr>
              <w:t>Named Executive Officers</w:t>
            </w:r>
          </w:p>
        </w:tc>
        <w:tc>
          <w:tcPr>
            <w:tcW w:w="6200" w:type="dxa"/>
            <w:vAlign w:val="bottom"/>
            <w:gridSpan w:val="15"/>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48</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6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rPr>
              <w:t>Executive Summary</w:t>
            </w:r>
          </w:p>
        </w:tc>
        <w:tc>
          <w:tcPr>
            <w:tcW w:w="400" w:type="dxa"/>
            <w:vAlign w:val="bottom"/>
            <w:tcBorders>
              <w:top w:val="single" w:sz="8" w:color="0000EE"/>
            </w:tcBorders>
            <w:gridSpan w:val="3"/>
          </w:tcPr>
          <w:p>
            <w:pPr>
              <w:spacing w:after="0"/>
              <w:rPr>
                <w:sz w:val="18"/>
                <w:szCs w:val="18"/>
                <w:color w:val="auto"/>
              </w:rPr>
            </w:pPr>
          </w:p>
        </w:tc>
        <w:tc>
          <w:tcPr>
            <w:tcW w:w="8020" w:type="dxa"/>
            <w:vAlign w:val="bottom"/>
            <w:gridSpan w:val="3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49</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Executive Compensation Philosophy</w:t>
            </w:r>
          </w:p>
        </w:tc>
        <w:tc>
          <w:tcPr>
            <w:tcW w:w="7160" w:type="dxa"/>
            <w:vAlign w:val="bottom"/>
            <w:gridSpan w:val="27"/>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52</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00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9"/>
              </w:rPr>
              <w:t>2023 Performance-Based Compensation Program</w:t>
            </w:r>
          </w:p>
        </w:tc>
        <w:tc>
          <w:tcPr>
            <w:tcW w:w="6080" w:type="dxa"/>
            <w:vAlign w:val="bottom"/>
            <w:gridSpan w:val="1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Elements of 2023 Compensation</w:t>
            </w:r>
          </w:p>
        </w:tc>
        <w:tc>
          <w:tcPr>
            <w:tcW w:w="640" w:type="dxa"/>
            <w:vAlign w:val="bottom"/>
          </w:tcPr>
          <w:p>
            <w:pPr>
              <w:jc w:val="right"/>
              <w:spacing w:after="0"/>
              <w:rPr>
                <w:sz w:val="20"/>
                <w:szCs w:val="20"/>
                <w:color w:val="auto"/>
              </w:rPr>
            </w:pPr>
            <w:r>
              <w:rPr>
                <w:rFonts w:ascii="Arial" w:cs="Arial" w:eastAsia="Arial" w:hAnsi="Arial"/>
                <w:sz w:val="18"/>
                <w:szCs w:val="18"/>
                <w:color w:val="3F3F3F"/>
              </w:rPr>
              <w:t>54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Compensation Governance and Policies</w:t>
            </w:r>
          </w:p>
        </w:tc>
        <w:tc>
          <w:tcPr>
            <w:tcW w:w="640" w:type="dxa"/>
            <w:vAlign w:val="bottom"/>
          </w:tcPr>
          <w:p>
            <w:pPr>
              <w:jc w:val="right"/>
              <w:spacing w:after="0"/>
              <w:rPr>
                <w:sz w:val="20"/>
                <w:szCs w:val="20"/>
                <w:color w:val="auto"/>
              </w:rPr>
            </w:pPr>
            <w:r>
              <w:rPr>
                <w:rFonts w:ascii="Arial" w:cs="Arial" w:eastAsia="Arial" w:hAnsi="Arial"/>
                <w:sz w:val="18"/>
                <w:szCs w:val="18"/>
                <w:color w:val="3F3F3F"/>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00" w:type="dxa"/>
            <w:vAlign w:val="bottom"/>
            <w:tcBorders>
              <w:bottom w:val="single" w:sz="8" w:color="0000EE"/>
            </w:tcBorders>
            <w:gridSpan w:val="18"/>
          </w:tcPr>
          <w:p>
            <w:pPr>
              <w:spacing w:after="0"/>
              <w:rPr>
                <w:sz w:val="20"/>
                <w:szCs w:val="20"/>
                <w:color w:val="auto"/>
              </w:rPr>
            </w:pPr>
            <w:r>
              <w:rPr>
                <w:rFonts w:ascii="Arial" w:cs="Arial" w:eastAsia="Arial" w:hAnsi="Arial"/>
                <w:sz w:val="22"/>
                <w:szCs w:val="22"/>
                <w:b w:val="1"/>
                <w:bCs w:val="1"/>
                <w:color w:val="0000EE"/>
                <w:w w:val="97"/>
              </w:rPr>
              <w:t>Executive Compensation Tables</w:t>
            </w:r>
          </w:p>
        </w:tc>
        <w:tc>
          <w:tcPr>
            <w:tcW w:w="7000" w:type="dxa"/>
            <w:vAlign w:val="bottom"/>
            <w:gridSpan w:val="2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64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2023 Summary Compensation Table</w:t>
            </w:r>
          </w:p>
        </w:tc>
        <w:tc>
          <w:tcPr>
            <w:tcW w:w="640" w:type="dxa"/>
            <w:vAlign w:val="bottom"/>
          </w:tcPr>
          <w:p>
            <w:pPr>
              <w:jc w:val="right"/>
              <w:spacing w:after="0"/>
              <w:rPr>
                <w:sz w:val="20"/>
                <w:szCs w:val="20"/>
                <w:color w:val="auto"/>
              </w:rPr>
            </w:pPr>
            <w:r>
              <w:rPr>
                <w:rFonts w:ascii="Arial" w:cs="Arial" w:eastAsia="Arial" w:hAnsi="Arial"/>
                <w:sz w:val="18"/>
                <w:szCs w:val="18"/>
                <w:color w:val="3F3F3F"/>
              </w:rPr>
              <w:t>64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260" w:type="dxa"/>
            <w:vAlign w:val="bottom"/>
            <w:tcBorders>
              <w:bottom w:val="single" w:sz="8" w:color="0000EE"/>
            </w:tcBorders>
            <w:gridSpan w:val="37"/>
          </w:tcPr>
          <w:p>
            <w:pPr>
              <w:spacing w:after="0"/>
              <w:rPr>
                <w:sz w:val="20"/>
                <w:szCs w:val="20"/>
                <w:color w:val="auto"/>
              </w:rPr>
            </w:pPr>
            <w:r>
              <w:rPr>
                <w:rFonts w:ascii="Arial" w:cs="Arial" w:eastAsia="Arial" w:hAnsi="Arial"/>
                <w:sz w:val="18"/>
                <w:szCs w:val="18"/>
                <w:color w:val="0000EE"/>
                <w:w w:val="99"/>
              </w:rPr>
              <w:t>Estimated Payments in Connection with a Termination of Employment or Change in Control</w:t>
            </w:r>
          </w:p>
        </w:tc>
        <w:tc>
          <w:tcPr>
            <w:tcW w:w="282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72</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2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CEO Pay Ratio</w:t>
            </w:r>
          </w:p>
        </w:tc>
        <w:tc>
          <w:tcPr>
            <w:tcW w:w="8860" w:type="dxa"/>
            <w:vAlign w:val="bottom"/>
            <w:gridSpan w:val="39"/>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77</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Pay Versus Performance</w:t>
            </w:r>
          </w:p>
        </w:tc>
        <w:tc>
          <w:tcPr>
            <w:tcW w:w="640" w:type="dxa"/>
            <w:vAlign w:val="bottom"/>
          </w:tcPr>
          <w:p>
            <w:pPr>
              <w:jc w:val="right"/>
              <w:spacing w:after="0"/>
              <w:rPr>
                <w:sz w:val="20"/>
                <w:szCs w:val="20"/>
                <w:color w:val="auto"/>
              </w:rPr>
            </w:pPr>
            <w:r>
              <w:rPr>
                <w:rFonts w:ascii="Arial" w:cs="Arial" w:eastAsia="Arial" w:hAnsi="Arial"/>
                <w:sz w:val="18"/>
                <w:szCs w:val="18"/>
                <w:color w:val="3F3F3F"/>
              </w:rPr>
              <w:t>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Item 3 – Ratification of the Selection of Deloitte &amp; Touche LLP as the Company’s Independent</w:t>
            </w:r>
          </w:p>
        </w:tc>
        <w:tc>
          <w:tcPr>
            <w:tcW w:w="640" w:type="dxa"/>
            <w:vAlign w:val="bottom"/>
            <w:vMerge w:val="restart"/>
          </w:tcPr>
          <w:p>
            <w:pPr>
              <w:jc w:val="right"/>
              <w:spacing w:after="0"/>
              <w:rPr>
                <w:sz w:val="20"/>
                <w:szCs w:val="20"/>
                <w:color w:val="auto"/>
              </w:rPr>
            </w:pPr>
            <w:r>
              <w:rPr>
                <w:rFonts w:ascii="Arial" w:cs="Arial" w:eastAsia="Arial" w:hAnsi="Arial"/>
                <w:sz w:val="22"/>
                <w:szCs w:val="22"/>
                <w:b w:val="1"/>
                <w:bCs w:val="1"/>
                <w:color w:val="231161"/>
              </w:rPr>
              <w:t>84</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8320" w:type="dxa"/>
            <w:vAlign w:val="bottom"/>
            <w:tcBorders>
              <w:top w:val="single" w:sz="8" w:color="0000EE"/>
              <w:bottom w:val="single" w:sz="8" w:color="0000EE"/>
            </w:tcBorders>
            <w:gridSpan w:val="39"/>
          </w:tcPr>
          <w:p>
            <w:pPr>
              <w:spacing w:after="0" w:line="223" w:lineRule="exact"/>
              <w:rPr>
                <w:sz w:val="20"/>
                <w:szCs w:val="20"/>
                <w:color w:val="auto"/>
              </w:rPr>
            </w:pPr>
            <w:r>
              <w:rPr>
                <w:rFonts w:ascii="Arial" w:cs="Arial" w:eastAsia="Arial" w:hAnsi="Arial"/>
                <w:sz w:val="22"/>
                <w:szCs w:val="22"/>
                <w:b w:val="1"/>
                <w:bCs w:val="1"/>
                <w:color w:val="0000EE"/>
                <w:w w:val="97"/>
              </w:rPr>
              <w:t>Registered Public Accounting Firm for the Fiscal Year Ending December 31, 2024</w:t>
            </w:r>
          </w:p>
        </w:tc>
        <w:tc>
          <w:tcPr>
            <w:tcW w:w="1000" w:type="dxa"/>
            <w:vAlign w:val="bottom"/>
            <w:tcBorders>
              <w:top w:val="single" w:sz="8" w:color="0000EE"/>
            </w:tcBorders>
          </w:tcPr>
          <w:p>
            <w:pPr>
              <w:spacing w:after="0"/>
              <w:rPr>
                <w:sz w:val="19"/>
                <w:szCs w:val="19"/>
                <w:color w:val="auto"/>
              </w:rPr>
            </w:pPr>
          </w:p>
        </w:tc>
        <w:tc>
          <w:tcPr>
            <w:tcW w:w="760" w:type="dxa"/>
            <w:vAlign w:val="bottom"/>
            <w:gridSpan w:val="2"/>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Principal Accounting Fees and Services</w:t>
            </w:r>
          </w:p>
        </w:tc>
        <w:tc>
          <w:tcPr>
            <w:tcW w:w="640" w:type="dxa"/>
            <w:vAlign w:val="bottom"/>
          </w:tcPr>
          <w:p>
            <w:pPr>
              <w:jc w:val="right"/>
              <w:spacing w:after="0"/>
              <w:rPr>
                <w:sz w:val="20"/>
                <w:szCs w:val="20"/>
                <w:color w:val="auto"/>
              </w:rPr>
            </w:pPr>
            <w:r>
              <w:rPr>
                <w:rFonts w:ascii="Arial" w:cs="Arial" w:eastAsia="Arial" w:hAnsi="Arial"/>
                <w:sz w:val="18"/>
                <w:szCs w:val="18"/>
                <w:color w:val="3F3F3F"/>
              </w:rPr>
              <w:t>85</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9"/>
              </w:rPr>
              <w:t>Audit Committee Pre-Approval Policy</w:t>
            </w:r>
          </w:p>
        </w:tc>
        <w:tc>
          <w:tcPr>
            <w:tcW w:w="240" w:type="dxa"/>
            <w:vAlign w:val="bottom"/>
            <w:tcBorders>
              <w:top w:val="single" w:sz="8" w:color="0000EE"/>
            </w:tcBorders>
            <w:gridSpan w:val="2"/>
          </w:tcPr>
          <w:p>
            <w:pPr>
              <w:spacing w:after="0"/>
              <w:rPr>
                <w:sz w:val="18"/>
                <w:szCs w:val="18"/>
                <w:color w:val="auto"/>
              </w:rPr>
            </w:pPr>
          </w:p>
        </w:tc>
        <w:tc>
          <w:tcPr>
            <w:tcW w:w="6880" w:type="dxa"/>
            <w:vAlign w:val="bottom"/>
            <w:gridSpan w:val="24"/>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85</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Report of the Audit Committee of Viatris’ Board</w:t>
            </w:r>
          </w:p>
        </w:tc>
        <w:tc>
          <w:tcPr>
            <w:tcW w:w="640" w:type="dxa"/>
            <w:vAlign w:val="bottom"/>
          </w:tcPr>
          <w:p>
            <w:pPr>
              <w:jc w:val="right"/>
              <w:spacing w:after="0"/>
              <w:rPr>
                <w:sz w:val="20"/>
                <w:szCs w:val="20"/>
                <w:color w:val="auto"/>
              </w:rPr>
            </w:pPr>
            <w:r>
              <w:rPr>
                <w:rFonts w:ascii="Arial" w:cs="Arial" w:eastAsia="Arial" w:hAnsi="Arial"/>
                <w:sz w:val="18"/>
                <w:szCs w:val="18"/>
                <w:color w:val="3F3F3F"/>
              </w:rPr>
              <w:t>86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80" w:type="dxa"/>
            <w:vAlign w:val="bottom"/>
            <w:gridSpan w:val="10"/>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Item 4 – Approval of an Amendment to the Viatris Inc. 2020 Stock Incentive Plan</w:t>
            </w: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87</w:t>
            </w:r>
          </w:p>
        </w:tc>
        <w:tc>
          <w:tcPr>
            <w:tcW w:w="0" w:type="dxa"/>
            <w:vAlign w:val="bottom"/>
          </w:tcPr>
          <w:p>
            <w:pPr>
              <w:spacing w:after="0"/>
              <w:rPr>
                <w:sz w:val="1"/>
                <w:szCs w:val="1"/>
                <w:color w:val="auto"/>
              </w:rPr>
            </w:pPr>
          </w:p>
        </w:tc>
      </w:tr>
      <w:tr>
        <w:trPr>
          <w:trHeight w:val="331"/>
        </w:trPr>
        <w:tc>
          <w:tcPr>
            <w:tcW w:w="390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22"/>
                <w:szCs w:val="22"/>
                <w:b w:val="1"/>
                <w:bCs w:val="1"/>
                <w:color w:val="0000EE"/>
                <w:w w:val="97"/>
              </w:rPr>
              <w:t>Appendix A – Questions and Answers</w:t>
            </w:r>
          </w:p>
        </w:tc>
        <w:tc>
          <w:tcPr>
            <w:tcW w:w="4260" w:type="dxa"/>
            <w:vAlign w:val="bottom"/>
            <w:tcBorders>
              <w:top w:val="single" w:sz="8" w:color="0000EE"/>
            </w:tcBorders>
            <w:gridSpan w:val="17"/>
          </w:tcPr>
          <w:p>
            <w:pPr>
              <w:spacing w:after="0"/>
              <w:rPr>
                <w:sz w:val="24"/>
                <w:szCs w:val="24"/>
                <w:color w:val="auto"/>
              </w:rPr>
            </w:pPr>
          </w:p>
        </w:tc>
        <w:tc>
          <w:tcPr>
            <w:tcW w:w="21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A-1</w:t>
            </w:r>
          </w:p>
        </w:tc>
        <w:tc>
          <w:tcPr>
            <w:tcW w:w="0" w:type="dxa"/>
            <w:vAlign w:val="bottom"/>
          </w:tcPr>
          <w:p>
            <w:pPr>
              <w:spacing w:after="0"/>
              <w:rPr>
                <w:sz w:val="1"/>
                <w:szCs w:val="1"/>
                <w:color w:val="auto"/>
              </w:rPr>
            </w:pPr>
          </w:p>
        </w:tc>
      </w:tr>
      <w:tr>
        <w:trPr>
          <w:trHeight w:val="331"/>
        </w:trPr>
        <w:tc>
          <w:tcPr>
            <w:tcW w:w="1200" w:type="dxa"/>
            <w:vAlign w:val="bottom"/>
            <w:tcBorders>
              <w:bottom w:val="single" w:sz="8" w:color="0000EE"/>
            </w:tcBorders>
            <w:gridSpan w:val="2"/>
          </w:tcPr>
          <w:p>
            <w:pPr>
              <w:spacing w:after="0"/>
              <w:rPr>
                <w:sz w:val="20"/>
                <w:szCs w:val="20"/>
                <w:color w:val="auto"/>
              </w:rPr>
            </w:pPr>
            <w:r>
              <w:rPr>
                <w:rFonts w:ascii="Arial" w:cs="Arial" w:eastAsia="Arial" w:hAnsi="Arial"/>
                <w:sz w:val="22"/>
                <w:szCs w:val="22"/>
                <w:b w:val="1"/>
                <w:bCs w:val="1"/>
                <w:color w:val="0000EE"/>
                <w:w w:val="96"/>
              </w:rPr>
              <w:t>Appendix B</w:t>
            </w:r>
          </w:p>
        </w:tc>
        <w:tc>
          <w:tcPr>
            <w:tcW w:w="9100" w:type="dxa"/>
            <w:vAlign w:val="bottom"/>
            <w:gridSpan w:val="4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B-1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080" w:type="dxa"/>
            <w:vAlign w:val="bottom"/>
            <w:gridSpan w:val="42"/>
          </w:tcPr>
          <w:p>
            <w:pPr>
              <w:spacing w:after="0"/>
              <w:rPr>
                <w:sz w:val="20"/>
                <w:szCs w:val="20"/>
                <w:color w:val="auto"/>
              </w:rPr>
            </w:pPr>
            <w:r>
              <w:rPr>
                <w:rFonts w:ascii="Arial" w:cs="Arial" w:eastAsia="Arial" w:hAnsi="Arial"/>
                <w:sz w:val="18"/>
                <w:szCs w:val="18"/>
                <w:color w:val="0000EE"/>
              </w:rPr>
              <w:t>Forward-Looking Statements</w:t>
            </w:r>
          </w:p>
        </w:tc>
        <w:tc>
          <w:tcPr>
            <w:tcW w:w="640" w:type="dxa"/>
            <w:vAlign w:val="bottom"/>
          </w:tcPr>
          <w:p>
            <w:pPr>
              <w:jc w:val="right"/>
              <w:spacing w:after="0"/>
              <w:rPr>
                <w:sz w:val="20"/>
                <w:szCs w:val="20"/>
                <w:color w:val="auto"/>
              </w:rPr>
            </w:pPr>
            <w:r>
              <w:rPr>
                <w:rFonts w:ascii="Arial" w:cs="Arial" w:eastAsia="Arial" w:hAnsi="Arial"/>
                <w:sz w:val="18"/>
                <w:szCs w:val="18"/>
                <w:color w:val="3F3F3F"/>
              </w:rPr>
              <w:t>B-1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60" w:type="dxa"/>
            <w:vAlign w:val="bottom"/>
            <w:gridSpan w:val="25"/>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5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Non-GAAP Financial Measures</w:t>
            </w:r>
          </w:p>
        </w:tc>
        <w:tc>
          <w:tcPr>
            <w:tcW w:w="7580" w:type="dxa"/>
            <w:vAlign w:val="bottom"/>
            <w:gridSpan w:val="31"/>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F3F3F"/>
              </w:rPr>
              <w:t>B-2</w:t>
            </w:r>
          </w:p>
        </w:tc>
        <w:tc>
          <w:tcPr>
            <w:tcW w:w="0" w:type="dxa"/>
            <w:vAlign w:val="bottom"/>
          </w:tcPr>
          <w:p>
            <w:pPr>
              <w:spacing w:after="0"/>
              <w:rPr>
                <w:sz w:val="1"/>
                <w:szCs w:val="1"/>
                <w:color w:val="auto"/>
              </w:rPr>
            </w:pPr>
          </w:p>
        </w:tc>
      </w:tr>
      <w:tr>
        <w:trPr>
          <w:trHeight w:val="318"/>
        </w:trPr>
        <w:tc>
          <w:tcPr>
            <w:tcW w:w="10300" w:type="dxa"/>
            <w:vAlign w:val="bottom"/>
            <w:gridSpan w:val="43"/>
          </w:tcPr>
          <w:p>
            <w:pPr>
              <w:spacing w:after="0"/>
              <w:rPr>
                <w:sz w:val="20"/>
                <w:szCs w:val="20"/>
                <w:color w:val="auto"/>
              </w:rPr>
            </w:pPr>
            <w:r>
              <w:rPr>
                <w:rFonts w:ascii="Arial" w:cs="Arial" w:eastAsia="Arial" w:hAnsi="Arial"/>
                <w:sz w:val="22"/>
                <w:szCs w:val="22"/>
                <w:b w:val="1"/>
                <w:bCs w:val="1"/>
                <w:color w:val="0000EE"/>
              </w:rPr>
              <w:t>Appendix C – Amendment to the Viatris Inc. 2020 Stock Incentive Plan</w:t>
            </w:r>
          </w:p>
        </w:tc>
        <w:tc>
          <w:tcPr>
            <w:tcW w:w="640" w:type="dxa"/>
            <w:vAlign w:val="bottom"/>
          </w:tcPr>
          <w:p>
            <w:pPr>
              <w:jc w:val="right"/>
              <w:spacing w:after="0"/>
              <w:rPr>
                <w:sz w:val="20"/>
                <w:szCs w:val="20"/>
                <w:color w:val="auto"/>
              </w:rPr>
            </w:pPr>
            <w:r>
              <w:rPr>
                <w:rFonts w:ascii="Arial" w:cs="Arial" w:eastAsia="Arial" w:hAnsi="Arial"/>
                <w:sz w:val="22"/>
                <w:szCs w:val="22"/>
                <w:b w:val="1"/>
                <w:bCs w:val="1"/>
                <w:color w:val="231161"/>
              </w:rPr>
              <w:t>C-1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02945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06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The Breadth and Power of the Viatris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4883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Company Snapshot</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Mission</w:t>
      </w:r>
    </w:p>
    <w:p>
      <w:pPr>
        <w:spacing w:after="0" w:line="135"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3F3F3F"/>
        </w:rPr>
        <w:t>As a global healthcare company that we believe is uniquely positioned to bridge the traditional divide between generics and brands, Viatris Inc. (“Viatris” or the “Company”) combines the best of both to more holistically address healthcare needs globally.</w:t>
      </w:r>
    </w:p>
    <w:p>
      <w:pPr>
        <w:spacing w:after="0" w:line="86"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3F3F3F"/>
        </w:rPr>
        <w:t>Our mission is to empower people worldwide to live healthier at every stage of life, and it begins with our ability to sustainably deliver high-quality medicines to people, regardless of geography or circumstance.</w:t>
      </w:r>
    </w:p>
    <w:p>
      <w:pPr>
        <w:spacing w:after="0" w:line="73"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3F3F3F"/>
        </w:rPr>
        <w:t>We know that good health matters to everyone, everywhere. This universal truth is the inspiration behind our mission, and we believe that we are well-positioned to be a source of stability in a world of evolving healthcare needs.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Who We Are – Core Vision</w:t>
      </w:r>
    </w:p>
    <w:p>
      <w:pPr>
        <w:spacing w:after="0" w:line="149" w:lineRule="exact"/>
        <w:rPr>
          <w:sz w:val="20"/>
          <w:szCs w:val="20"/>
          <w:color w:val="auto"/>
        </w:rPr>
      </w:pPr>
    </w:p>
    <w:p>
      <w:pPr>
        <w:jc w:val="both"/>
        <w:ind w:left="120" w:right="160"/>
        <w:spacing w:after="0" w:line="275" w:lineRule="auto"/>
        <w:rPr>
          <w:sz w:val="20"/>
          <w:szCs w:val="20"/>
          <w:color w:val="auto"/>
        </w:rPr>
      </w:pPr>
      <w:r>
        <w:rPr>
          <w:rFonts w:ascii="Arial" w:cs="Arial" w:eastAsia="Arial" w:hAnsi="Arial"/>
          <w:sz w:val="17"/>
          <w:szCs w:val="17"/>
          <w:color w:val="3F3F3F"/>
        </w:rPr>
        <w:t>Four years ago, Viatris embarked on a journey to build a new kind of healthcare company. By combining Mylan N.V. (“Mylan”) – a strong global generics company – and the Upjohn business – a division of Pfizer Inc. (“Pfizer”) with 20 of the most iconic off-patent brands – our goal was to build a unique global pharmaceutical company with the scale to bring patients access to high-quality medicines worldwide.</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We believe we have all the components necessary to continue to successfully execute our vision, including:</w:t>
      </w:r>
    </w:p>
    <w:p>
      <w:pPr>
        <w:spacing w:after="0" w:line="158" w:lineRule="exact"/>
        <w:rPr>
          <w:sz w:val="20"/>
          <w:szCs w:val="20"/>
          <w:color w:val="auto"/>
        </w:rPr>
      </w:pPr>
    </w:p>
    <w:p>
      <w:pPr>
        <w:ind w:left="340" w:hanging="224"/>
        <w:spacing w:after="0"/>
        <w:tabs>
          <w:tab w:leader="none" w:pos="340" w:val="left"/>
        </w:tabs>
        <w:numPr>
          <w:ilvl w:val="0"/>
          <w:numId w:val="11"/>
        </w:numPr>
        <w:rPr>
          <w:rFonts w:ascii="Arial" w:cs="Arial" w:eastAsia="Arial" w:hAnsi="Arial"/>
          <w:sz w:val="18"/>
          <w:szCs w:val="18"/>
          <w:color w:val="3F3F3F"/>
        </w:rPr>
      </w:pPr>
      <w:r>
        <w:rPr>
          <w:rFonts w:ascii="Arial" w:cs="Arial" w:eastAsia="Arial" w:hAnsi="Arial"/>
          <w:sz w:val="18"/>
          <w:szCs w:val="18"/>
          <w:color w:val="3F3F3F"/>
        </w:rPr>
        <w:t>An extensive global footprint that reaches approximately 1 billion patients annually.</w:t>
      </w:r>
      <w:r>
        <w:rPr>
          <w:rFonts w:ascii="Arial" w:cs="Arial" w:eastAsia="Arial" w:hAnsi="Arial"/>
          <w:sz w:val="26"/>
          <w:szCs w:val="26"/>
          <w:color w:val="3F3F3F"/>
          <w:vertAlign w:val="superscript"/>
        </w:rPr>
        <w:t>1</w:t>
      </w:r>
    </w:p>
    <w:p>
      <w:pPr>
        <w:spacing w:after="0" w:line="66" w:lineRule="exact"/>
        <w:rPr>
          <w:rFonts w:ascii="Arial" w:cs="Arial" w:eastAsia="Arial" w:hAnsi="Arial"/>
          <w:sz w:val="18"/>
          <w:szCs w:val="18"/>
          <w:color w:val="3F3F3F"/>
        </w:rPr>
      </w:pPr>
    </w:p>
    <w:p>
      <w:pPr>
        <w:ind w:left="340" w:hanging="224"/>
        <w:spacing w:after="0"/>
        <w:tabs>
          <w:tab w:leader="none" w:pos="340" w:val="left"/>
        </w:tabs>
        <w:numPr>
          <w:ilvl w:val="0"/>
          <w:numId w:val="11"/>
        </w:numPr>
        <w:rPr>
          <w:rFonts w:ascii="Arial" w:cs="Arial" w:eastAsia="Arial" w:hAnsi="Arial"/>
          <w:sz w:val="18"/>
          <w:szCs w:val="18"/>
          <w:color w:val="3F3F3F"/>
        </w:rPr>
      </w:pPr>
      <w:r>
        <w:rPr>
          <w:rFonts w:ascii="Arial" w:cs="Arial" w:eastAsia="Arial" w:hAnsi="Arial"/>
          <w:sz w:val="18"/>
          <w:szCs w:val="18"/>
          <w:color w:val="3F3F3F"/>
        </w:rPr>
        <w:t>A globally integrated company with deep capabilities across manufacturing, medical and regulatory affairs, and commercialization.</w:t>
      </w:r>
    </w:p>
    <w:p>
      <w:pPr>
        <w:spacing w:after="0" w:line="115" w:lineRule="exact"/>
        <w:rPr>
          <w:rFonts w:ascii="Arial" w:cs="Arial" w:eastAsia="Arial" w:hAnsi="Arial"/>
          <w:sz w:val="18"/>
          <w:szCs w:val="18"/>
          <w:color w:val="3F3F3F"/>
        </w:rPr>
      </w:pPr>
    </w:p>
    <w:p>
      <w:pPr>
        <w:ind w:left="340" w:hanging="224"/>
        <w:spacing w:after="0"/>
        <w:tabs>
          <w:tab w:leader="none" w:pos="340" w:val="left"/>
        </w:tabs>
        <w:numPr>
          <w:ilvl w:val="0"/>
          <w:numId w:val="11"/>
        </w:numPr>
        <w:rPr>
          <w:rFonts w:ascii="Arial" w:cs="Arial" w:eastAsia="Arial" w:hAnsi="Arial"/>
          <w:sz w:val="18"/>
          <w:szCs w:val="18"/>
          <w:color w:val="3F3F3F"/>
        </w:rPr>
      </w:pPr>
      <w:r>
        <w:rPr>
          <w:rFonts w:ascii="Arial" w:cs="Arial" w:eastAsia="Arial" w:hAnsi="Arial"/>
          <w:sz w:val="18"/>
          <w:szCs w:val="18"/>
          <w:color w:val="3F3F3F"/>
        </w:rPr>
        <w:t>A robust development engine across a number of therapeutic areas, technology platforms, and geographies.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1"/>
        </w:numPr>
        <w:rPr>
          <w:rFonts w:ascii="Arial" w:cs="Arial" w:eastAsia="Arial" w:hAnsi="Arial"/>
          <w:sz w:val="18"/>
          <w:szCs w:val="18"/>
          <w:color w:val="3F3F3F"/>
        </w:rPr>
      </w:pPr>
      <w:r>
        <w:rPr>
          <w:rFonts w:ascii="Arial" w:cs="Arial" w:eastAsia="Arial" w:hAnsi="Arial"/>
          <w:sz w:val="18"/>
          <w:szCs w:val="18"/>
          <w:color w:val="3F3F3F"/>
        </w:rPr>
        <w:t>Significant cash flow generation from our base business to fund our growth and continue returning capital to shareholders.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1"/>
        </w:numPr>
        <w:rPr>
          <w:rFonts w:ascii="Arial" w:cs="Arial" w:eastAsia="Arial" w:hAnsi="Arial"/>
          <w:sz w:val="18"/>
          <w:szCs w:val="18"/>
          <w:color w:val="3F3F3F"/>
        </w:rPr>
      </w:pPr>
      <w:r>
        <w:rPr>
          <w:rFonts w:ascii="Arial" w:cs="Arial" w:eastAsia="Arial" w:hAnsi="Arial"/>
          <w:sz w:val="18"/>
          <w:szCs w:val="18"/>
          <w:color w:val="3F3F3F"/>
        </w:rPr>
        <w:t>New leaders who bring new skills, capabilities and areas of expertise to our already strong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31" w:lineRule="exact"/>
        <w:rPr>
          <w:sz w:val="20"/>
          <w:szCs w:val="20"/>
          <w:color w:val="auto"/>
        </w:rPr>
      </w:pPr>
    </w:p>
    <w:p>
      <w:pPr>
        <w:ind w:left="340" w:right="120" w:hanging="224"/>
        <w:spacing w:after="0" w:line="327" w:lineRule="auto"/>
        <w:tabs>
          <w:tab w:leader="none" w:pos="340" w:val="left"/>
        </w:tabs>
        <w:numPr>
          <w:ilvl w:val="0"/>
          <w:numId w:val="12"/>
        </w:numPr>
        <w:rPr>
          <w:rFonts w:ascii="Arial" w:cs="Arial" w:eastAsia="Arial" w:hAnsi="Arial"/>
          <w:sz w:val="24"/>
          <w:szCs w:val="24"/>
          <w:color w:val="3F3F3F"/>
          <w:vertAlign w:val="superscript"/>
        </w:rPr>
      </w:pPr>
      <w:r>
        <w:rPr>
          <w:rFonts w:ascii="Arial" w:cs="Arial" w:eastAsia="Arial" w:hAnsi="Arial"/>
          <w:sz w:val="16"/>
          <w:szCs w:val="16"/>
          <w:color w:val="3F3F3F"/>
        </w:rPr>
        <w:t>The number of patients served is an estimate calculated using internal sales data (global volume of doses sold in 2023 in all markets as aligned with IQVIA standard units), divided by estimated per patient usage, which is based on treatment dose, treatment duration, and treatment adherence as estimated by Viatris Medical Affairs based on approved label indication and instructions for use, current international guideline recommendations, and common usage in clinical practice. Patients using multiple Viatris medicines may be counted as multiple patients. Certain adjustments were applied in consideration of now completed divestitures and to account for acceptable alternatives to the patient usage factors noted above and rounded to the nearest hundred million. Estimates may be subject to reassessment.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3F3F3F"/>
        </w:rPr>
        <w:t>Our business and operating model is deliberately designed and implemented to deliver on our strategy to build and sustain access to medicine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2700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2700655"/>
                    </a:xfrm>
                    <a:prstGeom prst="rect">
                      <a:avLst/>
                    </a:prstGeom>
                    <a:noFill/>
                  </pic:spPr>
                </pic:pic>
              </a:graphicData>
            </a:graphic>
          </wp:anchor>
        </w:drawing>
      </w:r>
    </w:p>
    <w:p>
      <w:pPr>
        <w:spacing w:after="0" w:line="233" w:lineRule="exact"/>
        <w:rPr>
          <w:sz w:val="20"/>
          <w:szCs w:val="20"/>
          <w:color w:val="auto"/>
        </w:rPr>
      </w:pPr>
    </w:p>
    <w:p>
      <w:pPr>
        <w:ind w:left="360" w:hanging="87"/>
        <w:spacing w:after="0"/>
        <w:tabs>
          <w:tab w:leader="none" w:pos="360" w:val="left"/>
        </w:tabs>
        <w:numPr>
          <w:ilvl w:val="0"/>
          <w:numId w:val="13"/>
        </w:numPr>
        <w:rPr>
          <w:rFonts w:ascii="Arial" w:cs="Arial" w:eastAsia="Arial" w:hAnsi="Arial"/>
          <w:sz w:val="16"/>
          <w:szCs w:val="16"/>
          <w:b w:val="1"/>
          <w:bCs w:val="1"/>
          <w:color w:val="FFFFFF"/>
        </w:rPr>
      </w:pPr>
      <w:r>
        <w:rPr>
          <w:rFonts w:ascii="Arial" w:cs="Arial" w:eastAsia="Arial" w:hAnsi="Arial"/>
          <w:sz w:val="16"/>
          <w:szCs w:val="16"/>
          <w:b w:val="1"/>
          <w:bCs w:val="1"/>
          <w:color w:val="FFFFFF"/>
        </w:rPr>
        <w:t>Viatris at a Glance</w:t>
      </w:r>
    </w:p>
    <w:p>
      <w:pPr>
        <w:spacing w:after="0" w:line="94" w:lineRule="exact"/>
        <w:rPr>
          <w:rFonts w:ascii="Arial" w:cs="Arial" w:eastAsia="Arial" w:hAnsi="Arial"/>
          <w:sz w:val="16"/>
          <w:szCs w:val="16"/>
          <w:b w:val="1"/>
          <w:bCs w:val="1"/>
          <w:color w:val="FFFFFF"/>
        </w:rPr>
      </w:pPr>
    </w:p>
    <w:p>
      <w:pPr>
        <w:ind w:left="360"/>
        <w:spacing w:after="0"/>
        <w:rPr>
          <w:rFonts w:ascii="Arial" w:cs="Arial" w:eastAsia="Arial" w:hAnsi="Arial"/>
          <w:sz w:val="16"/>
          <w:szCs w:val="16"/>
          <w:b w:val="1"/>
          <w:bCs w:val="1"/>
          <w:color w:val="FFFFFF"/>
        </w:rPr>
      </w:pPr>
      <w:r>
        <w:rPr>
          <w:rFonts w:ascii="Arial" w:cs="Arial" w:eastAsia="Arial" w:hAnsi="Arial"/>
          <w:sz w:val="18"/>
          <w:szCs w:val="18"/>
          <w:color w:val="3F3F3F"/>
        </w:rPr>
        <w:t>•   Viatris currently has approximately 32,000 colleagues across almost 70 countries.</w:t>
      </w:r>
    </w:p>
    <w:p>
      <w:pPr>
        <w:spacing w:after="0" w:line="90" w:lineRule="exact"/>
        <w:rPr>
          <w:rFonts w:ascii="Arial" w:cs="Arial" w:eastAsia="Arial" w:hAnsi="Arial"/>
          <w:sz w:val="16"/>
          <w:szCs w:val="16"/>
          <w:b w:val="1"/>
          <w:bCs w:val="1"/>
          <w:color w:val="FFFFFF"/>
        </w:rPr>
      </w:pPr>
    </w:p>
    <w:p>
      <w:pPr>
        <w:ind w:left="360"/>
        <w:spacing w:after="0"/>
        <w:rPr>
          <w:rFonts w:ascii="Arial" w:cs="Arial" w:eastAsia="Arial" w:hAnsi="Arial"/>
          <w:sz w:val="16"/>
          <w:szCs w:val="16"/>
          <w:b w:val="1"/>
          <w:bCs w:val="1"/>
          <w:color w:val="FFFFFF"/>
        </w:rPr>
      </w:pPr>
      <w:r>
        <w:rPr>
          <w:rFonts w:ascii="Arial" w:cs="Arial" w:eastAsia="Arial" w:hAnsi="Arial"/>
          <w:sz w:val="18"/>
          <w:szCs w:val="18"/>
          <w:color w:val="3F3F3F"/>
        </w:rPr>
        <w:t>•   We are headquartered in the U.S. with global centers in Pittsburgh, Shanghai and Hyderabad, India.</w:t>
      </w:r>
    </w:p>
    <w:p>
      <w:pPr>
        <w:spacing w:after="0" w:line="90" w:lineRule="exact"/>
        <w:rPr>
          <w:rFonts w:ascii="Arial" w:cs="Arial" w:eastAsia="Arial" w:hAnsi="Arial"/>
          <w:sz w:val="16"/>
          <w:szCs w:val="16"/>
          <w:b w:val="1"/>
          <w:bCs w:val="1"/>
          <w:color w:val="FFFFFF"/>
        </w:rPr>
      </w:pPr>
    </w:p>
    <w:p>
      <w:pPr>
        <w:ind w:left="360"/>
        <w:spacing w:after="0"/>
        <w:rPr>
          <w:rFonts w:ascii="Arial" w:cs="Arial" w:eastAsia="Arial" w:hAnsi="Arial"/>
          <w:sz w:val="16"/>
          <w:szCs w:val="16"/>
          <w:b w:val="1"/>
          <w:bCs w:val="1"/>
          <w:color w:val="FFFFFF"/>
        </w:rPr>
      </w:pPr>
      <w:r>
        <w:rPr>
          <w:rFonts w:ascii="Arial" w:cs="Arial" w:eastAsia="Arial" w:hAnsi="Arial"/>
          <w:sz w:val="18"/>
          <w:szCs w:val="18"/>
          <w:color w:val="3F3F3F"/>
        </w:rPr>
        <w:t>•   We have a large and diversified portfolio of generics and off-patent brands across multiple markets and therapeutic areas.</w:t>
      </w:r>
    </w:p>
    <w:p>
      <w:pPr>
        <w:spacing w:after="0" w:line="90" w:lineRule="exact"/>
        <w:rPr>
          <w:rFonts w:ascii="Arial" w:cs="Arial" w:eastAsia="Arial" w:hAnsi="Arial"/>
          <w:sz w:val="16"/>
          <w:szCs w:val="16"/>
          <w:b w:val="1"/>
          <w:bCs w:val="1"/>
          <w:color w:val="FFFFFF"/>
        </w:rPr>
      </w:pPr>
    </w:p>
    <w:p>
      <w:pPr>
        <w:ind w:left="540" w:hanging="180"/>
        <w:spacing w:after="0" w:line="271" w:lineRule="auto"/>
        <w:rPr>
          <w:rFonts w:ascii="Arial" w:cs="Arial" w:eastAsia="Arial" w:hAnsi="Arial"/>
          <w:sz w:val="16"/>
          <w:szCs w:val="16"/>
          <w:b w:val="1"/>
          <w:bCs w:val="1"/>
          <w:color w:val="FFFFFF"/>
        </w:rPr>
      </w:pPr>
      <w:r>
        <w:rPr>
          <w:rFonts w:ascii="Arial" w:cs="Arial" w:eastAsia="Arial" w:hAnsi="Arial"/>
          <w:sz w:val="18"/>
          <w:szCs w:val="18"/>
          <w:color w:val="3F3F3F"/>
        </w:rPr>
        <w:t>•   We have more than 250 medicines on the World Health Organization (“WHO”) Essential Medicines List (“EML”) and our broad global portfolio includes products that help treat the top 10 leading causes of death globally, as determined by the WHO.</w:t>
      </w:r>
    </w:p>
    <w:p>
      <w:pPr>
        <w:spacing w:after="0" w:line="32" w:lineRule="exact"/>
        <w:rPr>
          <w:rFonts w:ascii="Arial" w:cs="Arial" w:eastAsia="Arial" w:hAnsi="Arial"/>
          <w:sz w:val="16"/>
          <w:szCs w:val="16"/>
          <w:b w:val="1"/>
          <w:bCs w:val="1"/>
          <w:color w:val="FFFFFF"/>
        </w:rPr>
      </w:pPr>
    </w:p>
    <w:p>
      <w:pPr>
        <w:ind w:left="540" w:right="760" w:hanging="180"/>
        <w:spacing w:after="0" w:line="271" w:lineRule="auto"/>
        <w:rPr>
          <w:rFonts w:ascii="Arial" w:cs="Arial" w:eastAsia="Arial" w:hAnsi="Arial"/>
          <w:sz w:val="16"/>
          <w:szCs w:val="16"/>
          <w:b w:val="1"/>
          <w:bCs w:val="1"/>
          <w:color w:val="FFFFFF"/>
        </w:rPr>
      </w:pPr>
      <w:r>
        <w:rPr>
          <w:rFonts w:ascii="Arial" w:cs="Arial" w:eastAsia="Arial" w:hAnsi="Arial"/>
          <w:sz w:val="18"/>
          <w:szCs w:val="18"/>
          <w:color w:val="3F3F3F"/>
        </w:rPr>
        <w:t>•   Our commercial reach extends to more than 165 countries and territories and is managed across four reportable segments: Developed Markets, Emerging Markets, Japan, Australia, New Zealand (“JANZ”) and Greater China.</w:t>
      </w:r>
    </w:p>
    <w:p>
      <w:pPr>
        <w:spacing w:after="0" w:line="32" w:lineRule="exact"/>
        <w:rPr>
          <w:rFonts w:ascii="Arial" w:cs="Arial" w:eastAsia="Arial" w:hAnsi="Arial"/>
          <w:sz w:val="16"/>
          <w:szCs w:val="16"/>
          <w:b w:val="1"/>
          <w:bCs w:val="1"/>
          <w:color w:val="FFFFFF"/>
        </w:rPr>
      </w:pPr>
    </w:p>
    <w:p>
      <w:pPr>
        <w:ind w:left="360"/>
        <w:spacing w:after="0"/>
        <w:rPr>
          <w:rFonts w:ascii="Arial" w:cs="Arial" w:eastAsia="Arial" w:hAnsi="Arial"/>
          <w:sz w:val="16"/>
          <w:szCs w:val="16"/>
          <w:b w:val="1"/>
          <w:bCs w:val="1"/>
          <w:color w:val="FFFFFF"/>
        </w:rPr>
      </w:pPr>
      <w:r>
        <w:rPr>
          <w:rFonts w:ascii="Arial" w:cs="Arial" w:eastAsia="Arial" w:hAnsi="Arial"/>
          <w:sz w:val="18"/>
          <w:szCs w:val="18"/>
          <w:color w:val="3F3F3F"/>
        </w:rPr>
        <w:t>•   In 2023, we delivered $15.4 billion in total revenues.</w:t>
      </w:r>
    </w:p>
    <w:p>
      <w:pPr>
        <w:spacing w:after="0" w:line="90" w:lineRule="exact"/>
        <w:rPr>
          <w:rFonts w:ascii="Arial" w:cs="Arial" w:eastAsia="Arial" w:hAnsi="Arial"/>
          <w:sz w:val="16"/>
          <w:szCs w:val="16"/>
          <w:b w:val="1"/>
          <w:bCs w:val="1"/>
          <w:color w:val="FFFFFF"/>
        </w:rPr>
      </w:pPr>
    </w:p>
    <w:p>
      <w:pPr>
        <w:ind w:left="360"/>
        <w:spacing w:after="0"/>
        <w:rPr>
          <w:rFonts w:ascii="Arial" w:cs="Arial" w:eastAsia="Arial" w:hAnsi="Arial"/>
          <w:sz w:val="16"/>
          <w:szCs w:val="16"/>
          <w:b w:val="1"/>
          <w:bCs w:val="1"/>
          <w:color w:val="FFFFFF"/>
        </w:rPr>
      </w:pPr>
      <w:r>
        <w:rPr>
          <w:rFonts w:ascii="Arial" w:cs="Arial" w:eastAsia="Arial" w:hAnsi="Arial"/>
          <w:sz w:val="18"/>
          <w:szCs w:val="18"/>
          <w:color w:val="3F3F3F"/>
        </w:rPr>
        <w:t>•   We have 26 manufacturing and packaging facilities worldwide as of October 18, 2024.</w:t>
      </w:r>
    </w:p>
    <w:p>
      <w:pPr>
        <w:spacing w:after="0" w:line="90" w:lineRule="exact"/>
        <w:rPr>
          <w:rFonts w:ascii="Arial" w:cs="Arial" w:eastAsia="Arial" w:hAnsi="Arial"/>
          <w:sz w:val="16"/>
          <w:szCs w:val="16"/>
          <w:b w:val="1"/>
          <w:bCs w:val="1"/>
          <w:color w:val="FFFFFF"/>
        </w:rPr>
      </w:pPr>
    </w:p>
    <w:p>
      <w:pPr>
        <w:ind w:left="360"/>
        <w:spacing w:after="0"/>
        <w:rPr>
          <w:rFonts w:ascii="Arial" w:cs="Arial" w:eastAsia="Arial" w:hAnsi="Arial"/>
          <w:sz w:val="16"/>
          <w:szCs w:val="16"/>
          <w:b w:val="1"/>
          <w:bCs w:val="1"/>
          <w:color w:val="FFFFFF"/>
        </w:rPr>
      </w:pPr>
      <w:r>
        <w:rPr>
          <w:rFonts w:ascii="Arial" w:cs="Arial" w:eastAsia="Arial" w:hAnsi="Arial"/>
          <w:sz w:val="18"/>
          <w:szCs w:val="18"/>
          <w:color w:val="3F3F3F"/>
        </w:rPr>
        <w:t>•   We have 10 development centers executing multiple technology platforms across therapeutic areas as of October 18, 2024.</w:t>
      </w:r>
    </w:p>
    <w:p>
      <w:pPr>
        <w:spacing w:after="0" w:line="131" w:lineRule="exact"/>
        <w:rPr>
          <w:sz w:val="20"/>
          <w:szCs w:val="20"/>
          <w:color w:val="auto"/>
        </w:rPr>
      </w:pPr>
    </w:p>
    <w:p>
      <w:pPr>
        <w:ind w:left="540" w:right="20" w:hanging="179"/>
        <w:spacing w:after="0" w:line="259" w:lineRule="auto"/>
        <w:rPr>
          <w:sz w:val="20"/>
          <w:szCs w:val="20"/>
          <w:color w:val="auto"/>
        </w:rPr>
      </w:pPr>
      <w:r>
        <w:rPr>
          <w:rFonts w:ascii="Arial" w:cs="Arial" w:eastAsia="Arial" w:hAnsi="Arial"/>
          <w:sz w:val="18"/>
          <w:szCs w:val="18"/>
          <w:color w:val="3F3F3F"/>
        </w:rPr>
        <w:t>•   Our Global Healthcare Gateway</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offers partners access to global infrastructure and expertise that connects people around the world to the high-quality medicines and health services they need.</w:t>
      </w:r>
    </w:p>
    <w:p>
      <w:pPr>
        <w:spacing w:after="0" w:line="88" w:lineRule="exact"/>
        <w:rPr>
          <w:sz w:val="20"/>
          <w:szCs w:val="20"/>
          <w:color w:val="auto"/>
        </w:rPr>
      </w:pPr>
    </w:p>
    <w:p>
      <w:pPr>
        <w:ind w:left="540" w:right="100" w:hanging="179"/>
        <w:spacing w:after="0" w:line="271" w:lineRule="auto"/>
        <w:rPr>
          <w:sz w:val="20"/>
          <w:szCs w:val="20"/>
          <w:color w:val="auto"/>
        </w:rPr>
      </w:pPr>
      <w:r>
        <w:rPr>
          <w:rFonts w:ascii="Arial" w:cs="Arial" w:eastAsia="Arial" w:hAnsi="Arial"/>
          <w:sz w:val="18"/>
          <w:szCs w:val="18"/>
          <w:color w:val="3F3F3F"/>
        </w:rPr>
        <w:t>•   We are committed to maintaining quality in all that we do. Our current portfolio, industry leading commercial expertise, and scientific and manufacturing capabilities are deeply rooted in our dedication to quality and product safety.</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Operational and Financial Highlights</w:t>
      </w:r>
    </w:p>
    <w:p>
      <w:pPr>
        <w:spacing w:after="0" w:line="135"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color w:val="3F3F3F"/>
        </w:rPr>
        <w:t>We continued to deliver on our financial and strategic commitments and are progressing on our previously announced reshaping initiatives.</w:t>
      </w:r>
    </w:p>
    <w:p>
      <w:pPr>
        <w:spacing w:after="0" w:line="86"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color w:val="3F3F3F"/>
        </w:rPr>
        <w:t>We believe our employees have done an outstanding job executing the strategic plan that was laid out in 2020. Among the many accomplishments, we have successfully:</w:t>
      </w:r>
    </w:p>
    <w:p>
      <w:pPr>
        <w:spacing w:after="0" w:line="59" w:lineRule="exact"/>
        <w:rPr>
          <w:sz w:val="20"/>
          <w:szCs w:val="20"/>
          <w:color w:val="auto"/>
        </w:rPr>
      </w:pPr>
    </w:p>
    <w:p>
      <w:pPr>
        <w:ind w:left="340" w:hanging="224"/>
        <w:spacing w:after="0"/>
        <w:tabs>
          <w:tab w:leader="none" w:pos="340" w:val="left"/>
        </w:tabs>
        <w:numPr>
          <w:ilvl w:val="0"/>
          <w:numId w:val="14"/>
        </w:numPr>
        <w:rPr>
          <w:rFonts w:ascii="Arial" w:cs="Arial" w:eastAsia="Arial" w:hAnsi="Arial"/>
          <w:sz w:val="18"/>
          <w:szCs w:val="18"/>
          <w:color w:val="3F3F3F"/>
        </w:rPr>
      </w:pPr>
      <w:r>
        <w:rPr>
          <w:rFonts w:ascii="Arial" w:cs="Arial" w:eastAsia="Arial" w:hAnsi="Arial"/>
          <w:sz w:val="18"/>
          <w:szCs w:val="18"/>
          <w:color w:val="3F3F3F"/>
        </w:rPr>
        <w:t>Integrated two global companies.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4"/>
        </w:numPr>
        <w:rPr>
          <w:rFonts w:ascii="Arial" w:cs="Arial" w:eastAsia="Arial" w:hAnsi="Arial"/>
          <w:sz w:val="18"/>
          <w:szCs w:val="18"/>
          <w:color w:val="3F3F3F"/>
        </w:rPr>
      </w:pPr>
      <w:r>
        <w:rPr>
          <w:rFonts w:ascii="Arial" w:cs="Arial" w:eastAsia="Arial" w:hAnsi="Arial"/>
          <w:sz w:val="18"/>
          <w:szCs w:val="18"/>
          <w:color w:val="3F3F3F"/>
        </w:rPr>
        <w:t>Simplified and streamlined the business by completing several divestitures.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4"/>
        </w:numPr>
        <w:rPr>
          <w:rFonts w:ascii="Arial" w:cs="Arial" w:eastAsia="Arial" w:hAnsi="Arial"/>
          <w:sz w:val="18"/>
          <w:szCs w:val="18"/>
          <w:color w:val="3F3F3F"/>
        </w:rPr>
      </w:pPr>
      <w:r>
        <w:rPr>
          <w:rFonts w:ascii="Arial" w:cs="Arial" w:eastAsia="Arial" w:hAnsi="Arial"/>
          <w:sz w:val="18"/>
          <w:szCs w:val="18"/>
          <w:color w:val="3F3F3F"/>
        </w:rPr>
        <w:t>Returned the base business to growth.</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4"/>
        </w:numPr>
        <w:rPr>
          <w:rFonts w:ascii="Arial" w:cs="Arial" w:eastAsia="Arial" w:hAnsi="Arial"/>
          <w:sz w:val="18"/>
          <w:szCs w:val="18"/>
          <w:color w:val="3F3F3F"/>
        </w:rPr>
      </w:pPr>
      <w:r>
        <w:rPr>
          <w:rFonts w:ascii="Arial" w:cs="Arial" w:eastAsia="Arial" w:hAnsi="Arial"/>
          <w:sz w:val="18"/>
          <w:szCs w:val="18"/>
          <w:color w:val="3F3F3F"/>
        </w:rPr>
        <w:t>Strengthened our balance sheet through significant debt paydown.</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4"/>
        </w:numPr>
        <w:rPr>
          <w:rFonts w:ascii="Arial" w:cs="Arial" w:eastAsia="Arial" w:hAnsi="Arial"/>
          <w:sz w:val="18"/>
          <w:szCs w:val="18"/>
          <w:color w:val="3F3F3F"/>
        </w:rPr>
      </w:pPr>
      <w:r>
        <w:rPr>
          <w:rFonts w:ascii="Arial" w:cs="Arial" w:eastAsia="Arial" w:hAnsi="Arial"/>
          <w:sz w:val="18"/>
          <w:szCs w:val="18"/>
          <w:color w:val="3F3F3F"/>
        </w:rPr>
        <w:t>Returned capital to shareholders through dividends and share repurchases.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4"/>
        </w:numPr>
        <w:rPr>
          <w:rFonts w:ascii="Arial" w:cs="Arial" w:eastAsia="Arial" w:hAnsi="Arial"/>
          <w:sz w:val="18"/>
          <w:szCs w:val="18"/>
          <w:color w:val="3F3F3F"/>
        </w:rPr>
      </w:pPr>
      <w:r>
        <w:rPr>
          <w:rFonts w:ascii="Arial" w:cs="Arial" w:eastAsia="Arial" w:hAnsi="Arial"/>
          <w:sz w:val="18"/>
          <w:szCs w:val="18"/>
          <w:color w:val="3F3F3F"/>
        </w:rPr>
        <w:t>And importantly, we have already started to build our portfolio of innovative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2945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Strategic Priorities</w:t>
      </w:r>
    </w:p>
    <w:p>
      <w:pPr>
        <w:spacing w:after="0" w:line="108"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3F3F3F"/>
        </w:rPr>
        <w:t>As we move forward, we will look to accelerate our growth by building on the strength of our base business with an expanding portfolio of innovative, best-in-class, patent-protected assets that have the potential for meaningful revenue growth and patient impact.</w:t>
      </w:r>
    </w:p>
    <w:p>
      <w:pPr>
        <w:spacing w:after="0" w:line="73"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3F3F3F"/>
        </w:rPr>
        <w:t>As of July 2024, we have completed our previously announced divestitures to simplify the business and put us in a position of further financial strength, including:</w:t>
      </w:r>
    </w:p>
    <w:p>
      <w:pPr>
        <w:spacing w:after="0" w:line="59"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3F3F3F"/>
        </w:rPr>
      </w:pPr>
      <w:r>
        <w:rPr>
          <w:rFonts w:ascii="Arial" w:cs="Arial" w:eastAsia="Arial" w:hAnsi="Arial"/>
          <w:sz w:val="18"/>
          <w:szCs w:val="18"/>
          <w:color w:val="3F3F3F"/>
        </w:rPr>
        <w:t>Substantially all of our over-the-counter (“OTC”) business.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5"/>
        </w:numPr>
        <w:rPr>
          <w:rFonts w:ascii="Arial" w:cs="Arial" w:eastAsia="Arial" w:hAnsi="Arial"/>
          <w:sz w:val="18"/>
          <w:szCs w:val="18"/>
          <w:color w:val="3F3F3F"/>
        </w:rPr>
      </w:pPr>
      <w:r>
        <w:rPr>
          <w:rFonts w:ascii="Arial" w:cs="Arial" w:eastAsia="Arial" w:hAnsi="Arial"/>
          <w:sz w:val="18"/>
          <w:szCs w:val="18"/>
          <w:color w:val="3F3F3F"/>
        </w:rPr>
        <w:t>Our active pharmaceutical ingredient (“API”) business in India (while retaining some selective development API capabilities).</w:t>
      </w:r>
    </w:p>
    <w:p>
      <w:pPr>
        <w:spacing w:after="0" w:line="157" w:lineRule="exact"/>
        <w:rPr>
          <w:rFonts w:ascii="Arial" w:cs="Arial" w:eastAsia="Arial" w:hAnsi="Arial"/>
          <w:sz w:val="18"/>
          <w:szCs w:val="18"/>
          <w:color w:val="3F3F3F"/>
        </w:rPr>
      </w:pPr>
    </w:p>
    <w:p>
      <w:pPr>
        <w:ind w:left="340" w:right="200" w:hanging="224"/>
        <w:spacing w:after="0" w:line="314" w:lineRule="auto"/>
        <w:tabs>
          <w:tab w:leader="none" w:pos="340" w:val="left"/>
        </w:tabs>
        <w:numPr>
          <w:ilvl w:val="0"/>
          <w:numId w:val="15"/>
        </w:numPr>
        <w:rPr>
          <w:rFonts w:ascii="Arial" w:cs="Arial" w:eastAsia="Arial" w:hAnsi="Arial"/>
          <w:sz w:val="18"/>
          <w:szCs w:val="18"/>
          <w:color w:val="3F3F3F"/>
        </w:rPr>
      </w:pPr>
      <w:r>
        <w:rPr>
          <w:rFonts w:ascii="Arial" w:cs="Arial" w:eastAsia="Arial" w:hAnsi="Arial"/>
          <w:sz w:val="18"/>
          <w:szCs w:val="18"/>
          <w:color w:val="3F3F3F"/>
        </w:rPr>
        <w:t>Our women’s healthcare business, primarily related to our oral and injectable contraceptives. This does not include all of our women’s healthcare related products; as an example, our Xulane</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product in the U.S. was excluded.</w:t>
      </w:r>
    </w:p>
    <w:p>
      <w:pPr>
        <w:ind w:left="340" w:right="420" w:hanging="224"/>
        <w:spacing w:after="0" w:line="246" w:lineRule="auto"/>
        <w:tabs>
          <w:tab w:leader="none" w:pos="340" w:val="left"/>
        </w:tabs>
        <w:numPr>
          <w:ilvl w:val="0"/>
          <w:numId w:val="15"/>
        </w:numPr>
        <w:rPr>
          <w:rFonts w:ascii="Arial" w:cs="Arial" w:eastAsia="Arial" w:hAnsi="Arial"/>
          <w:sz w:val="18"/>
          <w:szCs w:val="18"/>
          <w:color w:val="3F3F3F"/>
        </w:rPr>
      </w:pPr>
      <w:r>
        <w:rPr>
          <w:rFonts w:ascii="Arial" w:cs="Arial" w:eastAsia="Arial" w:hAnsi="Arial"/>
          <w:sz w:val="18"/>
          <w:szCs w:val="18"/>
          <w:color w:val="3F3F3F"/>
        </w:rPr>
        <w:t>Our commercialization rights in select geographic markets that were part of the transaction pursuant to which Mylan combined with Pfizer’s off-patent branded and generic established medicines business in a Reverse Morris Trust transaction to form Viatris (the “Combination”) that are smaller in nature and in which we had no established infrastructure prior to or following the Combination (“Upjohn Distributor Markets”).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As we move forward, we will focus on three strategic pillars:</w:t>
      </w:r>
    </w:p>
    <w:p>
      <w:pPr>
        <w:spacing w:after="0" w:line="158"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8"/>
          <w:szCs w:val="18"/>
          <w:color w:val="3F3F3F"/>
        </w:rPr>
      </w:pPr>
      <w:r>
        <w:rPr>
          <w:rFonts w:ascii="Arial" w:cs="Arial" w:eastAsia="Arial" w:hAnsi="Arial"/>
          <w:sz w:val="18"/>
          <w:szCs w:val="18"/>
          <w:color w:val="3F3F3F"/>
        </w:rPr>
        <w:t xml:space="preserve">Our </w:t>
      </w:r>
      <w:r>
        <w:rPr>
          <w:rFonts w:ascii="Arial" w:cs="Arial" w:eastAsia="Arial" w:hAnsi="Arial"/>
          <w:sz w:val="18"/>
          <w:szCs w:val="18"/>
          <w:b w:val="1"/>
          <w:bCs w:val="1"/>
          <w:color w:val="3F3F3F"/>
        </w:rPr>
        <w:t>Diversified and Growing Base Business:</w:t>
      </w:r>
      <w:r>
        <w:rPr>
          <w:rFonts w:ascii="Arial" w:cs="Arial" w:eastAsia="Arial" w:hAnsi="Arial"/>
          <w:sz w:val="18"/>
          <w:szCs w:val="18"/>
          <w:color w:val="3F3F3F"/>
        </w:rPr>
        <w:t xml:space="preserve"> Our extensive global footprint already reaches approximately 1 billion patients every</w:t>
      </w:r>
    </w:p>
    <w:p>
      <w:pPr>
        <w:spacing w:after="0" w:line="76" w:lineRule="exact"/>
        <w:rPr>
          <w:rFonts w:ascii="Arial" w:cs="Arial" w:eastAsia="Arial" w:hAnsi="Arial"/>
          <w:sz w:val="18"/>
          <w:szCs w:val="18"/>
          <w:color w:val="3F3F3F"/>
        </w:rPr>
      </w:pPr>
    </w:p>
    <w:p>
      <w:pPr>
        <w:ind w:left="340" w:right="420"/>
        <w:spacing w:after="0" w:line="290" w:lineRule="auto"/>
        <w:rPr>
          <w:rFonts w:ascii="Arial" w:cs="Arial" w:eastAsia="Arial" w:hAnsi="Arial"/>
          <w:sz w:val="18"/>
          <w:szCs w:val="18"/>
          <w:color w:val="3F3F3F"/>
        </w:rPr>
      </w:pPr>
      <w:r>
        <w:rPr>
          <w:rFonts w:ascii="Arial" w:cs="Arial" w:eastAsia="Arial" w:hAnsi="Arial"/>
          <w:sz w:val="18"/>
          <w:szCs w:val="18"/>
          <w:color w:val="3F3F3F"/>
        </w:rPr>
        <w:t>year.</w:t>
      </w:r>
      <w:r>
        <w:rPr>
          <w:rFonts w:ascii="Arial" w:cs="Arial" w:eastAsia="Arial" w:hAnsi="Arial"/>
          <w:sz w:val="26"/>
          <w:szCs w:val="26"/>
          <w:color w:val="3F3F3F"/>
          <w:vertAlign w:val="superscript"/>
        </w:rPr>
        <w:t>1</w:t>
      </w:r>
      <w:r>
        <w:rPr>
          <w:rFonts w:ascii="Arial" w:cs="Arial" w:eastAsia="Arial" w:hAnsi="Arial"/>
          <w:sz w:val="18"/>
          <w:szCs w:val="18"/>
          <w:color w:val="3F3F3F"/>
        </w:rPr>
        <w:t xml:space="preserve"> We believe our continued success in our base business will come from our large and diversified portfolio of generics and off-patent brands that extends across markets and therapeutic areas. Here we have a clear legacy of deep product knowledge and extensive commercialization and development expertise.</w:t>
      </w:r>
    </w:p>
    <w:p>
      <w:pPr>
        <w:spacing w:after="0" w:line="124" w:lineRule="exact"/>
        <w:rPr>
          <w:rFonts w:ascii="Arial" w:cs="Arial" w:eastAsia="Arial" w:hAnsi="Arial"/>
          <w:sz w:val="18"/>
          <w:szCs w:val="18"/>
          <w:color w:val="3F3F3F"/>
        </w:rPr>
      </w:pPr>
    </w:p>
    <w:p>
      <w:pPr>
        <w:ind w:left="340" w:right="80" w:hanging="224"/>
        <w:spacing w:after="0" w:line="320" w:lineRule="auto"/>
        <w:tabs>
          <w:tab w:leader="none" w:pos="340" w:val="left"/>
        </w:tabs>
        <w:numPr>
          <w:ilvl w:val="0"/>
          <w:numId w:val="16"/>
        </w:numPr>
        <w:rPr>
          <w:rFonts w:ascii="Arial" w:cs="Arial" w:eastAsia="Arial" w:hAnsi="Arial"/>
          <w:sz w:val="18"/>
          <w:szCs w:val="18"/>
          <w:color w:val="3F3F3F"/>
        </w:rPr>
      </w:pPr>
      <w:r>
        <w:rPr>
          <w:rFonts w:ascii="Arial" w:cs="Arial" w:eastAsia="Arial" w:hAnsi="Arial"/>
          <w:sz w:val="18"/>
          <w:szCs w:val="18"/>
          <w:color w:val="3F3F3F"/>
        </w:rPr>
        <w:t xml:space="preserve">Our </w:t>
      </w:r>
      <w:r>
        <w:rPr>
          <w:rFonts w:ascii="Arial" w:cs="Arial" w:eastAsia="Arial" w:hAnsi="Arial"/>
          <w:sz w:val="18"/>
          <w:szCs w:val="18"/>
          <w:b w:val="1"/>
          <w:bCs w:val="1"/>
          <w:color w:val="3F3F3F"/>
        </w:rPr>
        <w:t>Financial Strength &amp; Significant Cash Flow:</w:t>
      </w:r>
      <w:r>
        <w:rPr>
          <w:rFonts w:ascii="Arial" w:cs="Arial" w:eastAsia="Arial" w:hAnsi="Arial"/>
          <w:sz w:val="18"/>
          <w:szCs w:val="18"/>
          <w:color w:val="3F3F3F"/>
        </w:rPr>
        <w:t xml:space="preserve"> Our strong balance sheet and significant cash flow generation differentiate us from our peers. We expect to continue to deliver on our financial commitments including debt reduction and returning capital to shareholders through dividends and share repurchases. With the divestiture proceeds now in hand, we believe we have a clear line of sight to meet our long-term gross leverage target</w:t>
      </w:r>
      <w:r>
        <w:rPr>
          <w:rFonts w:ascii="Arial" w:cs="Arial" w:eastAsia="Arial" w:hAnsi="Arial"/>
          <w:sz w:val="26"/>
          <w:szCs w:val="26"/>
          <w:color w:val="3F3F3F"/>
          <w:vertAlign w:val="superscript"/>
        </w:rPr>
        <w:t>2</w:t>
      </w:r>
      <w:r>
        <w:rPr>
          <w:rFonts w:ascii="Arial" w:cs="Arial" w:eastAsia="Arial" w:hAnsi="Arial"/>
          <w:sz w:val="18"/>
          <w:szCs w:val="18"/>
          <w:color w:val="3F3F3F"/>
        </w:rPr>
        <w:t xml:space="preserve"> by the end of 2024, an important indication of financial health.</w:t>
      </w:r>
    </w:p>
    <w:p>
      <w:pPr>
        <w:spacing w:after="0" w:line="3" w:lineRule="exact"/>
        <w:rPr>
          <w:rFonts w:ascii="Arial" w:cs="Arial" w:eastAsia="Arial" w:hAnsi="Arial"/>
          <w:sz w:val="18"/>
          <w:szCs w:val="18"/>
          <w:color w:val="3F3F3F"/>
        </w:rPr>
      </w:pPr>
    </w:p>
    <w:p>
      <w:pPr>
        <w:ind w:left="340" w:right="200" w:hanging="224"/>
        <w:spacing w:after="0" w:line="252" w:lineRule="auto"/>
        <w:tabs>
          <w:tab w:leader="none" w:pos="340" w:val="left"/>
        </w:tabs>
        <w:numPr>
          <w:ilvl w:val="0"/>
          <w:numId w:val="16"/>
        </w:numPr>
        <w:rPr>
          <w:rFonts w:ascii="Arial" w:cs="Arial" w:eastAsia="Arial" w:hAnsi="Arial"/>
          <w:sz w:val="18"/>
          <w:szCs w:val="18"/>
          <w:color w:val="3F3F3F"/>
        </w:rPr>
      </w:pPr>
      <w:r>
        <w:rPr>
          <w:rFonts w:ascii="Arial" w:cs="Arial" w:eastAsia="Arial" w:hAnsi="Arial"/>
          <w:sz w:val="18"/>
          <w:szCs w:val="18"/>
          <w:color w:val="3F3F3F"/>
        </w:rPr>
        <w:t xml:space="preserve">Our </w:t>
      </w:r>
      <w:r>
        <w:rPr>
          <w:rFonts w:ascii="Arial" w:cs="Arial" w:eastAsia="Arial" w:hAnsi="Arial"/>
          <w:sz w:val="18"/>
          <w:szCs w:val="18"/>
          <w:b w:val="1"/>
          <w:bCs w:val="1"/>
          <w:color w:val="3F3F3F"/>
        </w:rPr>
        <w:t>Expanding Innovative Portfolio:</w:t>
      </w:r>
      <w:r>
        <w:rPr>
          <w:rFonts w:ascii="Arial" w:cs="Arial" w:eastAsia="Arial" w:hAnsi="Arial"/>
          <w:sz w:val="18"/>
          <w:szCs w:val="18"/>
          <w:color w:val="3F3F3F"/>
        </w:rPr>
        <w:t xml:space="preserve"> This area represents an increasing focus on efforts to identify, vet and secure innovative, best-in-class, patent-protected assets targeting significant unmet medical need in areas in which our Company can be successful. By expanding our innovative portfolio we expect to have the potential to drive accelerated and durable revenue growth.</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Global Reach</w:t>
      </w:r>
    </w:p>
    <w:p>
      <w:pPr>
        <w:spacing w:after="0" w:line="149"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3F3F3F"/>
        </w:rPr>
        <w:t>Our strong commercial infrastructure enables us to serve patients in almost every corner of the globe through retail and pharmacy establishments, wholesalers, governments, institutions, physicians and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186690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0" w:lineRule="exact"/>
        <w:rPr>
          <w:sz w:val="20"/>
          <w:szCs w:val="20"/>
          <w:color w:val="auto"/>
        </w:rPr>
      </w:pPr>
    </w:p>
    <w:p>
      <w:pPr>
        <w:ind w:left="340" w:right="140" w:hanging="224"/>
        <w:spacing w:after="0" w:line="274" w:lineRule="auto"/>
        <w:tabs>
          <w:tab w:leader="none" w:pos="340" w:val="left"/>
        </w:tabs>
        <w:numPr>
          <w:ilvl w:val="0"/>
          <w:numId w:val="17"/>
        </w:numPr>
        <w:rPr>
          <w:rFonts w:ascii="Arial" w:cs="Arial" w:eastAsia="Arial" w:hAnsi="Arial"/>
          <w:sz w:val="26"/>
          <w:szCs w:val="26"/>
          <w:color w:val="3F3F3F"/>
          <w:vertAlign w:val="superscript"/>
        </w:rPr>
      </w:pPr>
      <w:r>
        <w:rPr>
          <w:rFonts w:ascii="Arial" w:cs="Arial" w:eastAsia="Arial" w:hAnsi="Arial"/>
          <w:sz w:val="17"/>
          <w:szCs w:val="17"/>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w:t>
      </w:r>
    </w:p>
    <w:p>
      <w:pPr>
        <w:spacing w:after="0" w:line="2" w:lineRule="exact"/>
        <w:rPr>
          <w:rFonts w:ascii="Arial" w:cs="Arial" w:eastAsia="Arial" w:hAnsi="Arial"/>
          <w:sz w:val="26"/>
          <w:szCs w:val="26"/>
          <w:color w:val="3F3F3F"/>
          <w:vertAlign w:val="superscript"/>
        </w:rPr>
      </w:pPr>
    </w:p>
    <w:p>
      <w:pPr>
        <w:ind w:left="340"/>
        <w:spacing w:after="0"/>
        <w:rPr>
          <w:rFonts w:ascii="Arial" w:cs="Arial" w:eastAsia="Arial" w:hAnsi="Arial"/>
          <w:sz w:val="26"/>
          <w:szCs w:val="26"/>
          <w:color w:val="3F3F3F"/>
          <w:vertAlign w:val="superscript"/>
        </w:rPr>
      </w:pPr>
      <w:r>
        <w:rPr>
          <w:rFonts w:ascii="Arial" w:cs="Arial" w:eastAsia="Arial" w:hAnsi="Arial"/>
          <w:sz w:val="18"/>
          <w:szCs w:val="18"/>
          <w:color w:val="3F3F3F"/>
        </w:rPr>
        <w:t>– “Non-GAAP Financial Measures”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702945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3F3F3F"/>
        </w:rPr>
        <w:t>We provide unique reach across North America, Europe, the Asia Pacific region and emerging markets. Through our four reportable segments – Developed Markets, Emerging Markets, JANZ and Greater China – we sold more than 80 billion doses of medicine in 2023 across more than 165 countries and territories.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Diversified and Growing Base Business</w:t>
      </w:r>
    </w:p>
    <w:p>
      <w:pPr>
        <w:spacing w:after="0" w:line="149" w:lineRule="exact"/>
        <w:rPr>
          <w:sz w:val="20"/>
          <w:szCs w:val="20"/>
          <w:color w:val="auto"/>
        </w:rPr>
      </w:pPr>
    </w:p>
    <w:p>
      <w:pPr>
        <w:ind w:left="120" w:right="60"/>
        <w:spacing w:after="0" w:line="260" w:lineRule="auto"/>
        <w:rPr>
          <w:sz w:val="20"/>
          <w:szCs w:val="20"/>
          <w:color w:val="auto"/>
        </w:rPr>
      </w:pPr>
      <w:r>
        <w:rPr>
          <w:rFonts w:ascii="Arial" w:cs="Arial" w:eastAsia="Arial" w:hAnsi="Arial"/>
          <w:sz w:val="17"/>
          <w:szCs w:val="17"/>
          <w:color w:val="3F3F3F"/>
        </w:rPr>
        <w:t>Our legacy generics and brand portfolio is a diverse collection of global, iconic off-patent medicines. Our extensive global footprint already reaches approximately 1 billion patients every year.</w:t>
      </w:r>
      <w:r>
        <w:rPr>
          <w:rFonts w:ascii="Arial" w:cs="Arial" w:eastAsia="Arial" w:hAnsi="Arial"/>
          <w:sz w:val="25"/>
          <w:szCs w:val="25"/>
          <w:color w:val="3F3F3F"/>
          <w:vertAlign w:val="superscript"/>
        </w:rPr>
        <w:t>1</w:t>
      </w:r>
      <w:r>
        <w:rPr>
          <w:rFonts w:ascii="Arial" w:cs="Arial" w:eastAsia="Arial" w:hAnsi="Arial"/>
          <w:sz w:val="17"/>
          <w:szCs w:val="17"/>
          <w:color w:val="3F3F3F"/>
        </w:rPr>
        <w:t xml:space="preserve"> We believe our continued success in this part of our business will come from our large and diversified portfolio of generics and off-patent brands that extends across markets and more than 10 therapeutic areas.</w:t>
      </w:r>
    </w:p>
    <w:p>
      <w:pPr>
        <w:spacing w:after="0" w:line="102"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3F3F3F"/>
        </w:rPr>
        <w:t>Our base business pipeline provides Viatris with a diverse and resilient engine to generate continued strong cash flows. We anticipate a steady flow of core generics approvals and an increasing flow of complex generics and novel 505(b)(2)-like products.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We currently have more than 500 products in development or under regulatory review, including a number of first-to-market opportunities.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These include:</w:t>
      </w:r>
    </w:p>
    <w:p>
      <w:pPr>
        <w:spacing w:after="0" w:line="99"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3F3F3F"/>
        </w:rPr>
      </w:pPr>
      <w:r>
        <w:rPr>
          <w:rFonts w:ascii="Arial" w:cs="Arial" w:eastAsia="Arial" w:hAnsi="Arial"/>
          <w:sz w:val="18"/>
          <w:szCs w:val="18"/>
          <w:color w:val="3F3F3F"/>
        </w:rPr>
        <w:t>Approximately 250 core generics.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8"/>
        </w:numPr>
        <w:rPr>
          <w:rFonts w:ascii="Arial" w:cs="Arial" w:eastAsia="Arial" w:hAnsi="Arial"/>
          <w:sz w:val="18"/>
          <w:szCs w:val="18"/>
          <w:color w:val="3F3F3F"/>
        </w:rPr>
      </w:pPr>
      <w:r>
        <w:rPr>
          <w:rFonts w:ascii="Arial" w:cs="Arial" w:eastAsia="Arial" w:hAnsi="Arial"/>
          <w:sz w:val="18"/>
          <w:szCs w:val="18"/>
          <w:color w:val="3F3F3F"/>
        </w:rPr>
        <w:t>Approximately 250 complex generics.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8"/>
        </w:numPr>
        <w:rPr>
          <w:rFonts w:ascii="Arial" w:cs="Arial" w:eastAsia="Arial" w:hAnsi="Arial"/>
          <w:sz w:val="18"/>
          <w:szCs w:val="18"/>
          <w:color w:val="3F3F3F"/>
        </w:rPr>
      </w:pPr>
      <w:r>
        <w:rPr>
          <w:rFonts w:ascii="Arial" w:cs="Arial" w:eastAsia="Arial" w:hAnsi="Arial"/>
          <w:sz w:val="18"/>
          <w:szCs w:val="18"/>
          <w:color w:val="3F3F3F"/>
        </w:rPr>
        <w:t>More than 70 novel products, which are 505(b)(2)-like products.</w:t>
      </w:r>
    </w:p>
    <w:p>
      <w:pPr>
        <w:spacing w:after="0" w:line="14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This strong pipeline gives us confidence in continuing to generate strong new product revenues. We believe our product diversity combined with our global scale, local approach and deep understanding of our markets allows for better access to customers and patients, further delivering on our mission.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Expanding Our Innovative Portfolio</w:t>
      </w:r>
    </w:p>
    <w:p>
      <w:pPr>
        <w:spacing w:after="0" w:line="149"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3F3F3F"/>
        </w:rPr>
        <w:t>This area represents an increasing focus on efforts to identify, vet and secure innovative, best-in-class, patent-protected assets. By expanding our innovative portfolio, we believe we have the potential to drive accelerated and durable revenue growth.</w:t>
      </w:r>
    </w:p>
    <w:p>
      <w:pPr>
        <w:spacing w:after="0" w:line="73"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3F3F3F"/>
        </w:rPr>
        <w:t>We have already made disciplined investments in innovative assets in cardiovascular disease and immunology with selatogrel and cenerimod and are making significant progress in accelerating the development of these assets.</w:t>
      </w:r>
    </w:p>
    <w:p>
      <w:pPr>
        <w:spacing w:after="0" w:line="86"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3F3F3F"/>
        </w:rPr>
        <w:t>Our research and development (“R&amp;D”) strategy is driven by our deep in-house development capabilities. We have core competencies and talent that are especially critical as we expand our innovative portfolio, in particular:</w:t>
      </w:r>
    </w:p>
    <w:p>
      <w:pPr>
        <w:spacing w:after="0" w:line="59"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3F3F3F"/>
        </w:rPr>
      </w:pPr>
      <w:r>
        <w:rPr>
          <w:rFonts w:ascii="Arial" w:cs="Arial" w:eastAsia="Arial" w:hAnsi="Arial"/>
          <w:sz w:val="18"/>
          <w:szCs w:val="18"/>
          <w:color w:val="3F3F3F"/>
        </w:rPr>
        <w:t>Our strong pre-clinical, clinical development and medical affairs teams across multiple therapeutic areas.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9"/>
        </w:numPr>
        <w:rPr>
          <w:rFonts w:ascii="Arial" w:cs="Arial" w:eastAsia="Arial" w:hAnsi="Arial"/>
          <w:sz w:val="18"/>
          <w:szCs w:val="18"/>
          <w:color w:val="3F3F3F"/>
        </w:rPr>
      </w:pPr>
      <w:r>
        <w:rPr>
          <w:rFonts w:ascii="Arial" w:cs="Arial" w:eastAsia="Arial" w:hAnsi="Arial"/>
          <w:sz w:val="18"/>
          <w:szCs w:val="18"/>
          <w:color w:val="3F3F3F"/>
        </w:rPr>
        <w:t>Our experienced manufacturing and device teams over a wide range of dosage forms.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9"/>
        </w:numPr>
        <w:rPr>
          <w:rFonts w:ascii="Arial" w:cs="Arial" w:eastAsia="Arial" w:hAnsi="Arial"/>
          <w:sz w:val="18"/>
          <w:szCs w:val="18"/>
          <w:color w:val="3F3F3F"/>
        </w:rPr>
      </w:pPr>
      <w:r>
        <w:rPr>
          <w:rFonts w:ascii="Arial" w:cs="Arial" w:eastAsia="Arial" w:hAnsi="Arial"/>
          <w:sz w:val="18"/>
          <w:szCs w:val="18"/>
          <w:color w:val="3F3F3F"/>
        </w:rPr>
        <w:t>And our proven regulatory, pharmacovigilance, legal and intellectual property skills.</w:t>
      </w:r>
    </w:p>
    <w:p>
      <w:pPr>
        <w:spacing w:after="0" w:line="144"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3F3F3F"/>
        </w:rPr>
        <w:t>We are identifying assets where we can leverage our expertise and global network and are assessing each opportunity based on specific criteria. We are looking for de-risked innovative assets that address significant unmet medical need – this includes having a validated mechanism of action, a strong clinical proof of concept, and a clear path to regulatory approval.</w:t>
      </w:r>
    </w:p>
    <w:p>
      <w:pPr>
        <w:spacing w:after="0" w:line="8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3F3F3F"/>
        </w:rPr>
        <w:t>Our newest assets – selatogrel and cenerimod – are examples from our growing innovative portfolio. Selatogrel has the potential to relieve the high disease burden of acute myocardial infarction and specifically address the dire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3F3F3F"/>
        </w:rPr>
        <w:t>need for early intervention at the crucial time between symptom onset and first medical attention. Cenerimod, a novel immunology asset that has the potential to be a first-in-class oral therapy for the treatment of systemic lupus erythematosus (“SLE”), also has the potential to address a significant unmet medical need. SLE is a chronic and progressive autoimmune disease with a significant impact on patients and limited treatment options.</w:t>
      </w:r>
    </w:p>
    <w:p>
      <w:pPr>
        <w:spacing w:after="0" w:line="9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3F3F3F"/>
        </w:rPr>
        <w:t>We anticipate that the additional leadership and scientific expertise we have recently brought in along with our impressive core competencies in key areas such as global manufacturing, medical affairs, regulatory, legal and commercialization will drive the success of this innovative portfolio.</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Quality and Safety</w:t>
      </w:r>
    </w:p>
    <w:p>
      <w:pPr>
        <w:spacing w:after="0" w:line="14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3F3F3F"/>
        </w:rPr>
        <w:t>Our global operations are supported by companywide quality systems, standards and processes which are designed to ensure product quality and patient safety. From product development to making or sourcing raw materials to producing finished dosage forms, every step of our development, manufacturing and monitoring processes is grounded in our commitment to good manufacturing practices and the quality and safety of our products.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One-of-a-Kind Global Supply Chain</w:t>
      </w:r>
    </w:p>
    <w:p>
      <w:pPr>
        <w:spacing w:after="0" w:line="14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3F3F3F"/>
        </w:rPr>
        <w:t>We have worked diligently to be considered a trusted partner, and will continue to do so, as we work to help close gaps to equal access to care, build more resilient healthcare systems, and uphold a reliable global supply of medicines.</w:t>
      </w:r>
    </w:p>
    <w:p>
      <w:pPr>
        <w:spacing w:after="0" w:line="86"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3F3F3F"/>
        </w:rPr>
        <w:t>Thanks to our interconnected global supply chain, in 2023, we are proud to have supplied high-quality medicines to approximately 1 billion patients around the world,</w:t>
      </w:r>
      <w:r>
        <w:rPr>
          <w:rFonts w:ascii="Arial" w:cs="Arial" w:eastAsia="Arial" w:hAnsi="Arial"/>
          <w:sz w:val="26"/>
          <w:szCs w:val="26"/>
          <w:color w:val="3F3F3F"/>
          <w:vertAlign w:val="superscript"/>
        </w:rPr>
        <w:t>1</w:t>
      </w:r>
      <w:r>
        <w:rPr>
          <w:rFonts w:ascii="Arial" w:cs="Arial" w:eastAsia="Arial" w:hAnsi="Arial"/>
          <w:sz w:val="18"/>
          <w:szCs w:val="18"/>
          <w:color w:val="3F3F3F"/>
        </w:rPr>
        <w:t xml:space="preserve"> while we mitigated disruptions and maintained supply of critical medicines, achieving a global customer service level of 90%.</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Our Global Supply Chain consists of:</w:t>
      </w:r>
    </w:p>
    <w:p>
      <w:pPr>
        <w:spacing w:after="0" w:line="117"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3F3F3F"/>
        </w:rPr>
      </w:pPr>
      <w:r>
        <w:rPr>
          <w:rFonts w:ascii="Arial" w:cs="Arial" w:eastAsia="Arial" w:hAnsi="Arial"/>
          <w:sz w:val="18"/>
          <w:szCs w:val="18"/>
          <w:b w:val="1"/>
          <w:bCs w:val="1"/>
          <w:color w:val="3F3F3F"/>
        </w:rPr>
        <w:t xml:space="preserve">Global </w:t>
      </w:r>
      <w:r>
        <w:rPr>
          <w:rFonts w:ascii="Arial" w:cs="Arial" w:eastAsia="Arial" w:hAnsi="Arial"/>
          <w:sz w:val="18"/>
          <w:szCs w:val="18"/>
          <w:color w:val="3F3F3F"/>
        </w:rPr>
        <w:t>sites that are qualified to supply globally and locally;</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20"/>
        </w:numPr>
        <w:rPr>
          <w:rFonts w:ascii="Arial" w:cs="Arial" w:eastAsia="Arial" w:hAnsi="Arial"/>
          <w:sz w:val="18"/>
          <w:szCs w:val="18"/>
          <w:color w:val="3F3F3F"/>
        </w:rPr>
      </w:pPr>
      <w:r>
        <w:rPr>
          <w:rFonts w:ascii="Arial" w:cs="Arial" w:eastAsia="Arial" w:hAnsi="Arial"/>
          <w:sz w:val="18"/>
          <w:szCs w:val="18"/>
          <w:b w:val="1"/>
          <w:bCs w:val="1"/>
          <w:color w:val="3F3F3F"/>
        </w:rPr>
        <w:t xml:space="preserve">Regional </w:t>
      </w:r>
      <w:r>
        <w:rPr>
          <w:rFonts w:ascii="Arial" w:cs="Arial" w:eastAsia="Arial" w:hAnsi="Arial"/>
          <w:sz w:val="18"/>
          <w:szCs w:val="18"/>
          <w:color w:val="3F3F3F"/>
        </w:rPr>
        <w:t>manufacturing and packaging sites that enable the benefits of centralization, while allowing rapid regional supply;</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20"/>
        </w:numPr>
        <w:rPr>
          <w:rFonts w:ascii="Arial" w:cs="Arial" w:eastAsia="Arial" w:hAnsi="Arial"/>
          <w:sz w:val="18"/>
          <w:szCs w:val="18"/>
          <w:color w:val="3F3F3F"/>
        </w:rPr>
      </w:pPr>
      <w:r>
        <w:rPr>
          <w:rFonts w:ascii="Arial" w:cs="Arial" w:eastAsia="Arial" w:hAnsi="Arial"/>
          <w:sz w:val="18"/>
          <w:szCs w:val="18"/>
          <w:b w:val="1"/>
          <w:bCs w:val="1"/>
          <w:color w:val="3F3F3F"/>
        </w:rPr>
        <w:t xml:space="preserve">Local </w:t>
      </w:r>
      <w:r>
        <w:rPr>
          <w:rFonts w:ascii="Arial" w:cs="Arial" w:eastAsia="Arial" w:hAnsi="Arial"/>
          <w:sz w:val="18"/>
          <w:szCs w:val="18"/>
          <w:color w:val="3F3F3F"/>
        </w:rPr>
        <w:t>manufacturing in markets that have unique in-country requirements (e.g., Greater China, Africa, etc.); and</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20"/>
        </w:numPr>
        <w:rPr>
          <w:rFonts w:ascii="Arial" w:cs="Arial" w:eastAsia="Arial" w:hAnsi="Arial"/>
          <w:sz w:val="18"/>
          <w:szCs w:val="18"/>
          <w:color w:val="3F3F3F"/>
        </w:rPr>
      </w:pPr>
      <w:r>
        <w:rPr>
          <w:rFonts w:ascii="Arial" w:cs="Arial" w:eastAsia="Arial" w:hAnsi="Arial"/>
          <w:sz w:val="18"/>
          <w:szCs w:val="18"/>
          <w:b w:val="1"/>
          <w:bCs w:val="1"/>
          <w:color w:val="3F3F3F"/>
        </w:rPr>
        <w:t xml:space="preserve">“Last mile” distribution </w:t>
      </w:r>
      <w:r>
        <w:rPr>
          <w:rFonts w:ascii="Arial" w:cs="Arial" w:eastAsia="Arial" w:hAnsi="Arial"/>
          <w:sz w:val="18"/>
          <w:szCs w:val="18"/>
          <w:color w:val="3F3F3F"/>
        </w:rPr>
        <w:t>presence in more than 60 countries with approximately 190 distribution centers to ensure access to medicines</w:t>
      </w:r>
    </w:p>
    <w:p>
      <w:pPr>
        <w:spacing w:after="0" w:line="13" w:lineRule="exact"/>
        <w:rPr>
          <w:rFonts w:ascii="Arial" w:cs="Arial" w:eastAsia="Arial" w:hAnsi="Arial"/>
          <w:sz w:val="18"/>
          <w:szCs w:val="18"/>
          <w:color w:val="3F3F3F"/>
        </w:rPr>
      </w:pPr>
    </w:p>
    <w:p>
      <w:pPr>
        <w:ind w:left="340"/>
        <w:spacing w:after="0"/>
        <w:rPr>
          <w:rFonts w:ascii="Arial" w:cs="Arial" w:eastAsia="Arial" w:hAnsi="Arial"/>
          <w:sz w:val="18"/>
          <w:szCs w:val="18"/>
          <w:color w:val="3F3F3F"/>
        </w:rPr>
      </w:pPr>
      <w:r>
        <w:rPr>
          <w:rFonts w:ascii="Arial" w:cs="Arial" w:eastAsia="Arial" w:hAnsi="Arial"/>
          <w:sz w:val="18"/>
          <w:szCs w:val="18"/>
          <w:color w:val="3F3F3F"/>
        </w:rPr>
        <w:t>– to the point the medicine arrives at our patients’ homes.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Global Healthcare Gateway</w:t>
      </w:r>
      <w:r>
        <w:rPr>
          <w:rFonts w:ascii="Arial" w:cs="Arial" w:eastAsia="Arial" w:hAnsi="Arial"/>
          <w:sz w:val="24"/>
          <w:szCs w:val="24"/>
          <w:b w:val="1"/>
          <w:bCs w:val="1"/>
          <w:color w:val="231161"/>
          <w:vertAlign w:val="superscript"/>
        </w:rPr>
        <w:t>®</w:t>
      </w:r>
    </w:p>
    <w:p>
      <w:pPr>
        <w:spacing w:after="0" w:line="124" w:lineRule="exact"/>
        <w:rPr>
          <w:sz w:val="20"/>
          <w:szCs w:val="20"/>
          <w:color w:val="auto"/>
        </w:rPr>
      </w:pPr>
    </w:p>
    <w:p>
      <w:pPr>
        <w:ind w:left="120" w:right="340"/>
        <w:spacing w:after="0" w:line="290" w:lineRule="auto"/>
        <w:rPr>
          <w:sz w:val="20"/>
          <w:szCs w:val="20"/>
          <w:color w:val="auto"/>
        </w:rPr>
      </w:pPr>
      <w:r>
        <w:rPr>
          <w:rFonts w:ascii="Arial" w:cs="Arial" w:eastAsia="Arial" w:hAnsi="Arial"/>
          <w:sz w:val="18"/>
          <w:szCs w:val="18"/>
          <w:color w:val="3F3F3F"/>
        </w:rPr>
        <w:t>As the world’s healthcare needs evolve, our Global Healthcare Gateway</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offers partners access to markets worldwide through our unmatched global infrastructure and expertise that connects people around the world to the high-quality medicines and health services they need.</w:t>
      </w:r>
    </w:p>
    <w:p>
      <w:pPr>
        <w:spacing w:after="0" w:line="111"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3F3F3F"/>
        </w:rPr>
        <w:t>This platform is powered by our expert operational and commercial services with unique reach, allowing our partners to expand their assets through our many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Achieving Success</w:t>
      </w:r>
    </w:p>
    <w:p>
      <w:pPr>
        <w:spacing w:after="0" w:line="135" w:lineRule="exact"/>
        <w:rPr>
          <w:sz w:val="20"/>
          <w:szCs w:val="20"/>
          <w:color w:val="auto"/>
        </w:rPr>
      </w:pPr>
    </w:p>
    <w:p>
      <w:pPr>
        <w:jc w:val="both"/>
        <w:ind w:left="120" w:right="360"/>
        <w:spacing w:after="0" w:line="247" w:lineRule="auto"/>
        <w:rPr>
          <w:sz w:val="20"/>
          <w:szCs w:val="20"/>
          <w:color w:val="auto"/>
        </w:rPr>
      </w:pPr>
      <w:r>
        <w:rPr>
          <w:rFonts w:ascii="Arial" w:cs="Arial" w:eastAsia="Arial" w:hAnsi="Arial"/>
          <w:sz w:val="18"/>
          <w:szCs w:val="18"/>
          <w:color w:val="3F3F3F"/>
        </w:rPr>
        <w:t>Achieving success in our mission would not be possible without our hardworking, dedicated colleagues. As an employer of choice, our culture remains performance-driven, highly engaging and inclusive. Ensuring the engagement of our approximately 32,000 colleagues located in almost 70 countries and investing in talent management, workplace health and safety, and organizational excellence, keeps Viatris at the forefront of growth and performance.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Since our formation, we have consistently executed against our operational priorities.</w:t>
      </w:r>
    </w:p>
    <w:p>
      <w:pPr>
        <w:spacing w:after="0" w:line="14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3F3F3F"/>
        </w:rPr>
        <w:t>The resilience of our business model continues to withstand a very complex and dynamic environment. The strong performance of the business and the execution of our underlying plan, focused on our strategic pillars, gives us the confidence that we will continue to achieve success. We have built a strong foundation, we have a bold vision for our future, and we have the key ingredients we need to be successful to deliver on our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4883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Our Commitment to Good Corporate Governance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Robust Shareholder Engagement</w:t>
      </w:r>
    </w:p>
    <w:p>
      <w:pPr>
        <w:spacing w:after="0" w:line="149" w:lineRule="exact"/>
        <w:rPr>
          <w:sz w:val="20"/>
          <w:szCs w:val="20"/>
          <w:color w:val="auto"/>
        </w:rPr>
      </w:pPr>
    </w:p>
    <w:p>
      <w:pPr>
        <w:ind w:left="120" w:right="140"/>
        <w:spacing w:after="0"/>
        <w:rPr>
          <w:sz w:val="20"/>
          <w:szCs w:val="20"/>
          <w:color w:val="auto"/>
        </w:rPr>
      </w:pPr>
      <w:r>
        <w:rPr>
          <w:rFonts w:ascii="Arial" w:cs="Arial" w:eastAsia="Arial" w:hAnsi="Arial"/>
          <w:sz w:val="18"/>
          <w:szCs w:val="18"/>
          <w:color w:val="3F3F3F"/>
        </w:rPr>
        <w:t>Our shareholder-centric model is rooted in our Board of Directors’ (“Board”) and management’s commitment to on-going, robust dialogue with shareholders to discuss and solicit shareholder feedback on key strategic, operational, financial, governance, and executive compensation topics, and to address other topics of importance to shareholders. Since October 2023, we met with 25 of our 50 largest shareholders representing approximately 40% of the outstanding shares (in each case based on June 30, 2024 shareholder data). In these meetings, various members of our management and, as appropriate or where requested, our Board, met with institutional investor executives, governance and stewardship team leads, and portfolio managers. Our leadership has also met with the analyst community, participated in seven investor conferences, and held informal direct shareholder discussions since October 2023.</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Shareholder Discussion Highlights</w:t>
      </w:r>
    </w:p>
    <w:p>
      <w:pPr>
        <w:spacing w:after="0" w:line="135"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b w:val="1"/>
          <w:bCs w:val="1"/>
          <w:color w:val="3F3F3F"/>
        </w:rPr>
        <w:t>R&amp;D Event</w:t>
      </w:r>
      <w:r>
        <w:rPr>
          <w:rFonts w:ascii="Arial" w:cs="Arial" w:eastAsia="Arial" w:hAnsi="Arial"/>
          <w:sz w:val="18"/>
          <w:szCs w:val="18"/>
          <w:color w:val="3F3F3F"/>
        </w:rPr>
        <w:t>: At our R&amp;D event in March 2024, we outlined how our R&amp;D strategy has evolved to further our goal of building innovative,</w:t>
      </w:r>
      <w:r>
        <w:rPr>
          <w:rFonts w:ascii="Arial" w:cs="Arial" w:eastAsia="Arial" w:hAnsi="Arial"/>
          <w:sz w:val="18"/>
          <w:szCs w:val="18"/>
          <w:b w:val="1"/>
          <w:bCs w:val="1"/>
          <w:color w:val="3F3F3F"/>
        </w:rPr>
        <w:t xml:space="preserve"> </w:t>
      </w:r>
      <w:r>
        <w:rPr>
          <w:rFonts w:ascii="Arial" w:cs="Arial" w:eastAsia="Arial" w:hAnsi="Arial"/>
          <w:sz w:val="18"/>
          <w:szCs w:val="18"/>
          <w:color w:val="3F3F3F"/>
        </w:rPr>
        <w:t>best-in-class, patent-protected assets on the foundation of our strong base business. We welcomed investors as our management team provided an in-person overview of our collaboration with Idorsia Ltd (“Idorsia”) and key elements of our pipeline.</w:t>
      </w:r>
    </w:p>
    <w:p>
      <w:pPr>
        <w:spacing w:after="0" w:line="101"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b w:val="1"/>
          <w:bCs w:val="1"/>
          <w:color w:val="3F3F3F"/>
        </w:rPr>
        <w:t xml:space="preserve">Strategic Pillars to Accelerate Growth and Shareholder Return: </w:t>
      </w:r>
      <w:r>
        <w:rPr>
          <w:rFonts w:ascii="Arial" w:cs="Arial" w:eastAsia="Arial" w:hAnsi="Arial"/>
          <w:sz w:val="18"/>
          <w:szCs w:val="18"/>
          <w:color w:val="3F3F3F"/>
        </w:rPr>
        <w:t>On our second quarter 2024 earnings call, Chief Executive Officer</w:t>
      </w:r>
      <w:r>
        <w:rPr>
          <w:rFonts w:ascii="Arial" w:cs="Arial" w:eastAsia="Arial" w:hAnsi="Arial"/>
          <w:sz w:val="18"/>
          <w:szCs w:val="18"/>
          <w:b w:val="1"/>
          <w:bCs w:val="1"/>
          <w:color w:val="3F3F3F"/>
        </w:rPr>
        <w:t xml:space="preserve"> </w:t>
      </w:r>
      <w:r>
        <w:rPr>
          <w:rFonts w:ascii="Arial" w:cs="Arial" w:eastAsia="Arial" w:hAnsi="Arial"/>
          <w:sz w:val="18"/>
          <w:szCs w:val="18"/>
          <w:color w:val="3F3F3F"/>
        </w:rPr>
        <w:t>(“CEO”) Scott A. Smith discussed our three strategic pillars: our diversified and growing base business, financial strength and significant cash flow, and expanding innovative portfolio. We expect our focus in these areas to accelerate growth and shareholder return both in the near term and into the future.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Executive Compensation</w:t>
      </w:r>
      <w:r>
        <w:rPr>
          <w:rFonts w:ascii="Arial" w:cs="Arial" w:eastAsia="Arial" w:hAnsi="Arial"/>
          <w:sz w:val="18"/>
          <w:szCs w:val="18"/>
          <w:color w:val="3F3F3F"/>
        </w:rPr>
        <w:t>: We discussed our simplified compensation program and how our metrics align with our key strategic priorities,</w:t>
      </w:r>
      <w:r>
        <w:rPr>
          <w:rFonts w:ascii="Arial" w:cs="Arial" w:eastAsia="Arial" w:hAnsi="Arial"/>
          <w:sz w:val="18"/>
          <w:szCs w:val="18"/>
          <w:b w:val="1"/>
          <w:bCs w:val="1"/>
          <w:color w:val="3F3F3F"/>
        </w:rPr>
        <w:t xml:space="preserve"> </w:t>
      </w:r>
      <w:r>
        <w:rPr>
          <w:rFonts w:ascii="Arial" w:cs="Arial" w:eastAsia="Arial" w:hAnsi="Arial"/>
          <w:sz w:val="18"/>
          <w:szCs w:val="18"/>
          <w:color w:val="3F3F3F"/>
        </w:rPr>
        <w:t>in addition to the conclusion of certain legacy programs and arrangements. Our shareholders expressed strong support for our compensation programs at our 2023 annual meeting of shareholders (the “2023 Annual Meeting”), as we received 86% approval for our shareholder advisory vote regarding executive compensation. We believe this result is an endorsement of our compensation philosophy and our focus on a performance-based, shareholder-value-focused business model that is intended to help ensure that Viatris continues to attract and retain high-performing executives. Feedback was discussed with the Compensation Committee and Board, and we will continue to engage with shareholders in this area.</w:t>
      </w:r>
    </w:p>
    <w:p>
      <w:pPr>
        <w:spacing w:after="0" w:line="104"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b w:val="1"/>
          <w:bCs w:val="1"/>
          <w:color w:val="3F3F3F"/>
        </w:rPr>
        <w:t>Corporate Social Responsibility</w:t>
      </w:r>
      <w:r>
        <w:rPr>
          <w:rFonts w:ascii="Arial" w:cs="Arial" w:eastAsia="Arial" w:hAnsi="Arial"/>
          <w:sz w:val="18"/>
          <w:szCs w:val="18"/>
          <w:color w:val="3F3F3F"/>
        </w:rPr>
        <w:t>: We discussed our 2023 Sustainability Report, including our goals related to access to medicine;</w:t>
      </w:r>
      <w:r>
        <w:rPr>
          <w:rFonts w:ascii="Arial" w:cs="Arial" w:eastAsia="Arial" w:hAnsi="Arial"/>
          <w:sz w:val="18"/>
          <w:szCs w:val="18"/>
          <w:b w:val="1"/>
          <w:bCs w:val="1"/>
          <w:color w:val="3F3F3F"/>
        </w:rPr>
        <w:t xml:space="preserve"> </w:t>
      </w:r>
      <w:r>
        <w:rPr>
          <w:rFonts w:ascii="Arial" w:cs="Arial" w:eastAsia="Arial" w:hAnsi="Arial"/>
          <w:sz w:val="18"/>
          <w:szCs w:val="18"/>
          <w:color w:val="3F3F3F"/>
        </w:rPr>
        <w:t>diversity, equity, and inclusion (“DEI”); and the environment. Shareholders expressed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3F3F3F"/>
        </w:rPr>
        <w:t>for our objectives in these areas and the progress we have made. Feedback was discussed with the Board, and we will continue to engage with shareholders in this area.</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Structure and Oversight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Viatris’ Board and committees are structured to provide effective oversight and direction to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2322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2322830"/>
                    </a:xfrm>
                    <a:prstGeom prst="rect">
                      <a:avLst/>
                    </a:prstGeom>
                    <a:noFill/>
                  </pic:spPr>
                </pic:pic>
              </a:graphicData>
            </a:graphic>
          </wp:anchor>
        </w:drawing>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3F3F3F"/>
        </w:rPr>
        <w:t>Viatris has:</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3F3F3F"/>
        </w:rPr>
        <w:t>•   An independent Chair of the Board (the “Chair”) (see pages 25 to 26).</w:t>
      </w:r>
    </w:p>
    <w:p>
      <w:pPr>
        <w:spacing w:after="0" w:line="158" w:lineRule="exact"/>
        <w:rPr>
          <w:sz w:val="20"/>
          <w:szCs w:val="20"/>
          <w:color w:val="auto"/>
        </w:rPr>
      </w:pPr>
    </w:p>
    <w:p>
      <w:pPr>
        <w:ind w:left="660" w:right="220" w:hanging="179"/>
        <w:spacing w:after="0" w:line="247" w:lineRule="auto"/>
        <w:rPr>
          <w:sz w:val="20"/>
          <w:szCs w:val="20"/>
          <w:color w:val="auto"/>
        </w:rPr>
      </w:pPr>
      <w:r>
        <w:rPr>
          <w:rFonts w:ascii="Arial" w:cs="Arial" w:eastAsia="Arial" w:hAnsi="Arial"/>
          <w:sz w:val="18"/>
          <w:szCs w:val="18"/>
          <w:color w:val="3F3F3F"/>
        </w:rPr>
        <w:t>•   A Board committee structure that supports comprehensive review and oversight of corporate strategy; management and performance; enterprise, operational, and commercial risk management; culture and human capital management; global drug pricing and commercialization; environmental and corporate social responsibility (“CSR”) matters; information security; and global developments, among many other matters (see pages 29 to 31).</w:t>
      </w:r>
    </w:p>
    <w:p>
      <w:pPr>
        <w:spacing w:after="0" w:line="120" w:lineRule="exact"/>
        <w:rPr>
          <w:sz w:val="20"/>
          <w:szCs w:val="20"/>
          <w:color w:val="auto"/>
        </w:rPr>
      </w:pPr>
    </w:p>
    <w:p>
      <w:pPr>
        <w:jc w:val="both"/>
        <w:ind w:left="660" w:right="580" w:hanging="179"/>
        <w:spacing w:after="0" w:line="253" w:lineRule="auto"/>
        <w:rPr>
          <w:sz w:val="20"/>
          <w:szCs w:val="20"/>
          <w:color w:val="auto"/>
        </w:rPr>
      </w:pPr>
      <w:r>
        <w:rPr>
          <w:rFonts w:ascii="Arial" w:cs="Arial" w:eastAsia="Arial" w:hAnsi="Arial"/>
          <w:sz w:val="18"/>
          <w:szCs w:val="18"/>
          <w:color w:val="3F3F3F"/>
        </w:rPr>
        <w:t>•   An active Board refreshment process that seeks to identify a diverse talent pool of qualified candidates for consideration (see pages 31-33). The Board has appointed four new Directors (Ms. Finney, Messrs. Groothuis and Smith, and Dr. Vivaldi) since December 2022.</w:t>
      </w:r>
    </w:p>
    <w:p>
      <w:pPr>
        <w:spacing w:after="0" w:line="115" w:lineRule="exact"/>
        <w:rPr>
          <w:sz w:val="20"/>
          <w:szCs w:val="20"/>
          <w:color w:val="auto"/>
        </w:rPr>
      </w:pPr>
    </w:p>
    <w:p>
      <w:pPr>
        <w:ind w:left="660" w:right="500" w:hanging="179"/>
        <w:spacing w:after="0" w:line="271" w:lineRule="auto"/>
        <w:rPr>
          <w:sz w:val="20"/>
          <w:szCs w:val="20"/>
          <w:color w:val="auto"/>
        </w:rPr>
      </w:pPr>
      <w:r>
        <w:rPr>
          <w:rFonts w:ascii="Arial" w:cs="Arial" w:eastAsia="Arial" w:hAnsi="Arial"/>
          <w:sz w:val="18"/>
          <w:szCs w:val="18"/>
          <w:color w:val="3F3F3F"/>
        </w:rPr>
        <w:t>•   The following Board committees: Audit, Compensation, Compliance and Risk Oversight, Executive, Finance, Governance and Sustainability, and Science and Technology.</w:t>
      </w:r>
    </w:p>
    <w:p>
      <w:pPr>
        <w:spacing w:after="0" w:line="100" w:lineRule="exact"/>
        <w:rPr>
          <w:sz w:val="20"/>
          <w:szCs w:val="20"/>
          <w:color w:val="auto"/>
        </w:rPr>
      </w:pPr>
    </w:p>
    <w:p>
      <w:pPr>
        <w:ind w:left="660" w:right="580" w:hanging="179"/>
        <w:spacing w:after="0" w:line="271" w:lineRule="auto"/>
        <w:rPr>
          <w:sz w:val="20"/>
          <w:szCs w:val="20"/>
          <w:color w:val="auto"/>
        </w:rPr>
      </w:pPr>
      <w:r>
        <w:rPr>
          <w:rFonts w:ascii="Arial" w:cs="Arial" w:eastAsia="Arial" w:hAnsi="Arial"/>
          <w:sz w:val="18"/>
          <w:szCs w:val="18"/>
          <w:color w:val="3F3F3F"/>
        </w:rPr>
        <w:t>•   Board members who have a wealth of diverse experience and expertise (see page 13) and broad access to multiple levels of Company employees as well as external experts.</w:t>
      </w:r>
    </w:p>
    <w:p>
      <w:pPr>
        <w:spacing w:after="0" w:line="19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3F3F3F"/>
        </w:rPr>
        <w:t>In addition, we believe that Viatris’ incorporation in Delaware further supports our shareholder-centric model. Our corporate governance structure includes, among other things:</w:t>
      </w:r>
    </w:p>
    <w:p>
      <w:pPr>
        <w:spacing w:after="0" w:line="86"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3F3F3F"/>
        </w:rPr>
      </w:pPr>
      <w:r>
        <w:rPr>
          <w:rFonts w:ascii="Arial" w:cs="Arial" w:eastAsia="Arial" w:hAnsi="Arial"/>
          <w:sz w:val="18"/>
          <w:szCs w:val="18"/>
          <w:color w:val="3F3F3F"/>
        </w:rPr>
        <w:t>A one share, one vote single common stock class structure;</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21"/>
        </w:numPr>
        <w:rPr>
          <w:rFonts w:ascii="Arial" w:cs="Arial" w:eastAsia="Arial" w:hAnsi="Arial"/>
          <w:sz w:val="18"/>
          <w:szCs w:val="18"/>
          <w:color w:val="3F3F3F"/>
        </w:rPr>
      </w:pPr>
      <w:r>
        <w:rPr>
          <w:rFonts w:ascii="Arial" w:cs="Arial" w:eastAsia="Arial" w:hAnsi="Arial"/>
          <w:sz w:val="18"/>
          <w:szCs w:val="18"/>
          <w:color w:val="3F3F3F"/>
        </w:rPr>
        <w:t>A declassified board and annual director elections;</w:t>
      </w:r>
    </w:p>
    <w:p>
      <w:pPr>
        <w:spacing w:after="0" w:line="117" w:lineRule="exact"/>
        <w:rPr>
          <w:rFonts w:ascii="Arial" w:cs="Arial" w:eastAsia="Arial" w:hAnsi="Arial"/>
          <w:sz w:val="18"/>
          <w:szCs w:val="18"/>
          <w:color w:val="3F3F3F"/>
        </w:rPr>
      </w:pPr>
    </w:p>
    <w:p>
      <w:pPr>
        <w:ind w:left="340" w:right="40" w:hanging="224"/>
        <w:spacing w:after="0" w:line="271" w:lineRule="auto"/>
        <w:tabs>
          <w:tab w:leader="none" w:pos="340" w:val="left"/>
        </w:tabs>
        <w:numPr>
          <w:ilvl w:val="0"/>
          <w:numId w:val="21"/>
        </w:numPr>
        <w:rPr>
          <w:rFonts w:ascii="Arial" w:cs="Arial" w:eastAsia="Arial" w:hAnsi="Arial"/>
          <w:sz w:val="18"/>
          <w:szCs w:val="18"/>
          <w:color w:val="3F3F3F"/>
        </w:rPr>
      </w:pPr>
      <w:r>
        <w:rPr>
          <w:rFonts w:ascii="Arial" w:cs="Arial" w:eastAsia="Arial" w:hAnsi="Arial"/>
          <w:sz w:val="18"/>
          <w:szCs w:val="18"/>
          <w:color w:val="3F3F3F"/>
        </w:rPr>
        <w:t>A majority voting standard for uncontested director elections, with a director resignation provision as well as a majority vote requirement for other items to be voted on by shareholders (including amendments to our certificate of incorporation and bylaws); and</w:t>
      </w:r>
    </w:p>
    <w:p>
      <w:pPr>
        <w:spacing w:after="0" w:line="59" w:lineRule="exact"/>
        <w:rPr>
          <w:rFonts w:ascii="Arial" w:cs="Arial" w:eastAsia="Arial" w:hAnsi="Arial"/>
          <w:sz w:val="18"/>
          <w:szCs w:val="18"/>
          <w:color w:val="3F3F3F"/>
        </w:rPr>
      </w:pPr>
    </w:p>
    <w:p>
      <w:pPr>
        <w:jc w:val="both"/>
        <w:ind w:left="340" w:right="160" w:hanging="224"/>
        <w:spacing w:after="0" w:line="253" w:lineRule="auto"/>
        <w:tabs>
          <w:tab w:leader="none" w:pos="340" w:val="left"/>
        </w:tabs>
        <w:numPr>
          <w:ilvl w:val="0"/>
          <w:numId w:val="21"/>
        </w:numPr>
        <w:rPr>
          <w:rFonts w:ascii="Arial" w:cs="Arial" w:eastAsia="Arial" w:hAnsi="Arial"/>
          <w:sz w:val="18"/>
          <w:szCs w:val="18"/>
          <w:color w:val="3F3F3F"/>
        </w:rPr>
      </w:pPr>
      <w:r>
        <w:rPr>
          <w:rFonts w:ascii="Arial" w:cs="Arial" w:eastAsia="Arial" w:hAnsi="Arial"/>
          <w:sz w:val="18"/>
          <w:szCs w:val="18"/>
          <w:color w:val="3F3F3F"/>
        </w:rPr>
        <w:t>Proxy access for director nominations that gives eligible shareholders (those who have continuously held shares of our common stock for at least three years, among other requirements) the ability to nominate and include in our proxy materials candidates for election to the Board.</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For additional information regarding Board governance and oversight, please see pages 25 to 38.</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Performance-Driven Compensation Program</w:t>
      </w:r>
    </w:p>
    <w:p>
      <w:pPr>
        <w:spacing w:after="0" w:line="149"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3F3F3F"/>
        </w:rPr>
        <w:t>The Board is committed to a simplified, transparent, highly performance-oriented, and shareholder-aligned executive compensation program. We link performance pay to important metrics that measure profitability, the health of our product pipeline, capital productivity, our ability to cover debt obligations, and relative share performance compared to our peers.</w:t>
      </w:r>
    </w:p>
    <w:p>
      <w:pPr>
        <w:spacing w:after="0" w:line="88"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3F3F3F"/>
        </w:rPr>
        <w:t>Our streamlined compensation program was developed to incentivize achievement of our strategic goals, support the short- and longer-term needs of the Company to meet those goals and help ensure long-term sustainability, meet the competition for executive talent, consider perspectives of shareholders relating to prior compensation programs, and focus on shareholder value creation.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Please see “2023 Performance-Based Compensation Program” on pages 53 to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2945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Building Sustainable Access to Medicine at Scale</w:t>
      </w:r>
    </w:p>
    <w:p>
      <w:pPr>
        <w:spacing w:after="0" w:line="135"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3F3F3F"/>
        </w:rPr>
        <w:t>Access at scale is essential to Viatris’ mission to empower people worldwide to live healthier at every stage of life, and we are proud to report, our medicines serve approximately 1 billion patients globally annually.</w:t>
      </w:r>
      <w:r>
        <w:rPr>
          <w:rFonts w:ascii="Arial" w:cs="Arial" w:eastAsia="Arial" w:hAnsi="Arial"/>
          <w:sz w:val="26"/>
          <w:szCs w:val="26"/>
          <w:color w:val="3F3F3F"/>
          <w:vertAlign w:val="superscript"/>
        </w:rPr>
        <w:t>1</w:t>
      </w:r>
      <w:r>
        <w:rPr>
          <w:rFonts w:ascii="Arial" w:cs="Arial" w:eastAsia="Arial" w:hAnsi="Arial"/>
          <w:sz w:val="18"/>
          <w:szCs w:val="18"/>
          <w:color w:val="3F3F3F"/>
        </w:rPr>
        <w:t xml:space="preserve"> Managing key sustainability matters effectively is a fundamental component of our ability to achieve this impact.</w:t>
      </w:r>
    </w:p>
    <w:p>
      <w:pPr>
        <w:spacing w:after="0" w:line="100"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3F3F3F"/>
        </w:rPr>
        <w:t>As part of working to provide access to medicine throughout the globe, we are committed to advancing responsible and sustainable practices and operations. By partnering with stakeholders around the world, we seek to help to address some of society’s most pressing challenges, recognizing that our actions affect our stakeholders and the communities we serve.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key areas we focus on are:</w:t>
      </w:r>
    </w:p>
    <w:p>
      <w:pPr>
        <w:spacing w:after="0" w:line="117" w:lineRule="exact"/>
        <w:rPr>
          <w:sz w:val="20"/>
          <w:szCs w:val="20"/>
          <w:color w:val="auto"/>
        </w:rPr>
      </w:pPr>
    </w:p>
    <w:p>
      <w:pPr>
        <w:ind w:left="340" w:right="280" w:hanging="224"/>
        <w:spacing w:after="0" w:line="253" w:lineRule="auto"/>
        <w:tabs>
          <w:tab w:leader="none" w:pos="34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 xml:space="preserve">Championing </w:t>
      </w:r>
      <w:r>
        <w:rPr>
          <w:rFonts w:ascii="Arial" w:cs="Arial" w:eastAsia="Arial" w:hAnsi="Arial"/>
          <w:sz w:val="18"/>
          <w:szCs w:val="18"/>
          <w:b w:val="1"/>
          <w:bCs w:val="1"/>
          <w:color w:val="3F3F3F"/>
        </w:rPr>
        <w:t>patients’</w:t>
      </w:r>
      <w:r>
        <w:rPr>
          <w:rFonts w:ascii="Arial" w:cs="Arial" w:eastAsia="Arial" w:hAnsi="Arial"/>
          <w:sz w:val="18"/>
          <w:szCs w:val="18"/>
          <w:color w:val="3F3F3F"/>
        </w:rPr>
        <w:t xml:space="preserve"> access to high-quality medicines and supporting more resilient healthcare systems with our extensive and diverse portfolio of medicines, a one-of-a-kind global supply chain designed to reach more people when and where they experience need, as well as the scientific expertise and deep understanding of markets globally;</w:t>
      </w:r>
    </w:p>
    <w:p>
      <w:pPr>
        <w:spacing w:after="0" w:line="74" w:lineRule="exact"/>
        <w:rPr>
          <w:rFonts w:ascii="Arial" w:cs="Arial" w:eastAsia="Arial" w:hAnsi="Arial"/>
          <w:sz w:val="18"/>
          <w:szCs w:val="18"/>
          <w:color w:val="3F3F3F"/>
        </w:rPr>
      </w:pPr>
    </w:p>
    <w:p>
      <w:pPr>
        <w:ind w:left="340" w:right="120" w:hanging="224"/>
        <w:spacing w:after="0" w:line="281" w:lineRule="auto"/>
        <w:tabs>
          <w:tab w:leader="none" w:pos="34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 xml:space="preserve">Nurturing a safe, positive and productive work environment that fosters diversity and inclusion, integrity, dignity and mutual respect for our </w:t>
      </w:r>
      <w:r>
        <w:rPr>
          <w:rFonts w:ascii="Arial" w:cs="Arial" w:eastAsia="Arial" w:hAnsi="Arial"/>
          <w:sz w:val="18"/>
          <w:szCs w:val="18"/>
          <w:b w:val="1"/>
          <w:bCs w:val="1"/>
          <w:color w:val="3F3F3F"/>
        </w:rPr>
        <w:t>colleagues</w:t>
      </w:r>
      <w:r>
        <w:rPr>
          <w:rFonts w:ascii="Arial" w:cs="Arial" w:eastAsia="Arial" w:hAnsi="Arial"/>
          <w:sz w:val="18"/>
          <w:szCs w:val="18"/>
          <w:color w:val="3F3F3F"/>
        </w:rPr>
        <w:t>;</w:t>
      </w:r>
    </w:p>
    <w:p>
      <w:pPr>
        <w:spacing w:after="0" w:line="41" w:lineRule="exact"/>
        <w:rPr>
          <w:rFonts w:ascii="Arial" w:cs="Arial" w:eastAsia="Arial" w:hAnsi="Arial"/>
          <w:sz w:val="18"/>
          <w:szCs w:val="18"/>
          <w:color w:val="3F3F3F"/>
        </w:rPr>
      </w:pPr>
    </w:p>
    <w:p>
      <w:pPr>
        <w:ind w:left="340" w:right="880" w:hanging="224"/>
        <w:spacing w:after="0" w:line="271" w:lineRule="auto"/>
        <w:tabs>
          <w:tab w:leader="none" w:pos="34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 xml:space="preserve">Upholding </w:t>
      </w:r>
      <w:r>
        <w:rPr>
          <w:rFonts w:ascii="Arial" w:cs="Arial" w:eastAsia="Arial" w:hAnsi="Arial"/>
          <w:sz w:val="18"/>
          <w:szCs w:val="18"/>
          <w:b w:val="1"/>
          <w:bCs w:val="1"/>
          <w:color w:val="3F3F3F"/>
        </w:rPr>
        <w:t>environmental stewardship</w:t>
      </w:r>
      <w:r>
        <w:rPr>
          <w:rFonts w:ascii="Arial" w:cs="Arial" w:eastAsia="Arial" w:hAnsi="Arial"/>
          <w:sz w:val="18"/>
          <w:szCs w:val="18"/>
          <w:color w:val="3F3F3F"/>
        </w:rPr>
        <w:t xml:space="preserve"> by promoting environmentally sustainable operations to minimize our impact on the environment; and</w:t>
      </w:r>
    </w:p>
    <w:p>
      <w:pPr>
        <w:spacing w:after="0" w:line="59" w:lineRule="exact"/>
        <w:rPr>
          <w:rFonts w:ascii="Arial" w:cs="Arial" w:eastAsia="Arial" w:hAnsi="Arial"/>
          <w:sz w:val="18"/>
          <w:szCs w:val="18"/>
          <w:color w:val="3F3F3F"/>
        </w:rPr>
      </w:pPr>
    </w:p>
    <w:p>
      <w:pPr>
        <w:ind w:left="340" w:right="300" w:hanging="224"/>
        <w:spacing w:after="0" w:line="271" w:lineRule="auto"/>
        <w:tabs>
          <w:tab w:leader="none" w:pos="34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 xml:space="preserve">Supporting healthy </w:t>
      </w:r>
      <w:r>
        <w:rPr>
          <w:rFonts w:ascii="Arial" w:cs="Arial" w:eastAsia="Arial" w:hAnsi="Arial"/>
          <w:sz w:val="18"/>
          <w:szCs w:val="18"/>
          <w:b w:val="1"/>
          <w:bCs w:val="1"/>
          <w:color w:val="3F3F3F"/>
        </w:rPr>
        <w:t>communities</w:t>
      </w:r>
      <w:r>
        <w:rPr>
          <w:rFonts w:ascii="Arial" w:cs="Arial" w:eastAsia="Arial" w:hAnsi="Arial"/>
          <w:sz w:val="18"/>
          <w:szCs w:val="18"/>
          <w:color w:val="3F3F3F"/>
        </w:rPr>
        <w:t xml:space="preserve"> through health and disease awareness efforts that help empower patients, create more access to healthcare, and provide education and infrastructure support.</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Approach</w:t>
      </w:r>
    </w:p>
    <w:p>
      <w:pPr>
        <w:spacing w:after="0" w:line="14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We believe that companies can be a force for good and help address some of the world’s most pressing challenges, while being relevant and trusted partners. We believe that our greatest contribution is our holistic approach to building access to medicine at scale and supporting health systems across the world. We recognize that managing key corporate environmental and social matters, including inherent risks and opportunities, are part of good corporate governance, support long-term shareholder value creation and are fundamental to our overall mission.</w:t>
      </w:r>
    </w:p>
    <w:p>
      <w:pPr>
        <w:spacing w:after="0" w:line="95"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color w:val="3F3F3F"/>
        </w:rPr>
        <w:t>Viatris’ Board oversees management’s efforts with respect to sustainability matters, including corporate environmental and social responsibility matters through its Governance and Sustainability Committee. Viatris’ sustainability function operates as a center of excellence within the Viatris Corporate Affairs leadership team. The Head of Global Sustainability drives the strategic and operational development of sustainability matters across the Company, together with key partners.</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The Chief Corporate Affairs Officer reports directly to the CEO and, together with the Head of Global Sustainability, communicates quarterly with the Board on sustainability matters, including corporate environmental and social responsibility matters through the Governance and Sustainability Committee and, on an annual basis, the Governance and Sustainability Committee reviews progress with the Chief Corporate Affairs Officer and Head of Global Sustainability on sustainability matters, including corporate environmental and social responsibility matters that have been discussed with the Board to confirm the Company is tracking its priorities in this area. Additionally, a multifunctional Advisory Committee chaired by the Head of Global Sustainability and comprised of global leaders who meet monthly, monitors the external landscape and the Company’s progress with respect to environmental and social responsibility activities across the organization. Additional internal monthly to quarterly structured forums, addressing areas of focus with regards to CSR and sustainability for specific key functions, complement the Advisory Committee by ensuring input from a broad group of stakeholders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2945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Focus Areas</w:t>
      </w:r>
    </w:p>
    <w:p>
      <w:pPr>
        <w:spacing w:after="0" w:line="135"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3F3F3F"/>
        </w:rPr>
        <w:t>To learn about our sustainability work in depth, we encourage you to read our 2023 Sustainability Report.</w:t>
      </w:r>
      <w:r>
        <w:rPr>
          <w:rFonts w:ascii="Arial" w:cs="Arial" w:eastAsia="Arial" w:hAnsi="Arial"/>
          <w:sz w:val="26"/>
          <w:szCs w:val="26"/>
          <w:color w:val="3F3F3F"/>
          <w:vertAlign w:val="superscript"/>
        </w:rPr>
        <w:t>3</w:t>
      </w:r>
      <w:r>
        <w:rPr>
          <w:rFonts w:ascii="Arial" w:cs="Arial" w:eastAsia="Arial" w:hAnsi="Arial"/>
          <w:sz w:val="18"/>
          <w:szCs w:val="18"/>
          <w:color w:val="3F3F3F"/>
        </w:rPr>
        <w:t xml:space="preserve"> The report sets forth Viatris’ work and efforts to further advance sustainable and responsible operations. It also discusses how we are progressing on our initial companywide sustainability goals in the areas of access and health, DEI, and environment (climate, water, and waste). This includes that our Scope 1, 2 and 3 greenhouse gas (“GHG”) emission reduction targets have been validated and approved by the Science Based Targets initiative (“SBTi”).</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highlights our systematic efforts and progress across key areas: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Access and Global Health</w:t>
      </w:r>
    </w:p>
    <w:p>
      <w:pPr>
        <w:spacing w:after="0" w:line="149" w:lineRule="exact"/>
        <w:rPr>
          <w:sz w:val="20"/>
          <w:szCs w:val="20"/>
          <w:color w:val="auto"/>
        </w:rPr>
      </w:pPr>
    </w:p>
    <w:p>
      <w:pPr>
        <w:ind w:left="560" w:right="60"/>
        <w:spacing w:after="0" w:line="247" w:lineRule="auto"/>
        <w:rPr>
          <w:sz w:val="20"/>
          <w:szCs w:val="20"/>
          <w:color w:val="auto"/>
        </w:rPr>
      </w:pPr>
      <w:r>
        <w:rPr>
          <w:rFonts w:ascii="Arial" w:cs="Arial" w:eastAsia="Arial" w:hAnsi="Arial"/>
          <w:sz w:val="18"/>
          <w:szCs w:val="18"/>
          <w:color w:val="3F3F3F"/>
        </w:rPr>
        <w:t>As noted above, access is fundamental to our mission. It is not an initiative; it is our business model, and it is personal. It begins with our ability to sustainably deliver high-quality medicines to people, regardless of geography or circumstance. We believe we are a company uniquely positioned to bridge the traditional divide between generics and brands, combining the best of both to more holistically address healthcare needs globally.</w:t>
      </w:r>
    </w:p>
    <w:p>
      <w:pPr>
        <w:sectPr>
          <w:pgSz w:w="11900" w:h="16838" w:orient="portrait"/>
          <w:cols w:equalWidth="0" w:num="1">
            <w:col w:w="11140"/>
          </w:cols>
          <w:pgMar w:left="320" w:top="482" w:right="439" w:bottom="1440" w:gutter="0" w:footer="0" w:header="0"/>
        </w:sectPr>
      </w:pPr>
    </w:p>
    <w:p>
      <w:pPr>
        <w:spacing w:after="0" w:line="106" w:lineRule="exact"/>
        <w:rPr>
          <w:sz w:val="20"/>
          <w:szCs w:val="20"/>
          <w:color w:val="auto"/>
        </w:rPr>
      </w:pPr>
    </w:p>
    <w:p>
      <w:pPr>
        <w:ind w:left="480" w:right="500"/>
        <w:spacing w:after="0" w:line="247" w:lineRule="auto"/>
        <w:rPr>
          <w:sz w:val="20"/>
          <w:szCs w:val="20"/>
          <w:color w:val="auto"/>
        </w:rPr>
      </w:pPr>
      <w:r>
        <w:rPr>
          <w:rFonts w:ascii="Arial" w:cs="Arial" w:eastAsia="Arial" w:hAnsi="Arial"/>
          <w:sz w:val="18"/>
          <w:szCs w:val="18"/>
          <w:color w:val="3F3F3F"/>
        </w:rPr>
        <w:t>Our extensive and diverse portfolio helps address acute conditions to chronic diseases across multiple therapeutic areas. We are focused on striving to meet individual needs, whether with a generic medicine, a trusted brand, an improved version of an existing medicine, or a truly novel therapeutic solution.</w:t>
      </w:r>
    </w:p>
    <w:p>
      <w:pPr>
        <w:spacing w:after="0" w:line="120" w:lineRule="exact"/>
        <w:rPr>
          <w:sz w:val="20"/>
          <w:szCs w:val="20"/>
          <w:color w:val="auto"/>
        </w:rPr>
      </w:pPr>
    </w:p>
    <w:p>
      <w:pPr>
        <w:ind w:left="480" w:right="320"/>
        <w:spacing w:after="0" w:line="244" w:lineRule="auto"/>
        <w:rPr>
          <w:sz w:val="20"/>
          <w:szCs w:val="20"/>
          <w:color w:val="auto"/>
        </w:rPr>
      </w:pPr>
      <w:r>
        <w:rPr>
          <w:rFonts w:ascii="Arial" w:cs="Arial" w:eastAsia="Arial" w:hAnsi="Arial"/>
          <w:sz w:val="18"/>
          <w:szCs w:val="18"/>
          <w:color w:val="3F3F3F"/>
        </w:rPr>
        <w:t>We go beyond developing, manufacturing, and distributing high-quality medicines. With the needs of people at the center, we often work to help find solutions that support resilient healthcare systems. We have designed our global operations and supply chain to be a reliable and flexible partner for access across the world, constantly adapting to an ever-evolving landscape.</w:t>
      </w:r>
    </w:p>
    <w:p>
      <w:pPr>
        <w:spacing w:after="0" w:line="122" w:lineRule="exact"/>
        <w:rPr>
          <w:sz w:val="20"/>
          <w:szCs w:val="20"/>
          <w:color w:val="auto"/>
        </w:rPr>
      </w:pPr>
    </w:p>
    <w:p>
      <w:pPr>
        <w:ind w:left="480"/>
        <w:spacing w:after="0" w:line="247" w:lineRule="auto"/>
        <w:rPr>
          <w:sz w:val="20"/>
          <w:szCs w:val="20"/>
          <w:color w:val="auto"/>
        </w:rPr>
      </w:pPr>
      <w:r>
        <w:rPr>
          <w:rFonts w:ascii="Arial" w:cs="Arial" w:eastAsia="Arial" w:hAnsi="Arial"/>
          <w:sz w:val="18"/>
          <w:szCs w:val="18"/>
          <w:color w:val="3F3F3F"/>
        </w:rPr>
        <w:t>We pursue holistic approaches to prevention, diagnosis, treatment, and disease management. We work to build public health awareness, to support and implement research, to deliver access to health education, and to advocate for public policies that advance sustainable access at scale, globally.</w:t>
      </w:r>
    </w:p>
    <w:p>
      <w:pPr>
        <w:spacing w:after="0" w:line="120" w:lineRule="exact"/>
        <w:rPr>
          <w:sz w:val="20"/>
          <w:szCs w:val="20"/>
          <w:color w:val="auto"/>
        </w:rPr>
      </w:pPr>
    </w:p>
    <w:p>
      <w:pPr>
        <w:ind w:left="480" w:right="160"/>
        <w:spacing w:after="0" w:line="256" w:lineRule="auto"/>
        <w:rPr>
          <w:sz w:val="20"/>
          <w:szCs w:val="20"/>
          <w:color w:val="auto"/>
        </w:rPr>
      </w:pPr>
      <w:r>
        <w:rPr>
          <w:rFonts w:ascii="Arial" w:cs="Arial" w:eastAsia="Arial" w:hAnsi="Arial"/>
          <w:sz w:val="17"/>
          <w:szCs w:val="17"/>
          <w:color w:val="3F3F3F"/>
        </w:rPr>
        <w:t>Partnerships and collaborations are critical for meaningful and lasting impact, as are policies and strong healthcare systems that allow for healthy competitive environments. While needs are universal, circumstances are local, and we work with an array of organizations – globally, regionally and locally, public and private – to support sustainable access to medicines at consistent quality standards. We work to connect more people with even more products and services to advance access and health. We know we are stronger together, working collaboratively and relentlessly across our Company and with the broader global community, in pursuit of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3F3F3F"/>
        </w:rPr>
        <w:t>Our Portfolio and Reach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-127635</wp:posOffset>
            </wp:positionV>
            <wp:extent cx="2323465" cy="2280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23465" cy="2280285"/>
                    </a:xfrm>
                    <a:prstGeom prst="rect">
                      <a:avLst/>
                    </a:prstGeom>
                    <a:noFill/>
                  </pic:spPr>
                </pic:pic>
              </a:graphicData>
            </a:graphic>
          </wp:anchor>
        </w:drawing>
      </w:r>
    </w:p>
    <w:p>
      <w:pPr>
        <w:spacing w:after="0" w:line="7" w:lineRule="exact"/>
        <w:rPr>
          <w:sz w:val="20"/>
          <w:szCs w:val="20"/>
          <w:color w:val="auto"/>
        </w:rPr>
      </w:pPr>
    </w:p>
    <w:p>
      <w:pPr>
        <w:ind w:left="180" w:right="280" w:hanging="179"/>
        <w:spacing w:after="0" w:line="217" w:lineRule="auto"/>
        <w:rPr>
          <w:sz w:val="20"/>
          <w:szCs w:val="20"/>
          <w:color w:val="auto"/>
        </w:rPr>
      </w:pPr>
      <w:r>
        <w:rPr>
          <w:rFonts w:ascii="Arial" w:cs="Arial" w:eastAsia="Arial" w:hAnsi="Arial"/>
          <w:sz w:val="18"/>
          <w:szCs w:val="18"/>
          <w:color w:val="3F3F3F"/>
        </w:rPr>
        <w:t>•   Served approximately 1 billion patients globally</w:t>
      </w:r>
      <w:r>
        <w:rPr>
          <w:rFonts w:ascii="Arial" w:cs="Arial" w:eastAsia="Arial" w:hAnsi="Arial"/>
          <w:sz w:val="26"/>
          <w:szCs w:val="26"/>
          <w:color w:val="3F3F3F"/>
          <w:vertAlign w:val="superscript"/>
        </w:rPr>
        <w:t>1</w:t>
      </w:r>
    </w:p>
    <w:p>
      <w:pPr>
        <w:spacing w:after="0" w:line="2" w:lineRule="exact"/>
        <w:rPr>
          <w:sz w:val="20"/>
          <w:szCs w:val="20"/>
          <w:color w:val="auto"/>
        </w:rPr>
      </w:pPr>
    </w:p>
    <w:p>
      <w:pPr>
        <w:ind w:left="180" w:right="380" w:hanging="179"/>
        <w:spacing w:after="0" w:line="234" w:lineRule="auto"/>
        <w:rPr>
          <w:sz w:val="20"/>
          <w:szCs w:val="20"/>
          <w:color w:val="auto"/>
        </w:rPr>
      </w:pPr>
      <w:r>
        <w:rPr>
          <w:rFonts w:ascii="Arial" w:cs="Arial" w:eastAsia="Arial" w:hAnsi="Arial"/>
          <w:sz w:val="18"/>
          <w:szCs w:val="18"/>
          <w:color w:val="3F3F3F"/>
        </w:rPr>
        <w:t>•   Sold &gt; 80 billion doses of medicine across &gt; 165 countries and territories</w:t>
      </w:r>
    </w:p>
    <w:p>
      <w:pPr>
        <w:spacing w:after="0" w:line="1" w:lineRule="exact"/>
        <w:rPr>
          <w:sz w:val="20"/>
          <w:szCs w:val="20"/>
          <w:color w:val="auto"/>
        </w:rPr>
      </w:pPr>
    </w:p>
    <w:p>
      <w:pPr>
        <w:ind w:left="180" w:right="140" w:hanging="179"/>
        <w:spacing w:after="0" w:line="234" w:lineRule="auto"/>
        <w:rPr>
          <w:sz w:val="20"/>
          <w:szCs w:val="20"/>
          <w:color w:val="auto"/>
        </w:rPr>
      </w:pPr>
      <w:r>
        <w:rPr>
          <w:rFonts w:ascii="Arial" w:cs="Arial" w:eastAsia="Arial" w:hAnsi="Arial"/>
          <w:sz w:val="18"/>
          <w:szCs w:val="18"/>
          <w:color w:val="3F3F3F"/>
        </w:rPr>
        <w:t>•   Reached approximately 90% of low- and lower-middle-income countries</w:t>
      </w:r>
    </w:p>
    <w:p>
      <w:pPr>
        <w:spacing w:after="0" w:line="1" w:lineRule="exact"/>
        <w:rPr>
          <w:sz w:val="20"/>
          <w:szCs w:val="20"/>
          <w:color w:val="auto"/>
        </w:rPr>
      </w:pPr>
    </w:p>
    <w:p>
      <w:pPr>
        <w:ind w:left="180" w:right="200" w:hanging="179"/>
        <w:spacing w:after="0" w:line="234" w:lineRule="auto"/>
        <w:rPr>
          <w:sz w:val="20"/>
          <w:szCs w:val="20"/>
          <w:color w:val="auto"/>
        </w:rPr>
      </w:pPr>
      <w:r>
        <w:rPr>
          <w:rFonts w:ascii="Arial" w:cs="Arial" w:eastAsia="Arial" w:hAnsi="Arial"/>
          <w:sz w:val="18"/>
          <w:szCs w:val="18"/>
          <w:color w:val="3F3F3F"/>
        </w:rPr>
        <w:t>•   &gt; 250 products on the WHO EML and &gt; 150 medicines in the WHO EML for Children</w:t>
      </w:r>
    </w:p>
    <w:p>
      <w:pPr>
        <w:spacing w:after="0" w:line="2" w:lineRule="exact"/>
        <w:rPr>
          <w:sz w:val="20"/>
          <w:szCs w:val="20"/>
          <w:color w:val="auto"/>
        </w:rPr>
      </w:pPr>
    </w:p>
    <w:p>
      <w:pPr>
        <w:ind w:left="180" w:right="100" w:hanging="179"/>
        <w:spacing w:after="0" w:line="234" w:lineRule="auto"/>
        <w:rPr>
          <w:sz w:val="20"/>
          <w:szCs w:val="20"/>
          <w:color w:val="auto"/>
        </w:rPr>
      </w:pPr>
      <w:r>
        <w:rPr>
          <w:rFonts w:ascii="Arial" w:cs="Arial" w:eastAsia="Arial" w:hAnsi="Arial"/>
          <w:sz w:val="18"/>
          <w:szCs w:val="18"/>
          <w:color w:val="3F3F3F"/>
        </w:rPr>
        <w:t>•   59 products on the WHO Prequalification of Medicines List</w:t>
      </w:r>
    </w:p>
    <w:p>
      <w:pPr>
        <w:spacing w:after="0" w:line="1" w:lineRule="exact"/>
        <w:rPr>
          <w:sz w:val="20"/>
          <w:szCs w:val="20"/>
          <w:color w:val="auto"/>
        </w:rPr>
      </w:pPr>
    </w:p>
    <w:p>
      <w:pPr>
        <w:ind w:left="180" w:right="80" w:hanging="179"/>
        <w:spacing w:after="0" w:line="242" w:lineRule="auto"/>
        <w:rPr>
          <w:sz w:val="20"/>
          <w:szCs w:val="20"/>
          <w:color w:val="auto"/>
        </w:rPr>
      </w:pPr>
      <w:r>
        <w:rPr>
          <w:rFonts w:ascii="Arial" w:cs="Arial" w:eastAsia="Arial" w:hAnsi="Arial"/>
          <w:sz w:val="18"/>
          <w:szCs w:val="18"/>
          <w:color w:val="3F3F3F"/>
        </w:rPr>
        <w:t>•   Provided products that address the top 10 of the WHO’s leading causes of death globally</w:t>
      </w:r>
    </w:p>
    <w:p>
      <w:pPr>
        <w:spacing w:after="0" w:line="1569" w:lineRule="exact"/>
        <w:rPr>
          <w:sz w:val="20"/>
          <w:szCs w:val="20"/>
          <w:color w:val="auto"/>
        </w:rPr>
      </w:pPr>
    </w:p>
    <w:p>
      <w:pPr>
        <w:sectPr>
          <w:pgSz w:w="11900" w:h="16838" w:orient="portrait"/>
          <w:cols w:equalWidth="0" w:num="2">
            <w:col w:w="7340" w:space="260"/>
            <w:col w:w="3540"/>
          </w:cols>
          <w:pgMar w:left="320" w:top="482" w:right="439" w:bottom="1440" w:gutter="0" w:footer="0" w:header="0"/>
          <w:type w:val="continuous"/>
        </w:sectPr>
      </w:pPr>
    </w:p>
    <w:p>
      <w:pPr>
        <w:ind w:left="340" w:right="100" w:hanging="224"/>
        <w:spacing w:after="0" w:line="217" w:lineRule="auto"/>
        <w:tabs>
          <w:tab w:leader="none" w:pos="340" w:val="left"/>
        </w:tabs>
        <w:numPr>
          <w:ilvl w:val="0"/>
          <w:numId w:val="23"/>
        </w:numPr>
        <w:rPr>
          <w:rFonts w:ascii="Arial" w:cs="Arial" w:eastAsia="Arial" w:hAnsi="Arial"/>
          <w:sz w:val="27"/>
          <w:szCs w:val="27"/>
          <w:color w:val="3F3F3F"/>
          <w:vertAlign w:val="superscript"/>
        </w:rPr>
      </w:pPr>
      <w:r>
        <w:rPr>
          <w:rFonts w:ascii="Arial" w:cs="Arial" w:eastAsia="Arial" w:hAnsi="Arial"/>
          <w:sz w:val="18"/>
          <w:szCs w:val="18"/>
          <w:color w:val="3F3F3F"/>
        </w:rPr>
        <w:t>Please note that our website, 2023 Sustainability Report and their respective contents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02945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Our People</w:t>
      </w:r>
    </w:p>
    <w:p>
      <w:pPr>
        <w:spacing w:after="0" w:line="108" w:lineRule="exact"/>
        <w:rPr>
          <w:sz w:val="20"/>
          <w:szCs w:val="20"/>
          <w:color w:val="auto"/>
        </w:rPr>
      </w:pPr>
    </w:p>
    <w:p>
      <w:pPr>
        <w:ind w:left="560" w:right="480"/>
        <w:spacing w:after="0" w:line="271" w:lineRule="auto"/>
        <w:rPr>
          <w:sz w:val="20"/>
          <w:szCs w:val="20"/>
          <w:color w:val="auto"/>
        </w:rPr>
      </w:pPr>
      <w:r>
        <w:rPr>
          <w:rFonts w:ascii="Arial" w:cs="Arial" w:eastAsia="Arial" w:hAnsi="Arial"/>
          <w:sz w:val="18"/>
          <w:szCs w:val="18"/>
          <w:color w:val="3F3F3F"/>
        </w:rPr>
        <w:t>Behind every Viatris achievement are members of our global workforce, dedicated to advancing our mission by leveraging their unique experiences, skills and abilities.</w:t>
      </w:r>
    </w:p>
    <w:p>
      <w:pPr>
        <w:spacing w:after="0" w:line="46"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3F3F3F"/>
        </w:rPr>
        <w:t>Viatris is committed to providing opportunities for our people to achieve their full potential and collectively advance our shared goal of improving healthcare around the world. We do this through programs for our colleagues’ wellbeing, promoting an inclusive culture, providing competitive total rewards, and fostering career growth and professional development.</w:t>
      </w:r>
    </w:p>
    <w:p>
      <w:pPr>
        <w:spacing w:after="0" w:line="61" w:lineRule="exact"/>
        <w:rPr>
          <w:sz w:val="20"/>
          <w:szCs w:val="20"/>
          <w:color w:val="auto"/>
        </w:rPr>
      </w:pPr>
    </w:p>
    <w:p>
      <w:pPr>
        <w:ind w:left="560" w:right="600"/>
        <w:spacing w:after="0" w:line="253" w:lineRule="auto"/>
        <w:rPr>
          <w:sz w:val="20"/>
          <w:szCs w:val="20"/>
          <w:color w:val="auto"/>
        </w:rPr>
      </w:pPr>
      <w:r>
        <w:rPr>
          <w:rFonts w:ascii="Arial" w:cs="Arial" w:eastAsia="Arial" w:hAnsi="Arial"/>
          <w:sz w:val="18"/>
          <w:szCs w:val="18"/>
          <w:color w:val="3F3F3F"/>
        </w:rPr>
        <w:t>In 2023, Viatris launched Elevate, our wellbeing program for all colleagues. The program helps define our holistic approach to wellbeing, centered around three principles: Health, Purpose and Growth. As part of our Elevate program, we advanced the coverage of our Employees Assistance Programs and related resources to our colleagues globally.</w:t>
      </w:r>
    </w:p>
    <w:p>
      <w:pPr>
        <w:spacing w:after="0" w:line="61" w:lineRule="exact"/>
        <w:rPr>
          <w:sz w:val="20"/>
          <w:szCs w:val="20"/>
          <w:color w:val="auto"/>
        </w:rPr>
      </w:pPr>
    </w:p>
    <w:p>
      <w:pPr>
        <w:ind w:left="560" w:right="80"/>
        <w:spacing w:after="0" w:line="253" w:lineRule="auto"/>
        <w:rPr>
          <w:sz w:val="20"/>
          <w:szCs w:val="20"/>
          <w:color w:val="auto"/>
        </w:rPr>
      </w:pPr>
      <w:r>
        <w:rPr>
          <w:rFonts w:ascii="Arial" w:cs="Arial" w:eastAsia="Arial" w:hAnsi="Arial"/>
          <w:sz w:val="18"/>
          <w:szCs w:val="18"/>
          <w:color w:val="3F3F3F"/>
        </w:rPr>
        <w:t>We believe in fostering a culture where colleagues are enthusiastic about the work they do and feel valued, engaged and motivated. We have continued the work in understanding and evaluating the colleague experience based off our most recent global employee voice survey.</w:t>
      </w:r>
    </w:p>
    <w:p>
      <w:pPr>
        <w:spacing w:after="0" w:line="61" w:lineRule="exact"/>
        <w:rPr>
          <w:sz w:val="20"/>
          <w:szCs w:val="20"/>
          <w:color w:val="auto"/>
        </w:rPr>
      </w:pPr>
    </w:p>
    <w:p>
      <w:pPr>
        <w:jc w:val="both"/>
        <w:ind w:left="560" w:right="20"/>
        <w:spacing w:after="0" w:line="253" w:lineRule="auto"/>
        <w:rPr>
          <w:sz w:val="20"/>
          <w:szCs w:val="20"/>
          <w:color w:val="auto"/>
        </w:rPr>
      </w:pPr>
      <w:r>
        <w:rPr>
          <w:rFonts w:ascii="Arial" w:cs="Arial" w:eastAsia="Arial" w:hAnsi="Arial"/>
          <w:sz w:val="18"/>
          <w:szCs w:val="18"/>
          <w:color w:val="3F3F3F"/>
        </w:rPr>
        <w:t>We have been expanding our professional development opportunities via internal and external resources. In 2023, we partnered with Harvard Business School to offer the first global cohort of the Viatris Executive Leadership Academy and further partnered to deliver the first Viatris Coaching for Managers Program for more than 250 management level colleagues from around the world.</w:t>
      </w:r>
    </w:p>
    <w:p>
      <w:pPr>
        <w:spacing w:after="0" w:line="61" w:lineRule="exact"/>
        <w:rPr>
          <w:sz w:val="20"/>
          <w:szCs w:val="20"/>
          <w:color w:val="auto"/>
        </w:rPr>
      </w:pPr>
    </w:p>
    <w:p>
      <w:pPr>
        <w:ind w:left="560" w:right="200"/>
        <w:spacing w:after="0" w:line="247" w:lineRule="auto"/>
        <w:rPr>
          <w:sz w:val="20"/>
          <w:szCs w:val="20"/>
          <w:color w:val="auto"/>
        </w:rPr>
      </w:pPr>
      <w:r>
        <w:rPr>
          <w:rFonts w:ascii="Arial" w:cs="Arial" w:eastAsia="Arial" w:hAnsi="Arial"/>
          <w:sz w:val="18"/>
          <w:szCs w:val="18"/>
          <w:color w:val="3F3F3F"/>
        </w:rPr>
        <w:t>Diverse perspectives drive innovation and our ability to make a difference. We know that unlocking our full potential means making Viatris a place where all colleagues are and feel welcomed to be their best, authentic selves every day. In 2023, we exceeded our engagement goal on DEI. Through our four active Employee Resource Groups, we bring together colleagues and allies with a shared focus on raising awareness of the unique lived experiences of different communities.</w:t>
      </w:r>
    </w:p>
    <w:p>
      <w:pPr>
        <w:spacing w:after="0" w:line="66" w:lineRule="exact"/>
        <w:rPr>
          <w:sz w:val="20"/>
          <w:szCs w:val="20"/>
          <w:color w:val="auto"/>
        </w:rPr>
      </w:pPr>
    </w:p>
    <w:p>
      <w:pPr>
        <w:jc w:val="both"/>
        <w:ind w:left="560" w:right="360"/>
        <w:spacing w:after="0" w:line="253" w:lineRule="auto"/>
        <w:rPr>
          <w:sz w:val="20"/>
          <w:szCs w:val="20"/>
          <w:color w:val="auto"/>
        </w:rPr>
      </w:pPr>
      <w:r>
        <w:rPr>
          <w:rFonts w:ascii="Arial" w:cs="Arial" w:eastAsia="Arial" w:hAnsi="Arial"/>
          <w:sz w:val="18"/>
          <w:szCs w:val="18"/>
          <w:color w:val="3F3F3F"/>
        </w:rPr>
        <w:t>Protecting the health and safety of our colleagues is essential. We have a global Environmental, Health and Safety Management System, technical requirements, processes and systems that establish our foundation. These elements apply to all locations and guide us in cultivating a culture of health and safety throughout our global workforce.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Environmental Stewardship</w:t>
      </w:r>
    </w:p>
    <w:p>
      <w:pPr>
        <w:spacing w:after="0" w:line="108" w:lineRule="exact"/>
        <w:rPr>
          <w:sz w:val="20"/>
          <w:szCs w:val="20"/>
          <w:color w:val="auto"/>
        </w:rPr>
      </w:pPr>
    </w:p>
    <w:p>
      <w:pPr>
        <w:ind w:left="560" w:right="240"/>
        <w:spacing w:after="0" w:line="275" w:lineRule="auto"/>
        <w:rPr>
          <w:sz w:val="20"/>
          <w:szCs w:val="20"/>
          <w:color w:val="auto"/>
        </w:rPr>
      </w:pPr>
      <w:r>
        <w:rPr>
          <w:rFonts w:ascii="Arial" w:cs="Arial" w:eastAsia="Arial" w:hAnsi="Arial"/>
          <w:sz w:val="17"/>
          <w:szCs w:val="17"/>
          <w:color w:val="3F3F3F"/>
        </w:rPr>
        <w:t>We are committed to minimizing our impact on the environment while working to safeguard a reliable supply of medicine. Our commitment entails systematic and continuous work to identify opportunities to support our goals. We have a global integrated approach to managing our use of water, impact on and from climate change, energy efficiency, waste reduction and air emissions.</w:t>
      </w:r>
    </w:p>
    <w:p>
      <w:pPr>
        <w:spacing w:after="0" w:line="44" w:lineRule="exact"/>
        <w:rPr>
          <w:sz w:val="20"/>
          <w:szCs w:val="20"/>
          <w:color w:val="auto"/>
        </w:rPr>
      </w:pPr>
    </w:p>
    <w:p>
      <w:pPr>
        <w:ind w:left="560" w:right="180"/>
        <w:spacing w:after="0" w:line="247" w:lineRule="auto"/>
        <w:rPr>
          <w:sz w:val="20"/>
          <w:szCs w:val="20"/>
          <w:color w:val="auto"/>
        </w:rPr>
      </w:pPr>
      <w:r>
        <w:rPr>
          <w:rFonts w:ascii="Arial" w:cs="Arial" w:eastAsia="Arial" w:hAnsi="Arial"/>
          <w:sz w:val="18"/>
          <w:szCs w:val="18"/>
          <w:color w:val="3F3F3F"/>
        </w:rPr>
        <w:t>We continue to build readiness and further enhance our practices and are pursuing several environmental initiatives in the areas of efficiency, renewable energy and water and waste management. We have made progress on our goals to reduce GHG emissions, conduct water risk assessments in areas of high or extremely high-water stress and increase the number of sites with zero waste sent to landfill.</w:t>
      </w:r>
    </w:p>
    <w:p>
      <w:pPr>
        <w:spacing w:after="0" w:line="66" w:lineRule="exact"/>
        <w:rPr>
          <w:sz w:val="20"/>
          <w:szCs w:val="20"/>
          <w:color w:val="auto"/>
        </w:rPr>
      </w:pPr>
    </w:p>
    <w:p>
      <w:pPr>
        <w:ind w:left="560"/>
        <w:spacing w:after="0" w:line="271" w:lineRule="auto"/>
        <w:rPr>
          <w:sz w:val="20"/>
          <w:szCs w:val="20"/>
          <w:color w:val="auto"/>
        </w:rPr>
      </w:pPr>
      <w:r>
        <w:rPr>
          <w:rFonts w:ascii="Arial" w:cs="Arial" w:eastAsia="Arial" w:hAnsi="Arial"/>
          <w:sz w:val="18"/>
          <w:szCs w:val="18"/>
          <w:color w:val="3F3F3F"/>
        </w:rPr>
        <w:t>Viatris Scope 1, 2 and 3 GHG reduction targets are validated and approved by SBTi, and the SBTi has classified Viatris’ Scope 1 and 2 target ambition and has determined that it is in line with the 1.5°C trajectory.</w:t>
      </w:r>
    </w:p>
    <w:p>
      <w:pPr>
        <w:spacing w:after="0" w:line="46" w:lineRule="exact"/>
        <w:rPr>
          <w:sz w:val="20"/>
          <w:szCs w:val="20"/>
          <w:color w:val="auto"/>
        </w:rPr>
      </w:pPr>
    </w:p>
    <w:p>
      <w:pPr>
        <w:jc w:val="both"/>
        <w:ind w:left="560" w:right="460"/>
        <w:spacing w:after="0" w:line="253" w:lineRule="auto"/>
        <w:rPr>
          <w:sz w:val="20"/>
          <w:szCs w:val="20"/>
          <w:color w:val="auto"/>
        </w:rPr>
      </w:pPr>
      <w:r>
        <w:rPr>
          <w:rFonts w:ascii="Arial" w:cs="Arial" w:eastAsia="Arial" w:hAnsi="Arial"/>
          <w:sz w:val="18"/>
          <w:szCs w:val="18"/>
          <w:color w:val="3F3F3F"/>
        </w:rPr>
        <w:t>We remain committed to promoting environmentally responsible manufacturing, including through the continued adoption of the Antibiotic Manufacturing Standard in our operations and in the external supply chain. In 2023, our facility in Aurangabad, India, became the first site in India to receive British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60" w:right="940"/>
        <w:spacing w:after="0" w:line="271" w:lineRule="auto"/>
        <w:rPr>
          <w:sz w:val="20"/>
          <w:szCs w:val="20"/>
          <w:color w:val="auto"/>
        </w:rPr>
      </w:pPr>
      <w:r>
        <w:rPr>
          <w:rFonts w:ascii="Arial" w:cs="Arial" w:eastAsia="Arial" w:hAnsi="Arial"/>
          <w:sz w:val="18"/>
          <w:szCs w:val="18"/>
          <w:color w:val="3F3F3F"/>
        </w:rPr>
        <w:t>Institute Certification under the Antibiotic Manufacturing Standard. Furthermore, we are leveraging our membership in the Pharmaceutical Supply Chain Initiative in external supplier sustainability engagement.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Community Engagement</w:t>
      </w:r>
    </w:p>
    <w:p>
      <w:pPr>
        <w:spacing w:after="0" w:line="108" w:lineRule="exact"/>
        <w:rPr>
          <w:sz w:val="20"/>
          <w:szCs w:val="20"/>
          <w:color w:val="auto"/>
        </w:rPr>
      </w:pPr>
    </w:p>
    <w:p>
      <w:pPr>
        <w:ind w:left="560" w:right="100"/>
        <w:spacing w:after="0" w:line="247" w:lineRule="auto"/>
        <w:rPr>
          <w:sz w:val="20"/>
          <w:szCs w:val="20"/>
          <w:color w:val="auto"/>
        </w:rPr>
      </w:pPr>
      <w:r>
        <w:rPr>
          <w:rFonts w:ascii="Arial" w:cs="Arial" w:eastAsia="Arial" w:hAnsi="Arial"/>
          <w:sz w:val="18"/>
          <w:szCs w:val="18"/>
          <w:color w:val="3F3F3F"/>
        </w:rPr>
        <w:t>We seek to foster healthy communities around the world by supporting education, health and disease awareness efforts that, in particular, promote empowering patients and creating access to care. We work via in-kind and monetary donations, volunteering our time and talents and engaging with partners to find solutions. Our work addresses common global themes and leverages our collective capabilities, while addressing unique local needs.</w:t>
      </w:r>
    </w:p>
    <w:p>
      <w:pPr>
        <w:spacing w:after="0" w:line="66" w:lineRule="exact"/>
        <w:rPr>
          <w:sz w:val="20"/>
          <w:szCs w:val="20"/>
          <w:color w:val="auto"/>
        </w:rPr>
      </w:pPr>
    </w:p>
    <w:p>
      <w:pPr>
        <w:ind w:left="560" w:right="60"/>
        <w:spacing w:after="0" w:line="244" w:lineRule="auto"/>
        <w:rPr>
          <w:sz w:val="20"/>
          <w:szCs w:val="20"/>
          <w:color w:val="auto"/>
        </w:rPr>
      </w:pPr>
      <w:r>
        <w:rPr>
          <w:rFonts w:ascii="Arial" w:cs="Arial" w:eastAsia="Arial" w:hAnsi="Arial"/>
          <w:sz w:val="18"/>
          <w:szCs w:val="18"/>
          <w:color w:val="3F3F3F"/>
        </w:rPr>
        <w:t>We rely on our extensive partner network to respond to urgent needs when a crisis strikes. In communities around the world in 2023, Viatris responded to several emergencies that displaced residents and caused suffering, including devastating earthquakes, unprecedented wildfires and armed conflicts. We continued our support to established partners including Direct Relief, World Central Kitchen, the American Red Cross, SBP, Save the Children, Americares and Dispensary for Hope to respond to various needs, including supporting medical relief shipments and access to food and housing.</w:t>
      </w:r>
    </w:p>
    <w:p>
      <w:pPr>
        <w:spacing w:after="0" w:line="68" w:lineRule="exact"/>
        <w:rPr>
          <w:sz w:val="20"/>
          <w:szCs w:val="20"/>
          <w:color w:val="auto"/>
        </w:rPr>
      </w:pPr>
    </w:p>
    <w:p>
      <w:pPr>
        <w:ind w:left="560" w:right="700"/>
        <w:spacing w:after="0" w:line="271" w:lineRule="auto"/>
        <w:rPr>
          <w:sz w:val="20"/>
          <w:szCs w:val="20"/>
          <w:color w:val="auto"/>
        </w:rPr>
      </w:pPr>
      <w:r>
        <w:rPr>
          <w:rFonts w:ascii="Arial" w:cs="Arial" w:eastAsia="Arial" w:hAnsi="Arial"/>
          <w:sz w:val="18"/>
          <w:szCs w:val="18"/>
          <w:color w:val="3F3F3F"/>
        </w:rPr>
        <w:t>Business partnerships, collaboration within and across sectors, memberships, and philanthropic collaborations help us serve patients, healthcare systems and communities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49530</wp:posOffset>
            </wp:positionV>
            <wp:extent cx="2280285" cy="497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02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right="60"/>
        <w:spacing w:after="0" w:line="266" w:lineRule="auto"/>
        <w:rPr>
          <w:sz w:val="20"/>
          <w:szCs w:val="20"/>
          <w:color w:val="auto"/>
        </w:rPr>
      </w:pPr>
      <w:r>
        <w:rPr>
          <w:rFonts w:ascii="Arial" w:cs="Arial" w:eastAsia="Arial" w:hAnsi="Arial"/>
          <w:sz w:val="18"/>
          <w:szCs w:val="18"/>
          <w:color w:val="3F3F3F"/>
        </w:rPr>
        <w:t>Viatris was recently named to TIME’s World’s Most Sustainable Companies 2024 List. This follows inclusion on USA TODAY’s list of America’s Climate Leaders this past May. Other accolades for Viatris include inclusion on 3BL’s 100 Best Corporate Citizens of 2023 Ranking, Newsweek’s America’s Greenest Companies 2024, TIME’s World’s Best Companies 2023 list and Forbes’ list of World’s Best Employers 2023. The Company has also been included on Forbes’ list of World’s Best Employers 2022 and 2021, and has received Great Place to Work</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certifications and Top Employers certifications in multiple countries,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702945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Viatris’ Board of Directors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Overview</w:t>
      </w:r>
    </w:p>
    <w:p>
      <w:pPr>
        <w:spacing w:after="0" w:line="14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3F3F3F"/>
        </w:rPr>
        <w:t>The Board and the Governance and Sustainability Committee believe that each of our Directors possesses the qualifications, experience, judgment, leadership, and business skills necessary to provide robust oversight of the Company in the complex and evolving healthcare environment in which we operate.</w:t>
      </w:r>
    </w:p>
    <w:p>
      <w:pPr>
        <w:spacing w:after="0" w:line="8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3F3F3F"/>
        </w:rPr>
        <w:t>As discussed on pages 31 to 33 and 38 to 39 and as set forth in our Corporate Governance Principles, the Board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To help further these goals, the Board has adopted a Diversity and Inclusion Policy, which is available on our website at https://www.viatris.com/en/About-Us/Corporate-Governance. The policy formalizes the Board’s ongoing commitment to fostering a culture of inclusion and seeking, supporting, valuing and leveraging diversity in the Board’s composition, among other characteristics that the Board believes serve the best interests of the Company and our stakeholders. The Board has three women members, each of whom is nominated for re-election at the 2024 Annual Meeting, including our Chair, and three of our Board committees are chaired by women (Executive; Finance; and Governance and Sustainability). Our current Directors also include one individual that self-identifies as African American or Black, one individual that self-identifies as Hispanic or Latinx, one individual that self-identifies as Asian, and one individual who self-identifies as White and Asian and is also included in the Two or More Races or Ethnicities category (in each case as such terms are defined in NASDAQ’s Board Diversity Matrix Instructions), each of whom is nominated for re-election at the 2024 Annual Meeting. The Board also continuously reviews and assesses its composition through, among other things, its annual board and committee self-evaluation process. For more information about the annual board and committee self-evaluation process, see “Annual Board and Committee Self-Evaluations” on page 33.</w:t>
      </w:r>
    </w:p>
    <w:p>
      <w:pPr>
        <w:spacing w:after="0" w:line="12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3F3F3F"/>
        </w:rPr>
        <w:t>The following chart highlights certain of our Director nominees’ key skills and experience. A summary of the importance of each key skill and experience is also noted. Our Board Diversity Matrix follows this key skills and experience chart. As discussed in “How Our Directors Are Selected and Evaluated” beginning on page 38, our Director nominees’ key skills and experience and diversity are among the factors considered by the Governance and Sustainability Committee in nominating Director candidates. Ten of 12 current Directors and nominees for Director at the 2024 Annual Meeting are independent under the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Key Director Statistics</w:t>
      </w:r>
    </w:p>
    <w:p>
      <w:pPr>
        <w:spacing w:after="0" w:line="262" w:lineRule="exact"/>
        <w:rPr>
          <w:sz w:val="20"/>
          <w:szCs w:val="20"/>
          <w:color w:val="auto"/>
        </w:rPr>
      </w:pPr>
    </w:p>
    <w:tbl>
      <w:tblPr>
        <w:tblLayout w:type="fixed"/>
        <w:tblInd w:w="130" w:type="dxa"/>
        <w:tblCellMar>
          <w:top w:w="0" w:type="dxa"/>
          <w:left w:w="0" w:type="dxa"/>
          <w:bottom w:w="0" w:type="dxa"/>
          <w:right w:w="0" w:type="dxa"/>
        </w:tblCellMar>
      </w:tblPr>
      <w:tr>
        <w:trPr>
          <w:trHeight w:val="27"/>
        </w:trPr>
        <w:tc>
          <w:tcPr>
            <w:tcW w:w="3980" w:type="dxa"/>
            <w:vAlign w:val="bottom"/>
            <w:tcBorders>
              <w:left w:val="single" w:sz="8" w:color="732282"/>
              <w:right w:val="single" w:sz="8" w:color="732282"/>
            </w:tcBorders>
            <w:shd w:val="clear" w:color="auto" w:fill="732282"/>
          </w:tcPr>
          <w:p>
            <w:pPr>
              <w:spacing w:after="0"/>
              <w:rPr>
                <w:sz w:val="2"/>
                <w:szCs w:val="2"/>
                <w:color w:val="auto"/>
              </w:rPr>
            </w:pPr>
          </w:p>
        </w:tc>
        <w:tc>
          <w:tcPr>
            <w:tcW w:w="64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6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4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100" w:type="dxa"/>
            <w:vAlign w:val="bottom"/>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3"/>
        </w:trPr>
        <w:tc>
          <w:tcPr>
            <w:tcW w:w="3980" w:type="dxa"/>
            <w:vAlign w:val="bottom"/>
            <w:tcBorders>
              <w:left w:val="single" w:sz="8" w:color="732282"/>
              <w:right w:val="single" w:sz="8" w:color="732282"/>
            </w:tcBorders>
            <w:shd w:val="clear" w:color="auto" w:fill="732282"/>
          </w:tcPr>
          <w:p>
            <w:pPr>
              <w:spacing w:after="0"/>
              <w:rPr>
                <w:sz w:val="24"/>
                <w:szCs w:val="24"/>
                <w:color w:val="auto"/>
              </w:rPr>
            </w:pPr>
          </w:p>
        </w:tc>
        <w:tc>
          <w:tcPr>
            <w:tcW w:w="64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6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4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100" w:type="dxa"/>
            <w:vAlign w:val="bottom"/>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980" w:type="dxa"/>
            <w:vAlign w:val="bottom"/>
            <w:tcBorders>
              <w:left w:val="single" w:sz="8" w:color="732282"/>
              <w:right w:val="single" w:sz="8" w:color="999999"/>
            </w:tcBorders>
          </w:tcPr>
          <w:p>
            <w:pPr>
              <w:ind w:left="200"/>
              <w:spacing w:after="0" w:line="144" w:lineRule="exact"/>
              <w:rPr>
                <w:sz w:val="20"/>
                <w:szCs w:val="20"/>
                <w:color w:val="auto"/>
              </w:rPr>
            </w:pPr>
            <w:r>
              <w:rPr>
                <w:rFonts w:ascii="Arial" w:cs="Arial" w:eastAsia="Arial" w:hAnsi="Arial"/>
                <w:sz w:val="14"/>
                <w:szCs w:val="14"/>
                <w:b w:val="1"/>
                <w:bCs w:val="1"/>
                <w:color w:val="231161"/>
              </w:rPr>
              <w:t>CEO and Public Company Management Experience</w:t>
            </w:r>
          </w:p>
        </w:tc>
        <w:tc>
          <w:tcPr>
            <w:tcW w:w="6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who have experience in management at public</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companies provide valuable expertise on managing interests held</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among diverse stakeholders, including, among others, employees,</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patients and shareholders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80" w:type="dxa"/>
            <w:vAlign w:val="bottom"/>
            <w:tcBorders>
              <w:left w:val="single" w:sz="8" w:color="732282"/>
              <w:right w:val="single" w:sz="8" w:color="999999"/>
            </w:tcBorders>
          </w:tcPr>
          <w:p>
            <w:pPr>
              <w:ind w:left="200"/>
              <w:spacing w:after="0" w:line="147" w:lineRule="exact"/>
              <w:rPr>
                <w:sz w:val="20"/>
                <w:szCs w:val="20"/>
                <w:color w:val="auto"/>
              </w:rPr>
            </w:pPr>
            <w:r>
              <w:rPr>
                <w:rFonts w:ascii="Arial" w:cs="Arial" w:eastAsia="Arial" w:hAnsi="Arial"/>
                <w:sz w:val="14"/>
                <w:szCs w:val="14"/>
                <w:b w:val="1"/>
                <w:bCs w:val="1"/>
                <w:color w:val="231161"/>
              </w:rPr>
              <w:t>Corporate Governance/Corporate Social</w:t>
            </w:r>
          </w:p>
        </w:tc>
        <w:tc>
          <w:tcPr>
            <w:tcW w:w="6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80" w:type="dxa"/>
            <w:vAlign w:val="bottom"/>
            <w:tcBorders>
              <w:left w:val="single" w:sz="8" w:color="732282"/>
              <w:right w:val="single" w:sz="8" w:color="999999"/>
            </w:tcBorders>
          </w:tcPr>
          <w:p>
            <w:pPr>
              <w:ind w:left="200"/>
              <w:spacing w:after="0" w:line="153" w:lineRule="exact"/>
              <w:rPr>
                <w:sz w:val="20"/>
                <w:szCs w:val="20"/>
                <w:color w:val="auto"/>
              </w:rPr>
            </w:pPr>
            <w:r>
              <w:rPr>
                <w:rFonts w:ascii="Arial" w:cs="Arial" w:eastAsia="Arial" w:hAnsi="Arial"/>
                <w:sz w:val="14"/>
                <w:szCs w:val="14"/>
                <w:b w:val="1"/>
                <w:bCs w:val="1"/>
                <w:color w:val="231161"/>
              </w:rPr>
              <w:t>Responsibility (CSR) Experience</w:t>
            </w:r>
          </w:p>
        </w:tc>
        <w:tc>
          <w:tcPr>
            <w:tcW w:w="640" w:type="dxa"/>
            <w:vAlign w:val="bottom"/>
            <w:tcBorders>
              <w:right w:val="single" w:sz="8" w:color="999999"/>
            </w:tcBorders>
          </w:tcPr>
          <w:p>
            <w:pPr>
              <w:spacing w:after="0"/>
              <w:rPr>
                <w:sz w:val="13"/>
                <w:szCs w:val="13"/>
                <w:color w:val="auto"/>
              </w:rPr>
            </w:pPr>
          </w:p>
        </w:tc>
        <w:tc>
          <w:tcPr>
            <w:tcW w:w="540" w:type="dxa"/>
            <w:vAlign w:val="bottom"/>
            <w:tcBorders>
              <w:right w:val="single" w:sz="8" w:color="999999"/>
            </w:tcBorders>
          </w:tcPr>
          <w:p>
            <w:pPr>
              <w:spacing w:after="0"/>
              <w:rPr>
                <w:sz w:val="13"/>
                <w:szCs w:val="13"/>
                <w:color w:val="auto"/>
              </w:rPr>
            </w:pPr>
          </w:p>
        </w:tc>
        <w:tc>
          <w:tcPr>
            <w:tcW w:w="560" w:type="dxa"/>
            <w:vAlign w:val="bottom"/>
            <w:tcBorders>
              <w:right w:val="single" w:sz="8" w:color="999999"/>
            </w:tcBorders>
          </w:tcPr>
          <w:p>
            <w:pPr>
              <w:spacing w:after="0"/>
              <w:rPr>
                <w:sz w:val="13"/>
                <w:szCs w:val="13"/>
                <w:color w:val="auto"/>
              </w:rPr>
            </w:pPr>
          </w:p>
        </w:tc>
        <w:tc>
          <w:tcPr>
            <w:tcW w:w="660" w:type="dxa"/>
            <w:vAlign w:val="bottom"/>
            <w:tcBorders>
              <w:right w:val="single" w:sz="8" w:color="999999"/>
            </w:tcBorders>
          </w:tcPr>
          <w:p>
            <w:pPr>
              <w:spacing w:after="0"/>
              <w:rPr>
                <w:sz w:val="13"/>
                <w:szCs w:val="13"/>
                <w:color w:val="auto"/>
              </w:rPr>
            </w:pPr>
          </w:p>
        </w:tc>
        <w:tc>
          <w:tcPr>
            <w:tcW w:w="540" w:type="dxa"/>
            <w:vAlign w:val="bottom"/>
            <w:tcBorders>
              <w:right w:val="single" w:sz="8" w:color="999999"/>
            </w:tcBorders>
          </w:tcPr>
          <w:p>
            <w:pPr>
              <w:spacing w:after="0"/>
              <w:rPr>
                <w:sz w:val="13"/>
                <w:szCs w:val="13"/>
                <w:color w:val="auto"/>
              </w:rPr>
            </w:pPr>
          </w:p>
        </w:tc>
        <w:tc>
          <w:tcPr>
            <w:tcW w:w="460" w:type="dxa"/>
            <w:vAlign w:val="bottom"/>
            <w:tcBorders>
              <w:right w:val="single" w:sz="8" w:color="999999"/>
            </w:tcBorders>
          </w:tcPr>
          <w:p>
            <w:pPr>
              <w:spacing w:after="0"/>
              <w:rPr>
                <w:sz w:val="13"/>
                <w:szCs w:val="13"/>
                <w:color w:val="auto"/>
              </w:rPr>
            </w:pPr>
          </w:p>
        </w:tc>
        <w:tc>
          <w:tcPr>
            <w:tcW w:w="540" w:type="dxa"/>
            <w:vAlign w:val="bottom"/>
            <w:tcBorders>
              <w:right w:val="single" w:sz="8" w:color="999999"/>
            </w:tcBorders>
          </w:tcPr>
          <w:p>
            <w:pPr>
              <w:spacing w:after="0"/>
              <w:rPr>
                <w:sz w:val="13"/>
                <w:szCs w:val="13"/>
                <w:color w:val="auto"/>
              </w:rPr>
            </w:pPr>
          </w:p>
        </w:tc>
        <w:tc>
          <w:tcPr>
            <w:tcW w:w="460" w:type="dxa"/>
            <w:vAlign w:val="bottom"/>
            <w:tcBorders>
              <w:right w:val="single" w:sz="8" w:color="999999"/>
            </w:tcBorders>
          </w:tcPr>
          <w:p>
            <w:pPr>
              <w:spacing w:after="0"/>
              <w:rPr>
                <w:sz w:val="13"/>
                <w:szCs w:val="13"/>
                <w:color w:val="auto"/>
              </w:rPr>
            </w:pPr>
          </w:p>
        </w:tc>
        <w:tc>
          <w:tcPr>
            <w:tcW w:w="440" w:type="dxa"/>
            <w:vAlign w:val="bottom"/>
            <w:tcBorders>
              <w:right w:val="single" w:sz="8" w:color="999999"/>
            </w:tcBorders>
          </w:tcPr>
          <w:p>
            <w:pPr>
              <w:spacing w:after="0"/>
              <w:rPr>
                <w:sz w:val="13"/>
                <w:szCs w:val="13"/>
                <w:color w:val="auto"/>
              </w:rPr>
            </w:pPr>
          </w:p>
        </w:tc>
        <w:tc>
          <w:tcPr>
            <w:tcW w:w="560" w:type="dxa"/>
            <w:vAlign w:val="bottom"/>
            <w:tcBorders>
              <w:right w:val="single" w:sz="8" w:color="999999"/>
            </w:tcBorders>
          </w:tcPr>
          <w:p>
            <w:pPr>
              <w:spacing w:after="0"/>
              <w:rPr>
                <w:sz w:val="13"/>
                <w:szCs w:val="13"/>
                <w:color w:val="auto"/>
              </w:rPr>
            </w:pPr>
          </w:p>
        </w:tc>
        <w:tc>
          <w:tcPr>
            <w:tcW w:w="540" w:type="dxa"/>
            <w:vAlign w:val="bottom"/>
            <w:tcBorders>
              <w:right w:val="single" w:sz="8" w:color="999999"/>
            </w:tcBorders>
          </w:tcPr>
          <w:p>
            <w:pPr>
              <w:spacing w:after="0"/>
              <w:rPr>
                <w:sz w:val="13"/>
                <w:szCs w:val="13"/>
                <w:color w:val="auto"/>
              </w:rPr>
            </w:pPr>
          </w:p>
        </w:tc>
        <w:tc>
          <w:tcPr>
            <w:tcW w:w="560" w:type="dxa"/>
            <w:vAlign w:val="bottom"/>
            <w:tcBorders>
              <w:right w:val="single" w:sz="8" w:color="999999"/>
            </w:tcBorders>
          </w:tcPr>
          <w:p>
            <w:pPr>
              <w:spacing w:after="0"/>
              <w:rPr>
                <w:sz w:val="13"/>
                <w:szCs w:val="13"/>
                <w:color w:val="auto"/>
              </w:rPr>
            </w:pPr>
          </w:p>
        </w:tc>
        <w:tc>
          <w:tcPr>
            <w:tcW w:w="100" w:type="dxa"/>
            <w:vAlign w:val="bottom"/>
            <w:shd w:val="clear" w:color="auto" w:fill="EADDEC"/>
          </w:tcPr>
          <w:p>
            <w:pPr>
              <w:spacing w:after="0"/>
              <w:rPr>
                <w:sz w:val="13"/>
                <w:szCs w:val="13"/>
                <w:color w:val="auto"/>
              </w:rPr>
            </w:pPr>
          </w:p>
        </w:tc>
        <w:tc>
          <w:tcPr>
            <w:tcW w:w="460" w:type="dxa"/>
            <w:vAlign w:val="bottom"/>
            <w:tcBorders>
              <w:right w:val="single" w:sz="8" w:color="732282"/>
            </w:tcBorders>
            <w:shd w:val="clear" w:color="auto" w:fill="EADDE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Directors with Corporate Governance/CSR experience are skilled</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in the successful operation of board oversight, cognizant of the</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impact that governance policies have on a public company and/or</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familiar with oversight of matters related to emerging social and</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environmental issues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Finance, Accounting and Capital Markets Experience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a strong understanding of finance and accounting</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are essential for the Board to oversee our global financial</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reporting, internal controls, and capital structure, among other</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matters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Global Business Experience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Viatris has operations and facilities around the world and, as such,</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980" w:type="dxa"/>
            <w:vAlign w:val="bottom"/>
            <w:tcBorders>
              <w:left w:val="single" w:sz="8" w:color="732282"/>
              <w:right w:val="single" w:sz="8" w:color="999999"/>
            </w:tcBorders>
          </w:tcPr>
          <w:p>
            <w:pPr>
              <w:ind w:left="200"/>
              <w:spacing w:after="0"/>
              <w:rPr>
                <w:sz w:val="20"/>
                <w:szCs w:val="20"/>
                <w:color w:val="auto"/>
              </w:rPr>
            </w:pPr>
            <w:r>
              <w:rPr>
                <w:rFonts w:ascii="Arial" w:cs="Arial" w:eastAsia="Arial" w:hAnsi="Arial"/>
                <w:sz w:val="13"/>
                <w:szCs w:val="13"/>
                <w:color w:val="3F3F3F"/>
              </w:rPr>
              <w:t>benefits from Directors who have experience working for</w:t>
            </w:r>
          </w:p>
        </w:tc>
        <w:tc>
          <w:tcPr>
            <w:tcW w:w="640" w:type="dxa"/>
            <w:vAlign w:val="bottom"/>
            <w:tcBorders>
              <w:right w:val="single" w:sz="8" w:color="999999"/>
            </w:tcBorders>
          </w:tcPr>
          <w:p>
            <w:pPr>
              <w:ind w:left="30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ind w:left="24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tcPr>
          <w:p>
            <w:pPr>
              <w:ind w:left="26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tcPr>
          <w:p>
            <w:pPr>
              <w:ind w:left="32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ind w:left="26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tcPr>
          <w:p>
            <w:pPr>
              <w:ind w:left="22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ind w:left="26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tcPr>
          <w:p>
            <w:pPr>
              <w:ind w:left="22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tcPr>
          <w:p>
            <w:pPr>
              <w:ind w:left="20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tcPr>
          <w:p>
            <w:pPr>
              <w:ind w:left="26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ind w:left="26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tcPr>
          <w:p>
            <w:pPr>
              <w:ind w:left="260"/>
              <w:spacing w:after="0" w:line="194" w:lineRule="exact"/>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6"/>
                <w:szCs w:val="16"/>
                <w:color w:val="auto"/>
              </w:rPr>
            </w:pPr>
          </w:p>
        </w:tc>
        <w:tc>
          <w:tcPr>
            <w:tcW w:w="460" w:type="dxa"/>
            <w:vAlign w:val="bottom"/>
            <w:tcBorders>
              <w:right w:val="single" w:sz="8" w:color="732282"/>
            </w:tcBorders>
            <w:shd w:val="clear" w:color="auto" w:fill="EADDEC"/>
          </w:tcPr>
          <w:p>
            <w:pPr>
              <w:jc w:val="center"/>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77"/>
        </w:trPr>
        <w:tc>
          <w:tcPr>
            <w:tcW w:w="3980" w:type="dxa"/>
            <w:vAlign w:val="bottom"/>
            <w:tcBorders>
              <w:left w:val="single" w:sz="8" w:color="732282"/>
              <w:right w:val="single" w:sz="8" w:color="999999"/>
            </w:tcBorders>
          </w:tcPr>
          <w:p>
            <w:pPr>
              <w:ind w:left="200"/>
              <w:spacing w:after="0" w:line="77" w:lineRule="exact"/>
              <w:rPr>
                <w:sz w:val="20"/>
                <w:szCs w:val="20"/>
                <w:color w:val="auto"/>
              </w:rPr>
            </w:pPr>
            <w:r>
              <w:rPr>
                <w:rFonts w:ascii="Arial" w:cs="Arial" w:eastAsia="Arial" w:hAnsi="Arial"/>
                <w:sz w:val="8"/>
                <w:szCs w:val="8"/>
                <w:color w:val="3F3F3F"/>
              </w:rPr>
              <w:t>companies with multinational reach and who provide insight on</w:t>
            </w:r>
          </w:p>
        </w:tc>
        <w:tc>
          <w:tcPr>
            <w:tcW w:w="640" w:type="dxa"/>
            <w:vAlign w:val="bottom"/>
            <w:tcBorders>
              <w:right w:val="single" w:sz="8" w:color="999999"/>
            </w:tcBorders>
          </w:tcPr>
          <w:p>
            <w:pPr>
              <w:spacing w:after="0"/>
              <w:rPr>
                <w:sz w:val="6"/>
                <w:szCs w:val="6"/>
                <w:color w:val="auto"/>
              </w:rPr>
            </w:pPr>
          </w:p>
        </w:tc>
        <w:tc>
          <w:tcPr>
            <w:tcW w:w="540" w:type="dxa"/>
            <w:vAlign w:val="bottom"/>
            <w:tcBorders>
              <w:right w:val="single" w:sz="8" w:color="999999"/>
            </w:tcBorders>
          </w:tcPr>
          <w:p>
            <w:pPr>
              <w:spacing w:after="0"/>
              <w:rPr>
                <w:sz w:val="6"/>
                <w:szCs w:val="6"/>
                <w:color w:val="auto"/>
              </w:rPr>
            </w:pPr>
          </w:p>
        </w:tc>
        <w:tc>
          <w:tcPr>
            <w:tcW w:w="560" w:type="dxa"/>
            <w:vAlign w:val="bottom"/>
            <w:tcBorders>
              <w:right w:val="single" w:sz="8" w:color="999999"/>
            </w:tcBorders>
          </w:tcPr>
          <w:p>
            <w:pPr>
              <w:spacing w:after="0"/>
              <w:rPr>
                <w:sz w:val="6"/>
                <w:szCs w:val="6"/>
                <w:color w:val="auto"/>
              </w:rPr>
            </w:pPr>
          </w:p>
        </w:tc>
        <w:tc>
          <w:tcPr>
            <w:tcW w:w="660" w:type="dxa"/>
            <w:vAlign w:val="bottom"/>
            <w:tcBorders>
              <w:right w:val="single" w:sz="8" w:color="999999"/>
            </w:tcBorders>
          </w:tcPr>
          <w:p>
            <w:pPr>
              <w:spacing w:after="0"/>
              <w:rPr>
                <w:sz w:val="6"/>
                <w:szCs w:val="6"/>
                <w:color w:val="auto"/>
              </w:rPr>
            </w:pPr>
          </w:p>
        </w:tc>
        <w:tc>
          <w:tcPr>
            <w:tcW w:w="540" w:type="dxa"/>
            <w:vAlign w:val="bottom"/>
            <w:tcBorders>
              <w:right w:val="single" w:sz="8" w:color="999999"/>
            </w:tcBorders>
          </w:tcPr>
          <w:p>
            <w:pPr>
              <w:spacing w:after="0"/>
              <w:rPr>
                <w:sz w:val="6"/>
                <w:szCs w:val="6"/>
                <w:color w:val="auto"/>
              </w:rPr>
            </w:pPr>
          </w:p>
        </w:tc>
        <w:tc>
          <w:tcPr>
            <w:tcW w:w="460" w:type="dxa"/>
            <w:vAlign w:val="bottom"/>
            <w:tcBorders>
              <w:right w:val="single" w:sz="8" w:color="999999"/>
            </w:tcBorders>
          </w:tcPr>
          <w:p>
            <w:pPr>
              <w:spacing w:after="0"/>
              <w:rPr>
                <w:sz w:val="6"/>
                <w:szCs w:val="6"/>
                <w:color w:val="auto"/>
              </w:rPr>
            </w:pPr>
          </w:p>
        </w:tc>
        <w:tc>
          <w:tcPr>
            <w:tcW w:w="540" w:type="dxa"/>
            <w:vAlign w:val="bottom"/>
            <w:tcBorders>
              <w:right w:val="single" w:sz="8" w:color="999999"/>
            </w:tcBorders>
          </w:tcPr>
          <w:p>
            <w:pPr>
              <w:spacing w:after="0"/>
              <w:rPr>
                <w:sz w:val="6"/>
                <w:szCs w:val="6"/>
                <w:color w:val="auto"/>
              </w:rPr>
            </w:pPr>
          </w:p>
        </w:tc>
        <w:tc>
          <w:tcPr>
            <w:tcW w:w="460" w:type="dxa"/>
            <w:vAlign w:val="bottom"/>
            <w:tcBorders>
              <w:right w:val="single" w:sz="8" w:color="999999"/>
            </w:tcBorders>
          </w:tcPr>
          <w:p>
            <w:pPr>
              <w:spacing w:after="0"/>
              <w:rPr>
                <w:sz w:val="6"/>
                <w:szCs w:val="6"/>
                <w:color w:val="auto"/>
              </w:rPr>
            </w:pPr>
          </w:p>
        </w:tc>
        <w:tc>
          <w:tcPr>
            <w:tcW w:w="440" w:type="dxa"/>
            <w:vAlign w:val="bottom"/>
            <w:tcBorders>
              <w:right w:val="single" w:sz="8" w:color="999999"/>
            </w:tcBorders>
          </w:tcPr>
          <w:p>
            <w:pPr>
              <w:spacing w:after="0"/>
              <w:rPr>
                <w:sz w:val="6"/>
                <w:szCs w:val="6"/>
                <w:color w:val="auto"/>
              </w:rPr>
            </w:pPr>
          </w:p>
        </w:tc>
        <w:tc>
          <w:tcPr>
            <w:tcW w:w="560" w:type="dxa"/>
            <w:vAlign w:val="bottom"/>
            <w:tcBorders>
              <w:right w:val="single" w:sz="8" w:color="999999"/>
            </w:tcBorders>
          </w:tcPr>
          <w:p>
            <w:pPr>
              <w:spacing w:after="0"/>
              <w:rPr>
                <w:sz w:val="6"/>
                <w:szCs w:val="6"/>
                <w:color w:val="auto"/>
              </w:rPr>
            </w:pPr>
          </w:p>
        </w:tc>
        <w:tc>
          <w:tcPr>
            <w:tcW w:w="540" w:type="dxa"/>
            <w:vAlign w:val="bottom"/>
            <w:tcBorders>
              <w:right w:val="single" w:sz="8" w:color="999999"/>
            </w:tcBorders>
          </w:tcPr>
          <w:p>
            <w:pPr>
              <w:spacing w:after="0"/>
              <w:rPr>
                <w:sz w:val="6"/>
                <w:szCs w:val="6"/>
                <w:color w:val="auto"/>
              </w:rPr>
            </w:pPr>
          </w:p>
        </w:tc>
        <w:tc>
          <w:tcPr>
            <w:tcW w:w="560" w:type="dxa"/>
            <w:vAlign w:val="bottom"/>
            <w:tcBorders>
              <w:right w:val="single" w:sz="8" w:color="999999"/>
            </w:tcBorders>
          </w:tcPr>
          <w:p>
            <w:pPr>
              <w:spacing w:after="0"/>
              <w:rPr>
                <w:sz w:val="6"/>
                <w:szCs w:val="6"/>
                <w:color w:val="auto"/>
              </w:rPr>
            </w:pPr>
          </w:p>
        </w:tc>
        <w:tc>
          <w:tcPr>
            <w:tcW w:w="100" w:type="dxa"/>
            <w:vAlign w:val="bottom"/>
            <w:shd w:val="clear" w:color="auto" w:fill="EADDEC"/>
          </w:tcPr>
          <w:p>
            <w:pPr>
              <w:spacing w:after="0"/>
              <w:rPr>
                <w:sz w:val="6"/>
                <w:szCs w:val="6"/>
                <w:color w:val="auto"/>
              </w:rPr>
            </w:pPr>
          </w:p>
        </w:tc>
        <w:tc>
          <w:tcPr>
            <w:tcW w:w="460" w:type="dxa"/>
            <w:vAlign w:val="bottom"/>
            <w:tcBorders>
              <w:right w:val="single" w:sz="8" w:color="732282"/>
            </w:tcBorders>
            <w:shd w:val="clear" w:color="auto" w:fill="EADDE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unique opportunities, challenges, and requirements associated</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with working across international markets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Healthcare Industry Experience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experience in the healthcare industry provide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valuable perspectives to our Board and management team</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regarding a broad range of issues and opportunities facing the</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Company, including industry conditions, product research and</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development, supply chain, customers, sustainable access to</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medicine, product quality and patient safety, and marketing</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Human Capital Management Experience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Attracting, developing and retaining talent globally are crucial to all</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aspects of the Company’s business, success, and strategy. We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continue to build an inclusive and diverse culture that inspires</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leadership and accountability and encourages innovation.</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7"/>
              </w:rPr>
              <w:t>Directors with experience in succession planning, executive and/or</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 compensation, company culture and/or employee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engagement (among other relevant areas) help to ensure that the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Company’s culture reflects our mission and values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Information Security Experience</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Experience in information security, data privacy, cybersecurity, or</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use of technology to facilitate business operations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Legal and Regulatory Oversight Experience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We operate in an industry that is closely scrutinized and highly</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vMerge w:val="restart"/>
          </w:tcPr>
          <w:p>
            <w:pPr>
              <w:ind w:left="3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regulated. Directors who have experience navigating challenges</w:t>
            </w:r>
          </w:p>
        </w:tc>
        <w:tc>
          <w:tcPr>
            <w:tcW w:w="6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associated with this environment provide valuable insight to our</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Board and management team</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Risk Oversight/Compliance Experience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7"/>
              </w:rPr>
              <w:t>Pharmaceutical companies face a variety of complex opportunities,</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980" w:type="dxa"/>
            <w:vAlign w:val="bottom"/>
            <w:tcBorders>
              <w:left w:val="single" w:sz="8" w:color="732282"/>
              <w:right w:val="single" w:sz="8" w:color="999999"/>
            </w:tcBorders>
          </w:tcPr>
          <w:p>
            <w:pPr>
              <w:ind w:left="200"/>
              <w:spacing w:after="0" w:line="147" w:lineRule="exact"/>
              <w:rPr>
                <w:sz w:val="20"/>
                <w:szCs w:val="20"/>
                <w:color w:val="auto"/>
              </w:rPr>
            </w:pPr>
            <w:r>
              <w:rPr>
                <w:rFonts w:ascii="Arial" w:cs="Arial" w:eastAsia="Arial" w:hAnsi="Arial"/>
                <w:sz w:val="13"/>
                <w:szCs w:val="13"/>
                <w:color w:val="3F3F3F"/>
              </w:rPr>
              <w:t>risks and compliance challenges. Directors who have experience</w:t>
            </w:r>
          </w:p>
        </w:tc>
        <w:tc>
          <w:tcPr>
            <w:tcW w:w="6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560" w:type="dxa"/>
            <w:vAlign w:val="bottom"/>
            <w:tcBorders>
              <w:right w:val="single" w:sz="8" w:color="999999"/>
            </w:tcBorders>
            <w:vMerge w:val="continue"/>
          </w:tcPr>
          <w:p>
            <w:pPr>
              <w:spacing w:after="0"/>
              <w:rPr>
                <w:sz w:val="12"/>
                <w:szCs w:val="12"/>
                <w:color w:val="auto"/>
              </w:rPr>
            </w:pPr>
          </w:p>
        </w:tc>
        <w:tc>
          <w:tcPr>
            <w:tcW w:w="660" w:type="dxa"/>
            <w:vAlign w:val="bottom"/>
            <w:tcBorders>
              <w:right w:val="single" w:sz="8" w:color="999999"/>
            </w:tcBorders>
            <w:vMerge w:val="continue"/>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460" w:type="dxa"/>
            <w:vAlign w:val="bottom"/>
            <w:tcBorders>
              <w:right w:val="single" w:sz="8" w:color="999999"/>
            </w:tcBorders>
            <w:vMerge w:val="continue"/>
          </w:tcPr>
          <w:p>
            <w:pPr>
              <w:spacing w:after="0"/>
              <w:rPr>
                <w:sz w:val="12"/>
                <w:szCs w:val="12"/>
                <w:color w:val="auto"/>
              </w:rPr>
            </w:pPr>
          </w:p>
        </w:tc>
        <w:tc>
          <w:tcPr>
            <w:tcW w:w="440" w:type="dxa"/>
            <w:vAlign w:val="bottom"/>
            <w:tcBorders>
              <w:right w:val="single" w:sz="8" w:color="999999"/>
            </w:tcBorders>
            <w:vMerge w:val="continue"/>
          </w:tcPr>
          <w:p>
            <w:pPr>
              <w:spacing w:after="0"/>
              <w:rPr>
                <w:sz w:val="12"/>
                <w:szCs w:val="12"/>
                <w:color w:val="auto"/>
              </w:rPr>
            </w:pPr>
          </w:p>
        </w:tc>
        <w:tc>
          <w:tcPr>
            <w:tcW w:w="560" w:type="dxa"/>
            <w:vAlign w:val="bottom"/>
            <w:tcBorders>
              <w:right w:val="single" w:sz="8" w:color="999999"/>
            </w:tcBorders>
            <w:vMerge w:val="continue"/>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560" w:type="dxa"/>
            <w:vAlign w:val="bottom"/>
            <w:tcBorders>
              <w:right w:val="single" w:sz="8" w:color="999999"/>
            </w:tcBorders>
            <w:vMerge w:val="continue"/>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jc w:val="center"/>
              <w:spacing w:after="0" w:line="147"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23"/>
        </w:trPr>
        <w:tc>
          <w:tcPr>
            <w:tcW w:w="3980" w:type="dxa"/>
            <w:vAlign w:val="bottom"/>
            <w:tcBorders>
              <w:left w:val="single" w:sz="8" w:color="732282"/>
              <w:right w:val="single" w:sz="8" w:color="999999"/>
            </w:tcBorders>
          </w:tcPr>
          <w:p>
            <w:pPr>
              <w:ind w:left="200"/>
              <w:spacing w:after="0" w:line="123" w:lineRule="exact"/>
              <w:rPr>
                <w:sz w:val="20"/>
                <w:szCs w:val="20"/>
                <w:color w:val="auto"/>
              </w:rPr>
            </w:pPr>
            <w:r>
              <w:rPr>
                <w:rFonts w:ascii="Arial" w:cs="Arial" w:eastAsia="Arial" w:hAnsi="Arial"/>
                <w:sz w:val="13"/>
                <w:szCs w:val="13"/>
                <w:color w:val="3F3F3F"/>
              </w:rPr>
              <w:t>monitoring and creating plans to address risk provide important</w:t>
            </w:r>
          </w:p>
        </w:tc>
        <w:tc>
          <w:tcPr>
            <w:tcW w:w="64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560" w:type="dxa"/>
            <w:vAlign w:val="bottom"/>
            <w:tcBorders>
              <w:right w:val="single" w:sz="8" w:color="999999"/>
            </w:tcBorders>
          </w:tcPr>
          <w:p>
            <w:pPr>
              <w:spacing w:after="0"/>
              <w:rPr>
                <w:sz w:val="10"/>
                <w:szCs w:val="10"/>
                <w:color w:val="auto"/>
              </w:rPr>
            </w:pPr>
          </w:p>
        </w:tc>
        <w:tc>
          <w:tcPr>
            <w:tcW w:w="66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46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460" w:type="dxa"/>
            <w:vAlign w:val="bottom"/>
            <w:tcBorders>
              <w:right w:val="single" w:sz="8" w:color="999999"/>
            </w:tcBorders>
          </w:tcPr>
          <w:p>
            <w:pPr>
              <w:spacing w:after="0"/>
              <w:rPr>
                <w:sz w:val="10"/>
                <w:szCs w:val="10"/>
                <w:color w:val="auto"/>
              </w:rPr>
            </w:pPr>
          </w:p>
        </w:tc>
        <w:tc>
          <w:tcPr>
            <w:tcW w:w="440" w:type="dxa"/>
            <w:vAlign w:val="bottom"/>
            <w:tcBorders>
              <w:right w:val="single" w:sz="8" w:color="999999"/>
            </w:tcBorders>
          </w:tcPr>
          <w:p>
            <w:pPr>
              <w:spacing w:after="0"/>
              <w:rPr>
                <w:sz w:val="10"/>
                <w:szCs w:val="10"/>
                <w:color w:val="auto"/>
              </w:rPr>
            </w:pPr>
          </w:p>
        </w:tc>
        <w:tc>
          <w:tcPr>
            <w:tcW w:w="56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560" w:type="dxa"/>
            <w:vAlign w:val="bottom"/>
            <w:tcBorders>
              <w:right w:val="single" w:sz="8" w:color="999999"/>
            </w:tcBorders>
          </w:tcPr>
          <w:p>
            <w:pPr>
              <w:spacing w:after="0"/>
              <w:rPr>
                <w:sz w:val="10"/>
                <w:szCs w:val="10"/>
                <w:color w:val="auto"/>
              </w:rPr>
            </w:pPr>
          </w:p>
        </w:tc>
        <w:tc>
          <w:tcPr>
            <w:tcW w:w="100" w:type="dxa"/>
            <w:vAlign w:val="bottom"/>
            <w:shd w:val="clear" w:color="auto" w:fill="EADDEC"/>
          </w:tcPr>
          <w:p>
            <w:pPr>
              <w:spacing w:after="0"/>
              <w:rPr>
                <w:sz w:val="10"/>
                <w:szCs w:val="10"/>
                <w:color w:val="auto"/>
              </w:rPr>
            </w:pPr>
          </w:p>
        </w:tc>
        <w:tc>
          <w:tcPr>
            <w:tcW w:w="460" w:type="dxa"/>
            <w:vAlign w:val="bottom"/>
            <w:tcBorders>
              <w:right w:val="single" w:sz="8" w:color="732282"/>
            </w:tcBorders>
            <w:shd w:val="clear" w:color="auto" w:fill="EADDE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8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insights that assist our Board and management in ensuring the</w:t>
            </w:r>
          </w:p>
        </w:tc>
        <w:tc>
          <w:tcPr>
            <w:tcW w:w="6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long-term sustainability of our business</w:t>
            </w:r>
          </w:p>
        </w:tc>
        <w:tc>
          <w:tcPr>
            <w:tcW w:w="6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980" w:type="dxa"/>
            <w:vAlign w:val="bottom"/>
            <w:tcBorders>
              <w:left w:val="single" w:sz="8" w:color="732282"/>
              <w:right w:val="single" w:sz="8" w:color="999999"/>
            </w:tcBorders>
          </w:tcPr>
          <w:p>
            <w:pPr>
              <w:ind w:left="200"/>
              <w:spacing w:after="0" w:line="138" w:lineRule="exact"/>
              <w:rPr>
                <w:sz w:val="20"/>
                <w:szCs w:val="20"/>
                <w:color w:val="auto"/>
              </w:rPr>
            </w:pPr>
            <w:r>
              <w:rPr>
                <w:rFonts w:ascii="Arial" w:cs="Arial" w:eastAsia="Arial" w:hAnsi="Arial"/>
                <w:sz w:val="14"/>
                <w:szCs w:val="14"/>
                <w:b w:val="1"/>
                <w:bCs w:val="1"/>
                <w:color w:val="231161"/>
              </w:rPr>
              <w:t>Strategy and M&amp;A Experience</w:t>
            </w:r>
          </w:p>
        </w:tc>
        <w:tc>
          <w:tcPr>
            <w:tcW w:w="640" w:type="dxa"/>
            <w:vAlign w:val="bottom"/>
            <w:tcBorders>
              <w:right w:val="single" w:sz="8" w:color="999999"/>
            </w:tcBorders>
            <w:vMerge w:val="restart"/>
          </w:tcPr>
          <w:p>
            <w:pPr>
              <w:ind w:left="30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Times New Roman" w:cs="Times New Roman" w:eastAsia="Times New Roman" w:hAnsi="Times New Roman"/>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Times New Roman" w:cs="Times New Roman" w:eastAsia="Times New Roman" w:hAnsi="Times New Roman"/>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980" w:type="dxa"/>
            <w:vAlign w:val="bottom"/>
            <w:tcBorders>
              <w:left w:val="single" w:sz="8" w:color="732282"/>
              <w:right w:val="single" w:sz="8" w:color="999999"/>
            </w:tcBorders>
          </w:tcPr>
          <w:p>
            <w:pPr>
              <w:ind w:left="200"/>
              <w:spacing w:after="0" w:line="147" w:lineRule="exact"/>
              <w:rPr>
                <w:sz w:val="20"/>
                <w:szCs w:val="20"/>
                <w:color w:val="auto"/>
              </w:rPr>
            </w:pPr>
            <w:r>
              <w:rPr>
                <w:rFonts w:ascii="Arial" w:cs="Arial" w:eastAsia="Arial" w:hAnsi="Arial"/>
                <w:sz w:val="13"/>
                <w:szCs w:val="13"/>
                <w:color w:val="3F3F3F"/>
              </w:rPr>
              <w:t>Viatris’ Directors are responsible for developing the Company’s</w:t>
            </w:r>
          </w:p>
        </w:tc>
        <w:tc>
          <w:tcPr>
            <w:tcW w:w="640" w:type="dxa"/>
            <w:vAlign w:val="bottom"/>
            <w:tcBorders>
              <w:right w:val="single" w:sz="8" w:color="999999"/>
            </w:tcBorders>
            <w:vMerge w:val="continue"/>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560" w:type="dxa"/>
            <w:vAlign w:val="bottom"/>
            <w:tcBorders>
              <w:right w:val="single" w:sz="8" w:color="999999"/>
            </w:tcBorders>
            <w:vMerge w:val="continue"/>
          </w:tcPr>
          <w:p>
            <w:pPr>
              <w:spacing w:after="0"/>
              <w:rPr>
                <w:sz w:val="12"/>
                <w:szCs w:val="12"/>
                <w:color w:val="auto"/>
              </w:rPr>
            </w:pPr>
          </w:p>
        </w:tc>
        <w:tc>
          <w:tcPr>
            <w:tcW w:w="660" w:type="dxa"/>
            <w:vAlign w:val="bottom"/>
            <w:tcBorders>
              <w:right w:val="single" w:sz="8" w:color="999999"/>
            </w:tcBorders>
            <w:vMerge w:val="continue"/>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460" w:type="dxa"/>
            <w:vAlign w:val="bottom"/>
            <w:tcBorders>
              <w:right w:val="single" w:sz="8" w:color="999999"/>
            </w:tcBorders>
            <w:vMerge w:val="continue"/>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460" w:type="dxa"/>
            <w:vAlign w:val="bottom"/>
            <w:tcBorders>
              <w:right w:val="single" w:sz="8" w:color="999999"/>
            </w:tcBorders>
            <w:vMerge w:val="continue"/>
          </w:tcPr>
          <w:p>
            <w:pPr>
              <w:spacing w:after="0"/>
              <w:rPr>
                <w:sz w:val="12"/>
                <w:szCs w:val="12"/>
                <w:color w:val="auto"/>
              </w:rPr>
            </w:pPr>
          </w:p>
        </w:tc>
        <w:tc>
          <w:tcPr>
            <w:tcW w:w="440" w:type="dxa"/>
            <w:vAlign w:val="bottom"/>
            <w:tcBorders>
              <w:right w:val="single" w:sz="8" w:color="999999"/>
            </w:tcBorders>
            <w:vMerge w:val="continue"/>
          </w:tcPr>
          <w:p>
            <w:pPr>
              <w:spacing w:after="0"/>
              <w:rPr>
                <w:sz w:val="12"/>
                <w:szCs w:val="12"/>
                <w:color w:val="auto"/>
              </w:rPr>
            </w:pPr>
          </w:p>
        </w:tc>
        <w:tc>
          <w:tcPr>
            <w:tcW w:w="560" w:type="dxa"/>
            <w:vAlign w:val="bottom"/>
            <w:tcBorders>
              <w:right w:val="single" w:sz="8" w:color="999999"/>
            </w:tcBorders>
            <w:vMerge w:val="continue"/>
          </w:tcPr>
          <w:p>
            <w:pPr>
              <w:spacing w:after="0"/>
              <w:rPr>
                <w:sz w:val="12"/>
                <w:szCs w:val="12"/>
                <w:color w:val="auto"/>
              </w:rPr>
            </w:pPr>
          </w:p>
        </w:tc>
        <w:tc>
          <w:tcPr>
            <w:tcW w:w="540" w:type="dxa"/>
            <w:vAlign w:val="bottom"/>
            <w:tcBorders>
              <w:right w:val="single" w:sz="8" w:color="999999"/>
            </w:tcBorders>
            <w:vMerge w:val="continue"/>
          </w:tcPr>
          <w:p>
            <w:pPr>
              <w:spacing w:after="0"/>
              <w:rPr>
                <w:sz w:val="12"/>
                <w:szCs w:val="12"/>
                <w:color w:val="auto"/>
              </w:rPr>
            </w:pPr>
          </w:p>
        </w:tc>
        <w:tc>
          <w:tcPr>
            <w:tcW w:w="560" w:type="dxa"/>
            <w:vAlign w:val="bottom"/>
            <w:tcBorders>
              <w:right w:val="single" w:sz="8" w:color="999999"/>
            </w:tcBorders>
            <w:vMerge w:val="continue"/>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jc w:val="center"/>
              <w:spacing w:after="0" w:line="147" w:lineRule="exact"/>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23"/>
        </w:trPr>
        <w:tc>
          <w:tcPr>
            <w:tcW w:w="3980" w:type="dxa"/>
            <w:vAlign w:val="bottom"/>
            <w:tcBorders>
              <w:left w:val="single" w:sz="8" w:color="732282"/>
              <w:right w:val="single" w:sz="8" w:color="999999"/>
            </w:tcBorders>
          </w:tcPr>
          <w:p>
            <w:pPr>
              <w:ind w:left="200"/>
              <w:spacing w:after="0" w:line="123" w:lineRule="exact"/>
              <w:rPr>
                <w:sz w:val="20"/>
                <w:szCs w:val="20"/>
                <w:color w:val="auto"/>
              </w:rPr>
            </w:pPr>
            <w:r>
              <w:rPr>
                <w:rFonts w:ascii="Arial" w:cs="Arial" w:eastAsia="Arial" w:hAnsi="Arial"/>
                <w:sz w:val="13"/>
                <w:szCs w:val="13"/>
                <w:color w:val="3F3F3F"/>
              </w:rPr>
              <w:t>successful differentiated strategy, both organically and through</w:t>
            </w:r>
          </w:p>
        </w:tc>
        <w:tc>
          <w:tcPr>
            <w:tcW w:w="64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560" w:type="dxa"/>
            <w:vAlign w:val="bottom"/>
            <w:tcBorders>
              <w:right w:val="single" w:sz="8" w:color="999999"/>
            </w:tcBorders>
          </w:tcPr>
          <w:p>
            <w:pPr>
              <w:spacing w:after="0"/>
              <w:rPr>
                <w:sz w:val="10"/>
                <w:szCs w:val="10"/>
                <w:color w:val="auto"/>
              </w:rPr>
            </w:pPr>
          </w:p>
        </w:tc>
        <w:tc>
          <w:tcPr>
            <w:tcW w:w="66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46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460" w:type="dxa"/>
            <w:vAlign w:val="bottom"/>
            <w:tcBorders>
              <w:right w:val="single" w:sz="8" w:color="999999"/>
            </w:tcBorders>
          </w:tcPr>
          <w:p>
            <w:pPr>
              <w:spacing w:after="0"/>
              <w:rPr>
                <w:sz w:val="10"/>
                <w:szCs w:val="10"/>
                <w:color w:val="auto"/>
              </w:rPr>
            </w:pPr>
          </w:p>
        </w:tc>
        <w:tc>
          <w:tcPr>
            <w:tcW w:w="440" w:type="dxa"/>
            <w:vAlign w:val="bottom"/>
            <w:tcBorders>
              <w:right w:val="single" w:sz="8" w:color="999999"/>
            </w:tcBorders>
          </w:tcPr>
          <w:p>
            <w:pPr>
              <w:spacing w:after="0"/>
              <w:rPr>
                <w:sz w:val="10"/>
                <w:szCs w:val="10"/>
                <w:color w:val="auto"/>
              </w:rPr>
            </w:pPr>
          </w:p>
        </w:tc>
        <w:tc>
          <w:tcPr>
            <w:tcW w:w="560" w:type="dxa"/>
            <w:vAlign w:val="bottom"/>
            <w:tcBorders>
              <w:right w:val="single" w:sz="8" w:color="999999"/>
            </w:tcBorders>
          </w:tcPr>
          <w:p>
            <w:pPr>
              <w:spacing w:after="0"/>
              <w:rPr>
                <w:sz w:val="10"/>
                <w:szCs w:val="10"/>
                <w:color w:val="auto"/>
              </w:rPr>
            </w:pPr>
          </w:p>
        </w:tc>
        <w:tc>
          <w:tcPr>
            <w:tcW w:w="540" w:type="dxa"/>
            <w:vAlign w:val="bottom"/>
            <w:tcBorders>
              <w:right w:val="single" w:sz="8" w:color="999999"/>
            </w:tcBorders>
          </w:tcPr>
          <w:p>
            <w:pPr>
              <w:spacing w:after="0"/>
              <w:rPr>
                <w:sz w:val="10"/>
                <w:szCs w:val="10"/>
                <w:color w:val="auto"/>
              </w:rPr>
            </w:pPr>
          </w:p>
        </w:tc>
        <w:tc>
          <w:tcPr>
            <w:tcW w:w="560" w:type="dxa"/>
            <w:vAlign w:val="bottom"/>
            <w:tcBorders>
              <w:right w:val="single" w:sz="8" w:color="999999"/>
            </w:tcBorders>
          </w:tcPr>
          <w:p>
            <w:pPr>
              <w:spacing w:after="0"/>
              <w:rPr>
                <w:sz w:val="10"/>
                <w:szCs w:val="10"/>
                <w:color w:val="auto"/>
              </w:rPr>
            </w:pPr>
          </w:p>
        </w:tc>
        <w:tc>
          <w:tcPr>
            <w:tcW w:w="100" w:type="dxa"/>
            <w:vAlign w:val="bottom"/>
            <w:shd w:val="clear" w:color="auto" w:fill="EADDEC"/>
          </w:tcPr>
          <w:p>
            <w:pPr>
              <w:spacing w:after="0"/>
              <w:rPr>
                <w:sz w:val="10"/>
                <w:szCs w:val="10"/>
                <w:color w:val="auto"/>
              </w:rPr>
            </w:pPr>
          </w:p>
        </w:tc>
        <w:tc>
          <w:tcPr>
            <w:tcW w:w="460" w:type="dxa"/>
            <w:vAlign w:val="bottom"/>
            <w:tcBorders>
              <w:right w:val="single" w:sz="8" w:color="732282"/>
            </w:tcBorders>
            <w:shd w:val="clear" w:color="auto" w:fill="EADDE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980" w:type="dxa"/>
            <w:vAlign w:val="bottom"/>
            <w:tcBorders>
              <w:left w:val="single" w:sz="8" w:color="732282"/>
              <w:bottom w:val="single" w:sz="8" w:color="732282"/>
              <w:right w:val="single" w:sz="8" w:color="999999"/>
            </w:tcBorders>
          </w:tcPr>
          <w:p>
            <w:pPr>
              <w:ind w:left="200"/>
              <w:spacing w:after="0"/>
              <w:rPr>
                <w:sz w:val="20"/>
                <w:szCs w:val="20"/>
                <w:color w:val="auto"/>
              </w:rPr>
            </w:pPr>
            <w:r>
              <w:rPr>
                <w:rFonts w:ascii="Arial" w:cs="Arial" w:eastAsia="Arial" w:hAnsi="Arial"/>
                <w:sz w:val="13"/>
                <w:szCs w:val="13"/>
                <w:color w:val="3F3F3F"/>
              </w:rPr>
              <w:t>strategic and opportunistic acquisitions</w:t>
            </w:r>
          </w:p>
        </w:tc>
        <w:tc>
          <w:tcPr>
            <w:tcW w:w="64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6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4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460" w:type="dxa"/>
            <w:vAlign w:val="bottom"/>
            <w:tcBorders>
              <w:bottom w:val="single" w:sz="8" w:color="732282"/>
              <w:right w:val="single" w:sz="8" w:color="999999"/>
            </w:tcBorders>
          </w:tcPr>
          <w:p>
            <w:pPr>
              <w:spacing w:after="0"/>
              <w:rPr>
                <w:sz w:val="14"/>
                <w:szCs w:val="14"/>
                <w:color w:val="auto"/>
              </w:rPr>
            </w:pPr>
          </w:p>
        </w:tc>
        <w:tc>
          <w:tcPr>
            <w:tcW w:w="4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100" w:type="dxa"/>
            <w:vAlign w:val="bottom"/>
            <w:tcBorders>
              <w:bottom w:val="single" w:sz="8" w:color="732282"/>
            </w:tcBorders>
            <w:shd w:val="clear" w:color="auto" w:fill="EADDEC"/>
          </w:tcPr>
          <w:p>
            <w:pPr>
              <w:spacing w:after="0"/>
              <w:rPr>
                <w:sz w:val="14"/>
                <w:szCs w:val="14"/>
                <w:color w:val="auto"/>
              </w:rPr>
            </w:pPr>
          </w:p>
        </w:tc>
        <w:tc>
          <w:tcPr>
            <w:tcW w:w="460" w:type="dxa"/>
            <w:vAlign w:val="bottom"/>
            <w:tcBorders>
              <w:bottom w:val="single" w:sz="8" w:color="732282"/>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-5760085</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-5742940</wp:posOffset>
            </wp:positionV>
            <wp:extent cx="4389120" cy="4972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89120" cy="4972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Board Diversity</w:t>
      </w:r>
    </w:p>
    <w:p>
      <w:pPr>
        <w:spacing w:after="0" w:line="241" w:lineRule="exact"/>
        <w:rPr>
          <w:sz w:val="20"/>
          <w:szCs w:val="20"/>
          <w:color w:val="auto"/>
        </w:rPr>
      </w:pPr>
    </w:p>
    <w:p>
      <w:pPr>
        <w:ind w:left="820"/>
        <w:spacing w:after="0"/>
        <w:tabs>
          <w:tab w:leader="none" w:pos="2860" w:val="left"/>
          <w:tab w:leader="none" w:pos="6360" w:val="left"/>
          <w:tab w:leader="none" w:pos="8960" w:val="left"/>
        </w:tabs>
        <w:rPr>
          <w:sz w:val="20"/>
          <w:szCs w:val="20"/>
          <w:color w:val="auto"/>
        </w:rPr>
      </w:pPr>
      <w:r>
        <w:rPr>
          <w:rFonts w:ascii="Arial" w:cs="Arial" w:eastAsia="Arial" w:hAnsi="Arial"/>
          <w:sz w:val="18"/>
          <w:szCs w:val="18"/>
          <w:color w:val="3F3F3F"/>
        </w:rPr>
        <w:t>Independence</w:t>
      </w:r>
      <w:r>
        <w:rPr>
          <w:sz w:val="20"/>
          <w:szCs w:val="20"/>
          <w:color w:val="auto"/>
        </w:rPr>
        <w:tab/>
      </w:r>
      <w:r>
        <w:rPr>
          <w:rFonts w:ascii="Arial" w:cs="Arial" w:eastAsia="Arial" w:hAnsi="Arial"/>
          <w:sz w:val="18"/>
          <w:szCs w:val="18"/>
          <w:color w:val="3F3F3F"/>
        </w:rPr>
        <w:t>Committees Chaired by Women</w:t>
      </w:r>
      <w:r>
        <w:rPr>
          <w:sz w:val="20"/>
          <w:szCs w:val="20"/>
          <w:color w:val="auto"/>
        </w:rPr>
        <w:tab/>
      </w:r>
      <w:r>
        <w:rPr>
          <w:rFonts w:ascii="Arial" w:cs="Arial" w:eastAsia="Arial" w:hAnsi="Arial"/>
          <w:sz w:val="18"/>
          <w:szCs w:val="18"/>
          <w:color w:val="3F3F3F"/>
        </w:rPr>
        <w:t>Age Distribution</w:t>
      </w:r>
      <w:r>
        <w:rPr>
          <w:sz w:val="20"/>
          <w:szCs w:val="20"/>
          <w:color w:val="auto"/>
        </w:rPr>
        <w:tab/>
      </w:r>
      <w:r>
        <w:rPr>
          <w:rFonts w:ascii="Arial" w:cs="Arial" w:eastAsia="Arial" w:hAnsi="Arial"/>
          <w:sz w:val="17"/>
          <w:szCs w:val="17"/>
          <w:color w:val="3F3F3F"/>
        </w:rPr>
        <w:t>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77470</wp:posOffset>
            </wp:positionV>
            <wp:extent cx="548640" cy="702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8640" cy="70294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77470</wp:posOffset>
            </wp:positionV>
            <wp:extent cx="565785" cy="702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 cy="70294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77470</wp:posOffset>
            </wp:positionV>
            <wp:extent cx="497205" cy="754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7205" cy="75438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77470</wp:posOffset>
            </wp:positionV>
            <wp:extent cx="917575" cy="685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75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3F3F3F"/>
        </w:rPr>
        <w:t>The following board diversity matrix presents the annual disclosure of information on our current Directors’ voluntary self-identified characteristics in accordance with applicable NASDAQ listing standards. As detailed in the below matrix, the Company currently has one Director who self-identifies as African American or Black, one Director who self-identifies as Hispanic or Latinx, one Director who self-identifies as Asian and one Director who self-identifies as White and Asian and is also included in the Two or More Races or Ethnicities category. Our board diversity matrix as of October 30, 2023 can be found in the definitive proxy statement for the 2023 Annual Meeting filed with the Securities and Exchange Commission (“SEC”) on November 3, 2023.</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620" w:type="dxa"/>
            <w:vAlign w:val="bottom"/>
            <w:shd w:val="clear" w:color="auto" w:fill="732282"/>
          </w:tcPr>
          <w:p>
            <w:pPr>
              <w:ind w:left="3660"/>
              <w:spacing w:after="0"/>
              <w:rPr>
                <w:sz w:val="20"/>
                <w:szCs w:val="20"/>
                <w:color w:val="auto"/>
              </w:rPr>
            </w:pPr>
            <w:r>
              <w:rPr>
                <w:rFonts w:ascii="Arial" w:cs="Arial" w:eastAsia="Arial" w:hAnsi="Arial"/>
                <w:sz w:val="16"/>
                <w:szCs w:val="16"/>
                <w:b w:val="1"/>
                <w:bCs w:val="1"/>
                <w:color w:val="FFFFFF"/>
              </w:rPr>
              <w:t>Board Diversity Matrix (As of October 18, 2024)</w:t>
            </w:r>
          </w:p>
        </w:tc>
        <w:tc>
          <w:tcPr>
            <w:tcW w:w="820" w:type="dxa"/>
            <w:vAlign w:val="bottom"/>
            <w:shd w:val="clear" w:color="auto" w:fill="732282"/>
          </w:tcPr>
          <w:p>
            <w:pPr>
              <w:spacing w:after="0"/>
              <w:rPr>
                <w:sz w:val="18"/>
                <w:szCs w:val="18"/>
                <w:color w:val="auto"/>
              </w:rPr>
            </w:pPr>
          </w:p>
        </w:tc>
        <w:tc>
          <w:tcPr>
            <w:tcW w:w="560" w:type="dxa"/>
            <w:vAlign w:val="bottom"/>
            <w:shd w:val="clear" w:color="auto" w:fill="732282"/>
          </w:tcPr>
          <w:p>
            <w:pPr>
              <w:spacing w:after="0"/>
              <w:rPr>
                <w:sz w:val="18"/>
                <w:szCs w:val="18"/>
                <w:color w:val="auto"/>
              </w:rPr>
            </w:pPr>
          </w:p>
        </w:tc>
        <w:tc>
          <w:tcPr>
            <w:tcW w:w="1140" w:type="dxa"/>
            <w:vAlign w:val="bottom"/>
            <w:shd w:val="clear" w:color="auto" w:fill="732282"/>
          </w:tcPr>
          <w:p>
            <w:pPr>
              <w:spacing w:after="0"/>
              <w:rPr>
                <w:sz w:val="18"/>
                <w:szCs w:val="18"/>
                <w:color w:val="auto"/>
              </w:rPr>
            </w:pPr>
          </w:p>
        </w:tc>
        <w:tc>
          <w:tcPr>
            <w:tcW w:w="880" w:type="dxa"/>
            <w:vAlign w:val="bottom"/>
            <w:shd w:val="clear" w:color="auto" w:fill="732282"/>
          </w:tcPr>
          <w:p>
            <w:pPr>
              <w:spacing w:after="0"/>
              <w:rPr>
                <w:sz w:val="18"/>
                <w:szCs w:val="18"/>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Total Number of Directors</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9"/>
              </w:rPr>
              <w:t>12</w:t>
            </w:r>
          </w:p>
        </w:tc>
        <w:tc>
          <w:tcPr>
            <w:tcW w:w="880" w:type="dxa"/>
            <w:vAlign w:val="bottom"/>
          </w:tcPr>
          <w:p>
            <w:pPr>
              <w:spacing w:after="0"/>
              <w:rPr>
                <w:sz w:val="19"/>
                <w:szCs w:val="19"/>
                <w:color w:val="auto"/>
              </w:rPr>
            </w:pPr>
          </w:p>
        </w:tc>
      </w:tr>
      <w:tr>
        <w:trPr>
          <w:trHeight w:val="211"/>
        </w:trPr>
        <w:tc>
          <w:tcPr>
            <w:tcW w:w="7620" w:type="dxa"/>
            <w:vAlign w:val="bottom"/>
            <w:shd w:val="clear" w:color="auto" w:fill="F9DD70"/>
          </w:tcPr>
          <w:p>
            <w:pPr>
              <w:spacing w:after="0"/>
              <w:rPr>
                <w:sz w:val="18"/>
                <w:szCs w:val="18"/>
                <w:color w:val="auto"/>
              </w:rPr>
            </w:pPr>
          </w:p>
        </w:tc>
        <w:tc>
          <w:tcPr>
            <w:tcW w:w="820" w:type="dxa"/>
            <w:vAlign w:val="bottom"/>
            <w:shd w:val="clear" w:color="auto" w:fill="F9DD70"/>
          </w:tcPr>
          <w:p>
            <w:pPr>
              <w:spacing w:after="0"/>
              <w:rPr>
                <w:sz w:val="18"/>
                <w:szCs w:val="18"/>
                <w:color w:val="auto"/>
              </w:rPr>
            </w:pPr>
          </w:p>
        </w:tc>
        <w:tc>
          <w:tcPr>
            <w:tcW w:w="560" w:type="dxa"/>
            <w:vAlign w:val="bottom"/>
            <w:shd w:val="clear" w:color="auto" w:fill="F9DD70"/>
          </w:tcPr>
          <w:p>
            <w:pPr>
              <w:spacing w:after="0"/>
              <w:rPr>
                <w:sz w:val="18"/>
                <w:szCs w:val="18"/>
                <w:color w:val="auto"/>
              </w:rPr>
            </w:pPr>
          </w:p>
        </w:tc>
        <w:tc>
          <w:tcPr>
            <w:tcW w:w="1140" w:type="dxa"/>
            <w:vAlign w:val="bottom"/>
            <w:shd w:val="clear" w:color="auto" w:fill="F9DD70"/>
          </w:tcPr>
          <w:p>
            <w:pPr>
              <w:spacing w:after="0"/>
              <w:rPr>
                <w:sz w:val="18"/>
                <w:szCs w:val="18"/>
                <w:color w:val="auto"/>
              </w:rPr>
            </w:pPr>
          </w:p>
        </w:tc>
        <w:tc>
          <w:tcPr>
            <w:tcW w:w="880" w:type="dxa"/>
            <w:vAlign w:val="bottom"/>
            <w:shd w:val="clear" w:color="auto" w:fill="F9DD70"/>
          </w:tcPr>
          <w:p>
            <w:pPr>
              <w:jc w:val="right"/>
              <w:ind w:right="30"/>
              <w:spacing w:after="0"/>
              <w:rPr>
                <w:sz w:val="20"/>
                <w:szCs w:val="20"/>
                <w:color w:val="auto"/>
              </w:rPr>
            </w:pPr>
            <w:r>
              <w:rPr>
                <w:rFonts w:ascii="Arial" w:cs="Arial" w:eastAsia="Arial" w:hAnsi="Arial"/>
                <w:sz w:val="18"/>
                <w:szCs w:val="18"/>
                <w:b w:val="1"/>
                <w:bCs w:val="1"/>
                <w:color w:val="auto"/>
              </w:rPr>
              <w:t>Did not</w:t>
            </w:r>
          </w:p>
        </w:tc>
      </w:tr>
      <w:tr>
        <w:trPr>
          <w:trHeight w:val="203"/>
        </w:trPr>
        <w:tc>
          <w:tcPr>
            <w:tcW w:w="7620" w:type="dxa"/>
            <w:vAlign w:val="bottom"/>
            <w:shd w:val="clear" w:color="auto" w:fill="F9DD70"/>
          </w:tcPr>
          <w:p>
            <w:pPr>
              <w:spacing w:after="0"/>
              <w:rPr>
                <w:sz w:val="17"/>
                <w:szCs w:val="17"/>
                <w:color w:val="auto"/>
              </w:rPr>
            </w:pPr>
          </w:p>
        </w:tc>
        <w:tc>
          <w:tcPr>
            <w:tcW w:w="820" w:type="dxa"/>
            <w:vAlign w:val="bottom"/>
            <w:shd w:val="clear" w:color="auto" w:fill="F9DD70"/>
          </w:tcPr>
          <w:p>
            <w:pPr>
              <w:spacing w:after="0"/>
              <w:rPr>
                <w:sz w:val="17"/>
                <w:szCs w:val="17"/>
                <w:color w:val="auto"/>
              </w:rPr>
            </w:pPr>
          </w:p>
        </w:tc>
        <w:tc>
          <w:tcPr>
            <w:tcW w:w="560" w:type="dxa"/>
            <w:vAlign w:val="bottom"/>
            <w:shd w:val="clear" w:color="auto" w:fill="F9DD70"/>
          </w:tcPr>
          <w:p>
            <w:pPr>
              <w:spacing w:after="0"/>
              <w:rPr>
                <w:sz w:val="17"/>
                <w:szCs w:val="17"/>
                <w:color w:val="auto"/>
              </w:rPr>
            </w:pPr>
          </w:p>
        </w:tc>
        <w:tc>
          <w:tcPr>
            <w:tcW w:w="1140" w:type="dxa"/>
            <w:vAlign w:val="bottom"/>
            <w:shd w:val="clear" w:color="auto" w:fill="F9DD70"/>
          </w:tcPr>
          <w:p>
            <w:pPr>
              <w:spacing w:after="0"/>
              <w:rPr>
                <w:sz w:val="17"/>
                <w:szCs w:val="17"/>
                <w:color w:val="auto"/>
              </w:rPr>
            </w:pPr>
          </w:p>
        </w:tc>
        <w:tc>
          <w:tcPr>
            <w:tcW w:w="880" w:type="dxa"/>
            <w:vAlign w:val="bottom"/>
            <w:shd w:val="clear" w:color="auto" w:fill="F9DD70"/>
          </w:tcPr>
          <w:p>
            <w:pPr>
              <w:jc w:val="right"/>
              <w:spacing w:after="0" w:line="202" w:lineRule="exact"/>
              <w:rPr>
                <w:sz w:val="20"/>
                <w:szCs w:val="20"/>
                <w:color w:val="auto"/>
              </w:rPr>
            </w:pPr>
            <w:r>
              <w:rPr>
                <w:rFonts w:ascii="Arial" w:cs="Arial" w:eastAsia="Arial" w:hAnsi="Arial"/>
                <w:sz w:val="18"/>
                <w:szCs w:val="18"/>
                <w:b w:val="1"/>
                <w:bCs w:val="1"/>
                <w:color w:val="auto"/>
              </w:rPr>
              <w:t>Disclose</w:t>
            </w:r>
          </w:p>
        </w:tc>
      </w:tr>
      <w:tr>
        <w:trPr>
          <w:trHeight w:val="221"/>
        </w:trPr>
        <w:tc>
          <w:tcPr>
            <w:tcW w:w="7620" w:type="dxa"/>
            <w:vAlign w:val="bottom"/>
            <w:shd w:val="clear" w:color="auto" w:fill="F9DD70"/>
          </w:tcPr>
          <w:p>
            <w:pPr>
              <w:spacing w:after="0"/>
              <w:rPr>
                <w:sz w:val="20"/>
                <w:szCs w:val="20"/>
                <w:color w:val="auto"/>
              </w:rPr>
            </w:pPr>
            <w:r>
              <w:rPr>
                <w:rFonts w:ascii="Arial" w:cs="Arial" w:eastAsia="Arial" w:hAnsi="Arial"/>
                <w:sz w:val="18"/>
                <w:szCs w:val="18"/>
                <w:b w:val="1"/>
                <w:bCs w:val="1"/>
                <w:color w:val="auto"/>
              </w:rPr>
              <w:t>Gender:</w:t>
            </w:r>
          </w:p>
        </w:tc>
        <w:tc>
          <w:tcPr>
            <w:tcW w:w="820" w:type="dxa"/>
            <w:vAlign w:val="bottom"/>
            <w:shd w:val="clear" w:color="auto" w:fill="F9DD70"/>
          </w:tcPr>
          <w:p>
            <w:pPr>
              <w:jc w:val="right"/>
              <w:spacing w:after="0"/>
              <w:rPr>
                <w:sz w:val="20"/>
                <w:szCs w:val="20"/>
                <w:color w:val="auto"/>
              </w:rPr>
            </w:pPr>
            <w:r>
              <w:rPr>
                <w:rFonts w:ascii="Arial" w:cs="Arial" w:eastAsia="Arial" w:hAnsi="Arial"/>
                <w:sz w:val="18"/>
                <w:szCs w:val="18"/>
                <w:b w:val="1"/>
                <w:bCs w:val="1"/>
                <w:color w:val="auto"/>
              </w:rPr>
              <w:t>Female</w:t>
            </w:r>
          </w:p>
        </w:tc>
        <w:tc>
          <w:tcPr>
            <w:tcW w:w="560" w:type="dxa"/>
            <w:vAlign w:val="bottom"/>
            <w:shd w:val="clear" w:color="auto" w:fill="F9DD70"/>
          </w:tcPr>
          <w:p>
            <w:pPr>
              <w:jc w:val="right"/>
              <w:spacing w:after="0"/>
              <w:rPr>
                <w:sz w:val="20"/>
                <w:szCs w:val="20"/>
                <w:color w:val="auto"/>
              </w:rPr>
            </w:pPr>
            <w:r>
              <w:rPr>
                <w:rFonts w:ascii="Arial" w:cs="Arial" w:eastAsia="Arial" w:hAnsi="Arial"/>
                <w:sz w:val="18"/>
                <w:szCs w:val="18"/>
                <w:b w:val="1"/>
                <w:bCs w:val="1"/>
                <w:color w:val="auto"/>
              </w:rPr>
              <w:t>Male</w:t>
            </w:r>
          </w:p>
        </w:tc>
        <w:tc>
          <w:tcPr>
            <w:tcW w:w="1140" w:type="dxa"/>
            <w:vAlign w:val="bottom"/>
            <w:shd w:val="clear" w:color="auto" w:fill="F9DD70"/>
          </w:tcPr>
          <w:p>
            <w:pPr>
              <w:jc w:val="right"/>
              <w:spacing w:after="0"/>
              <w:rPr>
                <w:sz w:val="20"/>
                <w:szCs w:val="20"/>
                <w:color w:val="auto"/>
              </w:rPr>
            </w:pPr>
            <w:r>
              <w:rPr>
                <w:rFonts w:ascii="Arial" w:cs="Arial" w:eastAsia="Arial" w:hAnsi="Arial"/>
                <w:sz w:val="18"/>
                <w:szCs w:val="18"/>
                <w:b w:val="1"/>
                <w:bCs w:val="1"/>
                <w:color w:val="auto"/>
              </w:rPr>
              <w:t>Non-Binary</w:t>
            </w:r>
          </w:p>
        </w:tc>
        <w:tc>
          <w:tcPr>
            <w:tcW w:w="880" w:type="dxa"/>
            <w:vAlign w:val="bottom"/>
            <w:shd w:val="clear" w:color="auto" w:fill="F9DD70"/>
          </w:tcPr>
          <w:p>
            <w:pPr>
              <w:jc w:val="right"/>
              <w:ind w:right="30"/>
              <w:spacing w:after="0"/>
              <w:rPr>
                <w:sz w:val="20"/>
                <w:szCs w:val="20"/>
                <w:color w:val="auto"/>
              </w:rPr>
            </w:pPr>
            <w:r>
              <w:rPr>
                <w:rFonts w:ascii="Arial" w:cs="Arial" w:eastAsia="Arial" w:hAnsi="Arial"/>
                <w:sz w:val="18"/>
                <w:szCs w:val="18"/>
                <w:b w:val="1"/>
                <w:bCs w:val="1"/>
                <w:color w:val="auto"/>
              </w:rPr>
              <w:t>Gender</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7620" w:type="dxa"/>
            <w:vAlign w:val="bottom"/>
            <w:shd w:val="clear" w:color="auto" w:fill="F9DD70"/>
          </w:tcPr>
          <w:p>
            <w:pPr>
              <w:spacing w:after="0"/>
              <w:rPr>
                <w:sz w:val="20"/>
                <w:szCs w:val="20"/>
                <w:color w:val="auto"/>
              </w:rPr>
            </w:pPr>
            <w:r>
              <w:rPr>
                <w:rFonts w:ascii="Arial" w:cs="Arial" w:eastAsia="Arial" w:hAnsi="Arial"/>
                <w:sz w:val="18"/>
                <w:szCs w:val="18"/>
                <w:color w:val="auto"/>
              </w:rPr>
              <w:t>Number of Directors who identify in Any of the Categories Below:</w:t>
            </w:r>
          </w:p>
        </w:tc>
        <w:tc>
          <w:tcPr>
            <w:tcW w:w="820" w:type="dxa"/>
            <w:vAlign w:val="bottom"/>
            <w:shd w:val="clear" w:color="auto" w:fill="F9DD70"/>
          </w:tcPr>
          <w:p>
            <w:pPr>
              <w:spacing w:after="0"/>
              <w:rPr>
                <w:sz w:val="19"/>
                <w:szCs w:val="19"/>
                <w:color w:val="auto"/>
              </w:rPr>
            </w:pPr>
          </w:p>
        </w:tc>
        <w:tc>
          <w:tcPr>
            <w:tcW w:w="560" w:type="dxa"/>
            <w:vAlign w:val="bottom"/>
            <w:shd w:val="clear" w:color="auto" w:fill="F9DD70"/>
          </w:tcPr>
          <w:p>
            <w:pPr>
              <w:spacing w:after="0"/>
              <w:rPr>
                <w:sz w:val="19"/>
                <w:szCs w:val="19"/>
                <w:color w:val="auto"/>
              </w:rPr>
            </w:pPr>
          </w:p>
        </w:tc>
        <w:tc>
          <w:tcPr>
            <w:tcW w:w="1140" w:type="dxa"/>
            <w:vAlign w:val="bottom"/>
            <w:shd w:val="clear" w:color="auto" w:fill="F9DD70"/>
          </w:tcPr>
          <w:p>
            <w:pPr>
              <w:spacing w:after="0"/>
              <w:rPr>
                <w:sz w:val="19"/>
                <w:szCs w:val="19"/>
                <w:color w:val="auto"/>
              </w:rPr>
            </w:pPr>
          </w:p>
        </w:tc>
        <w:tc>
          <w:tcPr>
            <w:tcW w:w="880" w:type="dxa"/>
            <w:vAlign w:val="bottom"/>
            <w:shd w:val="clear" w:color="auto" w:fill="F9DD70"/>
          </w:tcPr>
          <w:p>
            <w:pPr>
              <w:spacing w:after="0"/>
              <w:rPr>
                <w:sz w:val="19"/>
                <w:szCs w:val="19"/>
                <w:color w:val="auto"/>
              </w:rPr>
            </w:pPr>
          </w:p>
        </w:tc>
      </w:tr>
      <w:tr>
        <w:trPr>
          <w:trHeight w:val="238"/>
        </w:trPr>
        <w:tc>
          <w:tcPr>
            <w:tcW w:w="762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Alaskan Native or Native American</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Asian</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Hispanic or Latinx</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Native Hawaiian or Pacific Islander</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White</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LGBTQ+</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9"/>
              </w:rPr>
              <w:t>0</w:t>
            </w:r>
          </w:p>
        </w:tc>
        <w:tc>
          <w:tcPr>
            <w:tcW w:w="880" w:type="dxa"/>
            <w:vAlign w:val="bottom"/>
          </w:tcPr>
          <w:p>
            <w:pPr>
              <w:spacing w:after="0"/>
              <w:rPr>
                <w:sz w:val="19"/>
                <w:szCs w:val="19"/>
                <w:color w:val="auto"/>
              </w:rPr>
            </w:pPr>
          </w:p>
        </w:tc>
      </w:tr>
      <w:tr>
        <w:trPr>
          <w:trHeight w:val="221"/>
        </w:trPr>
        <w:tc>
          <w:tcPr>
            <w:tcW w:w="7620" w:type="dxa"/>
            <w:vAlign w:val="bottom"/>
            <w:tcBorders>
              <w:bottom w:val="single" w:sz="8" w:color="732282"/>
            </w:tcBorders>
          </w:tcPr>
          <w:p>
            <w:pPr>
              <w:spacing w:after="0"/>
              <w:rPr>
                <w:sz w:val="20"/>
                <w:szCs w:val="20"/>
                <w:color w:val="auto"/>
              </w:rPr>
            </w:pPr>
            <w:r>
              <w:rPr>
                <w:rFonts w:ascii="Arial" w:cs="Arial" w:eastAsia="Arial" w:hAnsi="Arial"/>
                <w:sz w:val="18"/>
                <w:szCs w:val="18"/>
                <w:color w:val="auto"/>
              </w:rPr>
              <w:t>Did Not Disclose Demographic Background</w:t>
            </w:r>
          </w:p>
        </w:tc>
        <w:tc>
          <w:tcPr>
            <w:tcW w:w="820" w:type="dxa"/>
            <w:vAlign w:val="bottom"/>
            <w:tcBorders>
              <w:bottom w:val="single" w:sz="8" w:color="732282"/>
            </w:tcBorders>
          </w:tcPr>
          <w:p>
            <w:pPr>
              <w:spacing w:after="0"/>
              <w:rPr>
                <w:sz w:val="19"/>
                <w:szCs w:val="19"/>
                <w:color w:val="auto"/>
              </w:rPr>
            </w:pPr>
          </w:p>
        </w:tc>
        <w:tc>
          <w:tcPr>
            <w:tcW w:w="560" w:type="dxa"/>
            <w:vAlign w:val="bottom"/>
            <w:tcBorders>
              <w:bottom w:val="single" w:sz="8" w:color="732282"/>
            </w:tcBorders>
          </w:tcPr>
          <w:p>
            <w:pPr>
              <w:spacing w:after="0"/>
              <w:rPr>
                <w:sz w:val="19"/>
                <w:szCs w:val="19"/>
                <w:color w:val="auto"/>
              </w:rPr>
            </w:pPr>
          </w:p>
        </w:tc>
        <w:tc>
          <w:tcPr>
            <w:tcW w:w="1140" w:type="dxa"/>
            <w:vAlign w:val="bottom"/>
            <w:tcBorders>
              <w:bottom w:val="single" w:sz="8" w:color="732282"/>
            </w:tcBorders>
          </w:tcPr>
          <w:p>
            <w:pPr>
              <w:jc w:val="center"/>
              <w:ind w:right="150"/>
              <w:spacing w:after="0"/>
              <w:rPr>
                <w:sz w:val="20"/>
                <w:szCs w:val="20"/>
                <w:color w:val="auto"/>
              </w:rPr>
            </w:pPr>
            <w:r>
              <w:rPr>
                <w:rFonts w:ascii="Arial" w:cs="Arial" w:eastAsia="Arial" w:hAnsi="Arial"/>
                <w:sz w:val="18"/>
                <w:szCs w:val="18"/>
                <w:color w:val="auto"/>
                <w:w w:val="99"/>
              </w:rPr>
              <w:t>0</w:t>
            </w:r>
          </w:p>
        </w:tc>
        <w:tc>
          <w:tcPr>
            <w:tcW w:w="880" w:type="dxa"/>
            <w:vAlign w:val="bottom"/>
            <w:tcBorders>
              <w:bottom w:val="single" w:sz="8" w:color="732282"/>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Election of Directors</w:t>
      </w:r>
    </w:p>
    <w:p>
      <w:pPr>
        <w:spacing w:after="0" w:line="200" w:lineRule="exact"/>
        <w:rPr>
          <w:sz w:val="20"/>
          <w:szCs w:val="20"/>
          <w:color w:val="auto"/>
        </w:rPr>
      </w:pPr>
    </w:p>
    <w:p>
      <w:pPr>
        <w:spacing w:after="0" w:line="206"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3F3F3F"/>
        </w:rPr>
        <w:t>The first item for consideration at the 2024 Annual Meeting is the election of 12 Director nominees. The Board has, upon the recommendation of our Governance and Sustainability Committee, nominated each of our current Directors, W. Don Cornwell, JoEllen Lyons Dillon, Elisha Finney, Leo Groothuis, Melina Higgins, James M. Kilts, Harry Korman, Rajiv Malik, Richard Mark, Mark Parrish, Scott A. Smith, and Rogério Vivaldi Coelho (the “Nominees”) for re-election at our 2024 Annual Meeting. If re-elected, each Nominee will serve as a Director until our 2025 annual meeting of shareholders and until their successor is duly elected and qualified, or until their earlier death, resignation, removal or retirement.</w:t>
      </w:r>
    </w:p>
    <w:p>
      <w:pPr>
        <w:spacing w:after="0" w:line="98" w:lineRule="exact"/>
        <w:rPr>
          <w:sz w:val="20"/>
          <w:szCs w:val="20"/>
          <w:color w:val="auto"/>
        </w:rPr>
      </w:pPr>
    </w:p>
    <w:p>
      <w:pPr>
        <w:ind w:left="120" w:right="100"/>
        <w:spacing w:after="0"/>
        <w:rPr>
          <w:sz w:val="20"/>
          <w:szCs w:val="20"/>
          <w:color w:val="auto"/>
        </w:rPr>
      </w:pPr>
      <w:r>
        <w:rPr>
          <w:rFonts w:ascii="Arial" w:cs="Arial" w:eastAsia="Arial" w:hAnsi="Arial"/>
          <w:sz w:val="18"/>
          <w:szCs w:val="18"/>
          <w:color w:val="3F3F3F"/>
        </w:rPr>
        <w:t>The Board and the Governance and Sustainability Committee have carefully evaluated the experience, structure, culture, diversity,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for the benefit of shareholders and other stakeholders. Based on these considerations, among others, Viatris’ Board recommends a vote “FOR” the election of each of the Nominees.</w:t>
      </w:r>
    </w:p>
    <w:p>
      <w:pPr>
        <w:spacing w:after="0" w:line="113"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3F3F3F"/>
        </w:rPr>
        <w:t>The Board’s general criteria for nomination to the Board are set forth in “How Our Directors Are Selected and Evaluated” beginning on page 38.</w:t>
      </w:r>
    </w:p>
    <w:p>
      <w:pPr>
        <w:spacing w:after="0" w:line="86"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3F3F3F"/>
        </w:rPr>
        <w:t>Information about each Nominee’s specific experience, qualifications, attributes or skills that led the Board to conclude that he or she should be re-elected as a Director is set forth below on pages 16 to 24. Each Nominee is currently on Viatris’ Board and each has consented to act as a Director if elected at the 2024 Annual Meeting.</w:t>
      </w:r>
    </w:p>
    <w:p>
      <w:pPr>
        <w:spacing w:after="0" w:line="215" w:lineRule="exact"/>
        <w:rPr>
          <w:sz w:val="20"/>
          <w:szCs w:val="20"/>
          <w:color w:val="auto"/>
        </w:rPr>
      </w:pPr>
    </w:p>
    <w:tbl>
      <w:tblPr>
        <w:tblLayout w:type="fixed"/>
        <w:tblInd w:w="5680" w:type="dxa"/>
        <w:tblCellMar>
          <w:top w:w="0" w:type="dxa"/>
          <w:left w:w="0" w:type="dxa"/>
          <w:bottom w:w="0" w:type="dxa"/>
          <w:right w:w="0" w:type="dxa"/>
        </w:tblCellMar>
      </w:tblPr>
      <w:tr>
        <w:trPr>
          <w:trHeight w:val="202"/>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378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xml:space="preserve">   Board Recommendation   </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3F3F3F"/>
              </w:rPr>
              <w:t> </w:t>
            </w:r>
          </w:p>
        </w:tc>
        <w:tc>
          <w:tcPr>
            <w:tcW w:w="0" w:type="dxa"/>
            <w:vAlign w:val="bottom"/>
          </w:tcPr>
          <w:p>
            <w:pPr>
              <w:spacing w:after="0"/>
              <w:rPr>
                <w:sz w:val="1"/>
                <w:szCs w:val="1"/>
                <w:color w:val="auto"/>
              </w:rPr>
            </w:pPr>
          </w:p>
        </w:tc>
      </w:tr>
      <w:tr>
        <w:trPr>
          <w:trHeight w:val="80"/>
        </w:trPr>
        <w:tc>
          <w:tcPr>
            <w:tcW w:w="100" w:type="dxa"/>
            <w:vAlign w:val="bottom"/>
            <w:vMerge w:val="restart"/>
            <w:shd w:val="clear" w:color="auto" w:fill="E5E5E5"/>
          </w:tcPr>
          <w:p>
            <w:pPr>
              <w:spacing w:after="0"/>
              <w:rPr>
                <w:sz w:val="20"/>
                <w:szCs w:val="20"/>
                <w:color w:val="auto"/>
              </w:rPr>
            </w:pPr>
            <w:r>
              <w:rPr>
                <w:rFonts w:ascii="Arial" w:cs="Arial" w:eastAsia="Arial" w:hAnsi="Arial"/>
                <w:sz w:val="14"/>
                <w:szCs w:val="14"/>
                <w:color w:val="3F3F3F"/>
              </w:rPr>
              <w:t> </w:t>
            </w:r>
          </w:p>
        </w:tc>
        <w:tc>
          <w:tcPr>
            <w:tcW w:w="3780" w:type="dxa"/>
            <w:vAlign w:val="bottom"/>
            <w:vMerge w:val="continue"/>
            <w:shd w:val="clear" w:color="auto" w:fill="732282"/>
          </w:tcPr>
          <w:p>
            <w:pPr>
              <w:spacing w:after="0"/>
              <w:rPr>
                <w:sz w:val="6"/>
                <w:szCs w:val="6"/>
                <w:color w:val="auto"/>
              </w:rPr>
            </w:pPr>
          </w:p>
        </w:tc>
        <w:tc>
          <w:tcPr>
            <w:tcW w:w="15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0" w:type="dxa"/>
            <w:vAlign w:val="bottom"/>
            <w:tcBorders>
              <w:bottom w:val="single" w:sz="8" w:color="E5E5E5"/>
            </w:tcBorders>
            <w:vMerge w:val="continue"/>
            <w:shd w:val="clear" w:color="auto" w:fill="E5E5E5"/>
          </w:tcPr>
          <w:p>
            <w:pPr>
              <w:spacing w:after="0"/>
              <w:rPr>
                <w:sz w:val="7"/>
                <w:szCs w:val="7"/>
                <w:color w:val="auto"/>
              </w:rPr>
            </w:pPr>
          </w:p>
        </w:tc>
        <w:tc>
          <w:tcPr>
            <w:tcW w:w="3780" w:type="dxa"/>
            <w:vAlign w:val="bottom"/>
            <w:tcBorders>
              <w:bottom w:val="single" w:sz="8" w:color="732282"/>
            </w:tcBorders>
            <w:shd w:val="clear" w:color="auto" w:fill="732282"/>
          </w:tcPr>
          <w:p>
            <w:pPr>
              <w:spacing w:after="0"/>
              <w:rPr>
                <w:sz w:val="7"/>
                <w:szCs w:val="7"/>
                <w:color w:val="auto"/>
              </w:rPr>
            </w:pPr>
          </w:p>
        </w:tc>
        <w:tc>
          <w:tcPr>
            <w:tcW w:w="158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360" w:type="dxa"/>
            <w:vAlign w:val="bottom"/>
            <w:gridSpan w:val="2"/>
            <w:shd w:val="clear" w:color="auto" w:fill="E5E5E5"/>
          </w:tcPr>
          <w:p>
            <w:pPr>
              <w:jc w:val="right"/>
              <w:ind w:right="68"/>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732282"/>
              </w:rPr>
              <w:t>“FOR”</w:t>
            </w:r>
            <w:r>
              <w:rPr>
                <w:rFonts w:ascii="Arial" w:cs="Arial" w:eastAsia="Arial" w:hAnsi="Arial"/>
                <w:sz w:val="16"/>
                <w:szCs w:val="16"/>
                <w:color w:val="3F3F3F"/>
              </w:rPr>
              <w:t xml:space="preserve"> the election of each Nominee.</w:t>
            </w:r>
          </w:p>
        </w:tc>
        <w:tc>
          <w:tcPr>
            <w:tcW w:w="0" w:type="dxa"/>
            <w:vAlign w:val="bottom"/>
          </w:tcPr>
          <w:p>
            <w:pPr>
              <w:spacing w:after="0"/>
              <w:rPr>
                <w:sz w:val="1"/>
                <w:szCs w:val="1"/>
                <w:color w:val="auto"/>
              </w:rPr>
            </w:pPr>
          </w:p>
        </w:tc>
      </w:tr>
      <w:tr>
        <w:trPr>
          <w:trHeight w:val="156"/>
        </w:trPr>
        <w:tc>
          <w:tcPr>
            <w:tcW w:w="100" w:type="dxa"/>
            <w:vAlign w:val="bottom"/>
            <w:shd w:val="clear" w:color="auto" w:fill="E5E5E5"/>
          </w:tcPr>
          <w:p>
            <w:pPr>
              <w:spacing w:after="0"/>
              <w:rPr>
                <w:sz w:val="13"/>
                <w:szCs w:val="13"/>
                <w:color w:val="auto"/>
              </w:rPr>
            </w:pPr>
          </w:p>
        </w:tc>
        <w:tc>
          <w:tcPr>
            <w:tcW w:w="3780" w:type="dxa"/>
            <w:vAlign w:val="bottom"/>
            <w:shd w:val="clear" w:color="auto" w:fill="E5E5E5"/>
          </w:tcPr>
          <w:p>
            <w:pPr>
              <w:spacing w:after="0"/>
              <w:rPr>
                <w:sz w:val="13"/>
                <w:szCs w:val="13"/>
                <w:color w:val="auto"/>
              </w:rPr>
            </w:pPr>
          </w:p>
        </w:tc>
        <w:tc>
          <w:tcPr>
            <w:tcW w:w="15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231161"/>
        </w:rPr>
        <w:t>Directors Nominated for Election at the 2024 Annual Meeting</w:t>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right="960"/>
        <w:spacing w:after="0" w:line="342" w:lineRule="auto"/>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r>
        <w:rPr>
          <w:rFonts w:ascii="Arial" w:cs="Arial" w:eastAsia="Arial" w:hAnsi="Arial"/>
          <w:sz w:val="14"/>
          <w:szCs w:val="14"/>
          <w:b w:val="1"/>
          <w:bCs w:val="1"/>
          <w:color w:val="231161"/>
        </w:rPr>
        <w:t xml:space="preserve"> Age: </w:t>
      </w:r>
      <w:r>
        <w:rPr>
          <w:rFonts w:ascii="Arial" w:cs="Arial" w:eastAsia="Arial" w:hAnsi="Arial"/>
          <w:sz w:val="14"/>
          <w:szCs w:val="14"/>
          <w:color w:val="3F3F3F"/>
        </w:rPr>
        <w:t>76</w:t>
      </w:r>
      <w:r>
        <w:rPr>
          <w:rFonts w:ascii="Arial" w:cs="Arial" w:eastAsia="Arial" w:hAnsi="Arial"/>
          <w:sz w:val="14"/>
          <w:szCs w:val="14"/>
          <w:color w:val="23116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-1553845</wp:posOffset>
            </wp:positionV>
            <wp:extent cx="1200150" cy="1217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 Audit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 Compliance and Risk Oversight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1943735</wp:posOffset>
            </wp:positionV>
            <wp:extent cx="1491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W. Don Cornwell</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 Vice Chair (2009), Founder, Chairman and Chief Executive Officer (1988 - 2009), </w:t>
      </w:r>
      <w:r>
        <w:rPr>
          <w:rFonts w:ascii="Arial" w:cs="Arial" w:eastAsia="Arial" w:hAnsi="Arial"/>
          <w:sz w:val="14"/>
          <w:szCs w:val="14"/>
          <w:b w:val="1"/>
          <w:bCs w:val="1"/>
          <w:color w:val="3F3F3F"/>
        </w:rPr>
        <w:t>Granite Broadcasting Corporation</w:t>
      </w:r>
    </w:p>
    <w:p>
      <w:pPr>
        <w:spacing w:after="0" w:line="15" w:lineRule="exact"/>
        <w:rPr>
          <w:sz w:val="20"/>
          <w:szCs w:val="20"/>
          <w:color w:val="auto"/>
        </w:rPr>
      </w:pPr>
    </w:p>
    <w:p>
      <w:pPr>
        <w:ind w:left="300" w:right="20" w:hanging="143"/>
        <w:spacing w:after="0" w:line="273" w:lineRule="auto"/>
        <w:rPr>
          <w:sz w:val="20"/>
          <w:szCs w:val="20"/>
          <w:color w:val="auto"/>
        </w:rPr>
      </w:pPr>
      <w:r>
        <w:rPr>
          <w:rFonts w:ascii="Arial" w:cs="Arial" w:eastAsia="Arial" w:hAnsi="Arial"/>
          <w:sz w:val="14"/>
          <w:szCs w:val="14"/>
          <w:color w:val="3F3F3F"/>
        </w:rPr>
        <w:t xml:space="preserve">•   Chief Operating Officer (“COO”), Corporate Finance Department (1980 - 1988), Vice President, Investment Banking (1976 - 1988); joined the company in 1971, </w:t>
      </w:r>
      <w:r>
        <w:rPr>
          <w:rFonts w:ascii="Arial" w:cs="Arial" w:eastAsia="Arial" w:hAnsi="Arial"/>
          <w:sz w:val="14"/>
          <w:szCs w:val="14"/>
          <w:b w:val="1"/>
          <w:bCs w:val="1"/>
          <w:color w:val="3F3F3F"/>
        </w:rPr>
        <w:t>Goldman, Sachs &amp; Co.</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30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CEO and Public Company Management, Corporate Governance, Global Business, Finance, Accounting and Capital</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Markets,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Strategy and M&amp;A Experience </w:t>
      </w:r>
      <w:r>
        <w:rPr>
          <w:rFonts w:ascii="Arial" w:cs="Arial" w:eastAsia="Arial" w:hAnsi="Arial"/>
          <w:sz w:val="14"/>
          <w:szCs w:val="14"/>
          <w:color w:val="3F3F3F"/>
        </w:rPr>
        <w:t>developed during his various executive roles, more specifically during his years at</w:t>
      </w:r>
      <w:r>
        <w:rPr>
          <w:rFonts w:ascii="Arial" w:cs="Arial" w:eastAsia="Arial" w:hAnsi="Arial"/>
          <w:sz w:val="14"/>
          <w:szCs w:val="14"/>
          <w:b w:val="1"/>
          <w:bCs w:val="1"/>
          <w:color w:val="3F3F3F"/>
        </w:rPr>
        <w:t xml:space="preserve"> </w:t>
      </w:r>
      <w:r>
        <w:rPr>
          <w:rFonts w:ascii="Arial" w:cs="Arial" w:eastAsia="Arial" w:hAnsi="Arial"/>
          <w:sz w:val="14"/>
          <w:szCs w:val="14"/>
          <w:color w:val="3F3F3F"/>
        </w:rPr>
        <w:t>Goldman Sachs, where he engaged in public and private financing and advised M&amp;A transactions for publicly traded and privately owned companies, and further advanced through his founding and leadership of Granite Broadcasting</w:t>
      </w:r>
    </w:p>
    <w:p>
      <w:pPr>
        <w:spacing w:after="0" w:line="1" w:lineRule="exact"/>
        <w:rPr>
          <w:sz w:val="20"/>
          <w:szCs w:val="20"/>
          <w:color w:val="auto"/>
        </w:rPr>
      </w:pPr>
    </w:p>
    <w:p>
      <w:pPr>
        <w:ind w:left="300" w:right="4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Human Capital Management</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Information Security Experience</w:t>
      </w:r>
      <w:r>
        <w:rPr>
          <w:rFonts w:ascii="Arial" w:cs="Arial" w:eastAsia="Arial" w:hAnsi="Arial"/>
          <w:sz w:val="14"/>
          <w:szCs w:val="14"/>
          <w:color w:val="3F3F3F"/>
        </w:rPr>
        <w:t xml:space="preserve"> gained while serving as the COO of the Corporate Finance Department of the Investment Banking Division of Goldman Sachs where he was responsible for the management of the department including building the operational infrastructure—information technology (“IT”), document production, training and recruiting—while the department of over 150 investment banking professionals was experiencing significant staffing growth in response to a dramatic increase in the volume of transactions they were handling</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 Mr. Cornwell also brings </w:t>
      </w:r>
      <w:r>
        <w:rPr>
          <w:rFonts w:ascii="Arial" w:cs="Arial" w:eastAsia="Arial" w:hAnsi="Arial"/>
          <w:sz w:val="14"/>
          <w:szCs w:val="14"/>
          <w:b w:val="1"/>
          <w:bCs w:val="1"/>
          <w:color w:val="3F3F3F"/>
        </w:rPr>
        <w:t>Healthcare Industry</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Legal and Regulatory Oversight Experience</w:t>
      </w:r>
      <w:r>
        <w:rPr>
          <w:rFonts w:ascii="Arial" w:cs="Arial" w:eastAsia="Arial" w:hAnsi="Arial"/>
          <w:sz w:val="14"/>
          <w:szCs w:val="14"/>
          <w:color w:val="3F3F3F"/>
        </w:rPr>
        <w:t xml:space="preserve"> to the Board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300" w:right="4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American International Group, Inc.</w:t>
      </w:r>
      <w:r>
        <w:rPr>
          <w:rFonts w:ascii="Arial" w:cs="Arial" w:eastAsia="Arial" w:hAnsi="Arial"/>
          <w:sz w:val="14"/>
          <w:szCs w:val="14"/>
          <w:color w:val="3F3F3F"/>
        </w:rPr>
        <w:t xml:space="preserve"> (NYSE: AIG) (2011 - 2024), Director and most recently member of the Audit and Nominating and Corporate Governance Committees</w:t>
      </w:r>
    </w:p>
    <w:p>
      <w:pPr>
        <w:spacing w:after="0" w:line="1" w:lineRule="exact"/>
        <w:rPr>
          <w:sz w:val="20"/>
          <w:szCs w:val="20"/>
          <w:color w:val="auto"/>
        </w:rPr>
      </w:pPr>
    </w:p>
    <w:p>
      <w:pPr>
        <w:ind w:left="300" w:right="40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Natura &amp; Co Holding S.A.</w:t>
      </w:r>
      <w:r>
        <w:rPr>
          <w:rFonts w:ascii="Arial" w:cs="Arial" w:eastAsia="Arial" w:hAnsi="Arial"/>
          <w:sz w:val="14"/>
          <w:szCs w:val="14"/>
          <w:color w:val="3F3F3F"/>
        </w:rPr>
        <w:t xml:space="preserve"> (NYSE: NTCO) (2020 - 2023), Director and most recently member of the Corporate Governance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Avon Products, Inc.</w:t>
      </w:r>
      <w:r>
        <w:rPr>
          <w:rFonts w:ascii="Arial" w:cs="Arial" w:eastAsia="Arial" w:hAnsi="Arial"/>
          <w:sz w:val="14"/>
          <w:szCs w:val="14"/>
          <w:color w:val="3F3F3F"/>
        </w:rPr>
        <w:t xml:space="preserve"> (2002 - 2020 when acquired by Natura), Director</w:t>
      </w:r>
    </w:p>
    <w:p>
      <w:pPr>
        <w:spacing w:after="0" w:line="1" w:lineRule="exact"/>
        <w:rPr>
          <w:sz w:val="20"/>
          <w:szCs w:val="20"/>
          <w:color w:val="auto"/>
        </w:rPr>
      </w:pPr>
    </w:p>
    <w:p>
      <w:pPr>
        <w:ind w:left="300" w:right="42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Pfizer</w:t>
      </w:r>
      <w:r>
        <w:rPr>
          <w:rFonts w:ascii="Arial" w:cs="Arial" w:eastAsia="Arial" w:hAnsi="Arial"/>
          <w:sz w:val="14"/>
          <w:szCs w:val="14"/>
          <w:color w:val="3F3F3F"/>
        </w:rPr>
        <w:t xml:space="preserve"> (NYSE: PFE) (1997 - the closing of the Combination in 2020), Director and most recently Chair of the Regulatory and Compliance Committee and member of the Governance and Sustainability Committee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 Board of Trustees, </w:t>
      </w:r>
      <w:r>
        <w:rPr>
          <w:rFonts w:ascii="Arial" w:cs="Arial" w:eastAsia="Arial" w:hAnsi="Arial"/>
          <w:sz w:val="14"/>
          <w:szCs w:val="14"/>
          <w:b w:val="1"/>
          <w:bCs w:val="1"/>
          <w:color w:val="3F3F3F"/>
        </w:rPr>
        <w:t>Big Brothers Big Sisters of New York City</w:t>
      </w:r>
    </w:p>
    <w:p>
      <w:pPr>
        <w:spacing w:after="0" w:line="1" w:lineRule="exact"/>
        <w:rPr>
          <w:sz w:val="20"/>
          <w:szCs w:val="20"/>
          <w:color w:val="auto"/>
        </w:rPr>
      </w:pPr>
    </w:p>
    <w:p>
      <w:pPr>
        <w:ind w:left="300" w:right="280" w:hanging="143"/>
        <w:spacing w:after="0" w:line="241" w:lineRule="auto"/>
        <w:rPr>
          <w:sz w:val="20"/>
          <w:szCs w:val="20"/>
          <w:color w:val="auto"/>
        </w:rPr>
      </w:pPr>
      <w:r>
        <w:rPr>
          <w:rFonts w:ascii="Arial" w:cs="Arial" w:eastAsia="Arial" w:hAnsi="Arial"/>
          <w:sz w:val="14"/>
          <w:szCs w:val="14"/>
          <w:color w:val="3F3F3F"/>
        </w:rPr>
        <w:t xml:space="preserve">•   Vice Chairman of the Board of Directors, </w:t>
      </w:r>
      <w:r>
        <w:rPr>
          <w:rFonts w:ascii="Arial" w:cs="Arial" w:eastAsia="Arial" w:hAnsi="Arial"/>
          <w:sz w:val="14"/>
          <w:szCs w:val="14"/>
          <w:b w:val="1"/>
          <w:bCs w:val="1"/>
          <w:color w:val="3F3F3F"/>
        </w:rPr>
        <w:t>Blue Meridian Partners</w:t>
      </w:r>
      <w:r>
        <w:rPr>
          <w:rFonts w:ascii="Arial" w:cs="Arial" w:eastAsia="Arial" w:hAnsi="Arial"/>
          <w:sz w:val="14"/>
          <w:szCs w:val="14"/>
          <w:color w:val="3F3F3F"/>
        </w:rPr>
        <w:t>, a partnership of philanthropists that invests in strategies to impact social problems confronting young people and families in poverty</w:t>
      </w:r>
    </w:p>
    <w:p>
      <w:pPr>
        <w:spacing w:after="0" w:line="1" w:lineRule="exact"/>
        <w:rPr>
          <w:sz w:val="20"/>
          <w:szCs w:val="20"/>
          <w:color w:val="auto"/>
        </w:rPr>
      </w:pPr>
    </w:p>
    <w:p>
      <w:pPr>
        <w:ind w:left="300" w:right="140" w:hanging="143"/>
        <w:spacing w:after="0" w:line="233" w:lineRule="auto"/>
        <w:rPr>
          <w:sz w:val="20"/>
          <w:szCs w:val="20"/>
          <w:color w:val="auto"/>
        </w:rPr>
      </w:pPr>
      <w:r>
        <w:rPr>
          <w:rFonts w:ascii="Arial" w:cs="Arial" w:eastAsia="Arial" w:hAnsi="Arial"/>
          <w:sz w:val="14"/>
          <w:szCs w:val="14"/>
          <w:color w:val="3F3F3F"/>
        </w:rPr>
        <w:t xml:space="preserve">•   Advisory, </w:t>
      </w:r>
      <w:r>
        <w:rPr>
          <w:rFonts w:ascii="Arial" w:cs="Arial" w:eastAsia="Arial" w:hAnsi="Arial"/>
          <w:sz w:val="14"/>
          <w:szCs w:val="14"/>
          <w:b w:val="1"/>
          <w:bCs w:val="1"/>
          <w:color w:val="3F3F3F"/>
        </w:rPr>
        <w:t>Orca Biosystems, Inc.</w:t>
      </w:r>
      <w:r>
        <w:rPr>
          <w:rFonts w:ascii="Arial" w:cs="Arial" w:eastAsia="Arial" w:hAnsi="Arial"/>
          <w:sz w:val="14"/>
          <w:szCs w:val="14"/>
          <w:color w:val="3F3F3F"/>
        </w:rPr>
        <w:t>, a private biotechnology company developing high-precision cell therapies for the treatment of cancer and autoimmune diseases</w:t>
      </w:r>
    </w:p>
    <w:p>
      <w:pPr>
        <w:spacing w:after="0" w:line="235" w:lineRule="auto"/>
        <w:rPr>
          <w:sz w:val="20"/>
          <w:szCs w:val="20"/>
          <w:color w:val="auto"/>
        </w:rPr>
      </w:pPr>
      <w:r>
        <w:rPr>
          <w:rFonts w:ascii="Arial" w:cs="Arial" w:eastAsia="Arial" w:hAnsi="Arial"/>
          <w:sz w:val="13"/>
          <w:szCs w:val="13"/>
          <w:color w:val="3F3F3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ind w:left="300" w:right="260" w:hanging="287"/>
        <w:spacing w:after="0" w:line="249" w:lineRule="auto"/>
        <w:rPr>
          <w:sz w:val="20"/>
          <w:szCs w:val="20"/>
          <w:color w:val="auto"/>
        </w:rPr>
      </w:pPr>
      <w:r>
        <w:rPr>
          <w:rFonts w:ascii="Arial" w:cs="Arial" w:eastAsia="Arial" w:hAnsi="Arial"/>
          <w:sz w:val="14"/>
          <w:szCs w:val="14"/>
          <w:color w:val="3F3F3F"/>
        </w:rPr>
        <w:t>*     The Board, on the recommendation of the Governance and Sustainability Committee, has, in accordance with its Corporate Governance Principles, approved a waiver to the mandatory retirement age for Directors for Mr. Cornwell and determined that such waiver was in the best interests of the Company because of his continued extensive contributions to the Board and his knowledge and familiarity with the legacy Upjohn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121285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121285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121285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121285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121285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121285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121285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121285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121285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121285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121285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121285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121285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121285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121285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121285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121285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121285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121285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121285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121285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121285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121285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121285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121285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121285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121285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121285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121285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121285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121285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121285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121285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121285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121285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121285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121285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121285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121285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121285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121285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121285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121285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121285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121285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121285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121285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121285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121285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121285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121285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121285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121285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121285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121285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121285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121285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121285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121285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121285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121285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121285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121285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121285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121285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121285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121285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121285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121285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121285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121285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121285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121285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121285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121285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121285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121285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121285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121285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121285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121285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121285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121285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121285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121285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121285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121285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121285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121285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121285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121285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121285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121285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121285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121285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121285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121285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121285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121285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121285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121285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121285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121285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121285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121285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121285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121285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121285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121285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121285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121285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121285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121285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121285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121285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121285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121285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121285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121285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121285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121285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121285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121285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121285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121285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121285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121285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121285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121285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121285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121285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121285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121285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121285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121285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121285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121285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121285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121285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121285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121285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121285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121285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121285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121285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121285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121285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121285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121285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121285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121285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121285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121285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121285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121285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121285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121285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121285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121285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121285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121285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121285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121285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121285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121285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121285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121285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121285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121285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121285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121285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121285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121285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121285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121285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121285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121285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121285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121285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121285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121285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121285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121285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121285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121285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121285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121285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121285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121285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121285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121285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121285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121285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121285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121285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121285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121285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121285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121285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121285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121285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121285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121285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121285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121285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121285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121285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121285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121285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121285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121285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121285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121285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121285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121285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121285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121285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121285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121285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121285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121285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121285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121285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121285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121285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121285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121285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121285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121285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121285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121285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121285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121285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121285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121285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121285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121285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121285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121285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121285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121285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121285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121285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121285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121285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121285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121285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121285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121285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121285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121285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121285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121285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121285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121285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121285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121285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121285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121285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121285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121285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121285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121285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121285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121285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121285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121285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121285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121285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121285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121285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121285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121285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121285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121285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121285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121285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121285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121285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121285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121285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121285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121285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121285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121285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121285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121285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121285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121285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121285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121285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121285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121285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121285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121285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121285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121285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121285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121285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121285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121285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121285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121285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121285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121285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121285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121285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121285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121285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121285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121285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121285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121285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121285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121285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121285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121285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121285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121285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121285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121285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224155</wp:posOffset>
            </wp:positionV>
            <wp:extent cx="7029450" cy="685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140"/>
            <w:col w:w="8540"/>
          </w:cols>
          <w:pgMar w:left="320" w:top="482" w:right="499" w:bottom="1440" w:gutter="0" w:footer="0" w:header="0"/>
          <w:type w:val="continuous"/>
        </w:sect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16 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right="700"/>
        <w:spacing w:after="0" w:line="342" w:lineRule="auto"/>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r>
        <w:rPr>
          <w:rFonts w:ascii="Arial" w:cs="Arial" w:eastAsia="Arial" w:hAnsi="Arial"/>
          <w:sz w:val="14"/>
          <w:szCs w:val="14"/>
          <w:b w:val="1"/>
          <w:bCs w:val="1"/>
          <w:color w:val="231161"/>
        </w:rPr>
        <w:t xml:space="preserve"> Age: </w:t>
      </w:r>
      <w:r>
        <w:rPr>
          <w:rFonts w:ascii="Arial" w:cs="Arial" w:eastAsia="Arial" w:hAnsi="Arial"/>
          <w:sz w:val="14"/>
          <w:szCs w:val="14"/>
          <w:color w:val="3F3F3F"/>
        </w:rPr>
        <w:t>61</w:t>
      </w: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 Audit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 Compensation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 Executive</w:t>
      </w:r>
    </w:p>
    <w:p>
      <w:pPr>
        <w:spacing w:after="0" w:line="1" w:lineRule="exact"/>
        <w:rPr>
          <w:sz w:val="20"/>
          <w:szCs w:val="20"/>
          <w:color w:val="auto"/>
        </w:rPr>
      </w:pPr>
    </w:p>
    <w:p>
      <w:pPr>
        <w:ind w:left="200" w:hanging="90"/>
        <w:spacing w:after="0" w:line="264" w:lineRule="auto"/>
        <w:rPr>
          <w:sz w:val="20"/>
          <w:szCs w:val="20"/>
          <w:color w:val="auto"/>
        </w:rPr>
      </w:pPr>
      <w:r>
        <w:rPr>
          <w:rFonts w:ascii="Arial" w:cs="Arial" w:eastAsia="Arial" w:hAnsi="Arial"/>
          <w:sz w:val="14"/>
          <w:szCs w:val="14"/>
          <w:color w:val="3F3F3F"/>
        </w:rPr>
        <w:t>• Governance and Sustainability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897890</wp:posOffset>
            </wp:positionV>
            <wp:extent cx="1405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1086485</wp:posOffset>
            </wp:positionV>
            <wp:extent cx="1200150" cy="12172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231161"/>
        </w:rPr>
        <w:t>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-756285</wp:posOffset>
            </wp:positionV>
            <wp:extent cx="7174865" cy="552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2" w:lineRule="exact"/>
        <w:rPr>
          <w:sz w:val="20"/>
          <w:szCs w:val="20"/>
          <w:color w:val="auto"/>
        </w:rPr>
      </w:pPr>
    </w:p>
    <w:p>
      <w:pPr>
        <w:ind w:left="300" w:right="60" w:hanging="143"/>
        <w:spacing w:after="0" w:line="246" w:lineRule="auto"/>
        <w:rPr>
          <w:sz w:val="20"/>
          <w:szCs w:val="20"/>
          <w:color w:val="auto"/>
        </w:rPr>
      </w:pPr>
      <w:r>
        <w:rPr>
          <w:rFonts w:ascii="Arial" w:cs="Arial" w:eastAsia="Arial" w:hAnsi="Arial"/>
          <w:sz w:val="14"/>
          <w:szCs w:val="14"/>
          <w:color w:val="3F3F3F"/>
        </w:rPr>
        <w:t xml:space="preserve">•   Executive Vice President, Strategic Developments and Capital Markets (2014-2017); Chief Legal Officer and Corporate Secretary, </w:t>
      </w:r>
      <w:r>
        <w:rPr>
          <w:rFonts w:ascii="Arial" w:cs="Arial" w:eastAsia="Arial" w:hAnsi="Arial"/>
          <w:sz w:val="14"/>
          <w:szCs w:val="14"/>
          <w:b w:val="1"/>
          <w:bCs w:val="1"/>
          <w:color w:val="3F3F3F"/>
        </w:rPr>
        <w:t xml:space="preserve">The ExOne Company </w:t>
      </w:r>
      <w:r>
        <w:rPr>
          <w:rFonts w:ascii="Arial" w:cs="Arial" w:eastAsia="Arial" w:hAnsi="Arial"/>
          <w:sz w:val="14"/>
          <w:szCs w:val="14"/>
          <w:color w:val="3F3F3F"/>
        </w:rPr>
        <w:t>(2013-2017). ExOne merged with Desktop Metal (NYSE: DM) in November 2021. ExOne was a global</w:t>
      </w:r>
      <w:r>
        <w:rPr>
          <w:rFonts w:ascii="Arial" w:cs="Arial" w:eastAsia="Arial" w:hAnsi="Arial"/>
          <w:sz w:val="14"/>
          <w:szCs w:val="14"/>
          <w:b w:val="1"/>
          <w:bCs w:val="1"/>
          <w:color w:val="3F3F3F"/>
        </w:rPr>
        <w:t xml:space="preserve"> </w:t>
      </w:r>
      <w:r>
        <w:rPr>
          <w:rFonts w:ascii="Arial" w:cs="Arial" w:eastAsia="Arial" w:hAnsi="Arial"/>
          <w:sz w:val="14"/>
          <w:szCs w:val="14"/>
          <w:color w:val="3F3F3F"/>
        </w:rPr>
        <w:t>provider of three-dimensional (3D) printing machines and printed products, materials and other services to industrial customers creating products in metal on a worldwide basis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 Partner (2002 - 2011), </w:t>
      </w:r>
      <w:r>
        <w:rPr>
          <w:rFonts w:ascii="Arial" w:cs="Arial" w:eastAsia="Arial" w:hAnsi="Arial"/>
          <w:sz w:val="14"/>
          <w:szCs w:val="14"/>
          <w:b w:val="1"/>
          <w:bCs w:val="1"/>
          <w:color w:val="3F3F3F"/>
        </w:rPr>
        <w:t>Reed Smith LLP</w:t>
      </w:r>
      <w:r>
        <w:rPr>
          <w:rFonts w:ascii="Arial" w:cs="Arial" w:eastAsia="Arial" w:hAnsi="Arial"/>
          <w:sz w:val="14"/>
          <w:szCs w:val="14"/>
          <w:color w:val="3F3F3F"/>
        </w:rPr>
        <w:t>, a law firm</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 Partner (1997 - 2002), </w:t>
      </w:r>
      <w:r>
        <w:rPr>
          <w:rFonts w:ascii="Arial" w:cs="Arial" w:eastAsia="Arial" w:hAnsi="Arial"/>
          <w:sz w:val="14"/>
          <w:szCs w:val="14"/>
          <w:b w:val="1"/>
          <w:bCs w:val="1"/>
          <w:color w:val="3F3F3F"/>
        </w:rPr>
        <w:t>Buchanan Ingersoll &amp; Rooney PC</w:t>
      </w:r>
      <w:r>
        <w:rPr>
          <w:rFonts w:ascii="Arial" w:cs="Arial" w:eastAsia="Arial" w:hAnsi="Arial"/>
          <w:sz w:val="14"/>
          <w:szCs w:val="14"/>
          <w:color w:val="3F3F3F"/>
        </w:rPr>
        <w:t>, a law firm (joined the firm in 1988)</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300" w:right="6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Corporate Governance, Finance, Accounting and Capital Markets, Global Business,</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Human Capital Management, Information Security, Legal and Regulatory Oversight, Risk Oversight/Compliance,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Strategy and M&amp;A Experience </w:t>
      </w:r>
      <w:r>
        <w:rPr>
          <w:rFonts w:ascii="Arial" w:cs="Arial" w:eastAsia="Arial" w:hAnsi="Arial"/>
          <w:sz w:val="14"/>
          <w:szCs w:val="14"/>
          <w:color w:val="3F3F3F"/>
        </w:rPr>
        <w:t>gained during her almost 25-year legal career in corporate mergers and acquisitions (“M&amp;A”) and</w:t>
      </w:r>
      <w:r>
        <w:rPr>
          <w:rFonts w:ascii="Arial" w:cs="Arial" w:eastAsia="Arial" w:hAnsi="Arial"/>
          <w:sz w:val="14"/>
          <w:szCs w:val="14"/>
          <w:b w:val="1"/>
          <w:bCs w:val="1"/>
          <w:color w:val="3F3F3F"/>
        </w:rPr>
        <w:t xml:space="preserve"> </w:t>
      </w:r>
      <w:r>
        <w:rPr>
          <w:rFonts w:ascii="Arial" w:cs="Arial" w:eastAsia="Arial" w:hAnsi="Arial"/>
          <w:sz w:val="14"/>
          <w:szCs w:val="14"/>
          <w:color w:val="3F3F3F"/>
        </w:rPr>
        <w:t>securities, where she represented both public and private companies in a variety of complex matters, and further developed while at ExOne, where she was responsible for capital markets development, corporate strategic planning, human resources including oversight of DEI,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2023 and 2024 Stanford Directors’ College, on such topics</w:t>
      </w:r>
    </w:p>
    <w:p>
      <w:pPr>
        <w:spacing w:after="0" w:line="165" w:lineRule="exact"/>
        <w:rPr>
          <w:sz w:val="20"/>
          <w:szCs w:val="20"/>
          <w:color w:val="auto"/>
        </w:rPr>
      </w:pPr>
    </w:p>
    <w:p>
      <w:pPr>
        <w:ind w:left="160" w:right="540"/>
        <w:spacing w:after="0" w:line="273" w:lineRule="auto"/>
        <w:rPr>
          <w:sz w:val="20"/>
          <w:szCs w:val="20"/>
          <w:color w:val="auto"/>
        </w:rPr>
      </w:pPr>
      <w:r>
        <w:rPr>
          <w:rFonts w:ascii="Arial" w:cs="Arial" w:eastAsia="Arial" w:hAnsi="Arial"/>
          <w:sz w:val="14"/>
          <w:szCs w:val="14"/>
          <w:color w:val="3F3F3F"/>
        </w:rPr>
        <w:t xml:space="preserve">•   Completed certification “Board Governance: Navigating Emerging Technologies and Future Frontiers” at Cornell University •   </w:t>
      </w:r>
      <w:r>
        <w:rPr>
          <w:rFonts w:ascii="Arial" w:cs="Arial" w:eastAsia="Arial" w:hAnsi="Arial"/>
          <w:sz w:val="14"/>
          <w:szCs w:val="14"/>
          <w:b w:val="1"/>
          <w:bCs w:val="1"/>
          <w:color w:val="3F3F3F"/>
        </w:rPr>
        <w:t>CSR Experience</w:t>
      </w:r>
      <w:r>
        <w:rPr>
          <w:rFonts w:ascii="Arial" w:cs="Arial" w:eastAsia="Arial" w:hAnsi="Arial"/>
          <w:sz w:val="14"/>
          <w:szCs w:val="14"/>
          <w:color w:val="3F3F3F"/>
        </w:rPr>
        <w:t xml:space="preserve"> obtained through her legal and regulatory background, in addition to ongoing education programs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World Wrestling Entertainment, Inc.</w:t>
      </w:r>
      <w:r>
        <w:rPr>
          <w:rFonts w:ascii="Arial" w:cs="Arial" w:eastAsia="Arial" w:hAnsi="Arial"/>
          <w:sz w:val="14"/>
          <w:szCs w:val="14"/>
          <w:color w:val="3F3F3F"/>
        </w:rPr>
        <w:t xml:space="preserve"> (2022 - 2023) (now known as World Wrestling, LLC), Director</w:t>
      </w:r>
    </w:p>
    <w:p>
      <w:pPr>
        <w:spacing w:after="0" w:line="1" w:lineRule="exact"/>
        <w:rPr>
          <w:sz w:val="20"/>
          <w:szCs w:val="20"/>
          <w:color w:val="auto"/>
        </w:rPr>
      </w:pPr>
    </w:p>
    <w:p>
      <w:pPr>
        <w:ind w:left="300" w:right="26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Mylan</w:t>
      </w:r>
      <w:r>
        <w:rPr>
          <w:rFonts w:ascii="Arial" w:cs="Arial" w:eastAsia="Arial" w:hAnsi="Arial"/>
          <w:sz w:val="14"/>
          <w:szCs w:val="14"/>
          <w:color w:val="3F3F3F"/>
        </w:rPr>
        <w:t xml:space="preserve"> (2014 - the closing of the Combination in 2020), Director, most recently Chair of the Compensation and Governance and Nominating Committees and member of the Audit, Compliance and Executive Committees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300" w:right="40" w:hanging="143"/>
        <w:spacing w:after="0" w:line="264" w:lineRule="auto"/>
        <w:rPr>
          <w:sz w:val="20"/>
          <w:szCs w:val="20"/>
          <w:color w:val="auto"/>
        </w:rPr>
      </w:pPr>
      <w:r>
        <w:rPr>
          <w:rFonts w:ascii="Arial" w:cs="Arial" w:eastAsia="Arial" w:hAnsi="Arial"/>
          <w:sz w:val="14"/>
          <w:szCs w:val="14"/>
          <w:color w:val="3F3F3F"/>
        </w:rPr>
        <w:t xml:space="preserve">•   Board of Directors, </w:t>
      </w:r>
      <w:r>
        <w:rPr>
          <w:rFonts w:ascii="Arial" w:cs="Arial" w:eastAsia="Arial" w:hAnsi="Arial"/>
          <w:sz w:val="14"/>
          <w:szCs w:val="14"/>
          <w:b w:val="1"/>
          <w:bCs w:val="1"/>
          <w:color w:val="3F3F3F"/>
        </w:rPr>
        <w:t>S.K. Rockwell Conservation Fund</w:t>
      </w:r>
      <w:r>
        <w:rPr>
          <w:rFonts w:ascii="Arial" w:cs="Arial" w:eastAsia="Arial" w:hAnsi="Arial"/>
          <w:sz w:val="14"/>
          <w:szCs w:val="14"/>
          <w:color w:val="3F3F3F"/>
        </w:rPr>
        <w:t>, a non-profit corporation established with the principal concept to preserve and enhance environmental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140970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140970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140970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140970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140970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140970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140970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140970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140970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140970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140970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140970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140970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140970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140970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140970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140970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140970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140970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140970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140970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140970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140970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140970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140970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140970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140970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140970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140970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140970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140970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140970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140970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140970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140970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140970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140970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140970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140970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140970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140970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140970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140970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140970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140970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140970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140970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140970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140970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140970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140970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140970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140970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140970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140970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140970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140970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140970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140970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140970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140970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140970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140970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140970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140970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140970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140970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140970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140970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140970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140970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140970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140970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140970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140970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140970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140970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140970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140970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140970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140970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140970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140970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140970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140970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140970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140970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140970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140970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140970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140970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140970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140970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140970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140970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140970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140970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140970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140970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140970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140970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140970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140970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140970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140970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140970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140970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140970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140970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140970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140970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140970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140970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140970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140970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140970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140970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140970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140970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140970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140970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140970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140970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140970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140970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140970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140970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140970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140970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140970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140970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140970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140970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140970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140970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140970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140970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140970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140970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140970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140970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140970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140970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140970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140970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140970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140970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140970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140970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140970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140970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140970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140970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140970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140970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140970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140970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140970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140970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140970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140970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140970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140970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140970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140970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140970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140970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140970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140970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140970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140970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140970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140970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140970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140970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140970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140970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140970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140970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140970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140970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140970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140970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140970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140970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140970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140970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140970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140970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140970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140970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140970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140970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140970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140970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140970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140970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140970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140970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140970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140970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140970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140970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140970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140970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140970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140970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140970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140970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140970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140970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140970</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140970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140970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140970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140970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140970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140970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140970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140970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140970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140970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140970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140970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140970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140970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140970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140970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140970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140970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140970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140970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140970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140970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140970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140970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140970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140970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140970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140970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140970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140970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140970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140970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140970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140970</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140970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140970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140970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140970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140970</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140970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140970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140970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140970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140970</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140970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140970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140970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140970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140970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140970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140970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140970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140970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140970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140970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140970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140970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140970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140970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140970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140970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140970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140970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140970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140970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140970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140970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140970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140970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140970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140970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140970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140970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140970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140970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140970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140970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140970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140970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140970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140970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140970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140970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140970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140970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140970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140970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140970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140970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140970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140970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140970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140970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140970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140970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140970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140970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140970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140970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140970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140970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140970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140970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140970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140970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140970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140970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140970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140970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140970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140970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140970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140970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400"/>
            <w:col w:w="860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380"/>
        <w:spacing w:after="0" w:line="342" w:lineRule="auto"/>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2022</w:t>
      </w:r>
      <w:r>
        <w:rPr>
          <w:rFonts w:ascii="Arial" w:cs="Arial" w:eastAsia="Arial" w:hAnsi="Arial"/>
          <w:sz w:val="14"/>
          <w:szCs w:val="14"/>
          <w:b w:val="1"/>
          <w:bCs w:val="1"/>
          <w:color w:val="231161"/>
        </w:rPr>
        <w:t xml:space="preserve"> Age: </w:t>
      </w:r>
      <w:r>
        <w:rPr>
          <w:rFonts w:ascii="Arial" w:cs="Arial" w:eastAsia="Arial" w:hAnsi="Arial"/>
          <w:sz w:val="14"/>
          <w:szCs w:val="14"/>
          <w:color w:val="3F3F3F"/>
        </w:rPr>
        <w:t>63</w:t>
      </w: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 Audit*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3F3F3F"/>
        </w:rPr>
        <w:t>• Finance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1163955</wp:posOffset>
            </wp:positionV>
            <wp:extent cx="123444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231161"/>
        </w:rPr>
        <w:t>Elisha Finney</w:t>
      </w:r>
    </w:p>
    <w:p>
      <w:pPr>
        <w:spacing w:after="0" w:line="122" w:lineRule="exact"/>
        <w:rPr>
          <w:sz w:val="20"/>
          <w:szCs w:val="20"/>
          <w:color w:val="auto"/>
        </w:rPr>
      </w:pPr>
    </w:p>
    <w:p>
      <w:pPr>
        <w:ind w:left="300" w:right="140" w:hanging="143"/>
        <w:spacing w:after="0" w:line="294" w:lineRule="auto"/>
        <w:rPr>
          <w:sz w:val="20"/>
          <w:szCs w:val="20"/>
          <w:color w:val="auto"/>
        </w:rPr>
      </w:pPr>
      <w:r>
        <w:rPr>
          <w:rFonts w:ascii="Arial" w:cs="Arial" w:eastAsia="Arial" w:hAnsi="Arial"/>
          <w:sz w:val="14"/>
          <w:szCs w:val="14"/>
          <w:color w:val="3F3F3F"/>
        </w:rPr>
        <w:t xml:space="preserve">•   Executive Vice President (2012 - 2017), Chief Financial Officer (April 1999 - May 2017), Senior Vice President (2005 - 2012), Vice President of Finance (1999 - 2005), joined the company in 1988, </w:t>
      </w:r>
      <w:r>
        <w:rPr>
          <w:rFonts w:ascii="Arial" w:cs="Arial" w:eastAsia="Arial" w:hAnsi="Arial"/>
          <w:sz w:val="14"/>
          <w:szCs w:val="14"/>
          <w:b w:val="1"/>
          <w:bCs w:val="1"/>
          <w:color w:val="3F3F3F"/>
        </w:rPr>
        <w:t>Varian Medical Systems, Inc.</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300" w:right="8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Corporate Governance, Healthcare Industry, Human Capital Management, Finance,</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Accounting and Capital Markets, Information Security,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Risk Oversight/Compliance Experience </w:t>
      </w:r>
      <w:r>
        <w:rPr>
          <w:rFonts w:ascii="Arial" w:cs="Arial" w:eastAsia="Arial" w:hAnsi="Arial"/>
          <w:sz w:val="14"/>
          <w:szCs w:val="14"/>
          <w:color w:val="3F3F3F"/>
        </w:rPr>
        <w:t>gained during her time</w:t>
      </w:r>
      <w:r>
        <w:rPr>
          <w:rFonts w:ascii="Arial" w:cs="Arial" w:eastAsia="Arial" w:hAnsi="Arial"/>
          <w:sz w:val="14"/>
          <w:szCs w:val="14"/>
          <w:b w:val="1"/>
          <w:bCs w:val="1"/>
          <w:color w:val="3F3F3F"/>
        </w:rPr>
        <w:t xml:space="preserve"> </w:t>
      </w:r>
      <w:r>
        <w:rPr>
          <w:rFonts w:ascii="Arial" w:cs="Arial" w:eastAsia="Arial" w:hAnsi="Arial"/>
          <w:sz w:val="14"/>
          <w:szCs w:val="14"/>
          <w:color w:val="3F3F3F"/>
        </w:rPr>
        <w:t>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 Ms. Finney also brings </w:t>
      </w:r>
      <w:r>
        <w:rPr>
          <w:rFonts w:ascii="Arial" w:cs="Arial" w:eastAsia="Arial" w:hAnsi="Arial"/>
          <w:sz w:val="14"/>
          <w:szCs w:val="14"/>
          <w:b w:val="1"/>
          <w:bCs w:val="1"/>
          <w:color w:val="3F3F3F"/>
        </w:rPr>
        <w:t>Global Business</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Strategy and M&amp;A Experience</w:t>
      </w:r>
      <w:r>
        <w:rPr>
          <w:rFonts w:ascii="Arial" w:cs="Arial" w:eastAsia="Arial" w:hAnsi="Arial"/>
          <w:sz w:val="14"/>
          <w:szCs w:val="14"/>
          <w:color w:val="3F3F3F"/>
        </w:rPr>
        <w:t xml:space="preserve"> to the Board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Mettler-Toledo International Inc.</w:t>
      </w:r>
      <w:r>
        <w:rPr>
          <w:rFonts w:ascii="Arial" w:cs="Arial" w:eastAsia="Arial" w:hAnsi="Arial"/>
          <w:sz w:val="14"/>
          <w:szCs w:val="14"/>
          <w:color w:val="3F3F3F"/>
        </w:rPr>
        <w:t xml:space="preserve"> (NYSE: MTD) (since 2017), Director and Chair of the Audit Committee</w:t>
      </w:r>
    </w:p>
    <w:p>
      <w:pPr>
        <w:spacing w:after="0" w:line="1" w:lineRule="exact"/>
        <w:rPr>
          <w:sz w:val="20"/>
          <w:szCs w:val="20"/>
          <w:color w:val="auto"/>
        </w:rPr>
      </w:pPr>
    </w:p>
    <w:p>
      <w:pPr>
        <w:ind w:left="300" w:right="18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ICU Medical, Inc.</w:t>
      </w:r>
      <w:r>
        <w:rPr>
          <w:rFonts w:ascii="Arial" w:cs="Arial" w:eastAsia="Arial" w:hAnsi="Arial"/>
          <w:sz w:val="14"/>
          <w:szCs w:val="14"/>
          <w:color w:val="3F3F3F"/>
        </w:rPr>
        <w:t xml:space="preserve"> (NASDAQ: ICUI) (since 2016), Director, Chair of the Nominating and Governance Committee, and member of the Audit and Compliance Committees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NanoString Technologies, Inc</w:t>
      </w:r>
      <w:r>
        <w:rPr>
          <w:rFonts w:ascii="Arial" w:cs="Arial" w:eastAsia="Arial" w:hAnsi="Arial"/>
          <w:sz w:val="14"/>
          <w:szCs w:val="14"/>
          <w:color w:val="3F3F3F"/>
        </w:rPr>
        <w:t xml:space="preserve"> (2017 - 2024), Director and Chair of the Audit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iRobot Corporation</w:t>
      </w:r>
      <w:r>
        <w:rPr>
          <w:rFonts w:ascii="Arial" w:cs="Arial" w:eastAsia="Arial" w:hAnsi="Arial"/>
          <w:sz w:val="14"/>
          <w:szCs w:val="14"/>
          <w:color w:val="3F3F3F"/>
        </w:rPr>
        <w:t xml:space="preserve"> (NASDAQ: IRBT) (2017 - 2021), Director and member of the Audit and Compensation and Talent Committees</w:t>
      </w:r>
    </w:p>
    <w:p>
      <w:pPr>
        <w:spacing w:after="0" w:line="1" w:lineRule="exact"/>
        <w:rPr>
          <w:sz w:val="20"/>
          <w:szCs w:val="20"/>
          <w:color w:val="auto"/>
        </w:rPr>
      </w:pPr>
    </w:p>
    <w:p>
      <w:pPr>
        <w:ind w:left="300" w:right="62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Cutera, Inc.</w:t>
      </w:r>
      <w:r>
        <w:rPr>
          <w:rFonts w:ascii="Arial" w:cs="Arial" w:eastAsia="Arial" w:hAnsi="Arial"/>
          <w:sz w:val="14"/>
          <w:szCs w:val="14"/>
          <w:color w:val="3F3F3F"/>
        </w:rPr>
        <w:t xml:space="preserve"> (NASDAQ: CUTR) (2017 - 2019), Director, Chair of the Audit Committee, and member of the Enterprise Risk Committee</w:t>
      </w:r>
    </w:p>
    <w:p>
      <w:pPr>
        <w:spacing w:after="0" w:line="1" w:lineRule="exact"/>
        <w:rPr>
          <w:sz w:val="20"/>
          <w:szCs w:val="20"/>
          <w:color w:val="auto"/>
        </w:rPr>
      </w:pPr>
    </w:p>
    <w:p>
      <w:pPr>
        <w:ind w:left="160" w:right="1160"/>
        <w:spacing w:after="0" w:line="233"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Altera Corporation</w:t>
      </w:r>
      <w:r>
        <w:rPr>
          <w:rFonts w:ascii="Arial" w:cs="Arial" w:eastAsia="Arial" w:hAnsi="Arial"/>
          <w:sz w:val="14"/>
          <w:szCs w:val="14"/>
          <w:color w:val="3F3F3F"/>
        </w:rPr>
        <w:t xml:space="preserve"> (2011 - 2015 when acquired by Intel Corporation), Director and Chair of the Audit Committee •   </w:t>
      </w:r>
      <w:r>
        <w:rPr>
          <w:rFonts w:ascii="Arial" w:cs="Arial" w:eastAsia="Arial" w:hAnsi="Arial"/>
          <w:sz w:val="14"/>
          <w:szCs w:val="14"/>
          <w:b w:val="1"/>
          <w:bCs w:val="1"/>
          <w:color w:val="3F3F3F"/>
        </w:rPr>
        <w:t>Thoratec Corporation</w:t>
      </w:r>
      <w:r>
        <w:rPr>
          <w:rFonts w:ascii="Arial" w:cs="Arial" w:eastAsia="Arial" w:hAnsi="Arial"/>
          <w:sz w:val="14"/>
          <w:szCs w:val="14"/>
          <w:color w:val="3F3F3F"/>
        </w:rPr>
        <w:t xml:space="preserve"> (2007 - 2013), Director and Chair of the Audit Committee</w:t>
      </w:r>
    </w:p>
    <w:p>
      <w:pPr>
        <w:spacing w:after="0" w:line="235" w:lineRule="auto"/>
        <w:rPr>
          <w:sz w:val="20"/>
          <w:szCs w:val="20"/>
          <w:color w:val="auto"/>
        </w:rPr>
      </w:pPr>
      <w:r>
        <w:rPr>
          <w:rFonts w:ascii="Arial" w:cs="Arial" w:eastAsia="Arial" w:hAnsi="Arial"/>
          <w:sz w:val="13"/>
          <w:szCs w:val="13"/>
          <w:color w:val="3F3F3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jc w:val="both"/>
        <w:ind w:left="300" w:right="100" w:hanging="287"/>
        <w:spacing w:after="0" w:line="252" w:lineRule="auto"/>
        <w:rPr>
          <w:sz w:val="20"/>
          <w:szCs w:val="20"/>
          <w:color w:val="auto"/>
        </w:rPr>
      </w:pPr>
      <w:r>
        <w:rPr>
          <w:rFonts w:ascii="Arial" w:cs="Arial" w:eastAsia="Arial" w:hAnsi="Arial"/>
          <w:sz w:val="14"/>
          <w:szCs w:val="14"/>
          <w:color w:val="3F3F3F"/>
        </w:rPr>
        <w:t>*     The Board had, in accordance with its Corporate Governance Principles, previously approved Ms. Finney’s concurrent service on the Audit Committee and the audit committees of more than two other public companies and determined that such service did not impair her ability to effectively serve on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223520</wp:posOffset>
            </wp:positionV>
            <wp:extent cx="825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223520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223520</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223520</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223520</wp:posOffset>
            </wp:positionV>
            <wp:extent cx="825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223520</wp:posOffset>
            </wp:positionV>
            <wp:extent cx="825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223520</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223520</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223520</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223520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223520</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223520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223520</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223520</wp:posOffset>
            </wp:positionV>
            <wp:extent cx="825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223520</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223520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223520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223520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223520</wp:posOffset>
            </wp:positionV>
            <wp:extent cx="82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223520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223520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223520</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223520</wp:posOffset>
            </wp:positionV>
            <wp:extent cx="82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223520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223520</wp:posOffset>
            </wp:positionV>
            <wp:extent cx="82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223520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223520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223520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223520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223520</wp:posOffset>
            </wp:positionV>
            <wp:extent cx="825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223520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223520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223520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223520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223520</wp:posOffset>
            </wp:positionV>
            <wp:extent cx="825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223520</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223520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223520</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223520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223520</wp:posOffset>
            </wp:positionV>
            <wp:extent cx="825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223520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223520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223520</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223520</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223520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223520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223520</wp:posOffset>
            </wp:positionV>
            <wp:extent cx="825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223520</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223520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223520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223520</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223520</wp:posOffset>
            </wp:positionV>
            <wp:extent cx="825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223520</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223520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223520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223520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223520</wp:posOffset>
            </wp:positionV>
            <wp:extent cx="825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223520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223520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223520</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223520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223520</wp:posOffset>
            </wp:positionV>
            <wp:extent cx="825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223520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223520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223520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223520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223520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223520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223520</wp:posOffset>
            </wp:positionV>
            <wp:extent cx="825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223520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223520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223520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223520</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223520</wp:posOffset>
            </wp:positionV>
            <wp:extent cx="825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223520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223520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223520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223520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223520</wp:posOffset>
            </wp:positionV>
            <wp:extent cx="825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223520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223520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223520</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223520</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223520</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223520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223520</wp:posOffset>
            </wp:positionV>
            <wp:extent cx="825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223520</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223520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223520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223520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223520</wp:posOffset>
            </wp:positionV>
            <wp:extent cx="825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223520</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223520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223520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223520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223520</wp:posOffset>
            </wp:positionV>
            <wp:extent cx="825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223520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223520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223520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223520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223520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223520</wp:posOffset>
            </wp:positionV>
            <wp:extent cx="825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223520</wp:posOffset>
            </wp:positionV>
            <wp:extent cx="8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223520</wp:posOffset>
            </wp:positionV>
            <wp:extent cx="825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223520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223520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223520</wp:posOffset>
            </wp:positionV>
            <wp:extent cx="825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223520</wp:posOffset>
            </wp:positionV>
            <wp:extent cx="82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223520</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223520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223520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223520</wp:posOffset>
            </wp:positionV>
            <wp:extent cx="825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223520</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223520</wp:posOffset>
            </wp:positionV>
            <wp:extent cx="825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223520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223520</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223520</wp:posOffset>
            </wp:positionV>
            <wp:extent cx="82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223520</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223520</wp:posOffset>
            </wp:positionV>
            <wp:extent cx="82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223520</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223520</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223520</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223520</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223520</wp:posOffset>
            </wp:positionV>
            <wp:extent cx="825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223520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223520</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223520</wp:posOffset>
            </wp:positionV>
            <wp:extent cx="825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223520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223520</wp:posOffset>
            </wp:positionV>
            <wp:extent cx="825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223520</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223520</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223520</wp:posOffset>
            </wp:positionV>
            <wp:extent cx="825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223520</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223520</wp:posOffset>
            </wp:positionV>
            <wp:extent cx="825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223520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223520</wp:posOffset>
            </wp:positionV>
            <wp:extent cx="82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223520</wp:posOffset>
            </wp:positionV>
            <wp:extent cx="82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223520</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223520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223520</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223520</wp:posOffset>
            </wp:positionV>
            <wp:extent cx="825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223520</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223520</wp:posOffset>
            </wp:positionV>
            <wp:extent cx="825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223520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223520</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223520</wp:posOffset>
            </wp:positionV>
            <wp:extent cx="82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223520</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223520</wp:posOffset>
            </wp:positionV>
            <wp:extent cx="82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223520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223520</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223520</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223520</wp:posOffset>
            </wp:positionV>
            <wp:extent cx="825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223520</wp:posOffset>
            </wp:positionV>
            <wp:extent cx="825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223520</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223520</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223520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223520</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223520</wp:posOffset>
            </wp:positionV>
            <wp:extent cx="825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223520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223520</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223520</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223520</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223520</wp:posOffset>
            </wp:positionV>
            <wp:extent cx="825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223520</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223520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223520</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223520</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223520</wp:posOffset>
            </wp:positionV>
            <wp:extent cx="825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223520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223520</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223520</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223520</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223520</wp:posOffset>
            </wp:positionV>
            <wp:extent cx="82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223520</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223520</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223520</wp:posOffset>
            </wp:positionV>
            <wp:extent cx="825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223520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223520</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223520</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223520</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223520</wp:posOffset>
            </wp:positionV>
            <wp:extent cx="825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223520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223520</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223520</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223520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223520</wp:posOffset>
            </wp:positionV>
            <wp:extent cx="825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223520</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223520</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223520</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223520</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223520</wp:posOffset>
            </wp:positionV>
            <wp:extent cx="825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223520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223520</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223520</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223520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223520</wp:posOffset>
            </wp:positionV>
            <wp:extent cx="8255"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223520</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223520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223520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223520</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223520</wp:posOffset>
            </wp:positionV>
            <wp:extent cx="8255"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223520</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223520</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223520</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223520</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223520</wp:posOffset>
            </wp:positionV>
            <wp:extent cx="8255"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223520</wp:posOffset>
            </wp:positionV>
            <wp:extent cx="889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223520</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223520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223520</wp:posOffset>
            </wp:positionV>
            <wp:extent cx="82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223520</wp:posOffset>
            </wp:positionV>
            <wp:extent cx="8255"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223520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223520</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223520</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223520</wp:posOffset>
            </wp:positionV>
            <wp:extent cx="825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223520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223520</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223520</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223520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223520</wp:posOffset>
            </wp:positionV>
            <wp:extent cx="825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223520</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223520</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223520</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223520</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223520</wp:posOffset>
            </wp:positionV>
            <wp:extent cx="825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223520</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223520</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223520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223520</wp:posOffset>
            </wp:positionV>
            <wp:extent cx="82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223520</wp:posOffset>
            </wp:positionV>
            <wp:extent cx="825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223520</wp:posOffset>
            </wp:positionV>
            <wp:extent cx="889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223520</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223520</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223520</wp:posOffset>
            </wp:positionV>
            <wp:extent cx="82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223520</wp:posOffset>
            </wp:positionV>
            <wp:extent cx="8255"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223520</wp:posOffset>
            </wp:positionV>
            <wp:extent cx="889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223520</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223520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223520</wp:posOffset>
            </wp:positionV>
            <wp:extent cx="825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223520</wp:posOffset>
            </wp:positionV>
            <wp:extent cx="8255"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223520</wp:posOffset>
            </wp:positionV>
            <wp:extent cx="889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223520</wp:posOffset>
            </wp:positionV>
            <wp:extent cx="889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223520</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223520</wp:posOffset>
            </wp:positionV>
            <wp:extent cx="825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223520</wp:posOffset>
            </wp:positionV>
            <wp:extent cx="825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223520</wp:posOffset>
            </wp:positionV>
            <wp:extent cx="889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223520</wp:posOffset>
            </wp:positionV>
            <wp:extent cx="889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223520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223520</wp:posOffset>
            </wp:positionV>
            <wp:extent cx="825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223520</wp:posOffset>
            </wp:positionV>
            <wp:extent cx="825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223520</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223520</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223520</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223520</wp:posOffset>
            </wp:positionV>
            <wp:extent cx="825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223520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223520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223520</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223520</wp:posOffset>
            </wp:positionV>
            <wp:extent cx="825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223520</wp:posOffset>
            </wp:positionV>
            <wp:extent cx="825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223520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223520</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223520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223520</wp:posOffset>
            </wp:positionV>
            <wp:extent cx="825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223520</wp:posOffset>
            </wp:positionV>
            <wp:extent cx="825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223520</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223520</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223520</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223520</wp:posOffset>
            </wp:positionV>
            <wp:extent cx="825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223520</wp:posOffset>
            </wp:positionV>
            <wp:extent cx="825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223520</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223520</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223520</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223520</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223520</wp:posOffset>
            </wp:positionV>
            <wp:extent cx="825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223520</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223520</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223520</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223520</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223520</wp:posOffset>
            </wp:positionV>
            <wp:extent cx="825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223520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223520</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223520</wp:posOffset>
            </wp:positionV>
            <wp:extent cx="8255"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223520</wp:posOffset>
            </wp:positionV>
            <wp:extent cx="82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223520</wp:posOffset>
            </wp:positionV>
            <wp:extent cx="825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223520</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223520</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223520</wp:posOffset>
            </wp:positionV>
            <wp:extent cx="825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223520</wp:posOffset>
            </wp:positionV>
            <wp:extent cx="825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223520</wp:posOffset>
            </wp:positionV>
            <wp:extent cx="8255"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223520</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223520</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223520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223520</wp:posOffset>
            </wp:positionV>
            <wp:extent cx="825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223520</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223520</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223520</wp:posOffset>
            </wp:positionV>
            <wp:extent cx="825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223520</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223520</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223520</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223520</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223520</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223520</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223520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223520</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223520</wp:posOffset>
            </wp:positionV>
            <wp:extent cx="825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223520</wp:posOffset>
            </wp:positionV>
            <wp:extent cx="825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223520</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223520</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223520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223520</wp:posOffset>
            </wp:positionV>
            <wp:extent cx="825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223520</wp:posOffset>
            </wp:positionV>
            <wp:extent cx="825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223520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223520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223520</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223520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223520</wp:posOffset>
            </wp:positionV>
            <wp:extent cx="8255"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223520</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223520</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223520</wp:posOffset>
            </wp:positionV>
            <wp:extent cx="825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223520</wp:posOffset>
            </wp:positionV>
            <wp:extent cx="825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223520</wp:posOffset>
            </wp:positionV>
            <wp:extent cx="825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223520</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223520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223520</wp:posOffset>
            </wp:positionV>
            <wp:extent cx="825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223520</wp:posOffset>
            </wp:positionV>
            <wp:extent cx="825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223520</wp:posOffset>
            </wp:positionV>
            <wp:extent cx="825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223520</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223520</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223520</wp:posOffset>
            </wp:positionV>
            <wp:extent cx="825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223520</wp:posOffset>
            </wp:positionV>
            <wp:extent cx="8255"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223520</wp:posOffset>
            </wp:positionV>
            <wp:extent cx="8255"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223520</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223520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223520</wp:posOffset>
            </wp:positionV>
            <wp:extent cx="825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326390</wp:posOffset>
            </wp:positionV>
            <wp:extent cx="7029450" cy="6858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-107315</wp:posOffset>
            </wp:positionV>
            <wp:extent cx="865505" cy="22288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2">
            <w:col w:w="1820" w:space="720"/>
            <w:col w:w="860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2023</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52</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line="241" w:lineRule="auto"/>
        <w:rPr>
          <w:sz w:val="20"/>
          <w:szCs w:val="20"/>
          <w:color w:val="auto"/>
        </w:rPr>
      </w:pPr>
      <w:r>
        <w:rPr>
          <w:rFonts w:ascii="Arial" w:cs="Arial" w:eastAsia="Arial" w:hAnsi="Arial"/>
          <w:sz w:val="14"/>
          <w:szCs w:val="14"/>
          <w:color w:val="3F3F3F"/>
        </w:rPr>
        <w:t>•   Compliance and Risk Oversight •   Executive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 Governance and Sustainability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152590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Leo Groothuis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-707390</wp:posOffset>
            </wp:positionV>
            <wp:extent cx="7174865" cy="552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280" w:right="200" w:hanging="143"/>
        <w:spacing w:after="0" w:line="251" w:lineRule="auto"/>
        <w:rPr>
          <w:sz w:val="20"/>
          <w:szCs w:val="20"/>
          <w:color w:val="auto"/>
        </w:rPr>
      </w:pPr>
      <w:r>
        <w:rPr>
          <w:rFonts w:ascii="Arial" w:cs="Arial" w:eastAsia="Arial" w:hAnsi="Arial"/>
          <w:sz w:val="14"/>
          <w:szCs w:val="14"/>
          <w:color w:val="3F3F3F"/>
        </w:rPr>
        <w:t xml:space="preserve">•   General Counsel (2022 - present), </w:t>
      </w:r>
      <w:r>
        <w:rPr>
          <w:rFonts w:ascii="Arial" w:cs="Arial" w:eastAsia="Arial" w:hAnsi="Arial"/>
          <w:sz w:val="14"/>
          <w:szCs w:val="14"/>
          <w:b w:val="1"/>
          <w:bCs w:val="1"/>
          <w:color w:val="3F3F3F"/>
        </w:rPr>
        <w:t>HAL Investments</w:t>
      </w:r>
      <w:r>
        <w:rPr>
          <w:rFonts w:ascii="Arial" w:cs="Arial" w:eastAsia="Arial" w:hAnsi="Arial"/>
          <w:sz w:val="14"/>
          <w:szCs w:val="14"/>
          <w:color w:val="3F3F3F"/>
        </w:rPr>
        <w:t>, the Dutch investment subsidiary of HAL Holding N.V., a public international investment company listed on the Amsterdam stock exchange, which is focused on increasing shareholder value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 Partner (2006 - 2022), </w:t>
      </w:r>
      <w:r>
        <w:rPr>
          <w:rFonts w:ascii="Arial" w:cs="Arial" w:eastAsia="Arial" w:hAnsi="Arial"/>
          <w:sz w:val="14"/>
          <w:szCs w:val="14"/>
          <w:b w:val="1"/>
          <w:bCs w:val="1"/>
          <w:color w:val="3F3F3F"/>
        </w:rPr>
        <w:t>NautaDutilh</w:t>
      </w:r>
      <w:r>
        <w:rPr>
          <w:rFonts w:ascii="Arial" w:cs="Arial" w:eastAsia="Arial" w:hAnsi="Arial"/>
          <w:sz w:val="14"/>
          <w:szCs w:val="14"/>
          <w:color w:val="3F3F3F"/>
        </w:rPr>
        <w:t>, a law firm (joined the firm in October 1996)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28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Corporate Governance, Global Business, Legal and Regulatory Oversight, Risk Oversight/Compliance,</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Strategy and</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M&amp;A Experience </w:t>
      </w:r>
      <w:r>
        <w:rPr>
          <w:rFonts w:ascii="Arial" w:cs="Arial" w:eastAsia="Arial" w:hAnsi="Arial"/>
          <w:sz w:val="14"/>
          <w:szCs w:val="14"/>
          <w:color w:val="3F3F3F"/>
        </w:rPr>
        <w:t>acquired during his legal career at NautaDutilh, where he had been a trusted C-suite and board advisor to</w:t>
      </w:r>
      <w:r>
        <w:rPr>
          <w:rFonts w:ascii="Arial" w:cs="Arial" w:eastAsia="Arial" w:hAnsi="Arial"/>
          <w:sz w:val="14"/>
          <w:szCs w:val="14"/>
          <w:b w:val="1"/>
          <w:bCs w:val="1"/>
          <w:color w:val="3F3F3F"/>
        </w:rPr>
        <w:t xml:space="preserve"> </w:t>
      </w:r>
      <w:r>
        <w:rPr>
          <w:rFonts w:ascii="Arial" w:cs="Arial" w:eastAsia="Arial" w:hAnsi="Arial"/>
          <w:sz w:val="14"/>
          <w:szCs w:val="14"/>
          <w:color w:val="3F3F3F"/>
        </w:rPr>
        <w:t>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spacing w:after="0" w:line="2" w:lineRule="exact"/>
        <w:rPr>
          <w:sz w:val="20"/>
          <w:szCs w:val="20"/>
          <w:color w:val="auto"/>
        </w:rPr>
      </w:pPr>
    </w:p>
    <w:p>
      <w:pPr>
        <w:ind w:left="280" w:right="4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CSR Experience</w:t>
      </w:r>
      <w:r>
        <w:rPr>
          <w:rFonts w:ascii="Arial" w:cs="Arial" w:eastAsia="Arial" w:hAnsi="Arial"/>
          <w:sz w:val="14"/>
          <w:szCs w:val="14"/>
          <w:color w:val="3F3F3F"/>
        </w:rPr>
        <w:t xml:space="preserve"> obtained through his active involvement in the development and execution of HAL Investments’ environmental, social and governance strategy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280" w:right="720" w:hanging="143"/>
        <w:spacing w:after="0" w:line="264" w:lineRule="auto"/>
        <w:rPr>
          <w:sz w:val="20"/>
          <w:szCs w:val="20"/>
          <w:color w:val="auto"/>
        </w:rPr>
      </w:pPr>
      <w:r>
        <w:rPr>
          <w:rFonts w:ascii="Arial" w:cs="Arial" w:eastAsia="Arial" w:hAnsi="Arial"/>
          <w:sz w:val="14"/>
          <w:szCs w:val="14"/>
          <w:color w:val="3F3F3F"/>
        </w:rPr>
        <w:t xml:space="preserve">•   Director, </w:t>
      </w:r>
      <w:r>
        <w:rPr>
          <w:rFonts w:ascii="Arial" w:cs="Arial" w:eastAsia="Arial" w:hAnsi="Arial"/>
          <w:sz w:val="14"/>
          <w:szCs w:val="14"/>
          <w:b w:val="1"/>
          <w:bCs w:val="1"/>
          <w:color w:val="3F3F3F"/>
        </w:rPr>
        <w:t>Stichting Continuiteit IHC</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B.V. Finance Continuiteit IHC</w:t>
      </w:r>
      <w:r>
        <w:rPr>
          <w:rFonts w:ascii="Arial" w:cs="Arial" w:eastAsia="Arial" w:hAnsi="Arial"/>
          <w:sz w:val="14"/>
          <w:szCs w:val="14"/>
          <w:color w:val="3F3F3F"/>
        </w:rPr>
        <w:t>, Dutch foundations that together are the sole shareholders of Royal IHC, a private international shipbuilding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440690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440690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440690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440690</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440690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440690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440690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440690</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440690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440690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440690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440690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440690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440690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440690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440690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440690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440690</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440690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440690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440690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440690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440690</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440690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440690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440690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440690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440690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440690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440690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440690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440690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440690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440690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440690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440690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440690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440690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440690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440690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440690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440690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440690</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440690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440690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440690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440690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440690</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440690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440690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440690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440690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440690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440690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440690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440690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440690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440690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440690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440690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440690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440690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440690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440690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440690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440690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440690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440690</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440690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440690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440690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440690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440690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440690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440690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440690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440690</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440690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440690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440690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440690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440690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440690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440690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440690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440690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440690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440690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440690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440690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440690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440690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440690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440690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440690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440690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440690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440690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440690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440690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440690</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440690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440690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440690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440690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440690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440690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440690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440690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440690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440690</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440690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440690</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440690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440690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440690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440690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440690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440690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440690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440690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440690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440690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440690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440690</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440690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440690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440690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440690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440690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440690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440690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440690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440690</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440690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440690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440690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440690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440690</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440690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440690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440690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440690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440690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440690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440690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440690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440690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440690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440690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440690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440690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440690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440690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440690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440690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440690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440690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440690</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440690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440690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440690</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440690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440690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440690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440690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440690</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440690</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440690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440690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440690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440690</wp:posOffset>
            </wp:positionV>
            <wp:extent cx="88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440690</wp:posOffset>
            </wp:positionV>
            <wp:extent cx="889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440690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440690</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440690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440690</wp:posOffset>
            </wp:positionV>
            <wp:extent cx="8890"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440690</wp:posOffset>
            </wp:positionV>
            <wp:extent cx="8890"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440690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440690</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440690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440690</wp:posOffset>
            </wp:positionV>
            <wp:extent cx="889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440690</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440690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440690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440690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440690</wp:posOffset>
            </wp:positionV>
            <wp:extent cx="889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440690</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440690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440690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440690</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440690</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440690</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440690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440690</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440690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440690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440690</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440690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440690</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440690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440690</wp:posOffset>
            </wp:positionV>
            <wp:extent cx="889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440690</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440690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440690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440690</wp:posOffset>
            </wp:positionV>
            <wp:extent cx="889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440690</wp:posOffset>
            </wp:positionV>
            <wp:extent cx="889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440690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440690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440690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440690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440690</wp:posOffset>
            </wp:positionV>
            <wp:extent cx="8890"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440690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440690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440690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440690</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440690</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440690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440690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440690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440690</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440690</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440690</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440690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440690</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440690</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440690</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440690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440690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440690</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440690</wp:posOffset>
            </wp:positionV>
            <wp:extent cx="8890"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440690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440690</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440690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440690</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440690</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440690</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440690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440690</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440690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440690</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440690</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440690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440690</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440690</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440690</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440690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440690</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440690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440690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440690</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440690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440690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440690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440690</wp:posOffset>
            </wp:positionV>
            <wp:extent cx="8890"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440690</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440690</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440690</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440690</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440690</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440690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440690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440690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440690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440690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440690</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440690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440690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440690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440690</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440690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440690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440690</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440690</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440690</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440690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440690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440690</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440690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440690</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440690</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440690</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440690</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440690</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440690</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440690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440690</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440690</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440690</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440690</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440690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440690</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440690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440690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440690</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440690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440690</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440690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440690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440690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440690</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440690</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440690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440690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440690</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440690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440690</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440690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440690</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440690</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440690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440690</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440690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440690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440690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440690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440690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440690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440690</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2400" w:space="260"/>
            <w:col w:w="848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-1364615</wp:posOffset>
            </wp:positionV>
            <wp:extent cx="1200150" cy="121729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57</w:t>
      </w:r>
    </w:p>
    <w:p>
      <w:pPr>
        <w:spacing w:after="0" w:line="69" w:lineRule="exact"/>
        <w:rPr>
          <w:sz w:val="20"/>
          <w:szCs w:val="20"/>
          <w:color w:val="auto"/>
        </w:rPr>
      </w:pPr>
    </w:p>
    <w:p>
      <w:pPr>
        <w:jc w:val="both"/>
        <w:ind w:left="260" w:right="440" w:hanging="143"/>
        <w:spacing w:after="0" w:line="292" w:lineRule="auto"/>
        <w:rPr>
          <w:sz w:val="20"/>
          <w:szCs w:val="20"/>
          <w:color w:val="auto"/>
        </w:rPr>
      </w:pPr>
      <w:r>
        <w:rPr>
          <w:rFonts w:ascii="Arial" w:cs="Arial" w:eastAsia="Arial" w:hAnsi="Arial"/>
          <w:sz w:val="13"/>
          <w:szCs w:val="13"/>
          <w:b w:val="1"/>
          <w:bCs w:val="1"/>
          <w:color w:val="231161"/>
        </w:rPr>
        <w:t xml:space="preserve">Board Committees: </w:t>
      </w:r>
      <w:r>
        <w:rPr>
          <w:rFonts w:ascii="Arial" w:cs="Arial" w:eastAsia="Arial" w:hAnsi="Arial"/>
          <w:sz w:val="13"/>
          <w:szCs w:val="13"/>
          <w:color w:val="3F3F3F"/>
        </w:rPr>
        <w:t>•   Executive (Chair) •   Finance (Chair)</w:t>
      </w:r>
    </w:p>
    <w:p>
      <w:pPr>
        <w:spacing w:after="0" w:line="8" w:lineRule="exact"/>
        <w:rPr>
          <w:sz w:val="20"/>
          <w:szCs w:val="20"/>
          <w:color w:val="auto"/>
        </w:rPr>
      </w:pPr>
    </w:p>
    <w:p>
      <w:pPr>
        <w:ind w:left="120" w:right="280"/>
        <w:spacing w:after="0" w:line="294" w:lineRule="auto"/>
        <w:rPr>
          <w:sz w:val="20"/>
          <w:szCs w:val="20"/>
          <w:color w:val="auto"/>
        </w:rPr>
      </w:pPr>
      <w:r>
        <w:rPr>
          <w:rFonts w:ascii="Arial" w:cs="Arial" w:eastAsia="Arial" w:hAnsi="Arial"/>
          <w:sz w:val="14"/>
          <w:szCs w:val="14"/>
          <w:b w:val="1"/>
          <w:bCs w:val="1"/>
          <w:color w:val="231161"/>
        </w:rPr>
        <w:t>Chair of the Board and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1247140</wp:posOffset>
            </wp:positionV>
            <wp:extent cx="128587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Melina Higgins</w:t>
      </w:r>
    </w:p>
    <w:p>
      <w:pPr>
        <w:spacing w:after="0" w:line="131" w:lineRule="exact"/>
        <w:rPr>
          <w:sz w:val="20"/>
          <w:szCs w:val="20"/>
          <w:color w:val="auto"/>
        </w:rPr>
      </w:pPr>
    </w:p>
    <w:p>
      <w:pPr>
        <w:ind w:left="280" w:right="80" w:hanging="143"/>
        <w:spacing w:after="0" w:line="258" w:lineRule="auto"/>
        <w:rPr>
          <w:sz w:val="20"/>
          <w:szCs w:val="20"/>
          <w:color w:val="auto"/>
        </w:rPr>
      </w:pPr>
      <w:r>
        <w:rPr>
          <w:rFonts w:ascii="Arial" w:cs="Arial" w:eastAsia="Arial" w:hAnsi="Arial"/>
          <w:sz w:val="14"/>
          <w:szCs w:val="14"/>
          <w:color w:val="3F3F3F"/>
        </w:rPr>
        <w:t xml:space="preserve">•   Held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 w:cs="Arial" w:eastAsia="Arial" w:hAnsi="Arial"/>
          <w:sz w:val="14"/>
          <w:szCs w:val="14"/>
          <w:b w:val="1"/>
          <w:bCs w:val="1"/>
          <w:color w:val="3F3F3F"/>
        </w:rPr>
        <w:t>The Goldman Sachs Group, Inc.</w:t>
      </w:r>
      <w:r>
        <w:rPr>
          <w:rFonts w:ascii="Arial" w:cs="Arial" w:eastAsia="Arial" w:hAnsi="Arial"/>
          <w:sz w:val="14"/>
          <w:szCs w:val="14"/>
          <w:color w:val="3F3F3F"/>
        </w:rPr>
        <w:t xml:space="preserve"> (NYSE: GS)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280" w:right="6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Corporate Governance, Finance, Accounting and Capital Markets, Global Business, Risk Oversight/Compliance,</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 xml:space="preserve">Strategy and M&amp;A Experience </w:t>
      </w:r>
      <w:r>
        <w:rPr>
          <w:rFonts w:ascii="Arial" w:cs="Arial" w:eastAsia="Arial" w:hAnsi="Arial"/>
          <w:sz w:val="14"/>
          <w:szCs w:val="14"/>
          <w:color w:val="3F3F3F"/>
        </w:rPr>
        <w:t>obtained during her nearly 20 years at Goldman Sachs, where she built and led a successful</w:t>
      </w:r>
      <w:r>
        <w:rPr>
          <w:rFonts w:ascii="Arial" w:cs="Arial" w:eastAsia="Arial" w:hAnsi="Arial"/>
          <w:sz w:val="14"/>
          <w:szCs w:val="14"/>
          <w:b w:val="1"/>
          <w:bCs w:val="1"/>
          <w:color w:val="3F3F3F"/>
        </w:rPr>
        <w:t xml:space="preserve"> </w:t>
      </w:r>
      <w:r>
        <w:rPr>
          <w:rFonts w:ascii="Arial" w:cs="Arial" w:eastAsia="Arial" w:hAnsi="Arial"/>
          <w:sz w:val="14"/>
          <w:szCs w:val="14"/>
          <w:color w:val="3F3F3F"/>
        </w:rPr>
        <w:t>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spacing w:after="0" w:line="2" w:lineRule="exact"/>
        <w:rPr>
          <w:sz w:val="20"/>
          <w:szCs w:val="20"/>
          <w:color w:val="auto"/>
        </w:rPr>
      </w:pPr>
    </w:p>
    <w:p>
      <w:pPr>
        <w:ind w:left="280" w:right="320" w:hanging="143"/>
        <w:spacing w:after="0" w:line="264" w:lineRule="auto"/>
        <w:rPr>
          <w:sz w:val="20"/>
          <w:szCs w:val="20"/>
          <w:color w:val="auto"/>
        </w:rPr>
      </w:pPr>
      <w:r>
        <w:rPr>
          <w:rFonts w:ascii="Arial" w:cs="Arial" w:eastAsia="Arial" w:hAnsi="Arial"/>
          <w:sz w:val="14"/>
          <w:szCs w:val="14"/>
          <w:color w:val="3F3F3F"/>
        </w:rPr>
        <w:t xml:space="preserve">•   Ms. Higgins also brings </w:t>
      </w:r>
      <w:r>
        <w:rPr>
          <w:rFonts w:ascii="Arial" w:cs="Arial" w:eastAsia="Arial" w:hAnsi="Arial"/>
          <w:sz w:val="14"/>
          <w:szCs w:val="14"/>
          <w:b w:val="1"/>
          <w:bCs w:val="1"/>
          <w:color w:val="3F3F3F"/>
        </w:rPr>
        <w:t>Human Capital Management Experience</w:t>
      </w:r>
      <w:r>
        <w:rPr>
          <w:rFonts w:ascii="Arial" w:cs="Arial" w:eastAsia="Arial" w:hAnsi="Arial"/>
          <w:sz w:val="14"/>
          <w:szCs w:val="14"/>
          <w:color w:val="3F3F3F"/>
        </w:rPr>
        <w:t>, including compensation and succession planning, to the Board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280" w:right="72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Genworth Financial Inc</w:t>
      </w:r>
      <w:r>
        <w:rPr>
          <w:rFonts w:ascii="Arial" w:cs="Arial" w:eastAsia="Arial" w:hAnsi="Arial"/>
          <w:sz w:val="14"/>
          <w:szCs w:val="14"/>
          <w:color w:val="3F3F3F"/>
        </w:rPr>
        <w:t>. (NYSE: GNW) (since 2013), non-executive Chair (since 2021) and member of the Audit and Management Development &amp; Compensation Committees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Current Private Company Boards:</w:t>
      </w:r>
    </w:p>
    <w:p>
      <w:pPr>
        <w:spacing w:after="0" w:line="15" w:lineRule="exact"/>
        <w:rPr>
          <w:sz w:val="20"/>
          <w:szCs w:val="20"/>
          <w:color w:val="auto"/>
        </w:rPr>
      </w:pPr>
    </w:p>
    <w:p>
      <w:pPr>
        <w:ind w:left="280" w:right="400" w:hanging="143"/>
        <w:spacing w:after="0" w:line="264" w:lineRule="auto"/>
        <w:rPr>
          <w:sz w:val="20"/>
          <w:szCs w:val="20"/>
          <w:color w:val="auto"/>
        </w:rPr>
      </w:pPr>
      <w:r>
        <w:rPr>
          <w:rFonts w:ascii="Arial" w:cs="Arial" w:eastAsia="Arial" w:hAnsi="Arial"/>
          <w:sz w:val="14"/>
          <w:szCs w:val="14"/>
          <w:color w:val="3F3F3F"/>
        </w:rPr>
        <w:t xml:space="preserve">•   Director and non-executive chair of the Board (since 2016), </w:t>
      </w:r>
      <w:r>
        <w:rPr>
          <w:rFonts w:ascii="Arial" w:cs="Arial" w:eastAsia="Arial" w:hAnsi="Arial"/>
          <w:sz w:val="14"/>
          <w:szCs w:val="14"/>
          <w:b w:val="1"/>
          <w:bCs w:val="1"/>
          <w:color w:val="3F3F3F"/>
        </w:rPr>
        <w:t>Antares Midco Inc.</w:t>
      </w:r>
      <w:r>
        <w:rPr>
          <w:rFonts w:ascii="Arial" w:cs="Arial" w:eastAsia="Arial" w:hAnsi="Arial"/>
          <w:sz w:val="14"/>
          <w:szCs w:val="14"/>
          <w:color w:val="3F3F3F"/>
        </w:rPr>
        <w:t>, a private company that provides financing solutions for middle market, private equity-backed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280" w:right="16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Mylan</w:t>
      </w:r>
      <w:r>
        <w:rPr>
          <w:rFonts w:ascii="Arial" w:cs="Arial" w:eastAsia="Arial" w:hAnsi="Arial"/>
          <w:sz w:val="14"/>
          <w:szCs w:val="14"/>
          <w:color w:val="3F3F3F"/>
        </w:rPr>
        <w:t xml:space="preserve"> (2013 - the closing of the Combination in 2020), Director, most recently Chair of the Finance Committee, and member of the Audit, Compensation, and Executive Committees</w:t>
      </w:r>
    </w:p>
    <w:p>
      <w:pPr>
        <w:spacing w:after="0" w:line="1" w:lineRule="exact"/>
        <w:rPr>
          <w:sz w:val="20"/>
          <w:szCs w:val="20"/>
          <w:color w:val="auto"/>
        </w:rPr>
      </w:pPr>
    </w:p>
    <w:p>
      <w:pPr>
        <w:ind w:left="280" w:right="20" w:hanging="143"/>
        <w:spacing w:after="0" w:line="252"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NextGen Acquisition Corp II</w:t>
      </w:r>
      <w:r>
        <w:rPr>
          <w:rFonts w:ascii="Arial" w:cs="Arial" w:eastAsia="Arial" w:hAnsi="Arial"/>
          <w:sz w:val="14"/>
          <w:szCs w:val="14"/>
          <w:color w:val="3F3F3F"/>
        </w:rPr>
        <w:t xml:space="preserve"> (March 2021 until its merger with Virgin Orbit in December 2021) (a special purpose acquisition company), Director, Chair of the Nominating and Corporate Governance Committee and member of the Audit and Compensation Committees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 Member, </w:t>
      </w:r>
      <w:r>
        <w:rPr>
          <w:rFonts w:ascii="Arial" w:cs="Arial" w:eastAsia="Arial" w:hAnsi="Arial"/>
          <w:sz w:val="14"/>
          <w:szCs w:val="14"/>
          <w:b w:val="1"/>
          <w:bCs w:val="1"/>
          <w:color w:val="3F3F3F"/>
        </w:rPr>
        <w:t>Women’s Leadership Board of Harvard University’s John F. Kennedy School of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134620</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134620</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134620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134620</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134620</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134620</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134620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134620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134620</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134620</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134620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134620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134620</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134620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134620</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134620</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134620</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134620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134620</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134620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134620</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134620</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134620</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134620</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134620</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134620</wp:posOffset>
            </wp:positionV>
            <wp:extent cx="8890"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134620</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134620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134620</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134620</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134620</wp:posOffset>
            </wp:positionV>
            <wp:extent cx="88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134620</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134620</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134620</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134620</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134620</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134620</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134620</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134620</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134620</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134620</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134620</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134620</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134620</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134620</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134620</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134620</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134620</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134620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134620</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134620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134620</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134620</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134620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134620</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134620</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134620</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134620</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134620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134620</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134620</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134620</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134620</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134620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134620</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134620</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134620</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134620</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134620</wp:posOffset>
            </wp:positionV>
            <wp:extent cx="8890"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134620</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134620</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134620</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134620</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134620</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134620</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134620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134620</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134620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134620</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134620</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134620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134620</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134620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134620</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134620</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134620</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134620</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134620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134620</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134620</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134620</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134620</wp:posOffset>
            </wp:positionV>
            <wp:extent cx="8890"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134620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134620</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134620</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134620</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134620</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134620</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134620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134620</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134620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134620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134620</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134620</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134620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134620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134620</wp:posOffset>
            </wp:positionV>
            <wp:extent cx="8890"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134620</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134620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134620</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134620</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134620</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134620</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134620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134620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134620</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134620</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134620</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134620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134620</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134620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134620</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134620</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134620</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134620</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134620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134620</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134620</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134620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134620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134620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134620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134620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134620</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134620</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134620</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134620</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134620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134620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134620</wp:posOffset>
            </wp:positionV>
            <wp:extent cx="825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134620</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134620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134620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134620</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134620</wp:posOffset>
            </wp:positionV>
            <wp:extent cx="825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134620</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134620</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134620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134620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134620</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134620</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134620</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134620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134620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134620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134620</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134620</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134620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134620</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134620</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134620</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134620</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134620</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134620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134620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134620</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134620</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134620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134620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134620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134620</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134620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134620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134620</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134620</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134620</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134620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134620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134620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134620</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134620</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134620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134620</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134620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134620</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134620</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134620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134620</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134620</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134620</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134620</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134620</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134620</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134620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134620</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134620</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134620</wp:posOffset>
            </wp:positionV>
            <wp:extent cx="8255"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134620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134620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134620</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134620</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134620</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134620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134620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134620</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134620</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134620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134620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134620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134620</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134620</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134620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134620</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134620</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134620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134620</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134620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134620</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134620</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134620</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134620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134620</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134620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134620</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134620</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134620</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134620</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134620</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134620</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134620</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134620</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134620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134620</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134620</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134620</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134620</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134620</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134620</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134620</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134620</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134620</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134620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134620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134620</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134620</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134620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134620</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134620</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134620</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134620</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134620</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134620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134620</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134620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134620</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134620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134620</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134620</wp:posOffset>
            </wp:positionV>
            <wp:extent cx="8890"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134620</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134620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134620</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134620</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134620</wp:posOffset>
            </wp:positionV>
            <wp:extent cx="8890"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134620</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134620</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134620</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134620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134620</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134620</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134620</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134620</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134620</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134620</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134620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134620</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134620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134620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134620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134620</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134620</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134620</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134620</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134620</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134620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134620</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134620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134620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134620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134620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134620</wp:posOffset>
            </wp:positionV>
            <wp:extent cx="8890"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134620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134620</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134620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134620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134620</wp:posOffset>
            </wp:positionV>
            <wp:extent cx="8890"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134620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134620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134620</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134620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134620</wp:posOffset>
            </wp:positionV>
            <wp:extent cx="8890"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134620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134620</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134620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134620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134620</wp:posOffset>
            </wp:positionV>
            <wp:extent cx="8890"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134620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134620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134620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134620</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134620</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134620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134620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134620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134620</wp:posOffset>
            </wp:positionV>
            <wp:extent cx="8255"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134620</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134620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134620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134620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134620</wp:posOffset>
            </wp:positionV>
            <wp:extent cx="8255"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134620</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134620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134620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134620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134620</wp:posOffset>
            </wp:positionV>
            <wp:extent cx="8255"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134620</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134620</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134620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134620</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134620</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134620</wp:posOffset>
            </wp:positionV>
            <wp:extent cx="8890"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134620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134620</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237490</wp:posOffset>
            </wp:positionV>
            <wp:extent cx="7029450" cy="6858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720"/>
            <w:col w:w="8480"/>
          </w:cols>
          <w:pgMar w:left="320" w:top="482" w:right="439" w:bottom="1440" w:gutter="0" w:footer="0" w:header="0"/>
          <w:type w:val="continuous"/>
        </w:sect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18 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right="380"/>
        <w:spacing w:after="0" w:line="342" w:lineRule="auto"/>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r>
        <w:rPr>
          <w:rFonts w:ascii="Arial" w:cs="Arial" w:eastAsia="Arial" w:hAnsi="Arial"/>
          <w:sz w:val="14"/>
          <w:szCs w:val="14"/>
          <w:b w:val="1"/>
          <w:bCs w:val="1"/>
          <w:color w:val="231161"/>
        </w:rPr>
        <w:t xml:space="preserve"> Age: </w:t>
      </w:r>
      <w:r>
        <w:rPr>
          <w:rFonts w:ascii="Arial" w:cs="Arial" w:eastAsia="Arial" w:hAnsi="Arial"/>
          <w:sz w:val="14"/>
          <w:szCs w:val="14"/>
          <w:color w:val="3F3F3F"/>
        </w:rPr>
        <w:t>76</w:t>
      </w:r>
      <w:r>
        <w:rPr>
          <w:rFonts w:ascii="Arial" w:cs="Arial" w:eastAsia="Arial" w:hAnsi="Arial"/>
          <w:sz w:val="14"/>
          <w:szCs w:val="14"/>
          <w:color w:val="231161"/>
        </w:rPr>
        <w:t>*</w:t>
      </w:r>
    </w:p>
    <w:p>
      <w:pPr>
        <w:ind w:left="260" w:right="380" w:hanging="143"/>
        <w:spacing w:after="0" w:line="263" w:lineRule="auto"/>
        <w:rPr>
          <w:sz w:val="20"/>
          <w:szCs w:val="20"/>
          <w:color w:val="auto"/>
        </w:rPr>
      </w:pPr>
      <w:r>
        <w:rPr>
          <w:rFonts w:ascii="Arial" w:cs="Arial" w:eastAsia="Arial" w:hAnsi="Arial"/>
          <w:sz w:val="14"/>
          <w:szCs w:val="14"/>
          <w:b w:val="1"/>
          <w:bCs w:val="1"/>
          <w:color w:val="231161"/>
        </w:rPr>
        <w:t xml:space="preserve">Board Committees: </w:t>
      </w:r>
      <w:r>
        <w:rPr>
          <w:rFonts w:ascii="Arial" w:cs="Arial" w:eastAsia="Arial" w:hAnsi="Arial"/>
          <w:sz w:val="14"/>
          <w:szCs w:val="14"/>
          <w:color w:val="3F3F3F"/>
        </w:rPr>
        <w:t>•   Compensation •   Finance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2252345</wp:posOffset>
            </wp:positionV>
            <wp:extent cx="123444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James M. Kilts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-707390</wp:posOffset>
            </wp:positionV>
            <wp:extent cx="7174865" cy="5524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 Founding Partner (since 2006), </w:t>
      </w:r>
      <w:r>
        <w:rPr>
          <w:rFonts w:ascii="Arial" w:cs="Arial" w:eastAsia="Arial" w:hAnsi="Arial"/>
          <w:sz w:val="14"/>
          <w:szCs w:val="14"/>
          <w:b w:val="1"/>
          <w:bCs w:val="1"/>
          <w:color w:val="3F3F3F"/>
        </w:rPr>
        <w:t>Centerview Capital</w:t>
      </w:r>
      <w:r>
        <w:rPr>
          <w:rFonts w:ascii="Arial" w:cs="Arial" w:eastAsia="Arial" w:hAnsi="Arial"/>
          <w:sz w:val="14"/>
          <w:szCs w:val="14"/>
          <w:color w:val="3F3F3F"/>
        </w:rPr>
        <w:t>, a private equity firm</w:t>
      </w:r>
    </w:p>
    <w:p>
      <w:pPr>
        <w:spacing w:after="0" w:line="15" w:lineRule="exact"/>
        <w:rPr>
          <w:sz w:val="20"/>
          <w:szCs w:val="20"/>
          <w:color w:val="auto"/>
        </w:rPr>
      </w:pPr>
    </w:p>
    <w:p>
      <w:pPr>
        <w:ind w:left="300" w:right="380" w:hanging="143"/>
        <w:spacing w:after="0" w:line="241" w:lineRule="auto"/>
        <w:rPr>
          <w:sz w:val="20"/>
          <w:szCs w:val="20"/>
          <w:color w:val="auto"/>
        </w:rPr>
      </w:pPr>
      <w:r>
        <w:rPr>
          <w:rFonts w:ascii="Arial" w:cs="Arial" w:eastAsia="Arial" w:hAnsi="Arial"/>
          <w:sz w:val="14"/>
          <w:szCs w:val="14"/>
          <w:color w:val="3F3F3F"/>
        </w:rPr>
        <w:t xml:space="preserve">•   Special Advisor to the Board (2023), Co-Chief Executive Officer (2021-2023), </w:t>
      </w:r>
      <w:r>
        <w:rPr>
          <w:rFonts w:ascii="Arial" w:cs="Arial" w:eastAsia="Arial" w:hAnsi="Arial"/>
          <w:sz w:val="14"/>
          <w:szCs w:val="14"/>
          <w:b w:val="1"/>
          <w:bCs w:val="1"/>
          <w:color w:val="3F3F3F"/>
        </w:rPr>
        <w:t>Conyers Park III Acquisition Corp</w:t>
      </w:r>
      <w:r>
        <w:rPr>
          <w:rFonts w:ascii="Arial" w:cs="Arial" w:eastAsia="Arial" w:hAnsi="Arial"/>
          <w:sz w:val="14"/>
          <w:szCs w:val="14"/>
          <w:color w:val="3F3F3F"/>
        </w:rPr>
        <w:t>. (a special purpose acquisition company)</w:t>
      </w:r>
    </w:p>
    <w:p>
      <w:pPr>
        <w:spacing w:after="0" w:line="1" w:lineRule="exact"/>
        <w:rPr>
          <w:sz w:val="20"/>
          <w:szCs w:val="20"/>
          <w:color w:val="auto"/>
        </w:rPr>
      </w:pPr>
    </w:p>
    <w:p>
      <w:pPr>
        <w:ind w:left="300" w:right="380" w:hanging="143"/>
        <w:spacing w:after="0" w:line="241" w:lineRule="auto"/>
        <w:rPr>
          <w:sz w:val="20"/>
          <w:szCs w:val="20"/>
          <w:color w:val="auto"/>
        </w:rPr>
      </w:pPr>
      <w:r>
        <w:rPr>
          <w:rFonts w:ascii="Arial" w:cs="Arial" w:eastAsia="Arial" w:hAnsi="Arial"/>
          <w:sz w:val="14"/>
          <w:szCs w:val="14"/>
          <w:color w:val="3F3F3F"/>
        </w:rPr>
        <w:t xml:space="preserve">•   Chairman and Chief Executive Officer (2001 - 2005 when it merged with The Procter &amp; Gamble Company), President (2003 -  2005), </w:t>
      </w:r>
      <w:r>
        <w:rPr>
          <w:rFonts w:ascii="Arial" w:cs="Arial" w:eastAsia="Arial" w:hAnsi="Arial"/>
          <w:sz w:val="14"/>
          <w:szCs w:val="14"/>
          <w:b w:val="1"/>
          <w:bCs w:val="1"/>
          <w:color w:val="3F3F3F"/>
        </w:rPr>
        <w:t>The Gillette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 President and Chief Executive Officer (1998 - 2000 when it was acquired by The Philip Morris Companies), </w:t>
      </w:r>
      <w:r>
        <w:rPr>
          <w:rFonts w:ascii="Arial" w:cs="Arial" w:eastAsia="Arial" w:hAnsi="Arial"/>
          <w:sz w:val="14"/>
          <w:szCs w:val="14"/>
          <w:b w:val="1"/>
          <w:bCs w:val="1"/>
          <w:color w:val="3F3F3F"/>
        </w:rPr>
        <w:t>Nabisco Group</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3F3F3F"/>
        </w:rPr>
        <w:t>Holdings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300" w:right="80" w:hanging="143"/>
        <w:spacing w:after="0" w:line="242"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CEO and Public Company Management, Corporate Governance, Finance, Accounting and Capital Markets, Global</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Business,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Strategy and M&amp;A Experience </w:t>
      </w:r>
      <w:r>
        <w:rPr>
          <w:rFonts w:ascii="Arial" w:cs="Arial" w:eastAsia="Arial" w:hAnsi="Arial"/>
          <w:sz w:val="14"/>
          <w:szCs w:val="14"/>
          <w:color w:val="3F3F3F"/>
        </w:rPr>
        <w:t>acquired during his more than 40 years leading a range of multi-national</w:t>
      </w:r>
      <w:r>
        <w:rPr>
          <w:rFonts w:ascii="Arial" w:cs="Arial" w:eastAsia="Arial" w:hAnsi="Arial"/>
          <w:sz w:val="14"/>
          <w:szCs w:val="14"/>
          <w:b w:val="1"/>
          <w:bCs w:val="1"/>
          <w:color w:val="3F3F3F"/>
        </w:rPr>
        <w:t xml:space="preserve"> </w:t>
      </w:r>
      <w:r>
        <w:rPr>
          <w:rFonts w:ascii="Arial" w:cs="Arial" w:eastAsia="Arial" w:hAnsi="Arial"/>
          <w:sz w:val="14"/>
          <w:szCs w:val="14"/>
          <w:color w:val="3F3F3F"/>
        </w:rPr>
        <w:t>companies and iconic brands, where he is credited with building domestic and international strategies to increase sales and successfully overseeing organizations through significant M&amp;A activity resulting in him being sought out for his business expertise and advice</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 Mr. Kilts also brings </w:t>
      </w:r>
      <w:r>
        <w:rPr>
          <w:rFonts w:ascii="Arial" w:cs="Arial" w:eastAsia="Arial" w:hAnsi="Arial"/>
          <w:sz w:val="14"/>
          <w:szCs w:val="14"/>
          <w:b w:val="1"/>
          <w:bCs w:val="1"/>
          <w:color w:val="3F3F3F"/>
        </w:rPr>
        <w:t>Healthcare Industry</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Human Capital Management Experience</w:t>
      </w:r>
      <w:r>
        <w:rPr>
          <w:rFonts w:ascii="Arial" w:cs="Arial" w:eastAsia="Arial" w:hAnsi="Arial"/>
          <w:sz w:val="14"/>
          <w:szCs w:val="14"/>
          <w:color w:val="3F3F3F"/>
        </w:rPr>
        <w:t xml:space="preserve"> to the Board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300" w:right="6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Advantage Solutions Inc.</w:t>
      </w:r>
      <w:r>
        <w:rPr>
          <w:rFonts w:ascii="Arial" w:cs="Arial" w:eastAsia="Arial" w:hAnsi="Arial"/>
          <w:sz w:val="14"/>
          <w:szCs w:val="14"/>
          <w:color w:val="3F3F3F"/>
        </w:rPr>
        <w:t xml:space="preserve"> (NASDAQ: ADV) (since 2020 when it combined with Conyers Park II Acquisition Corp.), non-executive Chairman and previously Lead Director</w:t>
      </w:r>
    </w:p>
    <w:p>
      <w:pPr>
        <w:spacing w:after="0" w:line="1" w:lineRule="exact"/>
        <w:rPr>
          <w:sz w:val="20"/>
          <w:szCs w:val="20"/>
          <w:color w:val="auto"/>
        </w:rPr>
      </w:pPr>
    </w:p>
    <w:p>
      <w:pPr>
        <w:ind w:left="300" w:right="24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The Simply Good Foods Company</w:t>
      </w:r>
      <w:r>
        <w:rPr>
          <w:rFonts w:ascii="Arial" w:cs="Arial" w:eastAsia="Arial" w:hAnsi="Arial"/>
          <w:sz w:val="14"/>
          <w:szCs w:val="14"/>
          <w:color w:val="3F3F3F"/>
        </w:rPr>
        <w:t xml:space="preserve"> (NASDAQ: SMPL) (since 2017), Chairman and member of the Nominating and Corporate Governance Committee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Unifi Inc.</w:t>
      </w:r>
      <w:r>
        <w:rPr>
          <w:rFonts w:ascii="Arial" w:cs="Arial" w:eastAsia="Arial" w:hAnsi="Arial"/>
          <w:sz w:val="14"/>
          <w:szCs w:val="14"/>
          <w:color w:val="3F3F3F"/>
        </w:rPr>
        <w:t xml:space="preserve"> (NYSE: UFI) (2016 - 2022), Director and most recently member of the Compensation Committee</w:t>
      </w:r>
    </w:p>
    <w:p>
      <w:pPr>
        <w:spacing w:after="0" w:line="1" w:lineRule="exact"/>
        <w:rPr>
          <w:sz w:val="20"/>
          <w:szCs w:val="20"/>
          <w:color w:val="auto"/>
        </w:rPr>
      </w:pPr>
    </w:p>
    <w:p>
      <w:pPr>
        <w:ind w:left="300" w:right="28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Pfizer Inc.</w:t>
      </w:r>
      <w:r>
        <w:rPr>
          <w:rFonts w:ascii="Arial" w:cs="Arial" w:eastAsia="Arial" w:hAnsi="Arial"/>
          <w:sz w:val="14"/>
          <w:szCs w:val="14"/>
          <w:color w:val="3F3F3F"/>
        </w:rPr>
        <w:t xml:space="preserve"> (NYSE: PFE) (2007 - the closing of the Combination in 2020), Director and most recently member of Compensation Committee</w:t>
      </w:r>
    </w:p>
    <w:p>
      <w:pPr>
        <w:spacing w:after="0" w:line="1" w:lineRule="exact"/>
        <w:rPr>
          <w:sz w:val="20"/>
          <w:szCs w:val="20"/>
          <w:color w:val="auto"/>
        </w:rPr>
      </w:pPr>
    </w:p>
    <w:p>
      <w:pPr>
        <w:ind w:left="160" w:right="440"/>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Conyers Park II Acquisition Corp.</w:t>
      </w:r>
      <w:r>
        <w:rPr>
          <w:rFonts w:ascii="Arial" w:cs="Arial" w:eastAsia="Arial" w:hAnsi="Arial"/>
          <w:sz w:val="14"/>
          <w:szCs w:val="14"/>
          <w:color w:val="3F3F3F"/>
        </w:rPr>
        <w:t xml:space="preserve"> (2019 to 2020 when it combined with Advantage Solutions Inc.), Executive Chairman •   </w:t>
      </w:r>
      <w:r>
        <w:rPr>
          <w:rFonts w:ascii="Arial" w:cs="Arial" w:eastAsia="Arial" w:hAnsi="Arial"/>
          <w:sz w:val="14"/>
          <w:szCs w:val="14"/>
          <w:b w:val="1"/>
          <w:bCs w:val="1"/>
          <w:color w:val="3F3F3F"/>
        </w:rPr>
        <w:t>MetLife, Inc.</w:t>
      </w:r>
      <w:r>
        <w:rPr>
          <w:rFonts w:ascii="Arial" w:cs="Arial" w:eastAsia="Arial" w:hAnsi="Arial"/>
          <w:sz w:val="14"/>
          <w:szCs w:val="14"/>
          <w:color w:val="3F3F3F"/>
        </w:rPr>
        <w:t xml:space="preserve"> (NYSE: MET) (2005 - 2020), Director, most recently Chair of the Compensation Committee and member of the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3F3F3F"/>
        </w:rPr>
        <w:t>Governance and Corporate Responsibility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The Procter &amp; Gamble Company</w:t>
      </w:r>
      <w:r>
        <w:rPr>
          <w:rFonts w:ascii="Arial" w:cs="Arial" w:eastAsia="Arial" w:hAnsi="Arial"/>
          <w:sz w:val="14"/>
          <w:szCs w:val="14"/>
          <w:color w:val="3F3F3F"/>
        </w:rPr>
        <w:t xml:space="preserve"> (NYSE: PG) (2005 - 2006), Director</w:t>
      </w:r>
    </w:p>
    <w:p>
      <w:pPr>
        <w:spacing w:after="0" w:line="1" w:lineRule="exact"/>
        <w:rPr>
          <w:sz w:val="20"/>
          <w:szCs w:val="20"/>
          <w:color w:val="auto"/>
        </w:rPr>
      </w:pPr>
    </w:p>
    <w:p>
      <w:pPr>
        <w:ind w:left="160" w:right="560"/>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Conyers Park Acquisition Corporation</w:t>
      </w:r>
      <w:r>
        <w:rPr>
          <w:rFonts w:ascii="Arial" w:cs="Arial" w:eastAsia="Arial" w:hAnsi="Arial"/>
          <w:sz w:val="14"/>
          <w:szCs w:val="14"/>
          <w:color w:val="3F3F3F"/>
        </w:rPr>
        <w:t xml:space="preserve"> (2016 - 2017 when it merged with The Simply Good Foods Company), Chairman •   </w:t>
      </w:r>
      <w:r>
        <w:rPr>
          <w:rFonts w:ascii="Arial" w:cs="Arial" w:eastAsia="Arial" w:hAnsi="Arial"/>
          <w:sz w:val="14"/>
          <w:szCs w:val="14"/>
          <w:b w:val="1"/>
          <w:bCs w:val="1"/>
          <w:color w:val="3F3F3F"/>
        </w:rPr>
        <w:t>Nielsen Holdings plc</w:t>
      </w:r>
      <w:r>
        <w:rPr>
          <w:rFonts w:ascii="Arial" w:cs="Arial" w:eastAsia="Arial" w:hAnsi="Arial"/>
          <w:sz w:val="14"/>
          <w:szCs w:val="14"/>
          <w:color w:val="3F3F3F"/>
        </w:rPr>
        <w:t xml:space="preserve">, (NYSE: NLSN) non-executive Director (2006 - 2017) and Chairman (2011 - 2013) •   </w:t>
      </w:r>
      <w:r>
        <w:rPr>
          <w:rFonts w:ascii="Arial" w:cs="Arial" w:eastAsia="Arial" w:hAnsi="Arial"/>
          <w:sz w:val="14"/>
          <w:szCs w:val="14"/>
          <w:b w:val="1"/>
          <w:bCs w:val="1"/>
          <w:color w:val="3F3F3F"/>
        </w:rPr>
        <w:t>Nielsen Company B.V.</w:t>
      </w:r>
      <w:r>
        <w:rPr>
          <w:rFonts w:ascii="Arial" w:cs="Arial" w:eastAsia="Arial" w:hAnsi="Arial"/>
          <w:sz w:val="14"/>
          <w:szCs w:val="14"/>
          <w:color w:val="3F3F3F"/>
        </w:rPr>
        <w:t xml:space="preserve"> (2009 - 2014), Chairman</w:t>
      </w:r>
    </w:p>
    <w:p>
      <w:pPr>
        <w:ind w:left="160"/>
        <w:spacing w:after="0" w:line="226"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MeadWestvaco Corporation</w:t>
      </w:r>
      <w:r>
        <w:rPr>
          <w:rFonts w:ascii="Arial" w:cs="Arial" w:eastAsia="Arial" w:hAnsi="Arial"/>
          <w:sz w:val="14"/>
          <w:szCs w:val="14"/>
          <w:color w:val="3F3F3F"/>
        </w:rPr>
        <w:t xml:space="preserve"> (2006 - 2014), Director</w:t>
      </w:r>
    </w:p>
    <w:p>
      <w:pPr>
        <w:spacing w:after="0" w:line="235" w:lineRule="auto"/>
        <w:rPr>
          <w:sz w:val="20"/>
          <w:szCs w:val="20"/>
          <w:color w:val="auto"/>
        </w:rPr>
      </w:pPr>
      <w:r>
        <w:rPr>
          <w:rFonts w:ascii="Arial" w:cs="Arial" w:eastAsia="Arial" w:hAnsi="Arial"/>
          <w:sz w:val="13"/>
          <w:szCs w:val="13"/>
          <w:color w:val="3F3F3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ind w:left="300" w:right="60" w:hanging="287"/>
        <w:spacing w:after="0" w:line="249" w:lineRule="auto"/>
        <w:rPr>
          <w:sz w:val="20"/>
          <w:szCs w:val="20"/>
          <w:color w:val="auto"/>
        </w:rPr>
      </w:pPr>
      <w:r>
        <w:rPr>
          <w:rFonts w:ascii="Arial" w:cs="Arial" w:eastAsia="Arial" w:hAnsi="Arial"/>
          <w:sz w:val="14"/>
          <w:szCs w:val="14"/>
          <w:color w:val="3F3F3F"/>
        </w:rPr>
        <w:t>*     The Board, on the recommendation of the Governance and Sustainability Committee, has, in accordance with its Corporate Governance Principles, approved a waiver to the mandatory retirement age for Directors for Mr. Kilts and determined that such waiver was in the best interests of the Company because of his continued extensive contributions to the Board and his knowledge and familiarity with the legacy Upjohn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121285</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121285</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121285</wp:posOffset>
            </wp:positionV>
            <wp:extent cx="8890"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121285</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121285</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121285</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121285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121285</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121285</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121285</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121285</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121285</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121285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121285</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121285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121285</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121285</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121285</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121285</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121285</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121285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121285</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121285</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121285</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121285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121285</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121285</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121285</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121285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121285</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121285</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121285</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121285</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121285</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121285</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121285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121285</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121285</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121285</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121285</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121285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121285</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121285</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121285</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121285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121285</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121285</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121285</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121285</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121285</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121285</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121285</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121285</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121285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121285</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121285</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121285</wp:posOffset>
            </wp:positionV>
            <wp:extent cx="8890"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121285</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121285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121285</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121285</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121285</wp:posOffset>
            </wp:positionV>
            <wp:extent cx="8890"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121285</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121285</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121285</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121285</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121285</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121285</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121285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121285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121285</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121285</wp:posOffset>
            </wp:positionV>
            <wp:extent cx="889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121285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121285</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121285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121285</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121285</wp:posOffset>
            </wp:positionV>
            <wp:extent cx="8890"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121285</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121285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121285</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121285</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121285</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121285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121285</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121285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121285</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121285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121285</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121285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121285</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121285</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121285</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121285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121285</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121285</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121285</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121285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121285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121285</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121285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121285</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121285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121285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121285</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121285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121285</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121285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121285</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121285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121285</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121285</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121285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121285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121285</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121285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121285</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121285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121285</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121285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121285</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121285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121285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121285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121285</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121285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121285</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121285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121285</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121285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121285</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121285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121285</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121285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121285</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121285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121285</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121285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121285</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121285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121285</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121285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121285</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121285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121285</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121285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121285</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121285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121285</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121285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121285</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121285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121285</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121285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121285</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121285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121285</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121285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121285</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121285</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121285</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121285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121285</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121285</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121285</wp:posOffset>
            </wp:positionV>
            <wp:extent cx="8255"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121285</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121285</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121285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121285</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121285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121285</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121285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121285</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121285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121285</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121285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121285</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121285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121285</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121285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121285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121285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121285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121285</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121285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121285</wp:posOffset>
            </wp:positionV>
            <wp:extent cx="8890"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121285</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121285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121285</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121285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121285</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121285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121285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121285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121285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121285</wp:posOffset>
            </wp:positionV>
            <wp:extent cx="8890"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121285</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121285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121285</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121285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121285</wp:posOffset>
            </wp:positionV>
            <wp:extent cx="8890"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121285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121285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121285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121285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121285</wp:posOffset>
            </wp:positionV>
            <wp:extent cx="8890"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121285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121285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121285</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121285</wp:posOffset>
            </wp:positionV>
            <wp:extent cx="8890"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121285</wp:posOffset>
            </wp:positionV>
            <wp:extent cx="8890"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121285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121285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121285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121285</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121285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121285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121285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121285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121285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121285</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121285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121285</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121285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121285</wp:posOffset>
            </wp:positionV>
            <wp:extent cx="8890"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121285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121285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121285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121285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121285</wp:posOffset>
            </wp:positionV>
            <wp:extent cx="8890"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121285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121285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121285</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121285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121285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121285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121285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121285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121285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121285</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121285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121285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121285</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121285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121285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121285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121285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121285</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121285</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121285</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121285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121285</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121285</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121285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121285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121285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121285</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121285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121285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121285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121285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121285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121285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121285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121285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121285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121285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121285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121285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121285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121285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121285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121285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121285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121285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121285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121285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121285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121285</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121285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121285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121285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121285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121285</wp:posOffset>
            </wp:positionV>
            <wp:extent cx="8890"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121285</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121285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121285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121285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121285</wp:posOffset>
            </wp:positionV>
            <wp:extent cx="8890"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121285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121285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121285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121285</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121285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121285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121285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121285</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121285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121285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121285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121285</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121285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121285</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121285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121285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121285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121285</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121285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121285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121285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121285</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121285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121285</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121285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121285</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121285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121285</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121285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121285</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121285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121285</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121285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121285</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121285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121285</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121285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121285</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121285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121285</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121285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121285</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121285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121285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121285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121285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121285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121285</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224155</wp:posOffset>
            </wp:positionV>
            <wp:extent cx="7029450" cy="6858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-107315</wp:posOffset>
            </wp:positionV>
            <wp:extent cx="865505" cy="22288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2">
            <w:col w:w="1820" w:space="720"/>
            <w:col w:w="860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67</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 Compensation (Chair)</w:t>
      </w:r>
    </w:p>
    <w:p>
      <w:pPr>
        <w:spacing w:after="0" w:line="1" w:lineRule="exact"/>
        <w:rPr>
          <w:sz w:val="20"/>
          <w:szCs w:val="20"/>
          <w:color w:val="auto"/>
        </w:rPr>
      </w:pPr>
    </w:p>
    <w:p>
      <w:pPr>
        <w:ind w:left="260"/>
        <w:spacing w:after="0" w:line="264" w:lineRule="auto"/>
        <w:rPr>
          <w:sz w:val="20"/>
          <w:szCs w:val="20"/>
          <w:color w:val="auto"/>
        </w:rPr>
      </w:pPr>
      <w:r>
        <w:rPr>
          <w:rFonts w:ascii="Arial" w:cs="Arial" w:eastAsia="Arial" w:hAnsi="Arial"/>
          <w:sz w:val="14"/>
          <w:szCs w:val="14"/>
          <w:color w:val="3F3F3F"/>
        </w:rPr>
        <w:t>•   Compliance and Risk Oversight •   Governance and Sustainability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152590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Harry Korman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-707390</wp:posOffset>
            </wp:positionV>
            <wp:extent cx="7174865" cy="5524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280" w:right="120" w:hanging="143"/>
        <w:spacing w:after="0" w:line="267" w:lineRule="auto"/>
        <w:rPr>
          <w:sz w:val="20"/>
          <w:szCs w:val="20"/>
          <w:color w:val="auto"/>
        </w:rPr>
      </w:pPr>
      <w:r>
        <w:rPr>
          <w:rFonts w:ascii="Arial" w:cs="Arial" w:eastAsia="Arial" w:hAnsi="Arial"/>
          <w:sz w:val="14"/>
          <w:szCs w:val="14"/>
          <w:color w:val="3F3F3F"/>
        </w:rPr>
        <w:t xml:space="preserve">•   Held senior executive roles of increasing responsibility, including Global Chief Operating Officer (2012 - 2014, after which he served as a consultant (2014 - 2015)), President, North America (2007 - 2012), President, Mylan Pharmaceuticals Inc. (2005 -  2009); joined in 1996 after the company’s acquisition of UDL Laboratories, Inc. (n/k/a Mylan Institutional Inc.), </w:t>
      </w:r>
      <w:r>
        <w:rPr>
          <w:rFonts w:ascii="Arial" w:cs="Arial" w:eastAsia="Arial" w:hAnsi="Arial"/>
          <w:sz w:val="14"/>
          <w:szCs w:val="14"/>
          <w:b w:val="1"/>
          <w:bCs w:val="1"/>
          <w:color w:val="3F3F3F"/>
        </w:rPr>
        <w:t>Mylan Inc.</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jc w:val="both"/>
        <w:ind w:left="280" w:right="4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Corporate Governance/CSR, Healthcare Industry, Risk Oversight/Compliance, Strategy</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and M&amp;A,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Global Business Experience </w:t>
      </w:r>
      <w:r>
        <w:rPr>
          <w:rFonts w:ascii="Arial" w:cs="Arial" w:eastAsia="Arial" w:hAnsi="Arial"/>
          <w:sz w:val="14"/>
          <w:szCs w:val="14"/>
          <w:color w:val="3F3F3F"/>
        </w:rPr>
        <w:t>gained during his almost 20 years serving in leadership roles at Mylan, where he</w:t>
      </w:r>
      <w:r>
        <w:rPr>
          <w:rFonts w:ascii="Arial" w:cs="Arial" w:eastAsia="Arial" w:hAnsi="Arial"/>
          <w:sz w:val="14"/>
          <w:szCs w:val="14"/>
          <w:b w:val="1"/>
          <w:bCs w:val="1"/>
          <w:color w:val="3F3F3F"/>
        </w:rPr>
        <w:t xml:space="preserve"> </w:t>
      </w:r>
      <w:r>
        <w:rPr>
          <w:rFonts w:ascii="Arial" w:cs="Arial" w:eastAsia="Arial" w:hAnsi="Arial"/>
          <w:sz w:val="14"/>
          <w:szCs w:val="14"/>
          <w:color w:val="3F3F3F"/>
        </w:rPr>
        <w:t>helped grow their generics business and ultimately had responsibility for all operations as Global Chief Operating Officer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 Mr. Korman also brings </w:t>
      </w:r>
      <w:r>
        <w:rPr>
          <w:rFonts w:ascii="Arial" w:cs="Arial" w:eastAsia="Arial" w:hAnsi="Arial"/>
          <w:sz w:val="14"/>
          <w:szCs w:val="14"/>
          <w:b w:val="1"/>
          <w:bCs w:val="1"/>
          <w:color w:val="3F3F3F"/>
        </w:rPr>
        <w:t>Information Security Experience</w:t>
      </w:r>
      <w:r>
        <w:rPr>
          <w:rFonts w:ascii="Arial" w:cs="Arial" w:eastAsia="Arial" w:hAnsi="Arial"/>
          <w:sz w:val="14"/>
          <w:szCs w:val="14"/>
          <w:color w:val="3F3F3F"/>
        </w:rPr>
        <w:t xml:space="preserve"> to the Board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280" w:right="42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Mylan</w:t>
      </w:r>
      <w:r>
        <w:rPr>
          <w:rFonts w:ascii="Arial" w:cs="Arial" w:eastAsia="Arial" w:hAnsi="Arial"/>
          <w:sz w:val="14"/>
          <w:szCs w:val="14"/>
          <w:color w:val="3F3F3F"/>
        </w:rPr>
        <w:t xml:space="preserve"> (2018 - the closing of the Combination in 2020), Director, most recently Chair of the Risk Oversight Committee and member of the Compliance, Governance and Nominating, and Science and Technology Committees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280" w:right="520" w:hanging="143"/>
        <w:spacing w:after="0" w:line="241" w:lineRule="auto"/>
        <w:rPr>
          <w:sz w:val="20"/>
          <w:szCs w:val="20"/>
          <w:color w:val="auto"/>
        </w:rPr>
      </w:pPr>
      <w:r>
        <w:rPr>
          <w:rFonts w:ascii="Arial" w:cs="Arial" w:eastAsia="Arial" w:hAnsi="Arial"/>
          <w:sz w:val="14"/>
          <w:szCs w:val="14"/>
          <w:color w:val="3F3F3F"/>
        </w:rPr>
        <w:t xml:space="preserve">•   Past Director and Vice Chairman, </w:t>
      </w:r>
      <w:r>
        <w:rPr>
          <w:rFonts w:ascii="Arial" w:cs="Arial" w:eastAsia="Arial" w:hAnsi="Arial"/>
          <w:sz w:val="14"/>
          <w:szCs w:val="14"/>
          <w:b w:val="1"/>
          <w:bCs w:val="1"/>
          <w:color w:val="3F3F3F"/>
        </w:rPr>
        <w:t>Generic Pharmaceutical Association</w:t>
      </w:r>
      <w:r>
        <w:rPr>
          <w:rFonts w:ascii="Arial" w:cs="Arial" w:eastAsia="Arial" w:hAnsi="Arial"/>
          <w:sz w:val="14"/>
          <w:szCs w:val="14"/>
          <w:color w:val="3F3F3F"/>
        </w:rPr>
        <w:t>, now known as the Association for Accessible Medicines</w:t>
      </w:r>
    </w:p>
    <w:p>
      <w:pPr>
        <w:spacing w:after="0" w:line="1" w:lineRule="exact"/>
        <w:rPr>
          <w:sz w:val="20"/>
          <w:szCs w:val="20"/>
          <w:color w:val="auto"/>
        </w:rPr>
      </w:pPr>
    </w:p>
    <w:p>
      <w:pPr>
        <w:ind w:left="280" w:right="340" w:hanging="143"/>
        <w:spacing w:after="0" w:line="264" w:lineRule="auto"/>
        <w:rPr>
          <w:sz w:val="20"/>
          <w:szCs w:val="20"/>
          <w:color w:val="auto"/>
        </w:rPr>
      </w:pPr>
      <w:r>
        <w:rPr>
          <w:rFonts w:ascii="Arial" w:cs="Arial" w:eastAsia="Arial" w:hAnsi="Arial"/>
          <w:sz w:val="14"/>
          <w:szCs w:val="14"/>
          <w:color w:val="3F3F3F"/>
        </w:rPr>
        <w:t xml:space="preserve">•   Previous Director and Vice Chairman, </w:t>
      </w:r>
      <w:r>
        <w:rPr>
          <w:rFonts w:ascii="Arial" w:cs="Arial" w:eastAsia="Arial" w:hAnsi="Arial"/>
          <w:sz w:val="14"/>
          <w:szCs w:val="14"/>
          <w:b w:val="1"/>
          <w:bCs w:val="1"/>
          <w:color w:val="3F3F3F"/>
        </w:rPr>
        <w:t>HDMA Foundation</w:t>
      </w:r>
      <w:r>
        <w:rPr>
          <w:rFonts w:ascii="Arial" w:cs="Arial" w:eastAsia="Arial" w:hAnsi="Arial"/>
          <w:sz w:val="14"/>
          <w:szCs w:val="14"/>
          <w:color w:val="3F3F3F"/>
        </w:rPr>
        <w:t>, which serves the healthcare industry by providing research and education focused on healthcare supply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158115</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158115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158115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158115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158115</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158115</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158115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158115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158115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158115</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158115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158115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158115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158115</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158115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158115</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158115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158115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158115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158115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158115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158115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158115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158115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158115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158115</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158115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158115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158115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158115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158115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158115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158115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158115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158115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158115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158115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158115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158115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158115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158115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158115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158115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158115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158115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158115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158115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158115</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158115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158115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158115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158115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158115</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158115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158115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158115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158115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158115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158115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158115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158115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158115</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158115</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158115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158115</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158115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158115</wp:posOffset>
            </wp:positionV>
            <wp:extent cx="8255"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158115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158115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158115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158115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158115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158115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158115</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158115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158115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158115</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158115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158115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158115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158115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158115</wp:posOffset>
            </wp:positionV>
            <wp:extent cx="889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158115</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158115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158115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158115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158115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158115</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158115</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158115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158115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158115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158115</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158115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158115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158115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158115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158115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158115</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158115</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158115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158115</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158115</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158115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158115</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158115</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158115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158115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158115</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158115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158115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158115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158115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158115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158115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158115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158115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158115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158115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158115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158115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158115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158115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158115</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158115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158115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158115</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158115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158115</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158115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158115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158115</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158115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158115</wp:posOffset>
            </wp:positionV>
            <wp:extent cx="8255"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158115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158115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158115</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158115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158115</wp:posOffset>
            </wp:positionV>
            <wp:extent cx="8255"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158115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158115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158115</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158115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158115</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158115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158115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158115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158115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158115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158115</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158115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158115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158115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158115</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158115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158115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158115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158115</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158115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158115</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158115</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158115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158115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158115</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158115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158115</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158115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158115</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158115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158115</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158115</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158115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158115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158115</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158115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158115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158115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158115</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158115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158115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158115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158115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158115</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158115</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158115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158115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158115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158115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158115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158115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158115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158115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158115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158115</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158115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158115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158115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158115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158115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158115</wp:posOffset>
            </wp:positionV>
            <wp:extent cx="8890"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158115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158115</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158115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158115</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158115</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158115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158115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158115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158115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158115</wp:posOffset>
            </wp:positionV>
            <wp:extent cx="8890"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158115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158115</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158115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158115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158115</wp:posOffset>
            </wp:positionV>
            <wp:extent cx="8890"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158115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158115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158115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158115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158115</wp:posOffset>
            </wp:positionV>
            <wp:extent cx="889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158115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158115</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158115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158115</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158115</wp:posOffset>
            </wp:positionV>
            <wp:extent cx="889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158115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158115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158115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158115</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158115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158115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158115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158115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158115</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158115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158115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158115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158115</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158115</wp:posOffset>
            </wp:positionV>
            <wp:extent cx="8890"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158115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158115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158115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158115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158115</wp:posOffset>
            </wp:positionV>
            <wp:extent cx="8890"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158115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158115</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158115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158115</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158115</wp:posOffset>
            </wp:positionV>
            <wp:extent cx="8890"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158115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158115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158115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158115</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158115</wp:posOffset>
            </wp:positionV>
            <wp:extent cx="8890"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158115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158115</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158115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158115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158115</wp:posOffset>
            </wp:positionV>
            <wp:extent cx="8890"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158115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158115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158115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158115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158115</wp:posOffset>
            </wp:positionV>
            <wp:extent cx="8890"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158115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158115</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158115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158115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158115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158115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158115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158115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158115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158115</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158115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158115</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158115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158115</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158115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158115</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158115</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158115</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158115</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158115</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158115</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158115</wp:posOffset>
            </wp:positionV>
            <wp:extent cx="8890"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158115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158115</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158115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158115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158115</wp:posOffset>
            </wp:positionV>
            <wp:extent cx="8890"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158115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158115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158115</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158115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158115</wp:posOffset>
            </wp:positionV>
            <wp:extent cx="8890"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158115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158115</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158115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158115</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158115</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158115</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158115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158115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158115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158115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158115</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158115</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158115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158115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158115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158115</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158115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158115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158115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158115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158115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158115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2400" w:space="260"/>
            <w:col w:w="8400"/>
          </w:cols>
          <w:pgMar w:left="320" w:top="48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-1364615</wp:posOffset>
            </wp:positionV>
            <wp:extent cx="1200150" cy="121729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63</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 Science and Technology (Chair)</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1035050</wp:posOffset>
            </wp:positionV>
            <wp:extent cx="154305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Rajiv Malik</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 Retired President (from the closing of the Combination in 2020 to April 2024), </w:t>
      </w:r>
      <w:r>
        <w:rPr>
          <w:rFonts w:ascii="Arial" w:cs="Arial" w:eastAsia="Arial" w:hAnsi="Arial"/>
          <w:sz w:val="14"/>
          <w:szCs w:val="14"/>
          <w:b w:val="1"/>
          <w:bCs w:val="1"/>
          <w:color w:val="3F3F3F"/>
        </w:rPr>
        <w:t>Viatris</w:t>
      </w:r>
    </w:p>
    <w:p>
      <w:pPr>
        <w:spacing w:after="0" w:line="15" w:lineRule="exact"/>
        <w:rPr>
          <w:sz w:val="20"/>
          <w:szCs w:val="20"/>
          <w:color w:val="auto"/>
        </w:rPr>
      </w:pPr>
    </w:p>
    <w:p>
      <w:pPr>
        <w:ind w:left="280" w:right="140" w:hanging="143"/>
        <w:spacing w:after="0" w:line="241" w:lineRule="auto"/>
        <w:rPr>
          <w:sz w:val="20"/>
          <w:szCs w:val="20"/>
          <w:color w:val="auto"/>
        </w:rPr>
      </w:pPr>
      <w:r>
        <w:rPr>
          <w:rFonts w:ascii="Arial" w:cs="Arial" w:eastAsia="Arial" w:hAnsi="Arial"/>
          <w:sz w:val="14"/>
          <w:szCs w:val="14"/>
          <w:color w:val="3F3F3F"/>
        </w:rPr>
        <w:t xml:space="preserve">•   President (2012 - the closing of the Combination in 2020), Executive Vice President and Chief Operating Officer (2009 - 2012), Head of Global Technical Operations (2007 - 2009); joined the company in 2007, </w:t>
      </w:r>
      <w:r>
        <w:rPr>
          <w:rFonts w:ascii="Arial" w:cs="Arial" w:eastAsia="Arial" w:hAnsi="Arial"/>
          <w:sz w:val="14"/>
          <w:szCs w:val="14"/>
          <w:b w:val="1"/>
          <w:bCs w:val="1"/>
          <w:color w:val="3F3F3F"/>
        </w:rPr>
        <w:t>Mylan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 Chief Executive Officer (2005 - 2008), </w:t>
      </w:r>
      <w:r>
        <w:rPr>
          <w:rFonts w:ascii="Arial" w:cs="Arial" w:eastAsia="Arial" w:hAnsi="Arial"/>
          <w:sz w:val="14"/>
          <w:szCs w:val="14"/>
          <w:b w:val="1"/>
          <w:bCs w:val="1"/>
          <w:color w:val="3F3F3F"/>
        </w:rPr>
        <w:t>Matrix Laboratories Limited</w:t>
      </w:r>
      <w:r>
        <w:rPr>
          <w:rFonts w:ascii="Arial" w:cs="Arial" w:eastAsia="Arial" w:hAnsi="Arial"/>
          <w:sz w:val="14"/>
          <w:szCs w:val="14"/>
          <w:color w:val="3F3F3F"/>
        </w:rPr>
        <w:t xml:space="preserve"> (now Mylan Laboratories Limited)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 Head of Global Development and Registrations (2003 - 2005), </w:t>
      </w:r>
      <w:r>
        <w:rPr>
          <w:rFonts w:ascii="Arial" w:cs="Arial" w:eastAsia="Arial" w:hAnsi="Arial"/>
          <w:sz w:val="14"/>
          <w:szCs w:val="14"/>
          <w:b w:val="1"/>
          <w:bCs w:val="1"/>
          <w:color w:val="3F3F3F"/>
        </w:rPr>
        <w:t>Sandoz GmbH</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 Head of Global Regulatory Affairs and Head of Pharma Research (1999 - 2003), </w:t>
      </w:r>
      <w:r>
        <w:rPr>
          <w:rFonts w:ascii="Arial" w:cs="Arial" w:eastAsia="Arial" w:hAnsi="Arial"/>
          <w:sz w:val="14"/>
          <w:szCs w:val="14"/>
          <w:b w:val="1"/>
          <w:bCs w:val="1"/>
          <w:color w:val="3F3F3F"/>
        </w:rPr>
        <w:t>Ranbaxy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28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Finance, Accounting and Capital Markets, Healthcare Industry, Information Security,</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Legal and Regulatory Oversight, Risk Oversight/Compliance, Strategy and M&amp;A,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Global Business Experience </w:t>
      </w:r>
      <w:r>
        <w:rPr>
          <w:rFonts w:ascii="Arial" w:cs="Arial" w:eastAsia="Arial" w:hAnsi="Arial"/>
          <w:sz w:val="14"/>
          <w:szCs w:val="14"/>
          <w:color w:val="3F3F3F"/>
        </w:rPr>
        <w:t>acquired over his extensive career in the healthcare industry, including at Mylan where he was integral in helping to develop the strategies for the company’s acquisitions for over 10 years, as well as the execution and integration of those acquisitions, and was responsible for leading global commercial, scientific, operational, IT and business development activities in more than 165 countries and territories, a portfolio of more than 7,500 products, a pipeline of approximately 1,200 products, and more than 40 manufacturing facilities around the world and further enhanced in his most recent role, where he was responsible for the day-to-day operations of the Company, overseeing the Company’s commercial business units, the Commercial Development, Medical, IT and Quality functions, as well as R&amp;D and Operations and where he played a leading role in integrating the two legacy companies while stabilizing the business until his retirement in April 2024</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 Mr. Malik also brings </w:t>
      </w:r>
      <w:r>
        <w:rPr>
          <w:rFonts w:ascii="Arial" w:cs="Arial" w:eastAsia="Arial" w:hAnsi="Arial"/>
          <w:sz w:val="14"/>
          <w:szCs w:val="14"/>
          <w:b w:val="1"/>
          <w:bCs w:val="1"/>
          <w:color w:val="3F3F3F"/>
        </w:rPr>
        <w:t>Human Capital Management Experience</w:t>
      </w:r>
      <w:r>
        <w:rPr>
          <w:rFonts w:ascii="Arial" w:cs="Arial" w:eastAsia="Arial" w:hAnsi="Arial"/>
          <w:sz w:val="14"/>
          <w:szCs w:val="14"/>
          <w:color w:val="3F3F3F"/>
        </w:rPr>
        <w:t>, including oversight of DEI, to the Board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Current Private Company Boards:</w:t>
      </w:r>
    </w:p>
    <w:p>
      <w:pPr>
        <w:spacing w:after="0" w:line="15" w:lineRule="exact"/>
        <w:rPr>
          <w:sz w:val="20"/>
          <w:szCs w:val="20"/>
          <w:color w:val="auto"/>
        </w:rPr>
      </w:pPr>
    </w:p>
    <w:p>
      <w:pPr>
        <w:ind w:left="280" w:right="440" w:hanging="143"/>
        <w:spacing w:after="0" w:line="264" w:lineRule="auto"/>
        <w:rPr>
          <w:sz w:val="20"/>
          <w:szCs w:val="20"/>
          <w:color w:val="auto"/>
        </w:rPr>
      </w:pPr>
      <w:r>
        <w:rPr>
          <w:rFonts w:ascii="Arial" w:cs="Arial" w:eastAsia="Arial" w:hAnsi="Arial"/>
          <w:sz w:val="14"/>
          <w:szCs w:val="14"/>
          <w:color w:val="3F3F3F"/>
        </w:rPr>
        <w:t xml:space="preserve">•   Non-executive non-independent and Viatris nominee Director (since 2022), </w:t>
      </w:r>
      <w:r>
        <w:rPr>
          <w:rFonts w:ascii="Arial" w:cs="Arial" w:eastAsia="Arial" w:hAnsi="Arial"/>
          <w:sz w:val="14"/>
          <w:szCs w:val="14"/>
          <w:b w:val="1"/>
          <w:bCs w:val="1"/>
          <w:color w:val="3F3F3F"/>
        </w:rPr>
        <w:t>Biocon Biologics Limited</w:t>
      </w:r>
      <w:r>
        <w:rPr>
          <w:rFonts w:ascii="Arial" w:cs="Arial" w:eastAsia="Arial" w:hAnsi="Arial"/>
          <w:sz w:val="14"/>
          <w:szCs w:val="14"/>
          <w:color w:val="3F3F3F"/>
        </w:rPr>
        <w:t>, a majority owned subsidiary of Biocon Limited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Mylan</w:t>
      </w:r>
      <w:r>
        <w:rPr>
          <w:rFonts w:ascii="Arial" w:cs="Arial" w:eastAsia="Arial" w:hAnsi="Arial"/>
          <w:sz w:val="14"/>
          <w:szCs w:val="14"/>
          <w:color w:val="3F3F3F"/>
        </w:rPr>
        <w:t xml:space="preserve"> (2012 - the closing of the Combination in 2020),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134620</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134620</wp:posOffset>
            </wp:positionV>
            <wp:extent cx="8890"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134620</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134620</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8890"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134620</wp:posOffset>
            </wp:positionV>
            <wp:extent cx="8255"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134620</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134620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134620</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134620</wp:posOffset>
            </wp:positionV>
            <wp:extent cx="8890"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134620</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134620</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134620</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134620</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134620</wp:posOffset>
            </wp:positionV>
            <wp:extent cx="8890"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134620</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134620</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134620</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134620</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134620</wp:posOffset>
            </wp:positionV>
            <wp:extent cx="8890"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134620</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134620</wp:posOffset>
            </wp:positionV>
            <wp:extent cx="8890"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134620</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134620</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134620</wp:posOffset>
            </wp:positionV>
            <wp:extent cx="8890"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134620</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134620</wp:posOffset>
            </wp:positionV>
            <wp:extent cx="8890"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134620</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134620</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134620</wp:posOffset>
            </wp:positionV>
            <wp:extent cx="8255"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134620</wp:posOffset>
            </wp:positionV>
            <wp:extent cx="8890"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134620</wp:posOffset>
            </wp:positionV>
            <wp:extent cx="8890"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134620</wp:posOffset>
            </wp:positionV>
            <wp:extent cx="8890"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134620</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134620</wp:posOffset>
            </wp:positionV>
            <wp:extent cx="8255"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134620</wp:posOffset>
            </wp:positionV>
            <wp:extent cx="8890"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134620</wp:posOffset>
            </wp:positionV>
            <wp:extent cx="8890"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134620</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134620</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134620</wp:posOffset>
            </wp:positionV>
            <wp:extent cx="8255"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134620</wp:posOffset>
            </wp:positionV>
            <wp:extent cx="8890"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134620</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134620</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134620</wp:posOffset>
            </wp:positionV>
            <wp:extent cx="8890"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134620</wp:posOffset>
            </wp:positionV>
            <wp:extent cx="8255"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134620</wp:posOffset>
            </wp:positionV>
            <wp:extent cx="8890"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134620</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134620</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134620</wp:posOffset>
            </wp:positionV>
            <wp:extent cx="8890"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134620</wp:posOffset>
            </wp:positionV>
            <wp:extent cx="8890"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134620</wp:posOffset>
            </wp:positionV>
            <wp:extent cx="8890"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134620</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134620</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134620</wp:posOffset>
            </wp:positionV>
            <wp:extent cx="8890"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134620</wp:posOffset>
            </wp:positionV>
            <wp:extent cx="8890"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134620</wp:posOffset>
            </wp:positionV>
            <wp:extent cx="8890"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134620</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134620</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134620</wp:posOffset>
            </wp:positionV>
            <wp:extent cx="8890"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134620</wp:posOffset>
            </wp:positionV>
            <wp:extent cx="8890"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134620</wp:posOffset>
            </wp:positionV>
            <wp:extent cx="8890"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134620</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134620</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134620</wp:posOffset>
            </wp:positionV>
            <wp:extent cx="8890"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134620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134620</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134620</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134620</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134620</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134620</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134620</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134620</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134620</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134620</wp:posOffset>
            </wp:positionV>
            <wp:extent cx="8255"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134620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134620</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134620</wp:posOffset>
            </wp:positionV>
            <wp:extent cx="8890"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134620</wp:posOffset>
            </wp:positionV>
            <wp:extent cx="8890"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134620</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134620</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134620</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134620</wp:posOffset>
            </wp:positionV>
            <wp:extent cx="8890"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134620</wp:posOffset>
            </wp:positionV>
            <wp:extent cx="8890"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134620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134620</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134620</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134620</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134620</wp:posOffset>
            </wp:positionV>
            <wp:extent cx="8890"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134620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134620</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134620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134620</wp:posOffset>
            </wp:positionV>
            <wp:extent cx="8255"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134620</wp:posOffset>
            </wp:positionV>
            <wp:extent cx="8890"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134620</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134620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134620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134620</wp:posOffset>
            </wp:positionV>
            <wp:extent cx="8255"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134620</wp:posOffset>
            </wp:positionV>
            <wp:extent cx="8890"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134620</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134620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134620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134620</wp:posOffset>
            </wp:positionV>
            <wp:extent cx="8255"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134620</wp:posOffset>
            </wp:positionV>
            <wp:extent cx="8890"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134620</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134620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134620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134620</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134620</wp:posOffset>
            </wp:positionV>
            <wp:extent cx="8890"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134620</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134620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134620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134620</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134620</wp:posOffset>
            </wp:positionV>
            <wp:extent cx="8890"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134620</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134620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134620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134620</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134620</wp:posOffset>
            </wp:positionV>
            <wp:extent cx="8890"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134620</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134620</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134620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134620</wp:posOffset>
            </wp:positionV>
            <wp:extent cx="889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134620</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134620</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134620</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134620</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134620</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134620</wp:posOffset>
            </wp:positionV>
            <wp:extent cx="8890"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134620</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134620</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134620</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134620</wp:posOffset>
            </wp:positionV>
            <wp:extent cx="8890"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134620</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134620</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134620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134620</wp:posOffset>
            </wp:positionV>
            <wp:extent cx="8255"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134620</wp:posOffset>
            </wp:positionV>
            <wp:extent cx="8890"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134620</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134620</wp:posOffset>
            </wp:positionV>
            <wp:extent cx="8255"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134620</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134620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134620</wp:posOffset>
            </wp:positionV>
            <wp:extent cx="8890"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134620</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134620</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134620</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134620</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134620</wp:posOffset>
            </wp:positionV>
            <wp:extent cx="8890"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134620</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134620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134620</wp:posOffset>
            </wp:positionV>
            <wp:extent cx="8255"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134620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134620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134620</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134620</wp:posOffset>
            </wp:positionV>
            <wp:extent cx="8255"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134620</wp:posOffset>
            </wp:positionV>
            <wp:extent cx="825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134620</wp:posOffset>
            </wp:positionV>
            <wp:extent cx="8255"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134620</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134620</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134620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134620</wp:posOffset>
            </wp:positionV>
            <wp:extent cx="8255"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134620</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134620</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134620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134620</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134620</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134620</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134620</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134620</wp:posOffset>
            </wp:positionV>
            <wp:extent cx="8255"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134620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134620</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134620</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134620</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134620</wp:posOffset>
            </wp:positionV>
            <wp:extent cx="8255"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134620</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134620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134620</wp:posOffset>
            </wp:positionV>
            <wp:extent cx="8890"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134620</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134620</wp:posOffset>
            </wp:positionV>
            <wp:extent cx="8255"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134620</wp:posOffset>
            </wp:positionV>
            <wp:extent cx="8255"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134620</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134620</wp:posOffset>
            </wp:positionV>
            <wp:extent cx="8890"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134620</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134620</wp:posOffset>
            </wp:positionV>
            <wp:extent cx="8255"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134620</wp:posOffset>
            </wp:positionV>
            <wp:extent cx="8255"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134620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134620</wp:posOffset>
            </wp:positionV>
            <wp:extent cx="8890"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134620</wp:posOffset>
            </wp:positionV>
            <wp:extent cx="8890"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134620</wp:posOffset>
            </wp:positionV>
            <wp:extent cx="8255"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134620</wp:posOffset>
            </wp:positionV>
            <wp:extent cx="8255"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134620</wp:posOffset>
            </wp:positionV>
            <wp:extent cx="8255"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134620</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134620</wp:posOffset>
            </wp:positionV>
            <wp:extent cx="8890"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134620</wp:posOffset>
            </wp:positionV>
            <wp:extent cx="8255"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134620</wp:posOffset>
            </wp:positionV>
            <wp:extent cx="8255"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134620</wp:posOffset>
            </wp:positionV>
            <wp:extent cx="8255"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134620</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134620</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134620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134620</wp:posOffset>
            </wp:positionV>
            <wp:extent cx="8255"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134620</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134620</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134620</wp:posOffset>
            </wp:positionV>
            <wp:extent cx="8255"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134620</wp:posOffset>
            </wp:positionV>
            <wp:extent cx="8255"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134620</wp:posOffset>
            </wp:positionV>
            <wp:extent cx="8255"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134620</wp:posOffset>
            </wp:positionV>
            <wp:extent cx="8890"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134620</wp:posOffset>
            </wp:positionV>
            <wp:extent cx="8890"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134620</wp:posOffset>
            </wp:positionV>
            <wp:extent cx="8255"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134620</wp:posOffset>
            </wp:positionV>
            <wp:extent cx="8255"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134620</wp:posOffset>
            </wp:positionV>
            <wp:extent cx="8255"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134620</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134620</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134620</wp:posOffset>
            </wp:positionV>
            <wp:extent cx="8255"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134620</wp:posOffset>
            </wp:positionV>
            <wp:extent cx="8255"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134620</wp:posOffset>
            </wp:positionV>
            <wp:extent cx="8255"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134620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134620</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134620</wp:posOffset>
            </wp:positionV>
            <wp:extent cx="8255"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134620</wp:posOffset>
            </wp:positionV>
            <wp:extent cx="8255"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134620</wp:posOffset>
            </wp:positionV>
            <wp:extent cx="8255"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134620</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134620</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134620</wp:posOffset>
            </wp:positionV>
            <wp:extent cx="8255"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134620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134620</wp:posOffset>
            </wp:positionV>
            <wp:extent cx="8255"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134620</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134620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134620</wp:posOffset>
            </wp:positionV>
            <wp:extent cx="8255"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134620</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134620</wp:posOffset>
            </wp:positionV>
            <wp:extent cx="8255"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134620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134620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134620</wp:posOffset>
            </wp:positionV>
            <wp:extent cx="8255"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134620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134620</wp:posOffset>
            </wp:positionV>
            <wp:extent cx="8255"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134620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134620</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134620</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134620</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134620</wp:posOffset>
            </wp:positionV>
            <wp:extent cx="8890"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134620</wp:posOffset>
            </wp:positionV>
            <wp:extent cx="8890"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134620</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134620</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134620</wp:posOffset>
            </wp:positionV>
            <wp:extent cx="8255"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134620</wp:posOffset>
            </wp:positionV>
            <wp:extent cx="8890"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134620</wp:posOffset>
            </wp:positionV>
            <wp:extent cx="8890"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134620</wp:posOffset>
            </wp:positionV>
            <wp:extent cx="8255"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134620</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134620</wp:posOffset>
            </wp:positionV>
            <wp:extent cx="8255"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134620</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134620</wp:posOffset>
            </wp:positionV>
            <wp:extent cx="8890"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134620</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134620</wp:posOffset>
            </wp:positionV>
            <wp:extent cx="8255"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134620</wp:posOffset>
            </wp:positionV>
            <wp:extent cx="8255"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134620</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134620</wp:posOffset>
            </wp:positionV>
            <wp:extent cx="8890"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134620</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134620</wp:posOffset>
            </wp:positionV>
            <wp:extent cx="8255"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134620</wp:posOffset>
            </wp:positionV>
            <wp:extent cx="8255"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134620</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134620</wp:posOffset>
            </wp:positionV>
            <wp:extent cx="8890"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134620</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134620</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134620</wp:posOffset>
            </wp:positionV>
            <wp:extent cx="8255"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134620</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134620</wp:posOffset>
            </wp:positionV>
            <wp:extent cx="8890"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134620</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134620</wp:posOffset>
            </wp:positionV>
            <wp:extent cx="8255"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134620</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134620</wp:posOffset>
            </wp:positionV>
            <wp:extent cx="8890"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134620</wp:posOffset>
            </wp:positionV>
            <wp:extent cx="8890"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134620</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134620</wp:posOffset>
            </wp:positionV>
            <wp:extent cx="8255"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134620</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134620</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134620</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134620</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134620</wp:posOffset>
            </wp:positionV>
            <wp:extent cx="8255"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134620</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134620</wp:posOffset>
            </wp:positionV>
            <wp:extent cx="8255"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134620</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134620</wp:posOffset>
            </wp:positionV>
            <wp:extent cx="8890"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134620</wp:posOffset>
            </wp:positionV>
            <wp:extent cx="8255"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134620</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134620</wp:posOffset>
            </wp:positionV>
            <wp:extent cx="8255"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134620</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134620</wp:posOffset>
            </wp:positionV>
            <wp:extent cx="8890"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134620</wp:posOffset>
            </wp:positionV>
            <wp:extent cx="8255"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134620</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134620</wp:posOffset>
            </wp:positionV>
            <wp:extent cx="8255"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134620</wp:posOffset>
            </wp:positionV>
            <wp:extent cx="8255"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134620</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134620</wp:posOffset>
            </wp:positionV>
            <wp:extent cx="8255"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134620</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134620</wp:posOffset>
            </wp:positionV>
            <wp:extent cx="8255"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134620</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134620</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134620</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134620</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134620</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134620</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134620</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134620</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134620</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134620</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134620</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134620</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134620</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134620</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134620</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134620</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134620</wp:posOffset>
            </wp:positionV>
            <wp:extent cx="8890"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134620</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134620</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134620</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134620</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134620</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134620</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134620</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237490</wp:posOffset>
            </wp:positionV>
            <wp:extent cx="7029450" cy="6858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220"/>
            <w:col w:w="8400"/>
          </w:cols>
          <w:pgMar w:left="320" w:top="482" w:right="519" w:bottom="1440" w:gutter="0" w:footer="0" w:header="0"/>
          <w:type w:val="continuous"/>
        </w:sect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20 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71</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 Audit* (Chair)</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 Compliance and Risk Oversight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 Executive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 Finance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1978025</wp:posOffset>
            </wp:positionV>
            <wp:extent cx="152590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Richard Mark,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-707390</wp:posOffset>
            </wp:positionV>
            <wp:extent cx="7174865" cy="5524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 Partner (2002 - 2015), </w:t>
      </w:r>
      <w:r>
        <w:rPr>
          <w:rFonts w:ascii="Arial" w:cs="Arial" w:eastAsia="Arial" w:hAnsi="Arial"/>
          <w:sz w:val="14"/>
          <w:szCs w:val="14"/>
          <w:b w:val="1"/>
          <w:bCs w:val="1"/>
          <w:color w:val="3F3F3F"/>
        </w:rPr>
        <w:t>Deloitte &amp; Touche LLP</w:t>
      </w:r>
      <w:r>
        <w:rPr>
          <w:rFonts w:ascii="Arial" w:cs="Arial" w:eastAsia="Arial" w:hAnsi="Arial"/>
          <w:sz w:val="14"/>
          <w:szCs w:val="14"/>
          <w:color w:val="3F3F3F"/>
        </w:rPr>
        <w:t xml:space="preserve"> (“Deloitte”)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 Audit Partner (1988 - 2002), Audit Manager (1981 - 1988), Senior Auditor (1977 - 1981), </w:t>
      </w:r>
      <w:r>
        <w:rPr>
          <w:rFonts w:ascii="Arial" w:cs="Arial" w:eastAsia="Arial" w:hAnsi="Arial"/>
          <w:sz w:val="14"/>
          <w:szCs w:val="14"/>
          <w:b w:val="1"/>
          <w:bCs w:val="1"/>
          <w:color w:val="3F3F3F"/>
        </w:rPr>
        <w:t>Arthur Andersen &amp; Co.</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280" w:right="400" w:hanging="143"/>
        <w:spacing w:after="0" w:line="26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Corporate Governance, Finance, Accounting and Capital Markets, Risk</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Oversight/Compliance, Strategy and M&amp;A,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Global Business Experience </w:t>
      </w:r>
      <w:r>
        <w:rPr>
          <w:rFonts w:ascii="Arial" w:cs="Arial" w:eastAsia="Arial" w:hAnsi="Arial"/>
          <w:sz w:val="14"/>
          <w:szCs w:val="14"/>
          <w:color w:val="3F3F3F"/>
        </w:rPr>
        <w:t>gained over his extensive career auditing</w:t>
      </w:r>
    </w:p>
    <w:p>
      <w:pPr>
        <w:spacing w:after="0" w:line="1" w:lineRule="exact"/>
        <w:rPr>
          <w:sz w:val="20"/>
          <w:szCs w:val="20"/>
          <w:color w:val="auto"/>
        </w:rPr>
      </w:pPr>
    </w:p>
    <w:p>
      <w:pPr>
        <w:ind w:left="280" w:right="100"/>
        <w:spacing w:after="0" w:line="271" w:lineRule="auto"/>
        <w:rPr>
          <w:sz w:val="20"/>
          <w:szCs w:val="20"/>
          <w:color w:val="auto"/>
        </w:rPr>
      </w:pPr>
      <w:r>
        <w:rPr>
          <w:rFonts w:ascii="Arial" w:cs="Arial" w:eastAsia="Arial" w:hAnsi="Arial"/>
          <w:sz w:val="14"/>
          <w:szCs w:val="14"/>
          <w:color w:val="3F3F3F"/>
        </w:rPr>
        <w:t>financial statements of public and private companies, consulting on financial issues with companies, and performing transaction diligence on behalf of financial and strategic buyers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 Mr. Mark also brings </w:t>
      </w:r>
      <w:r>
        <w:rPr>
          <w:rFonts w:ascii="Arial" w:cs="Arial" w:eastAsia="Arial" w:hAnsi="Arial"/>
          <w:sz w:val="14"/>
          <w:szCs w:val="14"/>
          <w:b w:val="1"/>
          <w:bCs w:val="1"/>
          <w:color w:val="3F3F3F"/>
        </w:rPr>
        <w:t>Healthcare Industry</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Information Security Experience</w:t>
      </w:r>
      <w:r>
        <w:rPr>
          <w:rFonts w:ascii="Arial" w:cs="Arial" w:eastAsia="Arial" w:hAnsi="Arial"/>
          <w:sz w:val="14"/>
          <w:szCs w:val="14"/>
          <w:color w:val="3F3F3F"/>
        </w:rPr>
        <w:t xml:space="preserve"> to the Board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280" w:right="100" w:hanging="143"/>
        <w:spacing w:after="0" w:line="27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Goldman Sachs BDC, Inc.</w:t>
      </w:r>
      <w:r>
        <w:rPr>
          <w:rFonts w:ascii="Arial" w:cs="Arial" w:eastAsia="Arial" w:hAnsi="Arial"/>
          <w:sz w:val="14"/>
          <w:szCs w:val="14"/>
          <w:color w:val="3F3F3F"/>
        </w:rPr>
        <w:t xml:space="preserve"> (“GSBDC”) (NYSE: GSBD) (since 2020), Director, Chair of the Audit Committee and member of the Compliance, Governance and Nominating, and Contract Review Committees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Goldman Sachs Private Credit Corp.</w:t>
      </w:r>
      <w:r>
        <w:rPr>
          <w:rFonts w:ascii="Arial" w:cs="Arial" w:eastAsia="Arial" w:hAnsi="Arial"/>
          <w:sz w:val="14"/>
          <w:szCs w:val="14"/>
          <w:color w:val="3F3F3F"/>
        </w:rPr>
        <w:t xml:space="preserve"> (since 2022) and </w:t>
      </w:r>
      <w:r>
        <w:rPr>
          <w:rFonts w:ascii="Arial" w:cs="Arial" w:eastAsia="Arial" w:hAnsi="Arial"/>
          <w:sz w:val="14"/>
          <w:szCs w:val="14"/>
          <w:b w:val="1"/>
          <w:bCs w:val="1"/>
          <w:color w:val="3F3F3F"/>
        </w:rPr>
        <w:t>Goldman Sachs Middle Market Lending Corp. II</w:t>
      </w:r>
      <w:r>
        <w:rPr>
          <w:rFonts w:ascii="Arial" w:cs="Arial" w:eastAsia="Arial" w:hAnsi="Arial"/>
          <w:sz w:val="14"/>
          <w:szCs w:val="14"/>
          <w:color w:val="3F3F3F"/>
        </w:rPr>
        <w:t xml:space="preserve"> (since 2020),</w:t>
      </w:r>
    </w:p>
    <w:p>
      <w:pPr>
        <w:spacing w:after="0" w:line="15" w:lineRule="exact"/>
        <w:rPr>
          <w:sz w:val="20"/>
          <w:szCs w:val="20"/>
          <w:color w:val="auto"/>
        </w:rPr>
      </w:pPr>
    </w:p>
    <w:p>
      <w:pPr>
        <w:ind w:left="280" w:right="400"/>
        <w:spacing w:after="0" w:line="284" w:lineRule="auto"/>
        <w:rPr>
          <w:sz w:val="20"/>
          <w:szCs w:val="20"/>
          <w:color w:val="auto"/>
        </w:rPr>
      </w:pPr>
      <w:r>
        <w:rPr>
          <w:rFonts w:ascii="Arial" w:cs="Arial" w:eastAsia="Arial" w:hAnsi="Arial"/>
          <w:sz w:val="14"/>
          <w:szCs w:val="14"/>
          <w:color w:val="3F3F3F"/>
        </w:rPr>
        <w:t>Director, Chair of the Audit Committee and member of the Compliance, Governance and Nominating, and Contract Review Committees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140" w:right="60"/>
        <w:spacing w:after="0" w:line="26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Mylan</w:t>
      </w:r>
      <w:r>
        <w:rPr>
          <w:rFonts w:ascii="Arial" w:cs="Arial" w:eastAsia="Arial" w:hAnsi="Arial"/>
          <w:sz w:val="14"/>
          <w:szCs w:val="14"/>
          <w:color w:val="3F3F3F"/>
        </w:rPr>
        <w:t xml:space="preserve"> (2019 - the closing of the Combination in 2020), Director and most recently member of the Audit and Finance Committees •   </w:t>
      </w:r>
      <w:r>
        <w:rPr>
          <w:rFonts w:ascii="Arial" w:cs="Arial" w:eastAsia="Arial" w:hAnsi="Arial"/>
          <w:sz w:val="14"/>
          <w:szCs w:val="14"/>
          <w:b w:val="1"/>
          <w:bCs w:val="1"/>
          <w:color w:val="3F3F3F"/>
        </w:rPr>
        <w:t>Goldman Sachs Middle Market Lending Corp.</w:t>
      </w:r>
      <w:r>
        <w:rPr>
          <w:rFonts w:ascii="Arial" w:cs="Arial" w:eastAsia="Arial" w:hAnsi="Arial"/>
          <w:sz w:val="14"/>
          <w:szCs w:val="14"/>
          <w:color w:val="3F3F3F"/>
        </w:rPr>
        <w:t xml:space="preserve"> (2016 - 2020 when it merged with GSBDC), Director, most recently Chair of the</w:t>
      </w:r>
    </w:p>
    <w:p>
      <w:pPr>
        <w:spacing w:after="0" w:line="1" w:lineRule="exact"/>
        <w:rPr>
          <w:sz w:val="20"/>
          <w:szCs w:val="20"/>
          <w:color w:val="auto"/>
        </w:rPr>
      </w:pPr>
    </w:p>
    <w:p>
      <w:pPr>
        <w:ind w:left="140" w:right="1200" w:firstLine="144"/>
        <w:spacing w:after="0" w:line="313" w:lineRule="auto"/>
        <w:rPr>
          <w:sz w:val="20"/>
          <w:szCs w:val="20"/>
          <w:color w:val="auto"/>
        </w:rPr>
      </w:pPr>
      <w:r>
        <w:rPr>
          <w:rFonts w:ascii="Arial" w:cs="Arial" w:eastAsia="Arial" w:hAnsi="Arial"/>
          <w:sz w:val="14"/>
          <w:szCs w:val="14"/>
          <w:color w:val="3F3F3F"/>
        </w:rPr>
        <w:t xml:space="preserve">Audit Committee and member of Compliance, Governance and Nominating, and Contract Review Committees •   </w:t>
      </w:r>
      <w:r>
        <w:rPr>
          <w:rFonts w:ascii="Arial" w:cs="Arial" w:eastAsia="Arial" w:hAnsi="Arial"/>
          <w:sz w:val="14"/>
          <w:szCs w:val="14"/>
          <w:b w:val="1"/>
          <w:bCs w:val="1"/>
          <w:color w:val="3F3F3F"/>
        </w:rPr>
        <w:t>Katy Industries, Inc</w:t>
      </w:r>
      <w:r>
        <w:rPr>
          <w:rFonts w:ascii="Arial" w:cs="Arial" w:eastAsia="Arial" w:hAnsi="Arial"/>
          <w:sz w:val="14"/>
          <w:szCs w:val="14"/>
          <w:color w:val="3F3F3F"/>
        </w:rPr>
        <w:t>. (2015 - 2016), Chairman and most recently member of the Audit Committee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Private Company Boards:</w:t>
      </w:r>
    </w:p>
    <w:p>
      <w:pPr>
        <w:spacing w:after="0" w:line="15" w:lineRule="exact"/>
        <w:rPr>
          <w:sz w:val="20"/>
          <w:szCs w:val="20"/>
          <w:color w:val="auto"/>
        </w:rPr>
      </w:pPr>
    </w:p>
    <w:p>
      <w:pPr>
        <w:ind w:left="280" w:right="300" w:hanging="143"/>
        <w:spacing w:after="0" w:line="262"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Northwestern Memorial Healthcare</w:t>
      </w:r>
      <w:r>
        <w:rPr>
          <w:rFonts w:ascii="Arial" w:cs="Arial" w:eastAsia="Arial" w:hAnsi="Arial"/>
          <w:sz w:val="14"/>
          <w:szCs w:val="14"/>
          <w:color w:val="3F3F3F"/>
        </w:rPr>
        <w:t xml:space="preserve"> (2014 - 2015), Director and member of the Executive and Nominating and Governance Committees</w:t>
      </w:r>
    </w:p>
    <w:p>
      <w:pPr>
        <w:ind w:left="14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Cadence Health</w:t>
      </w:r>
      <w:r>
        <w:rPr>
          <w:rFonts w:ascii="Arial" w:cs="Arial" w:eastAsia="Arial" w:hAnsi="Arial"/>
          <w:sz w:val="14"/>
          <w:szCs w:val="14"/>
          <w:color w:val="3F3F3F"/>
        </w:rPr>
        <w:t xml:space="preserve"> (1993 - 2014 when it merged with Northwestern), Director</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280" w:right="420" w:hanging="143"/>
        <w:spacing w:after="0" w:line="241" w:lineRule="auto"/>
        <w:rPr>
          <w:sz w:val="20"/>
          <w:szCs w:val="20"/>
          <w:color w:val="auto"/>
        </w:rPr>
      </w:pPr>
      <w:r>
        <w:rPr>
          <w:rFonts w:ascii="Arial" w:cs="Arial" w:eastAsia="Arial" w:hAnsi="Arial"/>
          <w:sz w:val="14"/>
          <w:szCs w:val="14"/>
          <w:color w:val="3F3F3F"/>
        </w:rPr>
        <w:t xml:space="preserve">•   Director and Chair of the Finance Committee, </w:t>
      </w:r>
      <w:r>
        <w:rPr>
          <w:rFonts w:ascii="Arial" w:cs="Arial" w:eastAsia="Arial" w:hAnsi="Arial"/>
          <w:sz w:val="14"/>
          <w:szCs w:val="14"/>
          <w:b w:val="1"/>
          <w:bCs w:val="1"/>
          <w:color w:val="3F3F3F"/>
        </w:rPr>
        <w:t>Home Centered Care Institute,</w:t>
      </w:r>
      <w:r>
        <w:rPr>
          <w:rFonts w:ascii="Arial" w:cs="Arial" w:eastAsia="Arial" w:hAnsi="Arial"/>
          <w:sz w:val="14"/>
          <w:szCs w:val="14"/>
          <w:color w:val="3F3F3F"/>
        </w:rPr>
        <w:t xml:space="preserve"> a not-for-profit corporation, which promotes access to home-based primary care for medically complex patients who are either homebound or home-limited</w:t>
      </w:r>
    </w:p>
    <w:p>
      <w:pPr>
        <w:spacing w:after="0" w:line="1" w:lineRule="exact"/>
        <w:rPr>
          <w:sz w:val="20"/>
          <w:szCs w:val="20"/>
          <w:color w:val="auto"/>
        </w:rPr>
      </w:pPr>
    </w:p>
    <w:p>
      <w:pPr>
        <w:ind w:left="280" w:right="40" w:hanging="143"/>
        <w:spacing w:after="0" w:line="233" w:lineRule="auto"/>
        <w:rPr>
          <w:sz w:val="20"/>
          <w:szCs w:val="20"/>
          <w:color w:val="auto"/>
        </w:rPr>
      </w:pPr>
      <w:r>
        <w:rPr>
          <w:rFonts w:ascii="Arial" w:cs="Arial" w:eastAsia="Arial" w:hAnsi="Arial"/>
          <w:sz w:val="14"/>
          <w:szCs w:val="14"/>
          <w:color w:val="3F3F3F"/>
        </w:rPr>
        <w:t xml:space="preserve">•   Former Director, </w:t>
      </w:r>
      <w:r>
        <w:rPr>
          <w:rFonts w:ascii="Arial" w:cs="Arial" w:eastAsia="Arial" w:hAnsi="Arial"/>
          <w:sz w:val="14"/>
          <w:szCs w:val="14"/>
          <w:b w:val="1"/>
          <w:bCs w:val="1"/>
          <w:color w:val="3F3F3F"/>
        </w:rPr>
        <w:t>Almost Home Kids,</w:t>
      </w:r>
      <w:r>
        <w:rPr>
          <w:rFonts w:ascii="Arial" w:cs="Arial" w:eastAsia="Arial" w:hAnsi="Arial"/>
          <w:sz w:val="14"/>
          <w:szCs w:val="14"/>
          <w:color w:val="3F3F3F"/>
        </w:rPr>
        <w:t xml:space="preserve"> a not-for-profit corporation affiliated with Lurie Children’s Hospital of Chicago, a provider of transitional care to children with complicated health needs, training for their families, and respite care</w:t>
      </w:r>
    </w:p>
    <w:p>
      <w:pPr>
        <w:spacing w:after="0" w:line="235" w:lineRule="auto"/>
        <w:rPr>
          <w:sz w:val="20"/>
          <w:szCs w:val="20"/>
          <w:color w:val="auto"/>
        </w:rPr>
      </w:pPr>
      <w:r>
        <w:rPr>
          <w:rFonts w:ascii="Arial" w:cs="Arial" w:eastAsia="Arial" w:hAnsi="Arial"/>
          <w:sz w:val="13"/>
          <w:szCs w:val="13"/>
          <w:color w:val="3F3F3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56007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ind w:left="280" w:right="40" w:hanging="287"/>
        <w:spacing w:after="0" w:line="252" w:lineRule="auto"/>
        <w:rPr>
          <w:sz w:val="20"/>
          <w:szCs w:val="20"/>
          <w:color w:val="auto"/>
        </w:rPr>
      </w:pPr>
      <w:r>
        <w:rPr>
          <w:rFonts w:ascii="Arial" w:cs="Arial" w:eastAsia="Arial" w:hAnsi="Arial"/>
          <w:sz w:val="14"/>
          <w:szCs w:val="14"/>
          <w:color w:val="3F3F3F"/>
        </w:rPr>
        <w:t>*     The Board has, in accordance with its Corporate Governance Principles, approved Mr. Mark’s concurrent service on the Audit Committee and the audit committees of more than two other public companies and determined that such service does not impair his ability to effectively serve on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129540</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129540</wp:posOffset>
            </wp:positionV>
            <wp:extent cx="8255"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129540</wp:posOffset>
            </wp:positionV>
            <wp:extent cx="8890"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129540</wp:posOffset>
            </wp:positionV>
            <wp:extent cx="8890"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129540</wp:posOffset>
            </wp:positionV>
            <wp:extent cx="8890"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129540</wp:posOffset>
            </wp:positionV>
            <wp:extent cx="8255"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129540</wp:posOffset>
            </wp:positionV>
            <wp:extent cx="8890"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129540</wp:posOffset>
            </wp:positionV>
            <wp:extent cx="8255"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129540</wp:posOffset>
            </wp:positionV>
            <wp:extent cx="8890"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129540</wp:posOffset>
            </wp:positionV>
            <wp:extent cx="8890"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129540</wp:posOffset>
            </wp:positionV>
            <wp:extent cx="8890"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129540</wp:posOffset>
            </wp:positionV>
            <wp:extent cx="8890"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129540</wp:posOffset>
            </wp:positionV>
            <wp:extent cx="8255"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129540</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129540</wp:posOffset>
            </wp:positionV>
            <wp:extent cx="8890"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129540</wp:posOffset>
            </wp:positionV>
            <wp:extent cx="8890"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129540</wp:posOffset>
            </wp:positionV>
            <wp:extent cx="8890"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129540</wp:posOffset>
            </wp:positionV>
            <wp:extent cx="8255"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129540</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129540</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129540</wp:posOffset>
            </wp:positionV>
            <wp:extent cx="8890"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129540</wp:posOffset>
            </wp:positionV>
            <wp:extent cx="8890"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129540</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129540</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129540</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129540</wp:posOffset>
            </wp:positionV>
            <wp:extent cx="8890"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129540</wp:posOffset>
            </wp:positionV>
            <wp:extent cx="8890"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129540</wp:posOffset>
            </wp:positionV>
            <wp:extent cx="8890"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129540</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129540</wp:posOffset>
            </wp:positionV>
            <wp:extent cx="8255"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129540</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129540</wp:posOffset>
            </wp:positionV>
            <wp:extent cx="8890"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129540</wp:posOffset>
            </wp:positionV>
            <wp:extent cx="8890"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129540</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129540</wp:posOffset>
            </wp:positionV>
            <wp:extent cx="8255"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129540</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129540</wp:posOffset>
            </wp:positionV>
            <wp:extent cx="889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129540</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129540</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129540</wp:posOffset>
            </wp:positionV>
            <wp:extent cx="8255"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129540</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129540</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129540</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129540</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129540</wp:posOffset>
            </wp:positionV>
            <wp:extent cx="8255"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129540</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129540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129540</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129540</wp:posOffset>
            </wp:positionV>
            <wp:extent cx="8890"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129540</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129540</wp:posOffset>
            </wp:positionV>
            <wp:extent cx="8890"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129540</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129540</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129540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129540</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129540</wp:posOffset>
            </wp:positionV>
            <wp:extent cx="8890"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129540</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129540</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129540</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129540</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129540</wp:posOffset>
            </wp:positionV>
            <wp:extent cx="8890"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129540</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129540</wp:posOffset>
            </wp:positionV>
            <wp:extent cx="8890"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129540</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129540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129540</wp:posOffset>
            </wp:positionV>
            <wp:extent cx="8890"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129540</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129540</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129540</wp:posOffset>
            </wp:positionV>
            <wp:extent cx="8255"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129540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129540</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129540</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129540</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129540</wp:posOffset>
            </wp:positionV>
            <wp:extent cx="8255"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129540</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129540</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129540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129540</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129540</wp:posOffset>
            </wp:positionV>
            <wp:extent cx="8255"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129540</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129540</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129540</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129540</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129540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129540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129540</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129540</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129540</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129540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129540</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129540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129540</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129540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129540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129540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129540</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129540</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129540</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129540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129540</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129540</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129540</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129540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129540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129540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129540</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129540</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129540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129540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129540</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129540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129540</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129540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129540</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129540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129540</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129540</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129540</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129540</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129540</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129540</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129540</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129540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129540</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129540</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129540</wp:posOffset>
            </wp:positionV>
            <wp:extent cx="8255"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129540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129540</wp:posOffset>
            </wp:positionV>
            <wp:extent cx="8890"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129540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129540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129540</wp:posOffset>
            </wp:positionV>
            <wp:extent cx="8255"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129540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129540</wp:posOffset>
            </wp:positionV>
            <wp:extent cx="8890"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129540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129540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129540</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129540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129540</wp:posOffset>
            </wp:positionV>
            <wp:extent cx="8890"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129540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129540</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129540</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129540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129540</wp:posOffset>
            </wp:positionV>
            <wp:extent cx="8890"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129540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129540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129540</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129540</wp:posOffset>
            </wp:positionV>
            <wp:extent cx="8890"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129540</wp:posOffset>
            </wp:positionV>
            <wp:extent cx="8890"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129540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129540</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129540</wp:posOffset>
            </wp:positionV>
            <wp:extent cx="8255"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129540</wp:posOffset>
            </wp:positionV>
            <wp:extent cx="8890"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129540</wp:posOffset>
            </wp:positionV>
            <wp:extent cx="8890"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129540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129540</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129540</wp:posOffset>
            </wp:positionV>
            <wp:extent cx="8255"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129540</wp:posOffset>
            </wp:positionV>
            <wp:extent cx="8890"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129540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129540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129540</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129540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129540</wp:posOffset>
            </wp:positionV>
            <wp:extent cx="8890"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129540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129540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129540</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129540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129540</wp:posOffset>
            </wp:positionV>
            <wp:extent cx="8890"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129540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129540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129540</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129540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129540</wp:posOffset>
            </wp:positionV>
            <wp:extent cx="889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129540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129540</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129540</wp:posOffset>
            </wp:positionV>
            <wp:extent cx="8255"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129540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129540</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129540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129540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129540</wp:posOffset>
            </wp:positionV>
            <wp:extent cx="8255"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129540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129540</wp:posOffset>
            </wp:positionV>
            <wp:extent cx="8890"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129540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129540</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129540</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129540</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129540</wp:posOffset>
            </wp:positionV>
            <wp:extent cx="8890"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129540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129540</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129540</wp:posOffset>
            </wp:positionV>
            <wp:extent cx="8255"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129540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129540</wp:posOffset>
            </wp:positionV>
            <wp:extent cx="8890"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129540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129540</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129540</wp:posOffset>
            </wp:positionV>
            <wp:extent cx="8255"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129540</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129540</wp:posOffset>
            </wp:positionV>
            <wp:extent cx="8890"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129540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129540</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129540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129540</wp:posOffset>
            </wp:positionV>
            <wp:extent cx="8890"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129540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129540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129540</wp:posOffset>
            </wp:positionV>
            <wp:extent cx="8255"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129540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129540</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129540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129540</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129540</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129540</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129540</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129540</wp:posOffset>
            </wp:positionV>
            <wp:extent cx="8255"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129540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129540</wp:posOffset>
            </wp:positionV>
            <wp:extent cx="8255"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129540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129540</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129540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129540</wp:posOffset>
            </wp:positionV>
            <wp:extent cx="8255"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129540</wp:posOffset>
            </wp:positionV>
            <wp:extent cx="8255"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129540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129540</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129540</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129540</wp:posOffset>
            </wp:positionV>
            <wp:extent cx="8255"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129540</wp:posOffset>
            </wp:positionV>
            <wp:extent cx="8255"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129540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129540</wp:posOffset>
            </wp:positionV>
            <wp:extent cx="8890"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129540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129540</wp:posOffset>
            </wp:positionV>
            <wp:extent cx="8255"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129540</wp:posOffset>
            </wp:positionV>
            <wp:extent cx="8255"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129540</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129540</wp:posOffset>
            </wp:positionV>
            <wp:extent cx="8890"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129540</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129540</wp:posOffset>
            </wp:positionV>
            <wp:extent cx="8255"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129540</wp:posOffset>
            </wp:positionV>
            <wp:extent cx="8255"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129540</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129540</wp:posOffset>
            </wp:positionV>
            <wp:extent cx="8890"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129540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129540</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129540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129540</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129540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129540</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129540</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129540</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129540</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129540</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129540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129540</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129540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129540</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129540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129540</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129540</wp:posOffset>
            </wp:positionV>
            <wp:extent cx="8255"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129540</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129540</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129540</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129540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129540</wp:posOffset>
            </wp:positionV>
            <wp:extent cx="8255"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129540</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129540</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129540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129540</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129540</wp:posOffset>
            </wp:positionV>
            <wp:extent cx="8255"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129540</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129540</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129540</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129540</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129540</wp:posOffset>
            </wp:positionV>
            <wp:extent cx="8255"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129540</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129540</wp:posOffset>
            </wp:positionV>
            <wp:extent cx="8890"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129540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129540</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129540</wp:posOffset>
            </wp:positionV>
            <wp:extent cx="825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129540</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129540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129540</wp:posOffset>
            </wp:positionV>
            <wp:extent cx="8890"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129540</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129540</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129540</wp:posOffset>
            </wp:positionV>
            <wp:extent cx="8255"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129540</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129540</wp:posOffset>
            </wp:positionV>
            <wp:extent cx="8890"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129540</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129540</wp:posOffset>
            </wp:positionV>
            <wp:extent cx="8255"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129540</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129540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129540</wp:posOffset>
            </wp:positionV>
            <wp:extent cx="8890"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129540</wp:posOffset>
            </wp:positionV>
            <wp:extent cx="8255"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129540</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129540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129540</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129540</wp:posOffset>
            </wp:positionV>
            <wp:extent cx="889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129540</wp:posOffset>
            </wp:positionV>
            <wp:extent cx="8255"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129540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129540</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129540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129540</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129540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129540</wp:posOffset>
            </wp:positionV>
            <wp:extent cx="8255"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129540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129540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129540</wp:posOffset>
            </wp:positionV>
            <wp:extent cx="8890"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129540</wp:posOffset>
            </wp:positionV>
            <wp:extent cx="8255"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129540</wp:posOffset>
            </wp:positionV>
            <wp:extent cx="8255"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129540</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129540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129540</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129540</wp:posOffset>
            </wp:positionV>
            <wp:extent cx="8255"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129540</wp:posOffset>
            </wp:positionV>
            <wp:extent cx="8255"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129540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129540</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129540</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129540</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129540</wp:posOffset>
            </wp:positionV>
            <wp:extent cx="8255"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129540</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129540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129540</wp:posOffset>
            </wp:positionV>
            <wp:extent cx="8890"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129540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129540</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232410</wp:posOffset>
            </wp:positionV>
            <wp:extent cx="7029450" cy="6858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260"/>
            <w:col w:w="8480"/>
          </w:cols>
          <w:pgMar w:left="320" w:top="482" w:right="439" w:bottom="1440" w:gutter="0" w:footer="0" w:header="0"/>
        </w:sectPr>
      </w:pPr>
    </w:p>
    <w:p>
      <w:pPr>
        <w:spacing w:after="0" w:line="381"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2020</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69</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 Audit</w:t>
      </w:r>
    </w:p>
    <w:p>
      <w:pPr>
        <w:spacing w:after="0" w:line="1" w:lineRule="exact"/>
        <w:rPr>
          <w:sz w:val="20"/>
          <w:szCs w:val="20"/>
          <w:color w:val="auto"/>
        </w:rPr>
      </w:pPr>
    </w:p>
    <w:p>
      <w:pPr>
        <w:ind w:left="400" w:hanging="143"/>
        <w:spacing w:after="0" w:line="241" w:lineRule="auto"/>
        <w:rPr>
          <w:sz w:val="20"/>
          <w:szCs w:val="20"/>
          <w:color w:val="auto"/>
        </w:rPr>
      </w:pPr>
      <w:r>
        <w:rPr>
          <w:rFonts w:ascii="Arial" w:cs="Arial" w:eastAsia="Arial" w:hAnsi="Arial"/>
          <w:sz w:val="14"/>
          <w:szCs w:val="14"/>
          <w:color w:val="3F3F3F"/>
        </w:rPr>
        <w:t>•   Compliance and Risk Oversight (Chair)</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 Executive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 Governance and Sustainability</w:t>
      </w:r>
    </w:p>
    <w:p>
      <w:pPr>
        <w:spacing w:after="0" w:line="55" w:lineRule="exact"/>
        <w:rPr>
          <w:sz w:val="20"/>
          <w:szCs w:val="20"/>
          <w:color w:val="auto"/>
        </w:rPr>
      </w:pPr>
    </w:p>
    <w:p>
      <w:pPr>
        <w:ind w:left="120" w:right="400"/>
        <w:spacing w:after="0" w:line="294" w:lineRule="auto"/>
        <w:rPr>
          <w:sz w:val="20"/>
          <w:szCs w:val="20"/>
          <w:color w:val="auto"/>
        </w:rPr>
      </w:pPr>
      <w:r>
        <w:rPr>
          <w:rFonts w:ascii="Arial" w:cs="Arial" w:eastAsia="Arial" w:hAnsi="Arial"/>
          <w:sz w:val="14"/>
          <w:szCs w:val="14"/>
          <w:b w:val="1"/>
          <w:bCs w:val="1"/>
          <w:color w:val="231161"/>
        </w:rPr>
        <w:t>Vice Chair of the Board and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1529715</wp:posOffset>
            </wp:positionV>
            <wp:extent cx="152590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Mark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-707390</wp:posOffset>
            </wp:positionV>
            <wp:extent cx="7174865" cy="5524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280" w:hanging="143"/>
        <w:spacing w:after="0" w:line="248" w:lineRule="auto"/>
        <w:rPr>
          <w:sz w:val="20"/>
          <w:szCs w:val="20"/>
          <w:color w:val="auto"/>
        </w:rPr>
      </w:pPr>
      <w:r>
        <w:rPr>
          <w:rFonts w:ascii="Arial" w:cs="Arial" w:eastAsia="Arial" w:hAnsi="Arial"/>
          <w:sz w:val="14"/>
          <w:szCs w:val="14"/>
          <w:color w:val="3F3F3F"/>
        </w:rPr>
        <w:t xml:space="preserve">•   Executive Chairman (2018 - 2019), Chief Executive Officer (2008 - 2018), Executive Chairman (2008 - 2013), </w:t>
      </w:r>
      <w:r>
        <w:rPr>
          <w:rFonts w:ascii="Arial" w:cs="Arial" w:eastAsia="Arial" w:hAnsi="Arial"/>
          <w:sz w:val="14"/>
          <w:szCs w:val="14"/>
          <w:b w:val="1"/>
          <w:bCs w:val="1"/>
          <w:color w:val="3F3F3F"/>
        </w:rPr>
        <w:t>TridentUSA Health</w:t>
      </w:r>
      <w:r>
        <w:rPr>
          <w:rFonts w:ascii="Arial" w:cs="Arial" w:eastAsia="Arial" w:hAnsi="Arial"/>
          <w:sz w:val="14"/>
          <w:szCs w:val="14"/>
          <w:color w:val="3F3F3F"/>
        </w:rPr>
        <w:t xml:space="preserve"> </w:t>
      </w:r>
      <w:r>
        <w:rPr>
          <w:rFonts w:ascii="Arial" w:cs="Arial" w:eastAsia="Arial" w:hAnsi="Arial"/>
          <w:sz w:val="14"/>
          <w:szCs w:val="14"/>
          <w:b w:val="1"/>
          <w:bCs w:val="1"/>
          <w:color w:val="3F3F3F"/>
        </w:rPr>
        <w:t>Services</w:t>
      </w:r>
      <w:r>
        <w:rPr>
          <w:rFonts w:ascii="Arial" w:cs="Arial" w:eastAsia="Arial" w:hAnsi="Arial"/>
          <w:sz w:val="14"/>
          <w:szCs w:val="14"/>
          <w:color w:val="3F3F3F"/>
        </w:rPr>
        <w:t>, a provider of mobile X-ray and laboratory services to the long-term care industry. In February 2019, TridentUSA filed</w:t>
      </w:r>
      <w:r>
        <w:rPr>
          <w:rFonts w:ascii="Arial" w:cs="Arial" w:eastAsia="Arial" w:hAnsi="Arial"/>
          <w:sz w:val="14"/>
          <w:szCs w:val="14"/>
          <w:b w:val="1"/>
          <w:bCs w:val="1"/>
          <w:color w:val="3F3F3F"/>
        </w:rPr>
        <w:t xml:space="preserve"> </w:t>
      </w:r>
      <w:r>
        <w:rPr>
          <w:rFonts w:ascii="Arial" w:cs="Arial" w:eastAsia="Arial" w:hAnsi="Arial"/>
          <w:sz w:val="14"/>
          <w:szCs w:val="14"/>
          <w:color w:val="3F3F3F"/>
        </w:rPr>
        <w:t>for protection under Chapter 11 of the U.S. Bankruptcy Code and emerged from bankruptcy in September 2019</w:t>
      </w:r>
    </w:p>
    <w:p>
      <w:pPr>
        <w:spacing w:after="0" w:line="1" w:lineRule="exact"/>
        <w:rPr>
          <w:sz w:val="20"/>
          <w:szCs w:val="20"/>
          <w:color w:val="auto"/>
        </w:rPr>
      </w:pPr>
    </w:p>
    <w:p>
      <w:pPr>
        <w:ind w:left="280" w:right="280" w:hanging="143"/>
        <w:spacing w:after="0" w:line="273" w:lineRule="auto"/>
        <w:rPr>
          <w:sz w:val="20"/>
          <w:szCs w:val="20"/>
          <w:color w:val="auto"/>
        </w:rPr>
      </w:pPr>
      <w:r>
        <w:rPr>
          <w:rFonts w:ascii="Arial" w:cs="Arial" w:eastAsia="Arial" w:hAnsi="Arial"/>
          <w:sz w:val="14"/>
          <w:szCs w:val="14"/>
          <w:color w:val="3F3F3F"/>
        </w:rPr>
        <w:t xml:space="preserve">•   Held management roles of increasing responsibility (1993 - 2007) including Chief Executive Officer, Healthcare Supply Chain Services (2006 - 2007), </w:t>
      </w:r>
      <w:r>
        <w:rPr>
          <w:rFonts w:ascii="Arial" w:cs="Arial" w:eastAsia="Arial" w:hAnsi="Arial"/>
          <w:sz w:val="14"/>
          <w:szCs w:val="14"/>
          <w:b w:val="1"/>
          <w:bCs w:val="1"/>
          <w:color w:val="3F3F3F"/>
        </w:rPr>
        <w:t>Cardinal Health Inc</w:t>
      </w:r>
      <w:r>
        <w:rPr>
          <w:rFonts w:ascii="Arial" w:cs="Arial" w:eastAsia="Arial" w:hAnsi="Arial"/>
          <w:sz w:val="14"/>
          <w:szCs w:val="14"/>
          <w:color w:val="3F3F3F"/>
        </w:rPr>
        <w:t>. and its affiliates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280" w:right="12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Corporate Governance, Healthcare Industry, Finance, Accounting and Capital Markets,</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Risk Oversight/Compliance,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Strategy and M&amp;A Experience </w:t>
      </w:r>
      <w:r>
        <w:rPr>
          <w:rFonts w:ascii="Arial" w:cs="Arial" w:eastAsia="Arial" w:hAnsi="Arial"/>
          <w:sz w:val="14"/>
          <w:szCs w:val="14"/>
          <w:color w:val="3F3F3F"/>
        </w:rPr>
        <w:t>obtained over his many years in leadership positions in the</w:t>
      </w:r>
      <w:r>
        <w:rPr>
          <w:rFonts w:ascii="Arial" w:cs="Arial" w:eastAsia="Arial" w:hAnsi="Arial"/>
          <w:sz w:val="14"/>
          <w:szCs w:val="14"/>
          <w:b w:val="1"/>
          <w:bCs w:val="1"/>
          <w:color w:val="3F3F3F"/>
        </w:rPr>
        <w:t xml:space="preserve"> </w:t>
      </w:r>
      <w:r>
        <w:rPr>
          <w:rFonts w:ascii="Arial" w:cs="Arial" w:eastAsia="Arial" w:hAnsi="Arial"/>
          <w:sz w:val="14"/>
          <w:szCs w:val="14"/>
          <w:color w:val="3F3F3F"/>
        </w:rPr>
        <w:t>healthcare industry, where he gained extensive expertise in managing governmental oversight, as well as experience in business restructuring and M&amp;A</w:t>
      </w:r>
    </w:p>
    <w:p>
      <w:pPr>
        <w:spacing w:after="0" w:line="1" w:lineRule="exact"/>
        <w:rPr>
          <w:sz w:val="20"/>
          <w:szCs w:val="20"/>
          <w:color w:val="auto"/>
        </w:rPr>
      </w:pPr>
    </w:p>
    <w:p>
      <w:pPr>
        <w:ind w:left="280" w:right="66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CSR Experience</w:t>
      </w:r>
      <w:r>
        <w:rPr>
          <w:rFonts w:ascii="Arial" w:cs="Arial" w:eastAsia="Arial" w:hAnsi="Arial"/>
          <w:sz w:val="14"/>
          <w:szCs w:val="14"/>
          <w:color w:val="3F3F3F"/>
        </w:rPr>
        <w:t xml:space="preserve"> obtained through his public company and executive experience and his work in the heavily regulated healthcare industry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 Mr. Parrish also brings </w:t>
      </w:r>
      <w:r>
        <w:rPr>
          <w:rFonts w:ascii="Arial" w:cs="Arial" w:eastAsia="Arial" w:hAnsi="Arial"/>
          <w:sz w:val="14"/>
          <w:szCs w:val="14"/>
          <w:b w:val="1"/>
          <w:bCs w:val="1"/>
          <w:color w:val="3F3F3F"/>
        </w:rPr>
        <w:t>Human Capital Management, Global Business</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Information Security Experience</w:t>
      </w:r>
      <w:r>
        <w:rPr>
          <w:rFonts w:ascii="Arial" w:cs="Arial" w:eastAsia="Arial" w:hAnsi="Arial"/>
          <w:sz w:val="14"/>
          <w:szCs w:val="14"/>
          <w:color w:val="3F3F3F"/>
        </w:rPr>
        <w:t xml:space="preserve"> to the Board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280" w:right="46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Omnicell, Inc.</w:t>
      </w:r>
      <w:r>
        <w:rPr>
          <w:rFonts w:ascii="Arial" w:cs="Arial" w:eastAsia="Arial" w:hAnsi="Arial"/>
          <w:sz w:val="14"/>
          <w:szCs w:val="14"/>
          <w:color w:val="3F3F3F"/>
        </w:rPr>
        <w:t xml:space="preserve"> (NASDAQ: OMCL) (since 2013), Director, Chair of the Audit Committee and member of the Compensation Committee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Current Private Company Boards:</w:t>
      </w:r>
    </w:p>
    <w:p>
      <w:pPr>
        <w:spacing w:after="0" w:line="15" w:lineRule="exact"/>
        <w:rPr>
          <w:sz w:val="20"/>
          <w:szCs w:val="20"/>
          <w:color w:val="auto"/>
        </w:rPr>
      </w:pPr>
    </w:p>
    <w:p>
      <w:pPr>
        <w:ind w:left="280" w:right="58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Safecor Health, LLC</w:t>
      </w:r>
      <w:r>
        <w:rPr>
          <w:rFonts w:ascii="Arial" w:cs="Arial" w:eastAsia="Arial" w:hAnsi="Arial"/>
          <w:sz w:val="14"/>
          <w:szCs w:val="14"/>
          <w:color w:val="3F3F3F"/>
        </w:rPr>
        <w:t xml:space="preserve"> (since 2022), a private limited liability company that provides unit dose drug packaging services to hospitals and long-term care facilities, Director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280" w:right="20" w:hanging="143"/>
        <w:spacing w:after="0" w:line="26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Mylan</w:t>
      </w:r>
      <w:r>
        <w:rPr>
          <w:rFonts w:ascii="Arial" w:cs="Arial" w:eastAsia="Arial" w:hAnsi="Arial"/>
          <w:sz w:val="14"/>
          <w:szCs w:val="14"/>
          <w:color w:val="3F3F3F"/>
        </w:rPr>
        <w:t xml:space="preserve"> (2009 - the closing of the Combination in 2020), most recently Lead Independent Director and Vice Chairman, Chair of the Compliance Committee and member of the Audit, Executive, Governance and Nominating, and Risk Oversight Committees</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Private Company Boards:</w:t>
      </w:r>
    </w:p>
    <w:p>
      <w:pPr>
        <w:spacing w:after="0" w:line="15" w:lineRule="exact"/>
        <w:rPr>
          <w:sz w:val="20"/>
          <w:szCs w:val="20"/>
          <w:color w:val="auto"/>
        </w:rPr>
      </w:pPr>
    </w:p>
    <w:p>
      <w:pPr>
        <w:ind w:left="280" w:right="72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Comprehensive Pharmacy Services</w:t>
      </w:r>
      <w:r>
        <w:rPr>
          <w:rFonts w:ascii="Arial" w:cs="Arial" w:eastAsia="Arial" w:hAnsi="Arial"/>
          <w:sz w:val="14"/>
          <w:szCs w:val="14"/>
          <w:color w:val="3F3F3F"/>
        </w:rPr>
        <w:t xml:space="preserve"> (2019 - 2023), a private company that specializes in the outsourcing of hospital pharmacies, Director</w:t>
      </w:r>
    </w:p>
    <w:p>
      <w:pPr>
        <w:spacing w:after="0" w:line="1" w:lineRule="exact"/>
        <w:rPr>
          <w:sz w:val="20"/>
          <w:szCs w:val="20"/>
          <w:color w:val="auto"/>
        </w:rPr>
      </w:pPr>
    </w:p>
    <w:p>
      <w:pPr>
        <w:ind w:left="280" w:right="44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Golden State Medical Supply</w:t>
      </w:r>
      <w:r>
        <w:rPr>
          <w:rFonts w:ascii="Arial" w:cs="Arial" w:eastAsia="Arial" w:hAnsi="Arial"/>
          <w:sz w:val="14"/>
          <w:szCs w:val="14"/>
          <w:color w:val="3F3F3F"/>
        </w:rPr>
        <w:t xml:space="preserve"> (2014 - 2019 when it was acquired by Court Square), a private company that specializes in meeting unique labeling and sizing needs and pharmaceutical packaging, serialization and distribution, Director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Silvergate Pharmaceuticals</w:t>
      </w:r>
      <w:r>
        <w:rPr>
          <w:rFonts w:ascii="Arial" w:cs="Arial" w:eastAsia="Arial" w:hAnsi="Arial"/>
          <w:sz w:val="14"/>
          <w:szCs w:val="14"/>
          <w:color w:val="3F3F3F"/>
        </w:rPr>
        <w:t xml:space="preserve"> (2013 - 2019), a private company that develops and commercializes pediatric medications, Director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Organizations:</w:t>
      </w:r>
    </w:p>
    <w:p>
      <w:pPr>
        <w:spacing w:after="0" w:line="15" w:lineRule="exact"/>
        <w:rPr>
          <w:sz w:val="20"/>
          <w:szCs w:val="20"/>
          <w:color w:val="auto"/>
        </w:rPr>
      </w:pPr>
    </w:p>
    <w:p>
      <w:pPr>
        <w:ind w:left="280" w:right="760" w:hanging="143"/>
        <w:spacing w:after="0" w:line="241" w:lineRule="auto"/>
        <w:rPr>
          <w:sz w:val="20"/>
          <w:szCs w:val="20"/>
          <w:color w:val="auto"/>
        </w:rPr>
      </w:pPr>
      <w:r>
        <w:rPr>
          <w:rFonts w:ascii="Arial" w:cs="Arial" w:eastAsia="Arial" w:hAnsi="Arial"/>
          <w:sz w:val="14"/>
          <w:szCs w:val="14"/>
          <w:color w:val="3F3F3F"/>
        </w:rPr>
        <w:t xml:space="preserve">•   President and Chief Executive Officer, </w:t>
      </w:r>
      <w:r>
        <w:rPr>
          <w:rFonts w:ascii="Arial" w:cs="Arial" w:eastAsia="Arial" w:hAnsi="Arial"/>
          <w:sz w:val="14"/>
          <w:szCs w:val="14"/>
          <w:b w:val="1"/>
          <w:bCs w:val="1"/>
          <w:color w:val="3F3F3F"/>
        </w:rPr>
        <w:t>International Federation of Pharmaceutical Wholesalers</w:t>
      </w:r>
      <w:r>
        <w:rPr>
          <w:rFonts w:ascii="Arial" w:cs="Arial" w:eastAsia="Arial" w:hAnsi="Arial"/>
          <w:sz w:val="14"/>
          <w:szCs w:val="14"/>
          <w:color w:val="3F3F3F"/>
        </w:rPr>
        <w:t>, an association of pharmaceutical wholesalers and pharmaceutical supply chain service companies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 Senior Adviser, </w:t>
      </w:r>
      <w:r>
        <w:rPr>
          <w:rFonts w:ascii="Arial" w:cs="Arial" w:eastAsia="Arial" w:hAnsi="Arial"/>
          <w:sz w:val="14"/>
          <w:szCs w:val="14"/>
          <w:b w:val="1"/>
          <w:bCs w:val="1"/>
          <w:color w:val="3F3F3F"/>
        </w:rPr>
        <w:t>Frazier Healthcare Ventures</w:t>
      </w:r>
      <w:r>
        <w:rPr>
          <w:rFonts w:ascii="Arial" w:cs="Arial" w:eastAsia="Arial" w:hAnsi="Arial"/>
          <w:sz w:val="14"/>
          <w:szCs w:val="14"/>
          <w:color w:val="3F3F3F"/>
        </w:rPr>
        <w:t>, a healthcare-oriented growth equity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134620</wp:posOffset>
            </wp:positionV>
            <wp:extent cx="8890"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134620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134620</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134620</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134620</wp:posOffset>
            </wp:positionV>
            <wp:extent cx="8890"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8890"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134620</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134620</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134620</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134620</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134620</wp:posOffset>
            </wp:positionV>
            <wp:extent cx="8890"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134620</wp:posOffset>
            </wp:positionV>
            <wp:extent cx="8890"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134620</wp:posOffset>
            </wp:positionV>
            <wp:extent cx="8890"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134620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134620</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134620</wp:posOffset>
            </wp:positionV>
            <wp:extent cx="8890"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134620</wp:posOffset>
            </wp:positionV>
            <wp:extent cx="8890"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134620</wp:posOffset>
            </wp:positionV>
            <wp:extent cx="8890"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134620</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134620</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134620</wp:posOffset>
            </wp:positionV>
            <wp:extent cx="889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134620</wp:posOffset>
            </wp:positionV>
            <wp:extent cx="8890"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134620</wp:posOffset>
            </wp:positionV>
            <wp:extent cx="8890"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134620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134620</wp:posOffset>
            </wp:positionV>
            <wp:extent cx="8890"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134620</wp:posOffset>
            </wp:positionV>
            <wp:extent cx="889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134620</wp:posOffset>
            </wp:positionV>
            <wp:extent cx="8890"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134620</wp:posOffset>
            </wp:positionV>
            <wp:extent cx="8890"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134620</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134620</wp:posOffset>
            </wp:positionV>
            <wp:extent cx="8890"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134620</wp:posOffset>
            </wp:positionV>
            <wp:extent cx="8255"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134620</wp:posOffset>
            </wp:positionV>
            <wp:extent cx="8890"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134620</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134620</wp:posOffset>
            </wp:positionV>
            <wp:extent cx="8890"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134620</wp:posOffset>
            </wp:positionV>
            <wp:extent cx="8890"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134620</wp:posOffset>
            </wp:positionV>
            <wp:extent cx="8255"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134620</wp:posOffset>
            </wp:positionV>
            <wp:extent cx="8890"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134620</wp:posOffset>
            </wp:positionV>
            <wp:extent cx="8890"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134620</wp:posOffset>
            </wp:positionV>
            <wp:extent cx="8890" cy="8255"/>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134620</wp:posOffset>
            </wp:positionV>
            <wp:extent cx="8890" cy="825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134620</wp:posOffset>
            </wp:positionV>
            <wp:extent cx="8255"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134620</wp:posOffset>
            </wp:positionV>
            <wp:extent cx="8890"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134620</wp:posOffset>
            </wp:positionV>
            <wp:extent cx="8890" cy="8255"/>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134620</wp:posOffset>
            </wp:positionV>
            <wp:extent cx="8890" cy="825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134620</wp:posOffset>
            </wp:positionV>
            <wp:extent cx="8890" cy="825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134620</wp:posOffset>
            </wp:positionV>
            <wp:extent cx="8255"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134620</wp:posOffset>
            </wp:positionV>
            <wp:extent cx="8890" cy="825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134620</wp:posOffset>
            </wp:positionV>
            <wp:extent cx="8890"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134620</wp:posOffset>
            </wp:positionV>
            <wp:extent cx="8890" cy="8255"/>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134620</wp:posOffset>
            </wp:positionV>
            <wp:extent cx="8890"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134620</wp:posOffset>
            </wp:positionV>
            <wp:extent cx="8890" cy="8255"/>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134620</wp:posOffset>
            </wp:positionV>
            <wp:extent cx="8890" cy="825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134620</wp:posOffset>
            </wp:positionV>
            <wp:extent cx="8255"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134620</wp:posOffset>
            </wp:positionV>
            <wp:extent cx="8890" cy="825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134620</wp:posOffset>
            </wp:positionV>
            <wp:extent cx="889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134620</wp:posOffset>
            </wp:positionV>
            <wp:extent cx="8890" cy="8255"/>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134620</wp:posOffset>
            </wp:positionV>
            <wp:extent cx="8890" cy="825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134620</wp:posOffset>
            </wp:positionV>
            <wp:extent cx="8255"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134620</wp:posOffset>
            </wp:positionV>
            <wp:extent cx="8890" cy="825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134620</wp:posOffset>
            </wp:positionV>
            <wp:extent cx="8890"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134620</wp:posOffset>
            </wp:positionV>
            <wp:extent cx="8890"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134620</wp:posOffset>
            </wp:positionV>
            <wp:extent cx="8890"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134620</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134620</wp:posOffset>
            </wp:positionV>
            <wp:extent cx="889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134620</wp:posOffset>
            </wp:positionV>
            <wp:extent cx="8890"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134620</wp:posOffset>
            </wp:positionV>
            <wp:extent cx="8890"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134620</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134620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134620</wp:posOffset>
            </wp:positionV>
            <wp:extent cx="8890"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134620</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134620</wp:posOffset>
            </wp:positionV>
            <wp:extent cx="8890"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134620</wp:posOffset>
            </wp:positionV>
            <wp:extent cx="8890"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134620</wp:posOffset>
            </wp:positionV>
            <wp:extent cx="8890"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134620</wp:posOffset>
            </wp:positionV>
            <wp:extent cx="8890"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134620</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134620</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134620</wp:posOffset>
            </wp:positionV>
            <wp:extent cx="8890"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134620</wp:posOffset>
            </wp:positionV>
            <wp:extent cx="8890"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134620</wp:posOffset>
            </wp:positionV>
            <wp:extent cx="8890"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134620</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134620</wp:posOffset>
            </wp:positionV>
            <wp:extent cx="8890"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134620</wp:posOffset>
            </wp:positionV>
            <wp:extent cx="8890"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134620</wp:posOffset>
            </wp:positionV>
            <wp:extent cx="8890"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134620</wp:posOffset>
            </wp:positionV>
            <wp:extent cx="8890"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134620</wp:posOffset>
            </wp:positionV>
            <wp:extent cx="8890"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134620</wp:posOffset>
            </wp:positionV>
            <wp:extent cx="8255"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134620</wp:posOffset>
            </wp:positionV>
            <wp:extent cx="8255"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134620</wp:posOffset>
            </wp:positionV>
            <wp:extent cx="8255"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134620</wp:posOffset>
            </wp:positionV>
            <wp:extent cx="8890"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134620</wp:posOffset>
            </wp:positionV>
            <wp:extent cx="8890"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134620</wp:posOffset>
            </wp:positionV>
            <wp:extent cx="8255"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134620</wp:posOffset>
            </wp:positionV>
            <wp:extent cx="8255"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134620</wp:posOffset>
            </wp:positionV>
            <wp:extent cx="8255"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134620</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134620</wp:posOffset>
            </wp:positionV>
            <wp:extent cx="8890"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134620</wp:posOffset>
            </wp:positionV>
            <wp:extent cx="8255"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134620</wp:posOffset>
            </wp:positionV>
            <wp:extent cx="8255"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134620</wp:posOffset>
            </wp:positionV>
            <wp:extent cx="8255"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134620</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134620</wp:posOffset>
            </wp:positionV>
            <wp:extent cx="8890"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134620</wp:posOffset>
            </wp:positionV>
            <wp:extent cx="8255"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134620</wp:posOffset>
            </wp:positionV>
            <wp:extent cx="8255"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134620</wp:posOffset>
            </wp:positionV>
            <wp:extent cx="8255"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134620</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134620</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134620</wp:posOffset>
            </wp:positionV>
            <wp:extent cx="8255"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134620</wp:posOffset>
            </wp:positionV>
            <wp:extent cx="8255"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134620</wp:posOffset>
            </wp:positionV>
            <wp:extent cx="8255"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134620</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134620</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134620</wp:posOffset>
            </wp:positionV>
            <wp:extent cx="8255"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134620</wp:posOffset>
            </wp:positionV>
            <wp:extent cx="8255"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134620</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134620</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134620</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134620</wp:posOffset>
            </wp:positionV>
            <wp:extent cx="8255"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134620</wp:posOffset>
            </wp:positionV>
            <wp:extent cx="8255"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134620</wp:posOffset>
            </wp:positionV>
            <wp:extent cx="8255"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134620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134620</wp:posOffset>
            </wp:positionV>
            <wp:extent cx="8255"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134620</wp:posOffset>
            </wp:positionV>
            <wp:extent cx="8255"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134620</wp:posOffset>
            </wp:positionV>
            <wp:extent cx="8255"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134620</wp:posOffset>
            </wp:positionV>
            <wp:extent cx="8890"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134620</wp:posOffset>
            </wp:positionV>
            <wp:extent cx="889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134620</wp:posOffset>
            </wp:positionV>
            <wp:extent cx="8255"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134620</wp:posOffset>
            </wp:positionV>
            <wp:extent cx="8255"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134620</wp:posOffset>
            </wp:positionV>
            <wp:extent cx="8255"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134620</wp:posOffset>
            </wp:positionV>
            <wp:extent cx="8890"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134620</wp:posOffset>
            </wp:positionV>
            <wp:extent cx="8890"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134620</wp:posOffset>
            </wp:positionV>
            <wp:extent cx="8255"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134620</wp:posOffset>
            </wp:positionV>
            <wp:extent cx="8255"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134620</wp:posOffset>
            </wp:positionV>
            <wp:extent cx="8255"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134620</wp:posOffset>
            </wp:positionV>
            <wp:extent cx="889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134620</wp:posOffset>
            </wp:positionV>
            <wp:extent cx="8890"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134620</wp:posOffset>
            </wp:positionV>
            <wp:extent cx="8255" cy="825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134620</wp:posOffset>
            </wp:positionV>
            <wp:extent cx="8255"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134620</wp:posOffset>
            </wp:positionV>
            <wp:extent cx="8255"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134620</wp:posOffset>
            </wp:positionV>
            <wp:extent cx="889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134620</wp:posOffset>
            </wp:positionV>
            <wp:extent cx="8890"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134620</wp:posOffset>
            </wp:positionV>
            <wp:extent cx="8255"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134620</wp:posOffset>
            </wp:positionV>
            <wp:extent cx="8255"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134620</wp:posOffset>
            </wp:positionV>
            <wp:extent cx="8255"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134620</wp:posOffset>
            </wp:positionV>
            <wp:extent cx="8890"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134620</wp:posOffset>
            </wp:positionV>
            <wp:extent cx="88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134620</wp:posOffset>
            </wp:positionV>
            <wp:extent cx="8255"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134620</wp:posOffset>
            </wp:positionV>
            <wp:extent cx="8255" cy="8255"/>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134620</wp:posOffset>
            </wp:positionV>
            <wp:extent cx="8255"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134620</wp:posOffset>
            </wp:positionV>
            <wp:extent cx="8890"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134620</wp:posOffset>
            </wp:positionV>
            <wp:extent cx="889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134620</wp:posOffset>
            </wp:positionV>
            <wp:extent cx="8255"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134620</wp:posOffset>
            </wp:positionV>
            <wp:extent cx="8255"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134620</wp:posOffset>
            </wp:positionV>
            <wp:extent cx="8255" cy="8255"/>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134620</wp:posOffset>
            </wp:positionV>
            <wp:extent cx="8890" cy="825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134620</wp:posOffset>
            </wp:positionV>
            <wp:extent cx="8890" cy="8255"/>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134620</wp:posOffset>
            </wp:positionV>
            <wp:extent cx="8255"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134620</wp:posOffset>
            </wp:positionV>
            <wp:extent cx="8255"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134620</wp:posOffset>
            </wp:positionV>
            <wp:extent cx="8255" cy="825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134620</wp:posOffset>
            </wp:positionV>
            <wp:extent cx="8890" cy="8255"/>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134620</wp:posOffset>
            </wp:positionV>
            <wp:extent cx="825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134620</wp:posOffset>
            </wp:positionV>
            <wp:extent cx="8255"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134620</wp:posOffset>
            </wp:positionV>
            <wp:extent cx="8255"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134620</wp:posOffset>
            </wp:positionV>
            <wp:extent cx="8890" cy="825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134620</wp:posOffset>
            </wp:positionV>
            <wp:extent cx="8890" cy="8255"/>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134620</wp:posOffset>
            </wp:positionV>
            <wp:extent cx="8255" cy="825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134620</wp:posOffset>
            </wp:positionV>
            <wp:extent cx="8255" cy="8255"/>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134620</wp:posOffset>
            </wp:positionV>
            <wp:extent cx="8255"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134620</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134620</wp:posOffset>
            </wp:positionV>
            <wp:extent cx="8890"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134620</wp:posOffset>
            </wp:positionV>
            <wp:extent cx="8255" cy="8255"/>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134620</wp:posOffset>
            </wp:positionV>
            <wp:extent cx="8255" cy="825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134620</wp:posOffset>
            </wp:positionV>
            <wp:extent cx="8255"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134620</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134620</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134620</wp:posOffset>
            </wp:positionV>
            <wp:extent cx="8255" cy="8255"/>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134620</wp:posOffset>
            </wp:positionV>
            <wp:extent cx="825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134620</wp:posOffset>
            </wp:positionV>
            <wp:extent cx="8255" cy="8255"/>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134620</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134620</wp:posOffset>
            </wp:positionV>
            <wp:extent cx="8890"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134620</wp:posOffset>
            </wp:positionV>
            <wp:extent cx="8255"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134620</wp:posOffset>
            </wp:positionV>
            <wp:extent cx="8255"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134620</wp:posOffset>
            </wp:positionV>
            <wp:extent cx="8255"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134620</wp:posOffset>
            </wp:positionV>
            <wp:extent cx="8890"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134620</wp:posOffset>
            </wp:positionV>
            <wp:extent cx="8890" cy="8255"/>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134620</wp:posOffset>
            </wp:positionV>
            <wp:extent cx="8255"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134620</wp:posOffset>
            </wp:positionV>
            <wp:extent cx="8255"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134620</wp:posOffset>
            </wp:positionV>
            <wp:extent cx="8255" cy="825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134620</wp:posOffset>
            </wp:positionV>
            <wp:extent cx="8890"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134620</wp:posOffset>
            </wp:positionV>
            <wp:extent cx="8890"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134620</wp:posOffset>
            </wp:positionV>
            <wp:extent cx="8255"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134620</wp:posOffset>
            </wp:positionV>
            <wp:extent cx="8255"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134620</wp:posOffset>
            </wp:positionV>
            <wp:extent cx="8255"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134620</wp:posOffset>
            </wp:positionV>
            <wp:extent cx="889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134620</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134620</wp:posOffset>
            </wp:positionV>
            <wp:extent cx="8255"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134620</wp:posOffset>
            </wp:positionV>
            <wp:extent cx="8255"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134620</wp:posOffset>
            </wp:positionV>
            <wp:extent cx="8255"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134620</wp:posOffset>
            </wp:positionV>
            <wp:extent cx="8890" cy="8255"/>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134620</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134620</wp:posOffset>
            </wp:positionV>
            <wp:extent cx="8255"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134620</wp:posOffset>
            </wp:positionV>
            <wp:extent cx="8255"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134620</wp:posOffset>
            </wp:positionV>
            <wp:extent cx="8890"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134620</wp:posOffset>
            </wp:positionV>
            <wp:extent cx="889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134620</wp:posOffset>
            </wp:positionV>
            <wp:extent cx="8255" cy="8255"/>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134620</wp:posOffset>
            </wp:positionV>
            <wp:extent cx="8255"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134620</wp:posOffset>
            </wp:positionV>
            <wp:extent cx="8255"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134620</wp:posOffset>
            </wp:positionV>
            <wp:extent cx="8890" cy="825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134620</wp:posOffset>
            </wp:positionV>
            <wp:extent cx="8890"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134620</wp:posOffset>
            </wp:positionV>
            <wp:extent cx="8255"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134620</wp:posOffset>
            </wp:positionV>
            <wp:extent cx="8255"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134620</wp:posOffset>
            </wp:positionV>
            <wp:extent cx="8255"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134620</wp:posOffset>
            </wp:positionV>
            <wp:extent cx="8890"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134620</wp:posOffset>
            </wp:positionV>
            <wp:extent cx="889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134620</wp:posOffset>
            </wp:positionV>
            <wp:extent cx="8255" cy="8255"/>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134620</wp:posOffset>
            </wp:positionV>
            <wp:extent cx="8255"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134620</wp:posOffset>
            </wp:positionV>
            <wp:extent cx="8255"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134620</wp:posOffset>
            </wp:positionV>
            <wp:extent cx="8890"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134620</wp:posOffset>
            </wp:positionV>
            <wp:extent cx="8890"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134620</wp:posOffset>
            </wp:positionV>
            <wp:extent cx="8255"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134620</wp:posOffset>
            </wp:positionV>
            <wp:extent cx="8255" cy="825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134620</wp:posOffset>
            </wp:positionV>
            <wp:extent cx="8255" cy="8255"/>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134620</wp:posOffset>
            </wp:positionV>
            <wp:extent cx="8890"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134620</wp:posOffset>
            </wp:positionV>
            <wp:extent cx="8890"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134620</wp:posOffset>
            </wp:positionV>
            <wp:extent cx="8255" cy="8255"/>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134620</wp:posOffset>
            </wp:positionV>
            <wp:extent cx="8255" cy="8255"/>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134620</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134620</wp:posOffset>
            </wp:positionV>
            <wp:extent cx="8890"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134620</wp:posOffset>
            </wp:positionV>
            <wp:extent cx="8890"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134620</wp:posOffset>
            </wp:positionV>
            <wp:extent cx="8255" cy="825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134620</wp:posOffset>
            </wp:positionV>
            <wp:extent cx="8255" cy="8255"/>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134620</wp:posOffset>
            </wp:positionV>
            <wp:extent cx="825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134620</wp:posOffset>
            </wp:positionV>
            <wp:extent cx="8890"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134620</wp:posOffset>
            </wp:positionV>
            <wp:extent cx="8890"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134620</wp:posOffset>
            </wp:positionV>
            <wp:extent cx="8255" cy="825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134620</wp:posOffset>
            </wp:positionV>
            <wp:extent cx="8255" cy="825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134620</wp:posOffset>
            </wp:positionV>
            <wp:extent cx="8255"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134620</wp:posOffset>
            </wp:positionV>
            <wp:extent cx="8890"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134620</wp:posOffset>
            </wp:positionV>
            <wp:extent cx="8890"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134620</wp:posOffset>
            </wp:positionV>
            <wp:extent cx="8255"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134620</wp:posOffset>
            </wp:positionV>
            <wp:extent cx="8255"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134620</wp:posOffset>
            </wp:positionV>
            <wp:extent cx="8890"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134620</wp:posOffset>
            </wp:positionV>
            <wp:extent cx="8890"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134620</wp:posOffset>
            </wp:positionV>
            <wp:extent cx="8255" cy="825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134620</wp:posOffset>
            </wp:positionV>
            <wp:extent cx="8255" cy="825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134620</wp:posOffset>
            </wp:positionV>
            <wp:extent cx="8255"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134620</wp:posOffset>
            </wp:positionV>
            <wp:extent cx="8890"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134620</wp:posOffset>
            </wp:positionV>
            <wp:extent cx="8890"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134620</wp:posOffset>
            </wp:positionV>
            <wp:extent cx="8255" cy="8255"/>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134620</wp:posOffset>
            </wp:positionV>
            <wp:extent cx="8255" cy="8255"/>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134620</wp:posOffset>
            </wp:positionV>
            <wp:extent cx="8255"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134620</wp:posOffset>
            </wp:positionV>
            <wp:extent cx="8890" cy="825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134620</wp:posOffset>
            </wp:positionV>
            <wp:extent cx="8890"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134620</wp:posOffset>
            </wp:positionV>
            <wp:extent cx="8255" cy="825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134620</wp:posOffset>
            </wp:positionV>
            <wp:extent cx="8255" cy="82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134620</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134620</wp:posOffset>
            </wp:positionV>
            <wp:extent cx="8890"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134620</wp:posOffset>
            </wp:positionV>
            <wp:extent cx="8890"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134620</wp:posOffset>
            </wp:positionV>
            <wp:extent cx="8255" cy="8255"/>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134620</wp:posOffset>
            </wp:positionV>
            <wp:extent cx="8255" cy="8255"/>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134620</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134620</wp:posOffset>
            </wp:positionV>
            <wp:extent cx="8890"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134620</wp:posOffset>
            </wp:positionV>
            <wp:extent cx="8890"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134620</wp:posOffset>
            </wp:positionV>
            <wp:extent cx="8255" cy="825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134620</wp:posOffset>
            </wp:positionV>
            <wp:extent cx="8255" cy="825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134620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134620</wp:posOffset>
            </wp:positionV>
            <wp:extent cx="8890"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134620</wp:posOffset>
            </wp:positionV>
            <wp:extent cx="8890"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134620</wp:posOffset>
            </wp:positionV>
            <wp:extent cx="825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134620</wp:posOffset>
            </wp:positionV>
            <wp:extent cx="8255" cy="825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134620</wp:posOffset>
            </wp:positionV>
            <wp:extent cx="8255"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134620</wp:posOffset>
            </wp:positionV>
            <wp:extent cx="8890"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134620</wp:posOffset>
            </wp:positionV>
            <wp:extent cx="8890"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134620</wp:posOffset>
            </wp:positionV>
            <wp:extent cx="8255" cy="8255"/>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134620</wp:posOffset>
            </wp:positionV>
            <wp:extent cx="8255" cy="8255"/>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134620</wp:posOffset>
            </wp:positionV>
            <wp:extent cx="8255"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134620</wp:posOffset>
            </wp:positionV>
            <wp:extent cx="8255"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134620</wp:posOffset>
            </wp:positionV>
            <wp:extent cx="8255"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134620</wp:posOffset>
            </wp:positionV>
            <wp:extent cx="8890" cy="825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134620</wp:posOffset>
            </wp:positionV>
            <wp:extent cx="8255" cy="8255"/>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134620</wp:posOffset>
            </wp:positionV>
            <wp:extent cx="8255" cy="8255"/>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134620</wp:posOffset>
            </wp:positionV>
            <wp:extent cx="8255" cy="825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134620</wp:posOffset>
            </wp:positionV>
            <wp:extent cx="8255" cy="8255"/>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134620</wp:posOffset>
            </wp:positionV>
            <wp:extent cx="8890"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134620</wp:posOffset>
            </wp:positionV>
            <wp:extent cx="8255" cy="825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134620</wp:posOffset>
            </wp:positionV>
            <wp:extent cx="8255" cy="8255"/>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134620</wp:posOffset>
            </wp:positionV>
            <wp:extent cx="8255" cy="8255"/>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134620</wp:posOffset>
            </wp:positionV>
            <wp:extent cx="8255" cy="8255"/>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134620</wp:posOffset>
            </wp:positionV>
            <wp:extent cx="8890"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134620</wp:posOffset>
            </wp:positionV>
            <wp:extent cx="8255" cy="8255"/>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134620</wp:posOffset>
            </wp:positionV>
            <wp:extent cx="8255"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134620</wp:posOffset>
            </wp:positionV>
            <wp:extent cx="8255" cy="8255"/>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134620</wp:posOffset>
            </wp:positionV>
            <wp:extent cx="8255" cy="825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134620</wp:posOffset>
            </wp:positionV>
            <wp:extent cx="8890" cy="825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134620</wp:posOffset>
            </wp:positionV>
            <wp:extent cx="8255" cy="825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134620</wp:posOffset>
            </wp:positionV>
            <wp:extent cx="8255"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134620</wp:posOffset>
            </wp:positionV>
            <wp:extent cx="8255" cy="825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134620</wp:posOffset>
            </wp:positionV>
            <wp:extent cx="8255" cy="825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134620</wp:posOffset>
            </wp:positionV>
            <wp:extent cx="8890" cy="8255"/>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134620</wp:posOffset>
            </wp:positionV>
            <wp:extent cx="8255" cy="8255"/>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134620</wp:posOffset>
            </wp:positionV>
            <wp:extent cx="8255"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134620</wp:posOffset>
            </wp:positionV>
            <wp:extent cx="8255" cy="8255"/>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134620</wp:posOffset>
            </wp:positionV>
            <wp:extent cx="8255" cy="8255"/>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134620</wp:posOffset>
            </wp:positionV>
            <wp:extent cx="8890" cy="8255"/>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134620</wp:posOffset>
            </wp:positionV>
            <wp:extent cx="8255" cy="8255"/>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134620</wp:posOffset>
            </wp:positionV>
            <wp:extent cx="8255" cy="825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134620</wp:posOffset>
            </wp:positionV>
            <wp:extent cx="8255" cy="825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134620</wp:posOffset>
            </wp:positionV>
            <wp:extent cx="8255" cy="8255"/>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134620</wp:posOffset>
            </wp:positionV>
            <wp:extent cx="8890" cy="8255"/>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134620</wp:posOffset>
            </wp:positionV>
            <wp:extent cx="8255" cy="8255"/>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134620</wp:posOffset>
            </wp:positionV>
            <wp:extent cx="8255" cy="8255"/>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134620</wp:posOffset>
            </wp:positionV>
            <wp:extent cx="8255" cy="8255"/>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134620</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134620</wp:posOffset>
            </wp:positionV>
            <wp:extent cx="8890" cy="825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134620</wp:posOffset>
            </wp:positionV>
            <wp:extent cx="8255" cy="825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134620</wp:posOffset>
            </wp:positionV>
            <wp:extent cx="8255" cy="8255"/>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134620</wp:posOffset>
            </wp:positionV>
            <wp:extent cx="8255" cy="825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134620</wp:posOffset>
            </wp:positionV>
            <wp:extent cx="8255"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134620</wp:posOffset>
            </wp:positionV>
            <wp:extent cx="8890"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134620</wp:posOffset>
            </wp:positionV>
            <wp:extent cx="8255" cy="8255"/>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134620</wp:posOffset>
            </wp:positionV>
            <wp:extent cx="8255" cy="8255"/>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237490</wp:posOffset>
            </wp:positionV>
            <wp:extent cx="7029450" cy="6858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260"/>
            <w:col w:w="8460"/>
          </w:cols>
          <w:pgMar w:left="320" w:top="482" w:right="459" w:bottom="1440" w:gutter="0" w:footer="0" w:header="0"/>
        </w:sect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22 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1200150" cy="121729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right="540"/>
        <w:spacing w:after="0" w:line="342" w:lineRule="auto"/>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231161"/>
        </w:rPr>
        <w:t>2022</w:t>
      </w:r>
      <w:r>
        <w:rPr>
          <w:rFonts w:ascii="Arial" w:cs="Arial" w:eastAsia="Arial" w:hAnsi="Arial"/>
          <w:sz w:val="14"/>
          <w:szCs w:val="14"/>
          <w:b w:val="1"/>
          <w:bCs w:val="1"/>
          <w:color w:val="231161"/>
        </w:rPr>
        <w:t xml:space="preserve"> Age: </w:t>
      </w:r>
      <w:r>
        <w:rPr>
          <w:rFonts w:ascii="Arial" w:cs="Arial" w:eastAsia="Arial" w:hAnsi="Arial"/>
          <w:sz w:val="14"/>
          <w:szCs w:val="14"/>
          <w:color w:val="3F3F3F"/>
        </w:rPr>
        <w:t>62</w:t>
      </w: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 Science and Technology</w:t>
      </w:r>
    </w:p>
    <w:p>
      <w:pPr>
        <w:spacing w:after="0" w:line="55" w:lineRule="exact"/>
        <w:rPr>
          <w:sz w:val="20"/>
          <w:szCs w:val="20"/>
          <w:color w:val="auto"/>
        </w:rPr>
      </w:pPr>
    </w:p>
    <w:p>
      <w:pPr>
        <w:ind w:left="120"/>
        <w:spacing w:after="0" w:line="294" w:lineRule="auto"/>
        <w:rPr>
          <w:sz w:val="20"/>
          <w:szCs w:val="20"/>
          <w:color w:val="auto"/>
        </w:rPr>
      </w:pPr>
      <w:r>
        <w:rPr>
          <w:rFonts w:ascii="Arial" w:cs="Arial" w:eastAsia="Arial" w:hAnsi="Arial"/>
          <w:sz w:val="14"/>
          <w:szCs w:val="14"/>
          <w:b w:val="1"/>
          <w:bCs w:val="1"/>
          <w:color w:val="231161"/>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1932940</wp:posOffset>
            </wp:positionV>
            <wp:extent cx="1354455" cy="8255"/>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-707390</wp:posOffset>
            </wp:positionV>
            <wp:extent cx="7174865" cy="55245"/>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 Chief Executive Officer (since April 2023), </w:t>
      </w:r>
      <w:r>
        <w:rPr>
          <w:rFonts w:ascii="Arial" w:cs="Arial" w:eastAsia="Arial" w:hAnsi="Arial"/>
          <w:sz w:val="14"/>
          <w:szCs w:val="14"/>
          <w:b w:val="1"/>
          <w:bCs w:val="1"/>
          <w:color w:val="3F3F3F"/>
        </w:rPr>
        <w:t>Viatris</w:t>
      </w:r>
    </w:p>
    <w:p>
      <w:pPr>
        <w:spacing w:after="0" w:line="29" w:lineRule="exact"/>
        <w:rPr>
          <w:sz w:val="20"/>
          <w:szCs w:val="20"/>
          <w:color w:val="auto"/>
        </w:rPr>
      </w:pPr>
    </w:p>
    <w:p>
      <w:pPr>
        <w:ind w:left="300" w:right="40" w:hanging="143"/>
        <w:spacing w:after="0" w:line="225" w:lineRule="auto"/>
        <w:rPr>
          <w:sz w:val="20"/>
          <w:szCs w:val="20"/>
          <w:color w:val="auto"/>
        </w:rPr>
      </w:pPr>
      <w:r>
        <w:rPr>
          <w:rFonts w:ascii="Arial" w:cs="Arial" w:eastAsia="Arial" w:hAnsi="Arial"/>
          <w:sz w:val="14"/>
          <w:szCs w:val="14"/>
          <w:color w:val="3F3F3F"/>
        </w:rPr>
        <w:t xml:space="preserve">•   President (2018 - 2023), </w:t>
      </w:r>
      <w:r>
        <w:rPr>
          <w:rFonts w:ascii="Arial" w:cs="Arial" w:eastAsia="Arial" w:hAnsi="Arial"/>
          <w:sz w:val="14"/>
          <w:szCs w:val="14"/>
          <w:b w:val="1"/>
          <w:bCs w:val="1"/>
          <w:color w:val="3F3F3F"/>
        </w:rPr>
        <w:t>BioAtla, Inc.</w:t>
      </w:r>
      <w:r>
        <w:rPr>
          <w:rFonts w:ascii="Arial" w:cs="Arial" w:eastAsia="Arial" w:hAnsi="Arial"/>
          <w:sz w:val="14"/>
          <w:szCs w:val="14"/>
          <w:color w:val="3F3F3F"/>
        </w:rPr>
        <w:t xml:space="preserve"> (NASDAQ: BCAB) (“BioAtla”), a global biotechnology company focused on the development of Conditionally Active Biologics</w:t>
      </w:r>
      <w:r>
        <w:rPr>
          <w:rFonts w:ascii="Arial" w:cs="Arial" w:eastAsia="Arial" w:hAnsi="Arial"/>
          <w:sz w:val="21"/>
          <w:szCs w:val="21"/>
          <w:color w:val="3F3F3F"/>
          <w:vertAlign w:val="superscript"/>
        </w:rPr>
        <w:t>™</w:t>
      </w:r>
      <w:r>
        <w:rPr>
          <w:rFonts w:ascii="Arial" w:cs="Arial" w:eastAsia="Arial" w:hAnsi="Arial"/>
          <w:sz w:val="14"/>
          <w:szCs w:val="14"/>
          <w:color w:val="3F3F3F"/>
        </w:rPr>
        <w:t xml:space="preserve"> antibody therapeutics</w:t>
      </w:r>
    </w:p>
    <w:p>
      <w:pPr>
        <w:spacing w:after="0" w:line="1" w:lineRule="exact"/>
        <w:rPr>
          <w:sz w:val="20"/>
          <w:szCs w:val="20"/>
          <w:color w:val="auto"/>
        </w:rPr>
      </w:pPr>
    </w:p>
    <w:p>
      <w:pPr>
        <w:ind w:left="300" w:right="100" w:hanging="143"/>
        <w:spacing w:after="0" w:line="252" w:lineRule="auto"/>
        <w:rPr>
          <w:sz w:val="20"/>
          <w:szCs w:val="20"/>
          <w:color w:val="auto"/>
        </w:rPr>
      </w:pPr>
      <w:r>
        <w:rPr>
          <w:rFonts w:ascii="Arial" w:cs="Arial" w:eastAsia="Arial" w:hAnsi="Arial"/>
          <w:sz w:val="14"/>
          <w:szCs w:val="14"/>
          <w:color w:val="3F3F3F"/>
        </w:rPr>
        <w:t xml:space="preserve">•   Served as an executive (2008 - 2018), rising up the ranks from SVP and Global Head of Immunology to President of Inflammation and Immunology and then, beginning in 2017, President and Chief Operating Officer, </w:t>
      </w:r>
      <w:r>
        <w:rPr>
          <w:rFonts w:ascii="Arial" w:cs="Arial" w:eastAsia="Arial" w:hAnsi="Arial"/>
          <w:sz w:val="14"/>
          <w:szCs w:val="14"/>
          <w:b w:val="1"/>
          <w:bCs w:val="1"/>
          <w:color w:val="3F3F3F"/>
        </w:rPr>
        <w:t>Celgene Corporation,</w:t>
      </w:r>
      <w:r>
        <w:rPr>
          <w:rFonts w:ascii="Arial" w:cs="Arial" w:eastAsia="Arial" w:hAnsi="Arial"/>
          <w:sz w:val="14"/>
          <w:szCs w:val="14"/>
          <w:color w:val="3F3F3F"/>
        </w:rPr>
        <w:t xml:space="preserve"> a global biopharmaceutical company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300" w:right="20" w:hanging="143"/>
        <w:spacing w:after="0" w:line="241"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w:t>
      </w:r>
      <w:r>
        <w:rPr>
          <w:rFonts w:ascii="Arial" w:cs="Arial" w:eastAsia="Arial" w:hAnsi="Arial"/>
          <w:sz w:val="14"/>
          <w:szCs w:val="14"/>
          <w:color w:val="3F3F3F"/>
        </w:rPr>
        <w:t xml:space="preserve">, </w:t>
      </w:r>
      <w:r>
        <w:rPr>
          <w:rFonts w:ascii="Arial" w:cs="Arial" w:eastAsia="Arial" w:hAnsi="Arial"/>
          <w:sz w:val="14"/>
          <w:szCs w:val="14"/>
          <w:b w:val="1"/>
          <w:bCs w:val="1"/>
          <w:color w:val="3F3F3F"/>
        </w:rPr>
        <w:t>Corporate Governance</w:t>
      </w:r>
      <w:r>
        <w:rPr>
          <w:rFonts w:ascii="Arial" w:cs="Arial" w:eastAsia="Arial" w:hAnsi="Arial"/>
          <w:sz w:val="14"/>
          <w:szCs w:val="14"/>
          <w:color w:val="3F3F3F"/>
        </w:rPr>
        <w:t xml:space="preserve">, </w:t>
      </w:r>
      <w:r>
        <w:rPr>
          <w:rFonts w:ascii="Arial" w:cs="Arial" w:eastAsia="Arial" w:hAnsi="Arial"/>
          <w:sz w:val="14"/>
          <w:szCs w:val="14"/>
          <w:b w:val="1"/>
          <w:bCs w:val="1"/>
          <w:color w:val="3F3F3F"/>
        </w:rPr>
        <w:t>Global Business</w:t>
      </w:r>
      <w:r>
        <w:rPr>
          <w:rFonts w:ascii="Arial" w:cs="Arial" w:eastAsia="Arial" w:hAnsi="Arial"/>
          <w:sz w:val="14"/>
          <w:szCs w:val="14"/>
          <w:color w:val="3F3F3F"/>
        </w:rPr>
        <w:t xml:space="preserve">, </w:t>
      </w:r>
      <w:r>
        <w:rPr>
          <w:rFonts w:ascii="Arial" w:cs="Arial" w:eastAsia="Arial" w:hAnsi="Arial"/>
          <w:sz w:val="14"/>
          <w:szCs w:val="14"/>
          <w:b w:val="1"/>
          <w:bCs w:val="1"/>
          <w:color w:val="3F3F3F"/>
        </w:rPr>
        <w:t>Healthcare Industry</w:t>
      </w:r>
      <w:r>
        <w:rPr>
          <w:rFonts w:ascii="Arial" w:cs="Arial" w:eastAsia="Arial" w:hAnsi="Arial"/>
          <w:sz w:val="14"/>
          <w:szCs w:val="14"/>
          <w:color w:val="3F3F3F"/>
        </w:rPr>
        <w:t xml:space="preserve">, </w:t>
      </w:r>
      <w:r>
        <w:rPr>
          <w:rFonts w:ascii="Arial" w:cs="Arial" w:eastAsia="Arial" w:hAnsi="Arial"/>
          <w:sz w:val="14"/>
          <w:szCs w:val="14"/>
          <w:b w:val="1"/>
          <w:bCs w:val="1"/>
          <w:color w:val="3F3F3F"/>
        </w:rPr>
        <w:t>Risk Oversight/Compliance,</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Strategy and M&amp;A Experience</w:t>
      </w:r>
      <w:r>
        <w:rPr>
          <w:rFonts w:ascii="Arial" w:cs="Arial" w:eastAsia="Arial" w:hAnsi="Arial"/>
          <w:sz w:val="14"/>
          <w:szCs w:val="14"/>
          <w:color w:val="3F3F3F"/>
        </w:rPr>
        <w:t xml:space="preserve"> acquired during his more than 35 years in the 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 Mr. Smith also brings </w:t>
      </w:r>
      <w:r>
        <w:rPr>
          <w:rFonts w:ascii="Arial" w:cs="Arial" w:eastAsia="Arial" w:hAnsi="Arial"/>
          <w:sz w:val="14"/>
          <w:szCs w:val="14"/>
          <w:b w:val="1"/>
          <w:bCs w:val="1"/>
          <w:color w:val="3F3F3F"/>
        </w:rPr>
        <w:t>Finance, Accounting and Capital Markets</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Human Capital Management Experience</w:t>
      </w:r>
      <w:r>
        <w:rPr>
          <w:rFonts w:ascii="Arial" w:cs="Arial" w:eastAsia="Arial" w:hAnsi="Arial"/>
          <w:sz w:val="14"/>
          <w:szCs w:val="14"/>
          <w:color w:val="3F3F3F"/>
        </w:rPr>
        <w:t xml:space="preserve"> to the Board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BioAtla</w:t>
      </w:r>
      <w:r>
        <w:rPr>
          <w:rFonts w:ascii="Arial" w:cs="Arial" w:eastAsia="Arial" w:hAnsi="Arial"/>
          <w:sz w:val="14"/>
          <w:szCs w:val="14"/>
          <w:color w:val="3F3F3F"/>
        </w:rPr>
        <w:t xml:space="preserve"> (since 2020), Director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300" w:right="820" w:hanging="143"/>
        <w:spacing w:after="0" w:line="262"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Apexigen, Inc.</w:t>
      </w:r>
      <w:r>
        <w:rPr>
          <w:rFonts w:ascii="Arial" w:cs="Arial" w:eastAsia="Arial" w:hAnsi="Arial"/>
          <w:sz w:val="14"/>
          <w:szCs w:val="14"/>
          <w:color w:val="3F3F3F"/>
        </w:rPr>
        <w:t xml:space="preserve"> (2019 - 2023 when it was acquired by Pyxis Oncology, Inc.), Director and most recently member of the Compensation and Corporate Governance and Nominating Committees</w:t>
      </w:r>
    </w:p>
    <w:p>
      <w:pPr>
        <w:ind w:left="300" w:right="440" w:hanging="143"/>
        <w:spacing w:after="0" w:line="303"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Titan Pharmaceuticals, Inc.</w:t>
      </w:r>
      <w:r>
        <w:rPr>
          <w:rFonts w:ascii="Arial" w:cs="Arial" w:eastAsia="Arial" w:hAnsi="Arial"/>
          <w:sz w:val="14"/>
          <w:szCs w:val="14"/>
          <w:color w:val="3F3F3F"/>
        </w:rPr>
        <w:t xml:space="preserve"> (NASDAQ: TTNP) (2017 - 2020), Director and Chair of the Compensation and Nominating and Governance Committees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Private Company Boards: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Triumvira Immunologics, Inc.</w:t>
      </w:r>
      <w:r>
        <w:rPr>
          <w:rFonts w:ascii="Arial" w:cs="Arial" w:eastAsia="Arial" w:hAnsi="Arial"/>
          <w:sz w:val="14"/>
          <w:szCs w:val="14"/>
          <w:color w:val="3F3F3F"/>
        </w:rPr>
        <w:t xml:space="preserve"> (2018 - 2023), Director and Chairman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Refuge Biotechnologies, Inc.</w:t>
      </w:r>
      <w:r>
        <w:rPr>
          <w:rFonts w:ascii="Arial" w:cs="Arial" w:eastAsia="Arial" w:hAnsi="Arial"/>
          <w:sz w:val="14"/>
          <w:szCs w:val="14"/>
          <w:color w:val="3F3F3F"/>
        </w:rPr>
        <w:t xml:space="preserve"> (2018 - 2022), Director</w:t>
      </w:r>
    </w:p>
    <w:p>
      <w:pPr>
        <w:spacing w:after="0" w:line="1" w:lineRule="exact"/>
        <w:rPr>
          <w:sz w:val="20"/>
          <w:szCs w:val="20"/>
          <w:color w:val="auto"/>
        </w:rPr>
      </w:pPr>
    </w:p>
    <w:p>
      <w:pPr>
        <w:ind w:left="300" w:right="620" w:hanging="143"/>
        <w:spacing w:after="0" w:line="262"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F-star Therapeutics, Inc.</w:t>
      </w:r>
      <w:r>
        <w:rPr>
          <w:rFonts w:ascii="Arial" w:cs="Arial" w:eastAsia="Arial" w:hAnsi="Arial"/>
          <w:sz w:val="14"/>
          <w:szCs w:val="14"/>
          <w:color w:val="3F3F3F"/>
        </w:rPr>
        <w:t xml:space="preserve"> (2018 - 2020), Chairman and member of the Audit and Nominating and Corporate Governance Committees</w:t>
      </w:r>
    </w:p>
    <w:p>
      <w:pPr>
        <w:spacing w:after="0" w:line="237" w:lineRule="auto"/>
        <w:rPr>
          <w:sz w:val="20"/>
          <w:szCs w:val="20"/>
          <w:color w:val="auto"/>
        </w:rPr>
      </w:pPr>
      <w:r>
        <w:rPr>
          <w:rFonts w:ascii="Arial" w:cs="Arial" w:eastAsia="Arial" w:hAnsi="Arial"/>
          <w:sz w:val="13"/>
          <w:szCs w:val="13"/>
          <w:color w:val="3F3F3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both"/>
        <w:ind w:left="300" w:right="20" w:hanging="287"/>
        <w:spacing w:after="0" w:line="252" w:lineRule="auto"/>
        <w:rPr>
          <w:sz w:val="20"/>
          <w:szCs w:val="20"/>
          <w:color w:val="auto"/>
        </w:rPr>
      </w:pPr>
      <w:r>
        <w:rPr>
          <w:rFonts w:ascii="Arial" w:cs="Arial" w:eastAsia="Arial" w:hAnsi="Arial"/>
          <w:sz w:val="14"/>
          <w:szCs w:val="14"/>
          <w:color w:val="3F3F3F"/>
        </w:rPr>
        <w:t>*     The Board had, in accordance with its Corporate Governance Principles, previously approved Mr. Smith’s concurrent service as an executive officer of a public company and on more than one other public company board of directors and determined that it did not impair his ability to effectively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129540</wp:posOffset>
            </wp:positionV>
            <wp:extent cx="8890"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129540</wp:posOffset>
            </wp:positionV>
            <wp:extent cx="8255" cy="8255"/>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129540</wp:posOffset>
            </wp:positionV>
            <wp:extent cx="8890" cy="825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129540</wp:posOffset>
            </wp:positionV>
            <wp:extent cx="8890" cy="8255"/>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129540</wp:posOffset>
            </wp:positionV>
            <wp:extent cx="8890" cy="8255"/>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129540</wp:posOffset>
            </wp:positionV>
            <wp:extent cx="8890" cy="8255"/>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129540</wp:posOffset>
            </wp:positionV>
            <wp:extent cx="8255" cy="825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129540</wp:posOffset>
            </wp:positionV>
            <wp:extent cx="8890" cy="825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129540</wp:posOffset>
            </wp:positionV>
            <wp:extent cx="8890" cy="825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129540</wp:posOffset>
            </wp:positionV>
            <wp:extent cx="8890" cy="825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8890" cy="8255"/>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129540</wp:posOffset>
            </wp:positionV>
            <wp:extent cx="8255" cy="825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129540</wp:posOffset>
            </wp:positionV>
            <wp:extent cx="8890"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129540</wp:posOffset>
            </wp:positionV>
            <wp:extent cx="8890" cy="8255"/>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129540</wp:posOffset>
            </wp:positionV>
            <wp:extent cx="8890" cy="825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129540</wp:posOffset>
            </wp:positionV>
            <wp:extent cx="8890" cy="8255"/>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129540</wp:posOffset>
            </wp:positionV>
            <wp:extent cx="8255" cy="825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129540</wp:posOffset>
            </wp:positionV>
            <wp:extent cx="8890"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129540</wp:posOffset>
            </wp:positionV>
            <wp:extent cx="8255" cy="8255"/>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129540</wp:posOffset>
            </wp:positionV>
            <wp:extent cx="8890" cy="8255"/>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129540</wp:posOffset>
            </wp:positionV>
            <wp:extent cx="8890" cy="8255"/>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129540</wp:posOffset>
            </wp:positionV>
            <wp:extent cx="8890" cy="8255"/>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129540</wp:posOffset>
            </wp:positionV>
            <wp:extent cx="8890"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129540</wp:posOffset>
            </wp:positionV>
            <wp:extent cx="8255" cy="8255"/>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129540</wp:posOffset>
            </wp:positionV>
            <wp:extent cx="8890"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129540</wp:posOffset>
            </wp:positionV>
            <wp:extent cx="8890" cy="8255"/>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129540</wp:posOffset>
            </wp:positionV>
            <wp:extent cx="8890"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129540</wp:posOffset>
            </wp:positionV>
            <wp:extent cx="8890" cy="8255"/>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129540</wp:posOffset>
            </wp:positionV>
            <wp:extent cx="8255"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129540</wp:posOffset>
            </wp:positionV>
            <wp:extent cx="8890"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129540</wp:posOffset>
            </wp:positionV>
            <wp:extent cx="8890" cy="825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129540</wp:posOffset>
            </wp:positionV>
            <wp:extent cx="8890" cy="8255"/>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129540</wp:posOffset>
            </wp:positionV>
            <wp:extent cx="8890"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129540</wp:posOffset>
            </wp:positionV>
            <wp:extent cx="8255" cy="8255"/>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129540</wp:posOffset>
            </wp:positionV>
            <wp:extent cx="8890"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129540</wp:posOffset>
            </wp:positionV>
            <wp:extent cx="8890" cy="8255"/>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129540</wp:posOffset>
            </wp:positionV>
            <wp:extent cx="8890" cy="8255"/>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129540</wp:posOffset>
            </wp:positionV>
            <wp:extent cx="8890" cy="825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129540</wp:posOffset>
            </wp:positionV>
            <wp:extent cx="8890" cy="8255"/>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129540</wp:posOffset>
            </wp:positionV>
            <wp:extent cx="8890"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129540</wp:posOffset>
            </wp:positionV>
            <wp:extent cx="8255" cy="8255"/>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129540</wp:posOffset>
            </wp:positionV>
            <wp:extent cx="8890"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129540</wp:posOffset>
            </wp:positionV>
            <wp:extent cx="8890"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129540</wp:posOffset>
            </wp:positionV>
            <wp:extent cx="8890"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129540</wp:posOffset>
            </wp:positionV>
            <wp:extent cx="8890"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129540</wp:posOffset>
            </wp:positionV>
            <wp:extent cx="8255"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129540</wp:posOffset>
            </wp:positionV>
            <wp:extent cx="8890"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129540</wp:posOffset>
            </wp:positionV>
            <wp:extent cx="8890"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129540</wp:posOffset>
            </wp:positionV>
            <wp:extent cx="8890"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129540</wp:posOffset>
            </wp:positionV>
            <wp:extent cx="8890"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129540</wp:posOffset>
            </wp:positionV>
            <wp:extent cx="8255"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129540</wp:posOffset>
            </wp:positionV>
            <wp:extent cx="8890"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129540</wp:posOffset>
            </wp:positionV>
            <wp:extent cx="8890"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129540</wp:posOffset>
            </wp:positionV>
            <wp:extent cx="8890"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129540</wp:posOffset>
            </wp:positionV>
            <wp:extent cx="8890"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129540</wp:posOffset>
            </wp:positionV>
            <wp:extent cx="8255"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129540</wp:posOffset>
            </wp:positionV>
            <wp:extent cx="8890" cy="825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129540</wp:posOffset>
            </wp:positionV>
            <wp:extent cx="8890"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129540</wp:posOffset>
            </wp:positionV>
            <wp:extent cx="8890"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129540</wp:posOffset>
            </wp:positionV>
            <wp:extent cx="8890"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129540</wp:posOffset>
            </wp:positionV>
            <wp:extent cx="8890"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129540</wp:posOffset>
            </wp:positionV>
            <wp:extent cx="8890" cy="825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129540</wp:posOffset>
            </wp:positionV>
            <wp:extent cx="8255"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129540</wp:posOffset>
            </wp:positionV>
            <wp:extent cx="8890"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129540</wp:posOffset>
            </wp:positionV>
            <wp:extent cx="8890"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129540</wp:posOffset>
            </wp:positionV>
            <wp:extent cx="8890"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129540</wp:posOffset>
            </wp:positionV>
            <wp:extent cx="8890"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129540</wp:posOffset>
            </wp:positionV>
            <wp:extent cx="8255"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129540</wp:posOffset>
            </wp:positionV>
            <wp:extent cx="8890"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129540</wp:posOffset>
            </wp:positionV>
            <wp:extent cx="8890"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129540</wp:posOffset>
            </wp:positionV>
            <wp:extent cx="8890"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129540</wp:posOffset>
            </wp:positionV>
            <wp:extent cx="8890"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129540</wp:posOffset>
            </wp:positionV>
            <wp:extent cx="8255"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129540</wp:posOffset>
            </wp:positionV>
            <wp:extent cx="8890"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129540</wp:posOffset>
            </wp:positionV>
            <wp:extent cx="8890"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129540</wp:posOffset>
            </wp:positionV>
            <wp:extent cx="8890"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129540</wp:posOffset>
            </wp:positionV>
            <wp:extent cx="8890"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129540</wp:posOffset>
            </wp:positionV>
            <wp:extent cx="8255"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129540</wp:posOffset>
            </wp:positionV>
            <wp:extent cx="8890"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129540</wp:posOffset>
            </wp:positionV>
            <wp:extent cx="8255"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129540</wp:posOffset>
            </wp:positionV>
            <wp:extent cx="8890"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129540</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129540</wp:posOffset>
            </wp:positionV>
            <wp:extent cx="8890"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129540</wp:posOffset>
            </wp:positionV>
            <wp:extent cx="8890"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129540</wp:posOffset>
            </wp:positionV>
            <wp:extent cx="8255"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129540</wp:posOffset>
            </wp:positionV>
            <wp:extent cx="8890"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129540</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129540</wp:posOffset>
            </wp:positionV>
            <wp:extent cx="8890"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129540</wp:posOffset>
            </wp:positionV>
            <wp:extent cx="8890"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129540</wp:posOffset>
            </wp:positionV>
            <wp:extent cx="8255"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129540</wp:posOffset>
            </wp:positionV>
            <wp:extent cx="8890"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129540</wp:posOffset>
            </wp:positionV>
            <wp:extent cx="8890"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129540</wp:posOffset>
            </wp:positionV>
            <wp:extent cx="8890"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129540</wp:posOffset>
            </wp:positionV>
            <wp:extent cx="8890"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129540</wp:posOffset>
            </wp:positionV>
            <wp:extent cx="8890"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129540</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129540</wp:posOffset>
            </wp:positionV>
            <wp:extent cx="8255"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129540</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129540</wp:posOffset>
            </wp:positionV>
            <wp:extent cx="8890"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129540</wp:posOffset>
            </wp:positionV>
            <wp:extent cx="8890"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129540</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129540</wp:posOffset>
            </wp:positionV>
            <wp:extent cx="8255"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129540</wp:posOffset>
            </wp:positionV>
            <wp:extent cx="825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129540</wp:posOffset>
            </wp:positionV>
            <wp:extent cx="8890"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129540</wp:posOffset>
            </wp:positionV>
            <wp:extent cx="8890"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129540</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129540</wp:posOffset>
            </wp:positionV>
            <wp:extent cx="8255"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129540</wp:posOffset>
            </wp:positionV>
            <wp:extent cx="8255"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129540</wp:posOffset>
            </wp:positionV>
            <wp:extent cx="8890"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129540</wp:posOffset>
            </wp:positionV>
            <wp:extent cx="8890"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129540</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129540</wp:posOffset>
            </wp:positionV>
            <wp:extent cx="8255"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129540</wp:posOffset>
            </wp:positionV>
            <wp:extent cx="8255"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129540</wp:posOffset>
            </wp:positionV>
            <wp:extent cx="8890"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129540</wp:posOffset>
            </wp:positionV>
            <wp:extent cx="8890"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129540</wp:posOffset>
            </wp:positionV>
            <wp:extent cx="825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129540</wp:posOffset>
            </wp:positionV>
            <wp:extent cx="8255"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129540</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129540</wp:posOffset>
            </wp:positionV>
            <wp:extent cx="8890"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129540</wp:posOffset>
            </wp:positionV>
            <wp:extent cx="8890"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129540</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129540</wp:posOffset>
            </wp:positionV>
            <wp:extent cx="8255"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129540</wp:posOffset>
            </wp:positionV>
            <wp:extent cx="8255"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129540</wp:posOffset>
            </wp:positionV>
            <wp:extent cx="8890"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129540</wp:posOffset>
            </wp:positionV>
            <wp:extent cx="8890"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129540</wp:posOffset>
            </wp:positionV>
            <wp:extent cx="8255"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129540</wp:posOffset>
            </wp:positionV>
            <wp:extent cx="8255"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129540</wp:posOffset>
            </wp:positionV>
            <wp:extent cx="8255"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129540</wp:posOffset>
            </wp:positionV>
            <wp:extent cx="8890"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129540</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129540</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129540</wp:posOffset>
            </wp:positionV>
            <wp:extent cx="8255"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129540</wp:posOffset>
            </wp:positionV>
            <wp:extent cx="8890"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129540</wp:posOffset>
            </wp:positionV>
            <wp:extent cx="8890"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129540</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129540</wp:posOffset>
            </wp:positionV>
            <wp:extent cx="8255"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129540</wp:posOffset>
            </wp:positionV>
            <wp:extent cx="8255"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129540</wp:posOffset>
            </wp:positionV>
            <wp:extent cx="8890"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129540</wp:posOffset>
            </wp:positionV>
            <wp:extent cx="8890"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129540</wp:posOffset>
            </wp:positionV>
            <wp:extent cx="8255"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129540</wp:posOffset>
            </wp:positionV>
            <wp:extent cx="8255"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129540</wp:posOffset>
            </wp:positionV>
            <wp:extent cx="8255"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129540</wp:posOffset>
            </wp:positionV>
            <wp:extent cx="8890"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129540</wp:posOffset>
            </wp:positionV>
            <wp:extent cx="8890"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129540</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129540</wp:posOffset>
            </wp:positionV>
            <wp:extent cx="8255"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129540</wp:posOffset>
            </wp:positionV>
            <wp:extent cx="8255"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129540</wp:posOffset>
            </wp:positionV>
            <wp:extent cx="8890"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129540</wp:posOffset>
            </wp:positionV>
            <wp:extent cx="8890"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129540</wp:posOffset>
            </wp:positionV>
            <wp:extent cx="825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129540</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129540</wp:posOffset>
            </wp:positionV>
            <wp:extent cx="825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129540</wp:posOffset>
            </wp:positionV>
            <wp:extent cx="8890"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129540</wp:posOffset>
            </wp:positionV>
            <wp:extent cx="8890"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129540</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129540</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129540</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129540</wp:posOffset>
            </wp:positionV>
            <wp:extent cx="8890"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129540</wp:posOffset>
            </wp:positionV>
            <wp:extent cx="8890"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129540</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129540</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129540</wp:posOffset>
            </wp:positionV>
            <wp:extent cx="8255"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129540</wp:posOffset>
            </wp:positionV>
            <wp:extent cx="8890"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129540</wp:posOffset>
            </wp:positionV>
            <wp:extent cx="8890"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129540</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129540</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129540</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129540</wp:posOffset>
            </wp:positionV>
            <wp:extent cx="8890"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129540</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129540</wp:posOffset>
            </wp:positionV>
            <wp:extent cx="8255"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129540</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129540</wp:posOffset>
            </wp:positionV>
            <wp:extent cx="8890"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129540</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129540</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129540</wp:posOffset>
            </wp:positionV>
            <wp:extent cx="8255"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129540</wp:posOffset>
            </wp:positionV>
            <wp:extent cx="8255"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129540</wp:posOffset>
            </wp:positionV>
            <wp:extent cx="8890"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129540</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129540</wp:posOffset>
            </wp:positionV>
            <wp:extent cx="8255"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129540</wp:posOffset>
            </wp:positionV>
            <wp:extent cx="8255"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129540</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129540</wp:posOffset>
            </wp:positionV>
            <wp:extent cx="8890"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129540</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129540</wp:posOffset>
            </wp:positionV>
            <wp:extent cx="8255"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129540</wp:posOffset>
            </wp:positionV>
            <wp:extent cx="8255"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129540</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129540</wp:posOffset>
            </wp:positionV>
            <wp:extent cx="8890"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129540</wp:posOffset>
            </wp:positionV>
            <wp:extent cx="8890"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129540</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129540</wp:posOffset>
            </wp:positionV>
            <wp:extent cx="8255"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129540</wp:posOffset>
            </wp:positionV>
            <wp:extent cx="8255"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129540</wp:posOffset>
            </wp:positionV>
            <wp:extent cx="8890"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129540</wp:posOffset>
            </wp:positionV>
            <wp:extent cx="8890"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129540</wp:posOffset>
            </wp:positionV>
            <wp:extent cx="8255"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129540</wp:posOffset>
            </wp:positionV>
            <wp:extent cx="8255"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129540</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129540</wp:posOffset>
            </wp:positionV>
            <wp:extent cx="8890"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129540</wp:posOffset>
            </wp:positionV>
            <wp:extent cx="8890"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129540</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129540</wp:posOffset>
            </wp:positionV>
            <wp:extent cx="8255"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129540</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129540</wp:posOffset>
            </wp:positionV>
            <wp:extent cx="8890"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129540</wp:posOffset>
            </wp:positionV>
            <wp:extent cx="8890"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129540</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129540</wp:posOffset>
            </wp:positionV>
            <wp:extent cx="8255"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129540</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129540</wp:posOffset>
            </wp:positionV>
            <wp:extent cx="8890"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129540</wp:posOffset>
            </wp:positionV>
            <wp:extent cx="8890"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129540</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129540</wp:posOffset>
            </wp:positionV>
            <wp:extent cx="8255"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129540</wp:posOffset>
            </wp:positionV>
            <wp:extent cx="889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129540</wp:posOffset>
            </wp:positionV>
            <wp:extent cx="8890"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129540</wp:posOffset>
            </wp:positionV>
            <wp:extent cx="8255"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129540</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129540</wp:posOffset>
            </wp:positionV>
            <wp:extent cx="8255"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129540</wp:posOffset>
            </wp:positionV>
            <wp:extent cx="8890"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129540</wp:posOffset>
            </wp:positionV>
            <wp:extent cx="8890"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129540</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129540</wp:posOffset>
            </wp:positionV>
            <wp:extent cx="8255"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129540</wp:posOffset>
            </wp:positionV>
            <wp:extent cx="8255"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129540</wp:posOffset>
            </wp:positionV>
            <wp:extent cx="8890"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129540</wp:posOffset>
            </wp:positionV>
            <wp:extent cx="889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129540</wp:posOffset>
            </wp:positionV>
            <wp:extent cx="8255"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129540</wp:posOffset>
            </wp:positionV>
            <wp:extent cx="8255"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129540</wp:posOffset>
            </wp:positionV>
            <wp:extent cx="8255"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129540</wp:posOffset>
            </wp:positionV>
            <wp:extent cx="8890"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129540</wp:posOffset>
            </wp:positionV>
            <wp:extent cx="8890"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129540</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129540</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129540</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129540</wp:posOffset>
            </wp:positionV>
            <wp:extent cx="8890"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129540</wp:posOffset>
            </wp:positionV>
            <wp:extent cx="8890"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129540</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129540</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129540</wp:posOffset>
            </wp:positionV>
            <wp:extent cx="8255"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129540</wp:posOffset>
            </wp:positionV>
            <wp:extent cx="8890"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129540</wp:posOffset>
            </wp:positionV>
            <wp:extent cx="8890"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129540</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129540</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129540</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129540</wp:posOffset>
            </wp:positionV>
            <wp:extent cx="8890"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129540</wp:posOffset>
            </wp:positionV>
            <wp:extent cx="889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129540</wp:posOffset>
            </wp:positionV>
            <wp:extent cx="8255"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129540</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129540</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129540</wp:posOffset>
            </wp:positionV>
            <wp:extent cx="8890"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129540</wp:posOffset>
            </wp:positionV>
            <wp:extent cx="8890"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129540</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129540</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129540</wp:posOffset>
            </wp:positionV>
            <wp:extent cx="8890"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129540</wp:posOffset>
            </wp:positionV>
            <wp:extent cx="8890"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129540</wp:posOffset>
            </wp:positionV>
            <wp:extent cx="8255"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129540</wp:posOffset>
            </wp:positionV>
            <wp:extent cx="8255"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129540</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129540</wp:posOffset>
            </wp:positionV>
            <wp:extent cx="8890"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129540</wp:posOffset>
            </wp:positionV>
            <wp:extent cx="8890"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129540</wp:posOffset>
            </wp:positionV>
            <wp:extent cx="8255"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129540</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129540</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129540</wp:posOffset>
            </wp:positionV>
            <wp:extent cx="8890"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129540</wp:posOffset>
            </wp:positionV>
            <wp:extent cx="8890"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129540</wp:posOffset>
            </wp:positionV>
            <wp:extent cx="8255"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129540</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129540</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129540</wp:posOffset>
            </wp:positionV>
            <wp:extent cx="8890"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129540</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129540</wp:posOffset>
            </wp:positionV>
            <wp:extent cx="8255"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129540</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129540</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129540</wp:posOffset>
            </wp:positionV>
            <wp:extent cx="8890"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129540</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129540</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129540</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129540</wp:posOffset>
            </wp:positionV>
            <wp:extent cx="8255"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129540</wp:posOffset>
            </wp:positionV>
            <wp:extent cx="8890"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129540</wp:posOffset>
            </wp:positionV>
            <wp:extent cx="8890"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129540</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129540</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129540</wp:posOffset>
            </wp:positionV>
            <wp:extent cx="8255"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129540</wp:posOffset>
            </wp:positionV>
            <wp:extent cx="8890"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129540</wp:posOffset>
            </wp:positionV>
            <wp:extent cx="8890"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129540</wp:posOffset>
            </wp:positionV>
            <wp:extent cx="8255"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129540</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129540</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129540</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129540</wp:posOffset>
            </wp:positionV>
            <wp:extent cx="8255"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129540</wp:posOffset>
            </wp:positionV>
            <wp:extent cx="8890"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129540</wp:posOffset>
            </wp:positionV>
            <wp:extent cx="8255"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129540</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129540</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129540</wp:posOffset>
            </wp:positionV>
            <wp:extent cx="8255"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129540</wp:posOffset>
            </wp:positionV>
            <wp:extent cx="8890"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129540</wp:posOffset>
            </wp:positionV>
            <wp:extent cx="8255"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129540</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129540</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129540</wp:posOffset>
            </wp:positionV>
            <wp:extent cx="8255"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129540</wp:posOffset>
            </wp:positionV>
            <wp:extent cx="8890"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129540</wp:posOffset>
            </wp:positionV>
            <wp:extent cx="8255"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129540</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129540</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129540</wp:posOffset>
            </wp:positionV>
            <wp:extent cx="8255"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129540</wp:posOffset>
            </wp:positionV>
            <wp:extent cx="8890"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129540</wp:posOffset>
            </wp:positionV>
            <wp:extent cx="8255"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129540</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129540</wp:posOffset>
            </wp:positionV>
            <wp:extent cx="8255"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129540</wp:posOffset>
            </wp:positionV>
            <wp:extent cx="8255"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129540</wp:posOffset>
            </wp:positionV>
            <wp:extent cx="8890"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129540</wp:posOffset>
            </wp:positionV>
            <wp:extent cx="8255"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129540</wp:posOffset>
            </wp:positionV>
            <wp:extent cx="8255"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129540</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129540</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129540</wp:posOffset>
            </wp:positionV>
            <wp:extent cx="8890"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129540</wp:posOffset>
            </wp:positionV>
            <wp:extent cx="8255"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129540</wp:posOffset>
            </wp:positionV>
            <wp:extent cx="8255"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129540</wp:posOffset>
            </wp:positionV>
            <wp:extent cx="8255"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129540</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129540</wp:posOffset>
            </wp:positionV>
            <wp:extent cx="8890"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129540</wp:posOffset>
            </wp:positionV>
            <wp:extent cx="8255"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129540</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129540</wp:posOffset>
            </wp:positionV>
            <wp:extent cx="8255"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129540</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129540</wp:posOffset>
            </wp:positionV>
            <wp:extent cx="8890"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129540</wp:posOffset>
            </wp:positionV>
            <wp:extent cx="8255"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129540</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129540</wp:posOffset>
            </wp:positionV>
            <wp:extent cx="8255"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129540</wp:posOffset>
            </wp:positionV>
            <wp:extent cx="8255"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129540</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129540</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129540</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232410</wp:posOffset>
            </wp:positionV>
            <wp:extent cx="7029450" cy="68580"/>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-107315</wp:posOffset>
            </wp:positionV>
            <wp:extent cx="865505" cy="22288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2">
            <w:col w:w="1980" w:space="560"/>
            <w:col w:w="860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Director since </w:t>
      </w:r>
      <w:r>
        <w:rPr>
          <w:rFonts w:ascii="Arial" w:cs="Arial" w:eastAsia="Arial" w:hAnsi="Arial"/>
          <w:sz w:val="14"/>
          <w:szCs w:val="14"/>
          <w:color w:val="3F3F3F"/>
        </w:rPr>
        <w:t>2024</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 xml:space="preserve">Age: </w:t>
      </w:r>
      <w:r>
        <w:rPr>
          <w:rFonts w:ascii="Arial" w:cs="Arial" w:eastAsia="Arial" w:hAnsi="Arial"/>
          <w:sz w:val="14"/>
          <w:szCs w:val="14"/>
          <w:color w:val="3F3F3F"/>
        </w:rPr>
        <w:t>60</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Board Committees: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3F3F3F"/>
        </w:rPr>
        <w:t>•   Science and Technology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1326515</wp:posOffset>
            </wp:positionV>
            <wp:extent cx="144018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5"/>
          <w:szCs w:val="15"/>
          <w:color w:val="3F3F3F"/>
        </w:rPr>
        <w:t>24  |  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Rogério Vivaldi Coelho,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-707390</wp:posOffset>
            </wp:positionV>
            <wp:extent cx="7174865" cy="5524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1" w:lineRule="exact"/>
        <w:rPr>
          <w:sz w:val="20"/>
          <w:szCs w:val="20"/>
          <w:color w:val="auto"/>
        </w:rPr>
      </w:pPr>
    </w:p>
    <w:p>
      <w:pPr>
        <w:ind w:left="280" w:right="20" w:hanging="143"/>
        <w:spacing w:after="0" w:line="251" w:lineRule="auto"/>
        <w:rPr>
          <w:sz w:val="20"/>
          <w:szCs w:val="20"/>
          <w:color w:val="auto"/>
        </w:rPr>
      </w:pPr>
      <w:r>
        <w:rPr>
          <w:rFonts w:ascii="Arial" w:cs="Arial" w:eastAsia="Arial" w:hAnsi="Arial"/>
          <w:sz w:val="14"/>
          <w:szCs w:val="14"/>
          <w:color w:val="3F3F3F"/>
        </w:rPr>
        <w:t xml:space="preserve">•   President and Chief Executive Officer (2018 - 2023 when it was acquired by Eli Lilly and Company), </w:t>
      </w:r>
      <w:r>
        <w:rPr>
          <w:rFonts w:ascii="Arial" w:cs="Arial" w:eastAsia="Arial" w:hAnsi="Arial"/>
          <w:sz w:val="14"/>
          <w:szCs w:val="14"/>
          <w:b w:val="1"/>
          <w:bCs w:val="1"/>
          <w:color w:val="3F3F3F"/>
        </w:rPr>
        <w:t>Sigilon Therapeutics, Inc.</w:t>
      </w:r>
      <w:r>
        <w:rPr>
          <w:rFonts w:ascii="Arial" w:cs="Arial" w:eastAsia="Arial" w:hAnsi="Arial"/>
          <w:sz w:val="14"/>
          <w:szCs w:val="14"/>
          <w:color w:val="3F3F3F"/>
        </w:rPr>
        <w:t>, a diabetes cell therapy company</w:t>
      </w:r>
    </w:p>
    <w:p>
      <w:pPr>
        <w:spacing w:after="0" w:line="1" w:lineRule="exact"/>
        <w:rPr>
          <w:sz w:val="20"/>
          <w:szCs w:val="20"/>
          <w:color w:val="auto"/>
        </w:rPr>
      </w:pPr>
    </w:p>
    <w:p>
      <w:pPr>
        <w:ind w:left="280" w:hanging="143"/>
        <w:spacing w:after="0" w:line="241" w:lineRule="auto"/>
        <w:rPr>
          <w:sz w:val="20"/>
          <w:szCs w:val="20"/>
          <w:color w:val="auto"/>
        </w:rPr>
      </w:pPr>
      <w:r>
        <w:rPr>
          <w:rFonts w:ascii="Arial" w:cs="Arial" w:eastAsia="Arial" w:hAnsi="Arial"/>
          <w:sz w:val="14"/>
          <w:szCs w:val="14"/>
          <w:color w:val="3F3F3F"/>
        </w:rPr>
        <w:t xml:space="preserve">•   Executive Vice President and Chief Global Therapeutics Officer (2016 - 2018 when it was acquired by Sanofi), </w:t>
      </w:r>
      <w:r>
        <w:rPr>
          <w:rFonts w:ascii="Arial" w:cs="Arial" w:eastAsia="Arial" w:hAnsi="Arial"/>
          <w:sz w:val="14"/>
          <w:szCs w:val="14"/>
          <w:b w:val="1"/>
          <w:bCs w:val="1"/>
          <w:color w:val="3F3F3F"/>
        </w:rPr>
        <w:t>Bioverativ Inc.</w:t>
      </w:r>
      <w:r>
        <w:rPr>
          <w:rFonts w:ascii="Arial" w:cs="Arial" w:eastAsia="Arial" w:hAnsi="Arial"/>
          <w:sz w:val="14"/>
          <w:szCs w:val="14"/>
          <w:color w:val="3F3F3F"/>
        </w:rPr>
        <w:t>, a biopharmaceutical company focused on therapies for hemophilia and other rare blood disorders</w:t>
      </w:r>
    </w:p>
    <w:p>
      <w:pPr>
        <w:spacing w:after="0" w:line="1" w:lineRule="exact"/>
        <w:rPr>
          <w:sz w:val="20"/>
          <w:szCs w:val="20"/>
          <w:color w:val="auto"/>
        </w:rPr>
      </w:pPr>
    </w:p>
    <w:p>
      <w:pPr>
        <w:ind w:left="140" w:right="180"/>
        <w:spacing w:after="0" w:line="241" w:lineRule="auto"/>
        <w:rPr>
          <w:sz w:val="20"/>
          <w:szCs w:val="20"/>
          <w:color w:val="auto"/>
        </w:rPr>
      </w:pPr>
      <w:r>
        <w:rPr>
          <w:rFonts w:ascii="Arial" w:cs="Arial" w:eastAsia="Arial" w:hAnsi="Arial"/>
          <w:sz w:val="14"/>
          <w:szCs w:val="14"/>
          <w:color w:val="3F3F3F"/>
        </w:rPr>
        <w:t xml:space="preserve">•   Executive Vice President and Chief Commercial Officer (2014 - 2016), </w:t>
      </w:r>
      <w:r>
        <w:rPr>
          <w:rFonts w:ascii="Arial" w:cs="Arial" w:eastAsia="Arial" w:hAnsi="Arial"/>
          <w:sz w:val="14"/>
          <w:szCs w:val="14"/>
          <w:b w:val="1"/>
          <w:bCs w:val="1"/>
          <w:color w:val="3F3F3F"/>
        </w:rPr>
        <w:t>Spark Therapeutics, Inc.</w:t>
      </w:r>
      <w:r>
        <w:rPr>
          <w:rFonts w:ascii="Arial" w:cs="Arial" w:eastAsia="Arial" w:hAnsi="Arial"/>
          <w:sz w:val="14"/>
          <w:szCs w:val="14"/>
          <w:color w:val="3F3F3F"/>
        </w:rPr>
        <w:t xml:space="preserve">, a gene therapy company •   Chief Executive Officer (2013 - 2014), </w:t>
      </w:r>
      <w:r>
        <w:rPr>
          <w:rFonts w:ascii="Arial" w:cs="Arial" w:eastAsia="Arial" w:hAnsi="Arial"/>
          <w:sz w:val="14"/>
          <w:szCs w:val="14"/>
          <w:b w:val="1"/>
          <w:bCs w:val="1"/>
          <w:color w:val="3F3F3F"/>
        </w:rPr>
        <w:t>Minerva Neurosciences, Inc.</w:t>
      </w:r>
      <w:r>
        <w:rPr>
          <w:rFonts w:ascii="Arial" w:cs="Arial" w:eastAsia="Arial" w:hAnsi="Arial"/>
          <w:sz w:val="14"/>
          <w:szCs w:val="14"/>
          <w:color w:val="3F3F3F"/>
        </w:rPr>
        <w:t>, a clinical-stage biopharmaceutical company focused on</w:t>
      </w:r>
    </w:p>
    <w:p>
      <w:pPr>
        <w:spacing w:after="0" w:line="1" w:lineRule="exact"/>
        <w:rPr>
          <w:sz w:val="20"/>
          <w:szCs w:val="20"/>
          <w:color w:val="auto"/>
        </w:rPr>
      </w:pPr>
    </w:p>
    <w:p>
      <w:pPr>
        <w:jc w:val="center"/>
        <w:ind w:left="-19" w:right="120"/>
        <w:spacing w:after="0" w:line="241" w:lineRule="auto"/>
        <w:rPr>
          <w:sz w:val="20"/>
          <w:szCs w:val="20"/>
          <w:color w:val="auto"/>
        </w:rPr>
      </w:pPr>
      <w:r>
        <w:rPr>
          <w:rFonts w:ascii="Arial" w:cs="Arial" w:eastAsia="Arial" w:hAnsi="Arial"/>
          <w:sz w:val="14"/>
          <w:szCs w:val="14"/>
          <w:color w:val="3F3F3F"/>
        </w:rPr>
        <w:t>the development and commercialization of product candidates to treat patients suffering from central nervous system diseases •   Earlier in his career, held positions of increasing responsibility including leading rare disease business as President of both the rare disease business and the renal and endocrine group and served as Senior Vice President and General Manager of the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3F3F3F"/>
        </w:rPr>
        <w:t xml:space="preserve">Latin America Group, </w:t>
      </w:r>
      <w:r>
        <w:rPr>
          <w:rFonts w:ascii="Arial" w:cs="Arial" w:eastAsia="Arial" w:hAnsi="Arial"/>
          <w:sz w:val="14"/>
          <w:szCs w:val="14"/>
          <w:b w:val="1"/>
          <w:bCs w:val="1"/>
          <w:color w:val="3F3F3F"/>
        </w:rPr>
        <w:t>Genzyme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Key Skills and Experience:</w:t>
      </w:r>
    </w:p>
    <w:p>
      <w:pPr>
        <w:spacing w:after="0" w:line="15" w:lineRule="exact"/>
        <w:rPr>
          <w:sz w:val="20"/>
          <w:szCs w:val="20"/>
          <w:color w:val="auto"/>
        </w:rPr>
      </w:pPr>
    </w:p>
    <w:p>
      <w:pPr>
        <w:ind w:left="280" w:right="40" w:hanging="143"/>
        <w:spacing w:after="0" w:line="266"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Public Company Management, Corporate Governance, Healthcare Industry, Finance, Accounting, Capital Markets, Risk</w:t>
      </w:r>
      <w:r>
        <w:rPr>
          <w:rFonts w:ascii="Arial" w:cs="Arial" w:eastAsia="Arial" w:hAnsi="Arial"/>
          <w:sz w:val="14"/>
          <w:szCs w:val="14"/>
          <w:color w:val="3F3F3F"/>
        </w:rPr>
        <w:t xml:space="preserve"> </w:t>
      </w:r>
      <w:r>
        <w:rPr>
          <w:rFonts w:ascii="Arial" w:cs="Arial" w:eastAsia="Arial" w:hAnsi="Arial"/>
          <w:sz w:val="14"/>
          <w:szCs w:val="14"/>
          <w:b w:val="1"/>
          <w:bCs w:val="1"/>
          <w:color w:val="3F3F3F"/>
        </w:rPr>
        <w:t xml:space="preserve">Oversight and Compliance, </w:t>
      </w:r>
      <w:r>
        <w:rPr>
          <w:rFonts w:ascii="Arial" w:cs="Arial" w:eastAsia="Arial" w:hAnsi="Arial"/>
          <w:sz w:val="14"/>
          <w:szCs w:val="14"/>
          <w:color w:val="3F3F3F"/>
        </w:rPr>
        <w:t>and</w:t>
      </w:r>
      <w:r>
        <w:rPr>
          <w:rFonts w:ascii="Arial" w:cs="Arial" w:eastAsia="Arial" w:hAnsi="Arial"/>
          <w:sz w:val="14"/>
          <w:szCs w:val="14"/>
          <w:b w:val="1"/>
          <w:bCs w:val="1"/>
          <w:color w:val="3F3F3F"/>
        </w:rPr>
        <w:t xml:space="preserve"> Strategy and M&amp;A Experience </w:t>
      </w:r>
      <w:r>
        <w:rPr>
          <w:rFonts w:ascii="Arial" w:cs="Arial" w:eastAsia="Arial" w:hAnsi="Arial"/>
          <w:sz w:val="14"/>
          <w:szCs w:val="14"/>
          <w:color w:val="3F3F3F"/>
        </w:rPr>
        <w:t>obtained over his many years in leadership positions in the</w:t>
      </w:r>
      <w:r>
        <w:rPr>
          <w:rFonts w:ascii="Arial" w:cs="Arial" w:eastAsia="Arial" w:hAnsi="Arial"/>
          <w:sz w:val="14"/>
          <w:szCs w:val="14"/>
          <w:b w:val="1"/>
          <w:bCs w:val="1"/>
          <w:color w:val="3F3F3F"/>
        </w:rPr>
        <w:t xml:space="preserve"> </w:t>
      </w:r>
      <w:r>
        <w:rPr>
          <w:rFonts w:ascii="Arial" w:cs="Arial" w:eastAsia="Arial" w:hAnsi="Arial"/>
          <w:sz w:val="14"/>
          <w:szCs w:val="14"/>
          <w:color w:val="3F3F3F"/>
        </w:rPr>
        <w:t>healthcare industry, where he gained extensive experience leading and managing commercial, marketing and sales operations, managing patient access initiatives and leading the successful approval of innovative medicines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 Mr. Vivaldi also brings </w:t>
      </w:r>
      <w:r>
        <w:rPr>
          <w:rFonts w:ascii="Arial" w:cs="Arial" w:eastAsia="Arial" w:hAnsi="Arial"/>
          <w:sz w:val="14"/>
          <w:szCs w:val="14"/>
          <w:b w:val="1"/>
          <w:bCs w:val="1"/>
          <w:color w:val="3F3F3F"/>
        </w:rPr>
        <w:t>Human Capital Management</w:t>
      </w:r>
      <w:r>
        <w:rPr>
          <w:rFonts w:ascii="Arial" w:cs="Arial" w:eastAsia="Arial" w:hAnsi="Arial"/>
          <w:sz w:val="14"/>
          <w:szCs w:val="14"/>
          <w:color w:val="3F3F3F"/>
        </w:rPr>
        <w:t xml:space="preserve"> and </w:t>
      </w:r>
      <w:r>
        <w:rPr>
          <w:rFonts w:ascii="Arial" w:cs="Arial" w:eastAsia="Arial" w:hAnsi="Arial"/>
          <w:sz w:val="14"/>
          <w:szCs w:val="14"/>
          <w:b w:val="1"/>
          <w:bCs w:val="1"/>
          <w:color w:val="3F3F3F"/>
        </w:rPr>
        <w:t>Global Business Experience</w:t>
      </w:r>
      <w:r>
        <w:rPr>
          <w:rFonts w:ascii="Arial" w:cs="Arial" w:eastAsia="Arial" w:hAnsi="Arial"/>
          <w:sz w:val="14"/>
          <w:szCs w:val="14"/>
          <w:color w:val="3F3F3F"/>
        </w:rPr>
        <w:t xml:space="preserve"> to the Board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Other Current Public Company Boards:</w:t>
      </w:r>
    </w:p>
    <w:p>
      <w:pPr>
        <w:spacing w:after="0" w:line="15" w:lineRule="exact"/>
        <w:rPr>
          <w:sz w:val="20"/>
          <w:szCs w:val="20"/>
          <w:color w:val="auto"/>
        </w:rPr>
      </w:pPr>
    </w:p>
    <w:p>
      <w:pPr>
        <w:ind w:left="280" w:right="500" w:hanging="143"/>
        <w:spacing w:after="0" w:line="304"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Crinetics Pharmaceuticals, Inc.</w:t>
      </w:r>
      <w:r>
        <w:rPr>
          <w:rFonts w:ascii="Arial" w:cs="Arial" w:eastAsia="Arial" w:hAnsi="Arial"/>
          <w:sz w:val="14"/>
          <w:szCs w:val="14"/>
          <w:color w:val="3F3F3F"/>
        </w:rPr>
        <w:t xml:space="preserve"> (NASDAQ: CRNX) (since 2022), Director and member of the Audit Committee and the Research and Development Committee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Public Company Boards:</w:t>
      </w:r>
    </w:p>
    <w:p>
      <w:pPr>
        <w:spacing w:after="0" w:line="15" w:lineRule="exact"/>
        <w:rPr>
          <w:sz w:val="20"/>
          <w:szCs w:val="20"/>
          <w:color w:val="auto"/>
        </w:rPr>
      </w:pPr>
    </w:p>
    <w:p>
      <w:pPr>
        <w:ind w:left="140" w:right="1940"/>
        <w:spacing w:after="0" w:line="293" w:lineRule="auto"/>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Sigilon Therapeutics, Inc.</w:t>
      </w:r>
      <w:r>
        <w:rPr>
          <w:rFonts w:ascii="Arial" w:cs="Arial" w:eastAsia="Arial" w:hAnsi="Arial"/>
          <w:sz w:val="14"/>
          <w:szCs w:val="14"/>
          <w:color w:val="3F3F3F"/>
        </w:rPr>
        <w:t xml:space="preserve"> (2018 - 2023 when it was acquired by Eli Lilly and Company), Director •   </w:t>
      </w:r>
      <w:r>
        <w:rPr>
          <w:rFonts w:ascii="Arial" w:cs="Arial" w:eastAsia="Arial" w:hAnsi="Arial"/>
          <w:sz w:val="14"/>
          <w:szCs w:val="14"/>
          <w:b w:val="1"/>
          <w:bCs w:val="1"/>
          <w:color w:val="3F3F3F"/>
        </w:rPr>
        <w:t>Minerva Neurosciences, Inc.</w:t>
      </w:r>
      <w:r>
        <w:rPr>
          <w:rFonts w:ascii="Arial" w:cs="Arial" w:eastAsia="Arial" w:hAnsi="Arial"/>
          <w:sz w:val="14"/>
          <w:szCs w:val="14"/>
          <w:color w:val="3F3F3F"/>
        </w:rPr>
        <w:t xml:space="preserve"> (NASDAQ: NERV) (2013 - 2014), Director</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231161"/>
        </w:rPr>
        <w:t>Former Private Company Boards: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3F3F3F"/>
        </w:rPr>
        <w:t xml:space="preserve">•   </w:t>
      </w:r>
      <w:r>
        <w:rPr>
          <w:rFonts w:ascii="Arial" w:cs="Arial" w:eastAsia="Arial" w:hAnsi="Arial"/>
          <w:sz w:val="14"/>
          <w:szCs w:val="14"/>
          <w:b w:val="1"/>
          <w:bCs w:val="1"/>
          <w:color w:val="3F3F3F"/>
        </w:rPr>
        <w:t>Spark Therapeutics, Inc.</w:t>
      </w:r>
      <w:r>
        <w:rPr>
          <w:rFonts w:ascii="Arial" w:cs="Arial" w:eastAsia="Arial" w:hAnsi="Arial"/>
          <w:sz w:val="14"/>
          <w:szCs w:val="14"/>
          <w:color w:val="3F3F3F"/>
        </w:rPr>
        <w:t xml:space="preserve"> (2014),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143510</wp:posOffset>
            </wp:positionV>
            <wp:extent cx="8890"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143510</wp:posOffset>
            </wp:positionV>
            <wp:extent cx="8255"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143510</wp:posOffset>
            </wp:positionV>
            <wp:extent cx="8890"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143510</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143510</wp:posOffset>
            </wp:positionV>
            <wp:extent cx="8890"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143510</wp:posOffset>
            </wp:positionV>
            <wp:extent cx="8890"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143510</wp:posOffset>
            </wp:positionV>
            <wp:extent cx="8255"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143510</wp:posOffset>
            </wp:positionV>
            <wp:extent cx="8890"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143510</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143510</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889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143510</wp:posOffset>
            </wp:positionV>
            <wp:extent cx="8255"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143510</wp:posOffset>
            </wp:positionV>
            <wp:extent cx="8890"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143510</wp:posOffset>
            </wp:positionV>
            <wp:extent cx="8255"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143510</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143510</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143510</wp:posOffset>
            </wp:positionV>
            <wp:extent cx="8890"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143510</wp:posOffset>
            </wp:positionV>
            <wp:extent cx="8890"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143510</wp:posOffset>
            </wp:positionV>
            <wp:extent cx="8255"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143510</wp:posOffset>
            </wp:positionV>
            <wp:extent cx="8890"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143510</wp:posOffset>
            </wp:positionV>
            <wp:extent cx="8890"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143510</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143510</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143510</wp:posOffset>
            </wp:positionV>
            <wp:extent cx="8255"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143510</wp:posOffset>
            </wp:positionV>
            <wp:extent cx="8890"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143510</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143510</wp:posOffset>
            </wp:positionV>
            <wp:extent cx="8890"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143510</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143510</wp:posOffset>
            </wp:positionV>
            <wp:extent cx="8255"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143510</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143510</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143510</wp:posOffset>
            </wp:positionV>
            <wp:extent cx="8890"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143510</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143510</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143510</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143510</wp:posOffset>
            </wp:positionV>
            <wp:extent cx="8255"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143510</wp:posOffset>
            </wp:positionV>
            <wp:extent cx="8890"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143510</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143510</wp:posOffset>
            </wp:positionV>
            <wp:extent cx="8890"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143510</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143510</wp:posOffset>
            </wp:positionV>
            <wp:extent cx="8255"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143510</wp:posOffset>
            </wp:positionV>
            <wp:extent cx="8890"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143510</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143510</wp:posOffset>
            </wp:positionV>
            <wp:extent cx="8890"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143510</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143510</wp:posOffset>
            </wp:positionV>
            <wp:extent cx="8255"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143510</wp:posOffset>
            </wp:positionV>
            <wp:extent cx="8890"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143510</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143510</wp:posOffset>
            </wp:positionV>
            <wp:extent cx="8890"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143510</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143510</wp:posOffset>
            </wp:positionV>
            <wp:extent cx="8255"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143510</wp:posOffset>
            </wp:positionV>
            <wp:extent cx="8890"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143510</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143510</wp:posOffset>
            </wp:positionV>
            <wp:extent cx="8890"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143510</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143510</wp:posOffset>
            </wp:positionV>
            <wp:extent cx="8890"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143510</wp:posOffset>
            </wp:positionV>
            <wp:extent cx="8890"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143510</wp:posOffset>
            </wp:positionV>
            <wp:extent cx="8255"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143510</wp:posOffset>
            </wp:positionV>
            <wp:extent cx="8890"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143510</wp:posOffset>
            </wp:positionV>
            <wp:extent cx="8890"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143510</wp:posOffset>
            </wp:positionV>
            <wp:extent cx="8890"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143510</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143510</wp:posOffset>
            </wp:positionV>
            <wp:extent cx="8255"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143510</wp:posOffset>
            </wp:positionV>
            <wp:extent cx="8890"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143510</wp:posOffset>
            </wp:positionV>
            <wp:extent cx="8890"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143510</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143510</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143510</wp:posOffset>
            </wp:positionV>
            <wp:extent cx="8255"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143510</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143510</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143510</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143510</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143510</wp:posOffset>
            </wp:positionV>
            <wp:extent cx="8255"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143510</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143510</wp:posOffset>
            </wp:positionV>
            <wp:extent cx="8255"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143510</wp:posOffset>
            </wp:positionV>
            <wp:extent cx="8890"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143510</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143510</wp:posOffset>
            </wp:positionV>
            <wp:extent cx="8890"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143510</wp:posOffset>
            </wp:positionV>
            <wp:extent cx="8890"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143510</wp:posOffset>
            </wp:positionV>
            <wp:extent cx="8255"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143510</wp:posOffset>
            </wp:positionV>
            <wp:extent cx="8890"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143510</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143510</wp:posOffset>
            </wp:positionV>
            <wp:extent cx="889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143510</wp:posOffset>
            </wp:positionV>
            <wp:extent cx="889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143510</wp:posOffset>
            </wp:positionV>
            <wp:extent cx="8255"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143510</wp:posOffset>
            </wp:positionV>
            <wp:extent cx="8890"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143510</wp:posOffset>
            </wp:positionV>
            <wp:extent cx="8890" cy="8255"/>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143510</wp:posOffset>
            </wp:positionV>
            <wp:extent cx="8890"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143510</wp:posOffset>
            </wp:positionV>
            <wp:extent cx="8890"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143510</wp:posOffset>
            </wp:positionV>
            <wp:extent cx="8890"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143510</wp:posOffset>
            </wp:positionV>
            <wp:extent cx="8255"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143510</wp:posOffset>
            </wp:positionV>
            <wp:extent cx="8255" cy="825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143510</wp:posOffset>
            </wp:positionV>
            <wp:extent cx="8255"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143510</wp:posOffset>
            </wp:positionV>
            <wp:extent cx="8890"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143510</wp:posOffset>
            </wp:positionV>
            <wp:extent cx="8890"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143510</wp:posOffset>
            </wp:positionV>
            <wp:extent cx="8255"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143510</wp:posOffset>
            </wp:positionV>
            <wp:extent cx="8255" cy="8255"/>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143510</wp:posOffset>
            </wp:positionV>
            <wp:extent cx="8255"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143510</wp:posOffset>
            </wp:positionV>
            <wp:extent cx="8890"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143510</wp:posOffset>
            </wp:positionV>
            <wp:extent cx="889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143510</wp:posOffset>
            </wp:positionV>
            <wp:extent cx="8255"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143510</wp:posOffset>
            </wp:positionV>
            <wp:extent cx="8255" cy="8255"/>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143510</wp:posOffset>
            </wp:positionV>
            <wp:extent cx="8255"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143510</wp:posOffset>
            </wp:positionV>
            <wp:extent cx="8890"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143510</wp:posOffset>
            </wp:positionV>
            <wp:extent cx="8890" cy="8255"/>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143510</wp:posOffset>
            </wp:positionV>
            <wp:extent cx="8255"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143510</wp:posOffset>
            </wp:positionV>
            <wp:extent cx="8255"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143510</wp:posOffset>
            </wp:positionV>
            <wp:extent cx="8255"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143510</wp:posOffset>
            </wp:positionV>
            <wp:extent cx="8890"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143510</wp:posOffset>
            </wp:positionV>
            <wp:extent cx="8890" cy="8255"/>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143510</wp:posOffset>
            </wp:positionV>
            <wp:extent cx="8255"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143510</wp:posOffset>
            </wp:positionV>
            <wp:extent cx="8255"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143510</wp:posOffset>
            </wp:positionV>
            <wp:extent cx="8255"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143510</wp:posOffset>
            </wp:positionV>
            <wp:extent cx="8890"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143510</wp:posOffset>
            </wp:positionV>
            <wp:extent cx="8890" cy="825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143510</wp:posOffset>
            </wp:positionV>
            <wp:extent cx="8255"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143510</wp:posOffset>
            </wp:positionV>
            <wp:extent cx="8255"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143510</wp:posOffset>
            </wp:positionV>
            <wp:extent cx="8255"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143510</wp:posOffset>
            </wp:positionV>
            <wp:extent cx="8890"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143510</wp:posOffset>
            </wp:positionV>
            <wp:extent cx="8890" cy="8255"/>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143510</wp:posOffset>
            </wp:positionV>
            <wp:extent cx="8255"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143510</wp:posOffset>
            </wp:positionV>
            <wp:extent cx="8255"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143510</wp:posOffset>
            </wp:positionV>
            <wp:extent cx="8255"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143510</wp:posOffset>
            </wp:positionV>
            <wp:extent cx="8890"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143510</wp:posOffset>
            </wp:positionV>
            <wp:extent cx="8255" cy="8255"/>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143510</wp:posOffset>
            </wp:positionV>
            <wp:extent cx="8255"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143510</wp:posOffset>
            </wp:positionV>
            <wp:extent cx="8255" cy="825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143510</wp:posOffset>
            </wp:positionV>
            <wp:extent cx="8890" cy="825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143510</wp:posOffset>
            </wp:positionV>
            <wp:extent cx="8890"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143510</wp:posOffset>
            </wp:positionV>
            <wp:extent cx="8255"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143510</wp:posOffset>
            </wp:positionV>
            <wp:extent cx="8255"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143510</wp:posOffset>
            </wp:positionV>
            <wp:extent cx="8255" cy="8255"/>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143510</wp:posOffset>
            </wp:positionV>
            <wp:extent cx="8890"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143510</wp:posOffset>
            </wp:positionV>
            <wp:extent cx="8890"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143510</wp:posOffset>
            </wp:positionV>
            <wp:extent cx="8255"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143510</wp:posOffset>
            </wp:positionV>
            <wp:extent cx="8255"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143510</wp:posOffset>
            </wp:positionV>
            <wp:extent cx="8255" cy="8255"/>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143510</wp:posOffset>
            </wp:positionV>
            <wp:extent cx="8890"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143510</wp:posOffset>
            </wp:positionV>
            <wp:extent cx="8890"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143510</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143510</wp:posOffset>
            </wp:positionV>
            <wp:extent cx="8255"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143510</wp:posOffset>
            </wp:positionV>
            <wp:extent cx="8255" cy="8255"/>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143510</wp:posOffset>
            </wp:positionV>
            <wp:extent cx="8890"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143510</wp:posOffset>
            </wp:positionV>
            <wp:extent cx="8890"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143510</wp:posOffset>
            </wp:positionV>
            <wp:extent cx="8255"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143510</wp:posOffset>
            </wp:positionV>
            <wp:extent cx="8255"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143510</wp:posOffset>
            </wp:positionV>
            <wp:extent cx="8255" cy="8255"/>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143510</wp:posOffset>
            </wp:positionV>
            <wp:extent cx="8890"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143510</wp:posOffset>
            </wp:positionV>
            <wp:extent cx="8890"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143510</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143510</wp:posOffset>
            </wp:positionV>
            <wp:extent cx="8255"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143510</wp:posOffset>
            </wp:positionV>
            <wp:extent cx="8255" cy="8255"/>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143510</wp:posOffset>
            </wp:positionV>
            <wp:extent cx="8890"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143510</wp:posOffset>
            </wp:positionV>
            <wp:extent cx="8890"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143510</wp:posOffset>
            </wp:positionV>
            <wp:extent cx="8255"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143510</wp:posOffset>
            </wp:positionV>
            <wp:extent cx="8255"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143510</wp:posOffset>
            </wp:positionV>
            <wp:extent cx="8255" cy="8255"/>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143510</wp:posOffset>
            </wp:positionV>
            <wp:extent cx="8890"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143510</wp:posOffset>
            </wp:positionV>
            <wp:extent cx="8890"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143510</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143510</wp:posOffset>
            </wp:positionV>
            <wp:extent cx="8255"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143510</wp:posOffset>
            </wp:positionV>
            <wp:extent cx="8255" cy="8255"/>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143510</wp:posOffset>
            </wp:positionV>
            <wp:extent cx="8890"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143510</wp:posOffset>
            </wp:positionV>
            <wp:extent cx="8255"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143510</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143510</wp:posOffset>
            </wp:positionV>
            <wp:extent cx="8255"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143510</wp:posOffset>
            </wp:positionV>
            <wp:extent cx="8890" cy="8255"/>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143510</wp:posOffset>
            </wp:positionV>
            <wp:extent cx="8890"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143510</wp:posOffset>
            </wp:positionV>
            <wp:extent cx="8255"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143510</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143510</wp:posOffset>
            </wp:positionV>
            <wp:extent cx="8255"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143510</wp:posOffset>
            </wp:positionV>
            <wp:extent cx="8890"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143510</wp:posOffset>
            </wp:positionV>
            <wp:extent cx="8890"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143510</wp:posOffset>
            </wp:positionV>
            <wp:extent cx="8255"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143510</wp:posOffset>
            </wp:positionV>
            <wp:extent cx="8255" cy="8255"/>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143510</wp:posOffset>
            </wp:positionV>
            <wp:extent cx="8255"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143510</wp:posOffset>
            </wp:positionV>
            <wp:extent cx="8890"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143510</wp:posOffset>
            </wp:positionV>
            <wp:extent cx="8890"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143510</wp:posOffset>
            </wp:positionV>
            <wp:extent cx="8255"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143510</wp:posOffset>
            </wp:positionV>
            <wp:extent cx="8255" cy="8255"/>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143510</wp:posOffset>
            </wp:positionV>
            <wp:extent cx="8255"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143510</wp:posOffset>
            </wp:positionV>
            <wp:extent cx="8890"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143510</wp:posOffset>
            </wp:positionV>
            <wp:extent cx="8890"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143510</wp:posOffset>
            </wp:positionV>
            <wp:extent cx="8255"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143510</wp:posOffset>
            </wp:positionV>
            <wp:extent cx="8255" cy="8255"/>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143510</wp:posOffset>
            </wp:positionV>
            <wp:extent cx="8255" cy="825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143510</wp:posOffset>
            </wp:positionV>
            <wp:extent cx="8890"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143510</wp:posOffset>
            </wp:positionV>
            <wp:extent cx="8890"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143510</wp:posOffset>
            </wp:positionV>
            <wp:extent cx="8255"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143510</wp:posOffset>
            </wp:positionV>
            <wp:extent cx="8255" cy="8255"/>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143510</wp:posOffset>
            </wp:positionV>
            <wp:extent cx="8255"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143510</wp:posOffset>
            </wp:positionV>
            <wp:extent cx="8890"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143510</wp:posOffset>
            </wp:positionV>
            <wp:extent cx="8890"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143510</wp:posOffset>
            </wp:positionV>
            <wp:extent cx="8255"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143510</wp:posOffset>
            </wp:positionV>
            <wp:extent cx="8255" cy="8255"/>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143510</wp:posOffset>
            </wp:positionV>
            <wp:extent cx="8255" cy="825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143510</wp:posOffset>
            </wp:positionV>
            <wp:extent cx="8890"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143510</wp:posOffset>
            </wp:positionV>
            <wp:extent cx="8890"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143510</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143510</wp:posOffset>
            </wp:positionV>
            <wp:extent cx="8255" cy="8255"/>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143510</wp:posOffset>
            </wp:positionV>
            <wp:extent cx="8255"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143510</wp:posOffset>
            </wp:positionV>
            <wp:extent cx="8890" cy="825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143510</wp:posOffset>
            </wp:positionV>
            <wp:extent cx="8890"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143510</wp:posOffset>
            </wp:positionV>
            <wp:extent cx="8255"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143510</wp:posOffset>
            </wp:positionV>
            <wp:extent cx="8255" cy="8255"/>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143510</wp:posOffset>
            </wp:positionV>
            <wp:extent cx="8890"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143510</wp:posOffset>
            </wp:positionV>
            <wp:extent cx="8890"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143510</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143510</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143510</wp:posOffset>
            </wp:positionV>
            <wp:extent cx="8255" cy="8255"/>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143510</wp:posOffset>
            </wp:positionV>
            <wp:extent cx="8890"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143510</wp:posOffset>
            </wp:positionV>
            <wp:extent cx="8890"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143510</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143510</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143510</wp:posOffset>
            </wp:positionV>
            <wp:extent cx="8255" cy="8255"/>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143510</wp:posOffset>
            </wp:positionV>
            <wp:extent cx="8890"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143510</wp:posOffset>
            </wp:positionV>
            <wp:extent cx="8890"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143510</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143510</wp:posOffset>
            </wp:positionV>
            <wp:extent cx="8255"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143510</wp:posOffset>
            </wp:positionV>
            <wp:extent cx="8255" cy="8255"/>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143510</wp:posOffset>
            </wp:positionV>
            <wp:extent cx="8890"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143510</wp:posOffset>
            </wp:positionV>
            <wp:extent cx="8890"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143510</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143510</wp:posOffset>
            </wp:positionV>
            <wp:extent cx="8255"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143510</wp:posOffset>
            </wp:positionV>
            <wp:extent cx="8255" cy="8255"/>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143510</wp:posOffset>
            </wp:positionV>
            <wp:extent cx="8890"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143510</wp:posOffset>
            </wp:positionV>
            <wp:extent cx="8890"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143510</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143510</wp:posOffset>
            </wp:positionV>
            <wp:extent cx="8255"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143510</wp:posOffset>
            </wp:positionV>
            <wp:extent cx="8255" cy="8255"/>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143510</wp:posOffset>
            </wp:positionV>
            <wp:extent cx="8890"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143510</wp:posOffset>
            </wp:positionV>
            <wp:extent cx="8890"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143510</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143510</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143510</wp:posOffset>
            </wp:positionV>
            <wp:extent cx="8255" cy="8255"/>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143510</wp:posOffset>
            </wp:positionV>
            <wp:extent cx="8890"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143510</wp:posOffset>
            </wp:positionV>
            <wp:extent cx="8890"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143510</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143510</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143510</wp:posOffset>
            </wp:positionV>
            <wp:extent cx="8255" cy="8255"/>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143510</wp:posOffset>
            </wp:positionV>
            <wp:extent cx="8890"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143510</wp:posOffset>
            </wp:positionV>
            <wp:extent cx="8890"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143510</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143510</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143510</wp:posOffset>
            </wp:positionV>
            <wp:extent cx="8890" cy="8255"/>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143510</wp:posOffset>
            </wp:positionV>
            <wp:extent cx="8890"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143510</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143510</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143510</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143510</wp:posOffset>
            </wp:positionV>
            <wp:extent cx="8890" cy="8255"/>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143510</wp:posOffset>
            </wp:positionV>
            <wp:extent cx="8890" cy="825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143510</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143510</wp:posOffset>
            </wp:positionV>
            <wp:extent cx="8255" cy="8255"/>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143510</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143510</wp:posOffset>
            </wp:positionV>
            <wp:extent cx="8890"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143510</wp:posOffset>
            </wp:positionV>
            <wp:extent cx="8890"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143510</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143510</wp:posOffset>
            </wp:positionV>
            <wp:extent cx="8255" cy="8255"/>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143510</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143510</wp:posOffset>
            </wp:positionV>
            <wp:extent cx="8890"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143510</wp:posOffset>
            </wp:positionV>
            <wp:extent cx="8890"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143510</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143510</wp:posOffset>
            </wp:positionV>
            <wp:extent cx="8255" cy="8255"/>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143510</wp:posOffset>
            </wp:positionV>
            <wp:extent cx="8255"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143510</wp:posOffset>
            </wp:positionV>
            <wp:extent cx="8890"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143510</wp:posOffset>
            </wp:positionV>
            <wp:extent cx="8890"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143510</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143510</wp:posOffset>
            </wp:positionV>
            <wp:extent cx="8255" cy="8255"/>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143510</wp:posOffset>
            </wp:positionV>
            <wp:extent cx="8255"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143510</wp:posOffset>
            </wp:positionV>
            <wp:extent cx="8890"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143510</wp:posOffset>
            </wp:positionV>
            <wp:extent cx="8890"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143510</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143510</wp:posOffset>
            </wp:positionV>
            <wp:extent cx="8255" cy="8255"/>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143510</wp:posOffset>
            </wp:positionV>
            <wp:extent cx="8255"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143510</wp:posOffset>
            </wp:positionV>
            <wp:extent cx="8890"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143510</wp:posOffset>
            </wp:positionV>
            <wp:extent cx="8890"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143510</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143510</wp:posOffset>
            </wp:positionV>
            <wp:extent cx="8255" cy="8255"/>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143510</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143510</wp:posOffset>
            </wp:positionV>
            <wp:extent cx="8255"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143510</wp:posOffset>
            </wp:positionV>
            <wp:extent cx="8255"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143510</wp:posOffset>
            </wp:positionV>
            <wp:extent cx="8890"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143510</wp:posOffset>
            </wp:positionV>
            <wp:extent cx="8255" cy="8255"/>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143510</wp:posOffset>
            </wp:positionV>
            <wp:extent cx="8255"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143510</wp:posOffset>
            </wp:positionV>
            <wp:extent cx="8255"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143510</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143510</wp:posOffset>
            </wp:positionV>
            <wp:extent cx="8890"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143510</wp:posOffset>
            </wp:positionV>
            <wp:extent cx="8255" cy="8255"/>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143510</wp:posOffset>
            </wp:positionV>
            <wp:extent cx="8255"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143510</wp:posOffset>
            </wp:positionV>
            <wp:extent cx="8255"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143510</wp:posOffset>
            </wp:positionV>
            <wp:extent cx="8255"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143510</wp:posOffset>
            </wp:positionV>
            <wp:extent cx="8890"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143510</wp:posOffset>
            </wp:positionV>
            <wp:extent cx="8255" cy="8255"/>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143510</wp:posOffset>
            </wp:positionV>
            <wp:extent cx="8255"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143510</wp:posOffset>
            </wp:positionV>
            <wp:extent cx="8255"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143510</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143510</wp:posOffset>
            </wp:positionV>
            <wp:extent cx="8890"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143510</wp:posOffset>
            </wp:positionV>
            <wp:extent cx="8255" cy="8255"/>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143510</wp:posOffset>
            </wp:positionV>
            <wp:extent cx="8255" cy="825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143510</wp:posOffset>
            </wp:positionV>
            <wp:extent cx="8255"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143510</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143510</wp:posOffset>
            </wp:positionV>
            <wp:extent cx="8890"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143510</wp:posOffset>
            </wp:positionV>
            <wp:extent cx="8255" cy="8255"/>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143510</wp:posOffset>
            </wp:positionV>
            <wp:extent cx="8255" cy="825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143510</wp:posOffset>
            </wp:positionV>
            <wp:extent cx="8255"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143510</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143510</wp:posOffset>
            </wp:positionV>
            <wp:extent cx="8890"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143510</wp:posOffset>
            </wp:positionV>
            <wp:extent cx="8255" cy="8255"/>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143510</wp:posOffset>
            </wp:positionV>
            <wp:extent cx="8255" cy="825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143510</wp:posOffset>
            </wp:positionV>
            <wp:extent cx="8255"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143510</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143510</wp:posOffset>
            </wp:positionV>
            <wp:extent cx="8890"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143510</wp:posOffset>
            </wp:positionV>
            <wp:extent cx="8255" cy="8255"/>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143510</wp:posOffset>
            </wp:positionV>
            <wp:extent cx="8255"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143510</wp:posOffset>
            </wp:positionV>
            <wp:extent cx="8255"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143510</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143510</wp:posOffset>
            </wp:positionV>
            <wp:extent cx="8890"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143510</wp:posOffset>
            </wp:positionV>
            <wp:extent cx="8255"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143510</wp:posOffset>
            </wp:positionV>
            <wp:extent cx="8255" cy="8255"/>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143510</wp:posOffset>
            </wp:positionV>
            <wp:extent cx="8255" cy="8255"/>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143510</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143510</wp:posOffset>
            </wp:positionV>
            <wp:extent cx="8890"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143510</wp:posOffset>
            </wp:positionV>
            <wp:extent cx="8255"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143510</wp:posOffset>
            </wp:positionV>
            <wp:extent cx="8255" cy="8255"/>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246380</wp:posOffset>
            </wp:positionV>
            <wp:extent cx="7029450" cy="6858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391795</wp:posOffset>
            </wp:positionV>
            <wp:extent cx="865505" cy="22288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2">
            <w:col w:w="2100" w:space="560"/>
            <w:col w:w="8420"/>
          </w:cols>
          <w:pgMar w:left="320" w:top="482"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Independence</w:t>
      </w:r>
    </w:p>
    <w:p>
      <w:pPr>
        <w:spacing w:after="0" w:line="10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3F3F3F"/>
        </w:rPr>
        <w:t>Viatris’ Board has determined that Mr. Cornwell, Ms. Dillon, Ms. Finney, Mr. Groothuis, Ms. Higgins, Mr. Kilts, Mr. Korman, Mr. Mark, Mr. Parrish, and Dr. Vivaldi are independent Directors under the applicable NASDAQ listing rules. In making these determinations, the Board considered, with respect to Mr. Cornwell’s independence, that Mr. Cornwell’s son was a partner of PJT Partners (“PJT”) until January 2023 when he became a member of its board of directors. PJT served as a financial advisor to Viatris in connection with the transaction between Viatris and Biocon Biologics Limited pursuant to which Viatris contributed its biosimilars portfolio to Biocon Biologics Limited. Mr. Cornwell’s son was not involved in PJT’s work related to such transaction. With respect to Mr. Groothuis, the Board considered his prior service to Mylan and the Company at NautaDutilh, an international law firm, where he was a partner until May 2022. The Board determined that any such past arrangements, transactions or relationships would not interfere with the exercise of independent judgment by Messrs. Cornwell or Groothuis in carrying out his respective responsibilities as a Director of Viatris.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Messrs. Malik and Smith are not independent Directors under applicable NASDAQ listing rules.</w:t>
      </w:r>
    </w:p>
    <w:p>
      <w:pPr>
        <w:spacing w:after="0" w:line="14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The Board had previously determined that Pauline van der Meer Mohr, who served on the Board until December 15, 2023, was independent under the applicable NASDAQ listing rules. Robert J. Coury, who served on the Board until December 15, 2023, and Michael Goettler, who served on the Board until April 1, 2023, were not independent Directors under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222250</wp:posOffset>
            </wp:positionV>
            <wp:extent cx="488315"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Board Governs and Is Governed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Viatris’ Board Structure</w:t>
      </w:r>
    </w:p>
    <w:p>
      <w:pPr>
        <w:spacing w:after="0" w:line="108"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3F3F3F"/>
        </w:rPr>
        <w:t>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 All Directors are submitted for election at each annual meeting of shareholders.</w:t>
      </w:r>
    </w:p>
    <w:p>
      <w:pPr>
        <w:spacing w:after="0" w:line="10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3F3F3F"/>
        </w:rPr>
        <w:t>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 respective talents of the individual Directors and the Company’s leadership team, strategic objectives, and challenges and opportunities over time.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Our Board Structure</w:t>
      </w:r>
    </w:p>
    <w:p>
      <w:pPr>
        <w:spacing w:after="0" w:line="104"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3F3F3F"/>
        </w:rPr>
        <w:t>The Board believes that its current leadership structure – Mr. Smith as CEO and Ms. Higgins as independent Board Chair – provides a clear delineation of responsibilities for each position and fosters greater accountability of management, which remain critical given our enduring focus on execution and results. The Board believes this structure allows the CEO to continue to focus on running the Company on a day-to-day basis while allowing the Chair to lead the Board in providing advice to, and independent oversight of, management. As set forth below, the independent Chair also has significant authority for all Board matters and serves as Chair of the Executive Committee.</w:t>
      </w:r>
    </w:p>
    <w:p>
      <w:pPr>
        <w:spacing w:after="0" w:line="1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As described in “Setting and Overseeing Strategy” on pages 33 to 34 below, the Board actively discusses, determines and oversees the Company’s strategies intended to unlock value for the Company and its shareholders and ensure the durability, sustainability, and stability of the business. The Board believes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Ms. Higgins’ skills and experience detailed on page 18 as well as her deep knowledge of the Company make her an invaluable leader of the Board and resource to the CEO and management, particularly at this crucial juncture. The Chair determines the information sent to Board, the Board’s meeting agendas, and meeting schedules to assure that the Board is properly informed with respect to agenda items in advance and that there is sufficient time for discussion of agenda items at the meetings. The Chair presides at all meetings of shareholders and serves as point person for shareholders wishing to communicate with the Board. The Chair of the Board also serves as Chair of the Executive Committee. The independent Chair also presides at executive sessions of the independent Directors and has the authority to call meetings of the independent Directors. As set forth in the Corporate Governance Principles, the independent Chair is responsible for appointing a Director to serve as Vice Chair. The Vice Chair serves on the Executive Committee and, in the absence of the Chair, presides over Board meetings. Upon her election as Chair, Ms. Higgins appointed Mr. Parrish to serve as Vice Chair of the Board.</w:t>
      </w:r>
    </w:p>
    <w:p>
      <w:pPr>
        <w:spacing w:after="0" w:line="116"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3F3F3F"/>
        </w:rPr>
        <w:t>Mr. Smith is tasked with leading the daily management and performance of the business, which include, among other responsibilities, building and enhancing the Company’s commercial excellence and executing on its strategy to increase access to quality medicines and services through the Global Healthcare Gateway</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and further move up the value chain by focusing on more complex and innovative products to build a more durable higher margin portfolio, while continuing to explore opportunities to unlock shareholder value. The Board continues to believe that Mr. Smith’s experience and expertise positions him to manage the global nature and complexity of a business that we believe will continue on a path of growth. The Board has also adopted the corporate governance policies and practices set forth below that promote a strong and effective Board that provides independent oversight.</w:t>
      </w:r>
    </w:p>
    <w:p>
      <w:pPr>
        <w:spacing w:after="0" w:line="112"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3F3F3F"/>
        </w:rPr>
        <w:t>Among the factors that demonstrate the Board’s commitment to good governance practices and enable it to provide highly effective oversight and direction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307721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6995160" cy="3077210"/>
                    </a:xfrm>
                    <a:prstGeom prst="rect">
                      <a:avLst/>
                    </a:prstGeom>
                    <a:noFill/>
                  </pic:spPr>
                </pic:pic>
              </a:graphicData>
            </a:graphic>
          </wp:anchor>
        </w:drawing>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3F3F3F"/>
        </w:rPr>
        <w:t>•   10 out of 12 current Directors and Nominees are independent;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3F3F3F"/>
        </w:rPr>
        <w:t>•   An independent Chair of the Board;</w:t>
      </w:r>
    </w:p>
    <w:p>
      <w:pPr>
        <w:spacing w:after="0" w:line="117" w:lineRule="exact"/>
        <w:rPr>
          <w:sz w:val="20"/>
          <w:szCs w:val="20"/>
          <w:color w:val="auto"/>
        </w:rPr>
      </w:pPr>
    </w:p>
    <w:p>
      <w:pPr>
        <w:ind w:left="480" w:right="60" w:hanging="179"/>
        <w:spacing w:after="0" w:line="247" w:lineRule="auto"/>
        <w:rPr>
          <w:sz w:val="20"/>
          <w:szCs w:val="20"/>
          <w:color w:val="auto"/>
        </w:rPr>
      </w:pPr>
      <w:r>
        <w:rPr>
          <w:rFonts w:ascii="Arial" w:cs="Arial" w:eastAsia="Arial" w:hAnsi="Arial"/>
          <w:sz w:val="18"/>
          <w:szCs w:val="18"/>
          <w:color w:val="3F3F3F"/>
        </w:rPr>
        <w:t>•   The Audit, Compensation, Compliance and Risk Oversight, Executive, Finance, and Governance and Sustainability Committees are composed entirely of independent Directors (as defined in the applicable NASDAQ listing rules and applicable SEC rules), and Board approval of any appointment of members to the Audit, Compensation, Compliance and Risk Oversight, and Governance and Sustainability Committees must include an affirmative vote by at least a majority of the independent Directors;</w:t>
      </w:r>
    </w:p>
    <w:p>
      <w:pPr>
        <w:spacing w:after="0" w:line="79" w:lineRule="exact"/>
        <w:rPr>
          <w:sz w:val="20"/>
          <w:szCs w:val="20"/>
          <w:color w:val="auto"/>
        </w:rPr>
      </w:pPr>
    </w:p>
    <w:p>
      <w:pPr>
        <w:ind w:left="480" w:right="740" w:hanging="179"/>
        <w:spacing w:after="0" w:line="271" w:lineRule="auto"/>
        <w:rPr>
          <w:sz w:val="20"/>
          <w:szCs w:val="20"/>
          <w:color w:val="auto"/>
        </w:rPr>
      </w:pPr>
      <w:r>
        <w:rPr>
          <w:rFonts w:ascii="Arial" w:cs="Arial" w:eastAsia="Arial" w:hAnsi="Arial"/>
          <w:sz w:val="18"/>
          <w:szCs w:val="18"/>
          <w:color w:val="3F3F3F"/>
        </w:rPr>
        <w:t>•   The Board operates pursuant to Corporate Governance Principles, which are reviewed by the Governance and Sustainability Committee at least annually;</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8"/>
          <w:szCs w:val="18"/>
          <w:color w:val="3F3F3F"/>
        </w:rPr>
        <w:t>•   All Board committees operate pursuant to written charters and conduct annual self-assessments;</w:t>
      </w:r>
    </w:p>
    <w:p>
      <w:pPr>
        <w:spacing w:after="0" w:line="117" w:lineRule="exact"/>
        <w:rPr>
          <w:sz w:val="20"/>
          <w:szCs w:val="20"/>
          <w:color w:val="auto"/>
        </w:rPr>
      </w:pPr>
    </w:p>
    <w:p>
      <w:pPr>
        <w:ind w:left="480" w:right="180" w:hanging="179"/>
        <w:spacing w:after="0" w:line="242" w:lineRule="auto"/>
        <w:rPr>
          <w:sz w:val="20"/>
          <w:szCs w:val="20"/>
          <w:color w:val="auto"/>
        </w:rPr>
      </w:pPr>
      <w:r>
        <w:rPr>
          <w:rFonts w:ascii="Arial" w:cs="Arial" w:eastAsia="Arial" w:hAnsi="Arial"/>
          <w:sz w:val="18"/>
          <w:szCs w:val="18"/>
          <w:color w:val="3F3F3F"/>
        </w:rPr>
        <w:t>•   The Compliance and Risk Oversight Committee assists the Board in its oversight of management’s efforts with respect to the Company’s enterprise risk framework, and infrastructure and controls. The Committee receives reports, including with respect to risks, risk management, and relevant legislative, regulatory, and technical developments, from senior management on data security, cybersecurity, information security-related matters, certain litigation-related topics and other topics on at least a quarterly basis. The Board and its other committees also have important roles in the oversight of risk as described in more detail in “Risk Oversight” beginning on page 35;</w:t>
      </w:r>
    </w:p>
    <w:p>
      <w:pPr>
        <w:spacing w:after="0" w:line="84" w:lineRule="exact"/>
        <w:rPr>
          <w:sz w:val="20"/>
          <w:szCs w:val="20"/>
          <w:color w:val="auto"/>
        </w:rPr>
      </w:pPr>
    </w:p>
    <w:p>
      <w:pPr>
        <w:ind w:left="480" w:right="160" w:hanging="179"/>
        <w:spacing w:after="0" w:line="247" w:lineRule="auto"/>
        <w:rPr>
          <w:sz w:val="20"/>
          <w:szCs w:val="20"/>
          <w:color w:val="auto"/>
        </w:rPr>
      </w:pPr>
      <w:r>
        <w:rPr>
          <w:rFonts w:ascii="Arial" w:cs="Arial" w:eastAsia="Arial" w:hAnsi="Arial"/>
          <w:sz w:val="18"/>
          <w:szCs w:val="18"/>
          <w:color w:val="3F3F3F"/>
        </w:rPr>
        <w:t>•   The Governance and Sustainability Committee, in addition to its responsibilities for overseeing corporative governance and succession planning, among other matters, assists the Board in its oversight of management’s efforts with respect to the Company’s corporate environmental and social responsibility matters. The Committee receives reports on these matters on at least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173990</wp:posOffset>
            </wp:positionV>
            <wp:extent cx="7029450" cy="6858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93472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6995160" cy="9347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80" w:right="200" w:hanging="179"/>
        <w:spacing w:after="0" w:line="253" w:lineRule="auto"/>
        <w:rPr>
          <w:sz w:val="20"/>
          <w:szCs w:val="20"/>
          <w:color w:val="auto"/>
        </w:rPr>
      </w:pPr>
      <w:r>
        <w:rPr>
          <w:rFonts w:ascii="Arial" w:cs="Arial" w:eastAsia="Arial" w:hAnsi="Arial"/>
          <w:sz w:val="18"/>
          <w:szCs w:val="18"/>
          <w:color w:val="3F3F3F"/>
        </w:rPr>
        <w:t>•   The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color w:val="3F3F3F"/>
        </w:rPr>
        <w:t>•   The Board and its committees have full access to officers and employees of the Company; and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3F3F3F"/>
        </w:rPr>
        <w:t>•   The Board and its committees have the authority to select, retain, and supervise advisors as necessary to fulfill their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w:t>
      </w:r>
    </w:p>
    <w:p>
      <w:pPr>
        <w:spacing w:after="0" w:line="10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3F3F3F"/>
        </w:rPr>
        <w:t>Viatris’ Board met eight times in 2023. In addition to meetings of the Board, Directors attended meetings of individual Board committees of which they were members, and all Directors standing for re-election attended greater than 75% of the aggregate of Board meetings and meetings of the committees of which they were a member in 2023. From January 1, 2024 to October 18, 2024, the Board met four times: all Directors standing for re-election attended more than 75% of the aggregate of Board meetings and meetings of the committees of which they were a member in 2024 through such date.</w:t>
      </w:r>
    </w:p>
    <w:p>
      <w:pPr>
        <w:spacing w:after="0" w:line="109" w:lineRule="exact"/>
        <w:rPr>
          <w:sz w:val="20"/>
          <w:szCs w:val="20"/>
          <w:color w:val="auto"/>
        </w:rPr>
      </w:pPr>
    </w:p>
    <w:p>
      <w:pPr>
        <w:ind w:left="120" w:right="320"/>
        <w:spacing w:after="0" w:line="261" w:lineRule="auto"/>
        <w:rPr>
          <w:sz w:val="20"/>
          <w:szCs w:val="20"/>
          <w:color w:val="auto"/>
        </w:rPr>
      </w:pPr>
      <w:r>
        <w:rPr>
          <w:rFonts w:ascii="Arial" w:cs="Arial" w:eastAsia="Arial" w:hAnsi="Arial"/>
          <w:sz w:val="17"/>
          <w:szCs w:val="17"/>
          <w:color w:val="3F3F3F"/>
        </w:rPr>
        <w:t>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five times in executive session in 2023 and three times between January 1, 2024 and October 18, 2024, with either of Ms. Higgins, the Chair effective immediately following the 2023 Annual Meeting, or Mr. Parrish, the Lead Independent Director prior to Ms. Higgins’ election as Chair, presiding at those executive sessions.</w:t>
      </w:r>
    </w:p>
    <w:p>
      <w:pPr>
        <w:spacing w:after="0" w:line="98"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3F3F3F"/>
        </w:rPr>
        <w:t>Pursuant to Viatris’ Corporate Governance Principles, Directors are expected to attend the annual meeting of shareholders of the Company, where practicable. Twelve Directors at the time of the 2023 Annual Meeting, including the 11 Directors standing for re-election at the 2024 Annual Meeting who were also Directors at the time of the 2023 Annual Meeting, attended such meeting in person.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 Committees</w:t>
      </w:r>
    </w:p>
    <w:p>
      <w:pPr>
        <w:spacing w:after="0" w:line="10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3F3F3F"/>
        </w:rPr>
        <w:t>The committees of the Board are the Audit Committee, the Compensation Committee, the Compliance and Risk Oversight Committee, the Executive Committee, the Finance Committee, the Governance and Sustainability Committee, and the Science and Technology Committee. Each committee operates pursuant to a written charter, a current copy of which, along with our Amended and Restated Certificate of Incorporation, the Bylaws, and Corporate Governance Principles, is available on Viatris’ website at https://www.viatris.com/en/About-Us/Corporate-Governance.</w:t>
      </w:r>
    </w:p>
    <w:p>
      <w:pPr>
        <w:spacing w:after="0" w:line="95"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Prior to the 2023 Annual Meeting, the committees of the Board were the Audit Committee, the Compensation Committee, the Compliance Committee, the Executive Committee, the Finance Committee, the Governance and Nominating Committee, and the Risk Oversight Committee. Effective immediately following the 2023 Annual Meeting, (1) the Governance and Nominating Committee assumed the former Risk Oversight Committee’s responsibility for overseeing management’s efforts with respect to corporate environmental and social responsibility matters and was renamed the Governance and Sustainability Committee and (2) the Risk Oversight Committee and Compliance Committee were consolidated to be the Compliance and Risk Oversight Committee. In May 2024, the Board also re-established the Science and Technology Committee, which had previously been dissolved in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7029450" cy="6858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3F3F3F"/>
        </w:rPr>
        <w:t>The Audit, Compensation, Compliance and Risk Oversight, Executive, Finance, and Governance and Sustainability Committees are composed entirely of independent Directors (as defined in the applicable NASDAQ listing rules and applicable SEC rules). Board approval of any Director appointment to the Audit, Compensation, Compliance and Risk Oversight, and Governance and Sustainability Committees must include at least a majority of the independent Directors. The Board has determined that Richard Mark, the Chair of the Audit Committee, is an “audit committee financial expert”, as that term is defined in the rules of the SEC.</w:t>
      </w:r>
    </w:p>
    <w:p>
      <w:pPr>
        <w:spacing w:after="0" w:line="95"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color w:val="3F3F3F"/>
        </w:rPr>
        <w:t>Information regarding each of the committees is provided below and on the following pages, and pages 35 to 38 provide additional discussion of committee responsibilities with respect to risk oversight.</w:t>
      </w:r>
    </w:p>
    <w:p>
      <w:pPr>
        <w:spacing w:after="0" w:line="8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3F3F3F"/>
        </w:rPr>
        <w:t>The table below provides the current membership (as of the date of this Proxy Statement) and meeting information for 2023 and 2024 (through October 18, 2024) for each Board committee held during each such period. In 2023, the committees collectively held 47 meetings and in 2024, the committees collectively held 24 meetings through October 18, 2024.</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3500" w:type="dxa"/>
            <w:vAlign w:val="bottom"/>
            <w:shd w:val="clear" w:color="auto" w:fill="732282"/>
          </w:tcPr>
          <w:p>
            <w:pPr>
              <w:spacing w:after="0"/>
              <w:rPr>
                <w:sz w:val="17"/>
                <w:szCs w:val="17"/>
                <w:color w:val="auto"/>
              </w:rPr>
            </w:pPr>
          </w:p>
        </w:tc>
        <w:tc>
          <w:tcPr>
            <w:tcW w:w="700" w:type="dxa"/>
            <w:vAlign w:val="bottom"/>
            <w:shd w:val="clear" w:color="auto" w:fill="732282"/>
          </w:tcPr>
          <w:p>
            <w:pPr>
              <w:spacing w:after="0"/>
              <w:rPr>
                <w:sz w:val="17"/>
                <w:szCs w:val="17"/>
                <w:color w:val="auto"/>
              </w:rPr>
            </w:pPr>
          </w:p>
        </w:tc>
        <w:tc>
          <w:tcPr>
            <w:tcW w:w="1340" w:type="dxa"/>
            <w:vAlign w:val="bottom"/>
            <w:shd w:val="clear" w:color="auto" w:fill="732282"/>
          </w:tcPr>
          <w:p>
            <w:pPr>
              <w:spacing w:after="0"/>
              <w:rPr>
                <w:sz w:val="17"/>
                <w:szCs w:val="17"/>
                <w:color w:val="auto"/>
              </w:rPr>
            </w:pP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Compliance</w:t>
            </w:r>
          </w:p>
        </w:tc>
        <w:tc>
          <w:tcPr>
            <w:tcW w:w="940" w:type="dxa"/>
            <w:vAlign w:val="bottom"/>
            <w:shd w:val="clear" w:color="auto" w:fill="732282"/>
          </w:tcPr>
          <w:p>
            <w:pPr>
              <w:spacing w:after="0"/>
              <w:rPr>
                <w:sz w:val="17"/>
                <w:szCs w:val="17"/>
                <w:color w:val="auto"/>
              </w:rPr>
            </w:pPr>
          </w:p>
        </w:tc>
        <w:tc>
          <w:tcPr>
            <w:tcW w:w="820" w:type="dxa"/>
            <w:vAlign w:val="bottom"/>
            <w:shd w:val="clear" w:color="auto" w:fill="732282"/>
          </w:tcPr>
          <w:p>
            <w:pPr>
              <w:spacing w:after="0"/>
              <w:rPr>
                <w:sz w:val="17"/>
                <w:szCs w:val="17"/>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Governance</w:t>
            </w:r>
          </w:p>
        </w:tc>
        <w:tc>
          <w:tcPr>
            <w:tcW w:w="1200" w:type="dxa"/>
            <w:vAlign w:val="bottom"/>
            <w:shd w:val="clear" w:color="auto" w:fill="732282"/>
          </w:tcPr>
          <w:p>
            <w:pPr>
              <w:spacing w:after="0"/>
              <w:rPr>
                <w:sz w:val="17"/>
                <w:szCs w:val="17"/>
                <w:color w:val="auto"/>
              </w:rPr>
            </w:pPr>
          </w:p>
        </w:tc>
      </w:tr>
      <w:tr>
        <w:trPr>
          <w:trHeight w:val="203"/>
        </w:trPr>
        <w:tc>
          <w:tcPr>
            <w:tcW w:w="3500" w:type="dxa"/>
            <w:vAlign w:val="bottom"/>
            <w:shd w:val="clear" w:color="auto" w:fill="732282"/>
          </w:tcPr>
          <w:p>
            <w:pPr>
              <w:spacing w:after="0"/>
              <w:rPr>
                <w:sz w:val="17"/>
                <w:szCs w:val="17"/>
                <w:color w:val="auto"/>
              </w:rPr>
            </w:pPr>
          </w:p>
        </w:tc>
        <w:tc>
          <w:tcPr>
            <w:tcW w:w="700" w:type="dxa"/>
            <w:vAlign w:val="bottom"/>
            <w:shd w:val="clear" w:color="auto" w:fill="732282"/>
          </w:tcPr>
          <w:p>
            <w:pPr>
              <w:spacing w:after="0"/>
              <w:rPr>
                <w:sz w:val="17"/>
                <w:szCs w:val="17"/>
                <w:color w:val="auto"/>
              </w:rPr>
            </w:pPr>
          </w:p>
        </w:tc>
        <w:tc>
          <w:tcPr>
            <w:tcW w:w="1340" w:type="dxa"/>
            <w:vAlign w:val="bottom"/>
            <w:shd w:val="clear" w:color="auto" w:fill="732282"/>
          </w:tcPr>
          <w:p>
            <w:pPr>
              <w:spacing w:after="0"/>
              <w:rPr>
                <w:sz w:val="17"/>
                <w:szCs w:val="17"/>
                <w:color w:val="auto"/>
              </w:rPr>
            </w:pP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and Risk</w:t>
            </w:r>
          </w:p>
        </w:tc>
        <w:tc>
          <w:tcPr>
            <w:tcW w:w="940" w:type="dxa"/>
            <w:vAlign w:val="bottom"/>
            <w:shd w:val="clear" w:color="auto" w:fill="732282"/>
          </w:tcPr>
          <w:p>
            <w:pPr>
              <w:spacing w:after="0"/>
              <w:rPr>
                <w:sz w:val="17"/>
                <w:szCs w:val="17"/>
                <w:color w:val="auto"/>
              </w:rPr>
            </w:pPr>
          </w:p>
        </w:tc>
        <w:tc>
          <w:tcPr>
            <w:tcW w:w="820" w:type="dxa"/>
            <w:vAlign w:val="bottom"/>
            <w:shd w:val="clear" w:color="auto" w:fill="732282"/>
          </w:tcPr>
          <w:p>
            <w:pPr>
              <w:spacing w:after="0"/>
              <w:rPr>
                <w:sz w:val="17"/>
                <w:szCs w:val="17"/>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and</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Science and</w:t>
            </w:r>
          </w:p>
        </w:tc>
      </w:tr>
      <w:tr>
        <w:trPr>
          <w:trHeight w:val="284"/>
        </w:trPr>
        <w:tc>
          <w:tcPr>
            <w:tcW w:w="35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Director</w:t>
            </w:r>
            <w:r>
              <w:rPr>
                <w:rFonts w:ascii="Arial" w:cs="Arial" w:eastAsia="Arial" w:hAnsi="Arial"/>
                <w:sz w:val="24"/>
                <w:szCs w:val="24"/>
                <w:b w:val="1"/>
                <w:bCs w:val="1"/>
                <w:color w:val="FFFFFF"/>
                <w:vertAlign w:val="superscript"/>
              </w:rPr>
              <w:t>(1)</w:t>
            </w:r>
          </w:p>
        </w:tc>
        <w:tc>
          <w:tcPr>
            <w:tcW w:w="700" w:type="dxa"/>
            <w:vAlign w:val="bottom"/>
            <w:shd w:val="clear" w:color="auto" w:fill="732282"/>
          </w:tcPr>
          <w:p>
            <w:pPr>
              <w:ind w:left="200"/>
              <w:spacing w:after="0"/>
              <w:rPr>
                <w:sz w:val="20"/>
                <w:szCs w:val="20"/>
                <w:color w:val="auto"/>
              </w:rPr>
            </w:pPr>
            <w:r>
              <w:rPr>
                <w:rFonts w:ascii="Arial" w:cs="Arial" w:eastAsia="Arial" w:hAnsi="Arial"/>
                <w:sz w:val="16"/>
                <w:szCs w:val="16"/>
                <w:b w:val="1"/>
                <w:bCs w:val="1"/>
                <w:color w:val="FFFFFF"/>
              </w:rPr>
              <w:t>Audit</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5"/>
              </w:rPr>
              <w:t>Oversight</w:t>
            </w:r>
            <w:r>
              <w:rPr>
                <w:rFonts w:ascii="Arial" w:cs="Arial" w:eastAsia="Arial" w:hAnsi="Arial"/>
                <w:sz w:val="24"/>
                <w:szCs w:val="24"/>
                <w:b w:val="1"/>
                <w:bCs w:val="1"/>
                <w:color w:val="FFFFFF"/>
                <w:w w:val="95"/>
                <w:vertAlign w:val="superscript"/>
              </w:rPr>
              <w:t>(3)</w:t>
            </w:r>
          </w:p>
        </w:tc>
        <w:tc>
          <w:tcPr>
            <w:tcW w:w="9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Executive</w:t>
            </w:r>
          </w:p>
        </w:tc>
        <w:tc>
          <w:tcPr>
            <w:tcW w:w="8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Finance</w:t>
            </w: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Sustainability</w:t>
            </w:r>
            <w:r>
              <w:rPr>
                <w:rFonts w:ascii="Arial" w:cs="Arial" w:eastAsia="Arial" w:hAnsi="Arial"/>
                <w:sz w:val="24"/>
                <w:szCs w:val="24"/>
                <w:b w:val="1"/>
                <w:bCs w:val="1"/>
                <w:color w:val="FFFFFF"/>
                <w:w w:val="97"/>
                <w:vertAlign w:val="superscript"/>
              </w:rPr>
              <w:t>(3)</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6"/>
              </w:rPr>
              <w:t>Technology</w:t>
            </w:r>
            <w:r>
              <w:rPr>
                <w:rFonts w:ascii="Arial" w:cs="Arial" w:eastAsia="Arial" w:hAnsi="Arial"/>
                <w:sz w:val="24"/>
                <w:szCs w:val="24"/>
                <w:b w:val="1"/>
                <w:bCs w:val="1"/>
                <w:color w:val="FFFFFF"/>
                <w:w w:val="96"/>
                <w:vertAlign w:val="superscript"/>
              </w:rPr>
              <w:t>(5)</w:t>
            </w:r>
          </w:p>
        </w:tc>
      </w:tr>
      <w:tr>
        <w:trPr>
          <w:trHeight w:val="257"/>
        </w:trPr>
        <w:tc>
          <w:tcPr>
            <w:tcW w:w="3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700" w:type="dxa"/>
            <w:vAlign w:val="bottom"/>
            <w:shd w:val="clear" w:color="auto" w:fill="E5E5E5"/>
          </w:tcPr>
          <w:p>
            <w:pPr>
              <w:jc w:val="center"/>
              <w:ind w:left="39"/>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shd w:val="clear" w:color="auto" w:fill="E5E5E5"/>
          </w:tcPr>
          <w:p>
            <w:pPr>
              <w:spacing w:after="0"/>
              <w:rPr>
                <w:sz w:val="22"/>
                <w:szCs w:val="22"/>
                <w:color w:val="auto"/>
              </w:rPr>
            </w:pPr>
          </w:p>
        </w:tc>
        <w:tc>
          <w:tcPr>
            <w:tcW w:w="11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shd w:val="clear" w:color="auto" w:fill="E5E5E5"/>
          </w:tcPr>
          <w:p>
            <w:pPr>
              <w:spacing w:after="0"/>
              <w:rPr>
                <w:sz w:val="22"/>
                <w:szCs w:val="22"/>
                <w:color w:val="auto"/>
              </w:rPr>
            </w:pPr>
          </w:p>
        </w:tc>
        <w:tc>
          <w:tcPr>
            <w:tcW w:w="820" w:type="dxa"/>
            <w:vAlign w:val="bottom"/>
            <w:shd w:val="clear" w:color="auto" w:fill="E5E5E5"/>
          </w:tcPr>
          <w:p>
            <w:pPr>
              <w:spacing w:after="0"/>
              <w:rPr>
                <w:sz w:val="22"/>
                <w:szCs w:val="22"/>
                <w:color w:val="auto"/>
              </w:rPr>
            </w:pPr>
          </w:p>
        </w:tc>
        <w:tc>
          <w:tcPr>
            <w:tcW w:w="1400" w:type="dxa"/>
            <w:vAlign w:val="bottom"/>
            <w:shd w:val="clear" w:color="auto" w:fill="E5E5E5"/>
          </w:tcPr>
          <w:p>
            <w:pPr>
              <w:spacing w:after="0"/>
              <w:rPr>
                <w:sz w:val="22"/>
                <w:szCs w:val="22"/>
                <w:color w:val="auto"/>
              </w:rPr>
            </w:pPr>
          </w:p>
        </w:tc>
        <w:tc>
          <w:tcPr>
            <w:tcW w:w="1200" w:type="dxa"/>
            <w:vAlign w:val="bottom"/>
            <w:shd w:val="clear" w:color="auto" w:fill="E5E5E5"/>
          </w:tcPr>
          <w:p>
            <w:pPr>
              <w:spacing w:after="0"/>
              <w:rPr>
                <w:sz w:val="22"/>
                <w:szCs w:val="22"/>
                <w:color w:val="auto"/>
              </w:rPr>
            </w:pPr>
          </w:p>
        </w:tc>
      </w:tr>
      <w:tr>
        <w:trPr>
          <w:trHeight w:val="256"/>
        </w:trPr>
        <w:tc>
          <w:tcPr>
            <w:tcW w:w="3500" w:type="dxa"/>
            <w:vAlign w:val="bottom"/>
          </w:tcPr>
          <w:p>
            <w:pPr>
              <w:ind w:left="60"/>
              <w:spacing w:after="0"/>
              <w:rPr>
                <w:sz w:val="20"/>
                <w:szCs w:val="20"/>
                <w:color w:val="auto"/>
              </w:rPr>
            </w:pPr>
            <w:r>
              <w:rPr>
                <w:rFonts w:ascii="Arial" w:cs="Arial" w:eastAsia="Arial" w:hAnsi="Arial"/>
                <w:sz w:val="16"/>
                <w:szCs w:val="16"/>
                <w:color w:val="auto"/>
              </w:rPr>
              <w:t>JoEllen Lyons Dillon</w:t>
            </w:r>
          </w:p>
        </w:tc>
        <w:tc>
          <w:tcPr>
            <w:tcW w:w="700" w:type="dxa"/>
            <w:vAlign w:val="bottom"/>
          </w:tcPr>
          <w:p>
            <w:pPr>
              <w:jc w:val="center"/>
              <w:ind w:left="39"/>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tcPr>
          <w:p>
            <w:pPr>
              <w:spacing w:after="0"/>
              <w:rPr>
                <w:sz w:val="22"/>
                <w:szCs w:val="22"/>
                <w:color w:val="auto"/>
              </w:rPr>
            </w:pP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Chair</w:t>
            </w:r>
          </w:p>
        </w:tc>
        <w:tc>
          <w:tcPr>
            <w:tcW w:w="1200" w:type="dxa"/>
            <w:vAlign w:val="bottom"/>
          </w:tcPr>
          <w:p>
            <w:pPr>
              <w:spacing w:after="0"/>
              <w:rPr>
                <w:sz w:val="22"/>
                <w:szCs w:val="22"/>
                <w:color w:val="auto"/>
              </w:rPr>
            </w:pPr>
          </w:p>
        </w:tc>
      </w:tr>
      <w:tr>
        <w:trPr>
          <w:trHeight w:val="257"/>
        </w:trPr>
        <w:tc>
          <w:tcPr>
            <w:tcW w:w="3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Elisha Finney</w:t>
            </w:r>
          </w:p>
        </w:tc>
        <w:tc>
          <w:tcPr>
            <w:tcW w:w="700" w:type="dxa"/>
            <w:vAlign w:val="bottom"/>
            <w:shd w:val="clear" w:color="auto" w:fill="E5E5E5"/>
          </w:tcPr>
          <w:p>
            <w:pPr>
              <w:jc w:val="center"/>
              <w:ind w:left="39"/>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c>
          <w:tcPr>
            <w:tcW w:w="8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E5E5E5"/>
          </w:tcPr>
          <w:p>
            <w:pPr>
              <w:spacing w:after="0"/>
              <w:rPr>
                <w:sz w:val="22"/>
                <w:szCs w:val="22"/>
                <w:color w:val="auto"/>
              </w:rPr>
            </w:pPr>
          </w:p>
        </w:tc>
        <w:tc>
          <w:tcPr>
            <w:tcW w:w="1200" w:type="dxa"/>
            <w:vAlign w:val="bottom"/>
            <w:shd w:val="clear" w:color="auto" w:fill="E5E5E5"/>
          </w:tcPr>
          <w:p>
            <w:pPr>
              <w:spacing w:after="0"/>
              <w:rPr>
                <w:sz w:val="22"/>
                <w:szCs w:val="22"/>
                <w:color w:val="auto"/>
              </w:rPr>
            </w:pPr>
          </w:p>
        </w:tc>
      </w:tr>
      <w:tr>
        <w:trPr>
          <w:trHeight w:val="257"/>
        </w:trPr>
        <w:tc>
          <w:tcPr>
            <w:tcW w:w="3500" w:type="dxa"/>
            <w:vAlign w:val="bottom"/>
          </w:tcPr>
          <w:p>
            <w:pPr>
              <w:ind w:left="60"/>
              <w:spacing w:after="0"/>
              <w:rPr>
                <w:sz w:val="20"/>
                <w:szCs w:val="20"/>
                <w:color w:val="auto"/>
              </w:rPr>
            </w:pPr>
            <w:r>
              <w:rPr>
                <w:rFonts w:ascii="Arial" w:cs="Arial" w:eastAsia="Arial" w:hAnsi="Arial"/>
                <w:sz w:val="16"/>
                <w:szCs w:val="16"/>
                <w:color w:val="auto"/>
              </w:rPr>
              <w:t>Leo Groothuis</w:t>
            </w:r>
          </w:p>
        </w:tc>
        <w:tc>
          <w:tcPr>
            <w:tcW w:w="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Pr>
          <w:p>
            <w:pPr>
              <w:spacing w:after="0"/>
              <w:rPr>
                <w:sz w:val="22"/>
                <w:szCs w:val="22"/>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0" w:type="dxa"/>
            <w:vAlign w:val="bottom"/>
          </w:tcPr>
          <w:p>
            <w:pPr>
              <w:spacing w:after="0"/>
              <w:rPr>
                <w:sz w:val="22"/>
                <w:szCs w:val="22"/>
                <w:color w:val="auto"/>
              </w:rPr>
            </w:pPr>
          </w:p>
        </w:tc>
      </w:tr>
      <w:tr>
        <w:trPr>
          <w:trHeight w:val="243"/>
        </w:trPr>
        <w:tc>
          <w:tcPr>
            <w:tcW w:w="3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700" w:type="dxa"/>
            <w:vAlign w:val="bottom"/>
            <w:shd w:val="clear" w:color="auto" w:fill="E5E5E5"/>
          </w:tcPr>
          <w:p>
            <w:pPr>
              <w:spacing w:after="0"/>
              <w:rPr>
                <w:sz w:val="21"/>
                <w:szCs w:val="21"/>
                <w:color w:val="auto"/>
              </w:rPr>
            </w:pPr>
          </w:p>
        </w:tc>
        <w:tc>
          <w:tcPr>
            <w:tcW w:w="134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9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140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r>
      <w:tr>
        <w:trPr>
          <w:trHeight w:val="257"/>
        </w:trPr>
        <w:tc>
          <w:tcPr>
            <w:tcW w:w="3500" w:type="dxa"/>
            <w:vAlign w:val="bottom"/>
          </w:tcPr>
          <w:p>
            <w:pPr>
              <w:ind w:left="60"/>
              <w:spacing w:after="0"/>
              <w:rPr>
                <w:sz w:val="20"/>
                <w:szCs w:val="20"/>
                <w:color w:val="auto"/>
              </w:rPr>
            </w:pPr>
            <w:r>
              <w:rPr>
                <w:rFonts w:ascii="Arial" w:cs="Arial" w:eastAsia="Arial" w:hAnsi="Arial"/>
                <w:sz w:val="16"/>
                <w:szCs w:val="16"/>
                <w:color w:val="auto"/>
              </w:rPr>
              <w:t>James M. Kilts</w:t>
            </w:r>
          </w:p>
        </w:tc>
        <w:tc>
          <w:tcPr>
            <w:tcW w:w="700" w:type="dxa"/>
            <w:vAlign w:val="bottom"/>
          </w:tcPr>
          <w:p>
            <w:pPr>
              <w:spacing w:after="0"/>
              <w:rPr>
                <w:sz w:val="22"/>
                <w:szCs w:val="22"/>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3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Harry Korman</w:t>
            </w:r>
          </w:p>
        </w:tc>
        <w:tc>
          <w:tcPr>
            <w:tcW w:w="700" w:type="dxa"/>
            <w:vAlign w:val="bottom"/>
            <w:shd w:val="clear" w:color="auto" w:fill="E5E5E5"/>
          </w:tcPr>
          <w:p>
            <w:pPr>
              <w:spacing w:after="0"/>
              <w:rPr>
                <w:sz w:val="22"/>
                <w:szCs w:val="22"/>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11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shd w:val="clear" w:color="auto" w:fill="E5E5E5"/>
          </w:tcPr>
          <w:p>
            <w:pPr>
              <w:spacing w:after="0"/>
              <w:rPr>
                <w:sz w:val="22"/>
                <w:szCs w:val="22"/>
                <w:color w:val="auto"/>
              </w:rPr>
            </w:pPr>
          </w:p>
        </w:tc>
        <w:tc>
          <w:tcPr>
            <w:tcW w:w="820" w:type="dxa"/>
            <w:vAlign w:val="bottom"/>
            <w:shd w:val="clear" w:color="auto" w:fill="E5E5E5"/>
          </w:tcPr>
          <w:p>
            <w:pPr>
              <w:spacing w:after="0"/>
              <w:rPr>
                <w:sz w:val="22"/>
                <w:szCs w:val="22"/>
                <w:color w:val="auto"/>
              </w:rPr>
            </w:pPr>
          </w:p>
        </w:tc>
        <w:tc>
          <w:tcPr>
            <w:tcW w:w="140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0" w:type="dxa"/>
            <w:vAlign w:val="bottom"/>
            <w:shd w:val="clear" w:color="auto" w:fill="E5E5E5"/>
          </w:tcPr>
          <w:p>
            <w:pPr>
              <w:spacing w:after="0"/>
              <w:rPr>
                <w:sz w:val="22"/>
                <w:szCs w:val="22"/>
                <w:color w:val="auto"/>
              </w:rPr>
            </w:pPr>
          </w:p>
        </w:tc>
      </w:tr>
      <w:tr>
        <w:trPr>
          <w:trHeight w:val="235"/>
        </w:trPr>
        <w:tc>
          <w:tcPr>
            <w:tcW w:w="350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jc w:val="center"/>
              <w:ind w:left="19"/>
              <w:spacing w:after="0"/>
              <w:rPr>
                <w:sz w:val="20"/>
                <w:szCs w:val="20"/>
                <w:color w:val="auto"/>
              </w:rPr>
            </w:pPr>
            <w:r>
              <w:rPr>
                <w:rFonts w:ascii="Arial" w:cs="Arial" w:eastAsia="Arial" w:hAnsi="Arial"/>
                <w:sz w:val="16"/>
                <w:szCs w:val="16"/>
                <w:color w:val="auto"/>
                <w:w w:val="99"/>
              </w:rPr>
              <w:t>Chair</w:t>
            </w:r>
          </w:p>
        </w:tc>
      </w:tr>
      <w:tr>
        <w:trPr>
          <w:trHeight w:val="291"/>
        </w:trPr>
        <w:tc>
          <w:tcPr>
            <w:tcW w:w="3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Richard Mark</w:t>
            </w:r>
            <w:r>
              <w:rPr>
                <w:rFonts w:ascii="Arial" w:cs="Arial" w:eastAsia="Arial" w:hAnsi="Arial"/>
                <w:sz w:val="24"/>
                <w:szCs w:val="24"/>
                <w:color w:val="auto"/>
                <w:vertAlign w:val="superscript"/>
              </w:rPr>
              <w:t>(2)</w:t>
            </w:r>
          </w:p>
        </w:tc>
        <w:tc>
          <w:tcPr>
            <w:tcW w:w="7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Chair</w:t>
            </w:r>
          </w:p>
        </w:tc>
        <w:tc>
          <w:tcPr>
            <w:tcW w:w="1340" w:type="dxa"/>
            <w:vAlign w:val="bottom"/>
            <w:shd w:val="clear" w:color="auto" w:fill="E5E5E5"/>
          </w:tcPr>
          <w:p>
            <w:pPr>
              <w:spacing w:after="0"/>
              <w:rPr>
                <w:sz w:val="24"/>
                <w:szCs w:val="24"/>
                <w:color w:val="auto"/>
              </w:rPr>
            </w:pPr>
          </w:p>
        </w:tc>
        <w:tc>
          <w:tcPr>
            <w:tcW w:w="11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E5E5E5"/>
          </w:tcPr>
          <w:p>
            <w:pPr>
              <w:spacing w:after="0"/>
              <w:rPr>
                <w:sz w:val="24"/>
                <w:szCs w:val="24"/>
                <w:color w:val="auto"/>
              </w:rPr>
            </w:pPr>
          </w:p>
        </w:tc>
        <w:tc>
          <w:tcPr>
            <w:tcW w:w="1200" w:type="dxa"/>
            <w:vAlign w:val="bottom"/>
            <w:shd w:val="clear" w:color="auto" w:fill="E5E5E5"/>
          </w:tcPr>
          <w:p>
            <w:pPr>
              <w:spacing w:after="0"/>
              <w:rPr>
                <w:sz w:val="24"/>
                <w:szCs w:val="24"/>
                <w:color w:val="auto"/>
              </w:rPr>
            </w:pPr>
          </w:p>
        </w:tc>
      </w:tr>
      <w:tr>
        <w:trPr>
          <w:trHeight w:val="256"/>
        </w:trPr>
        <w:tc>
          <w:tcPr>
            <w:tcW w:w="3500" w:type="dxa"/>
            <w:vAlign w:val="bottom"/>
          </w:tcPr>
          <w:p>
            <w:pPr>
              <w:ind w:left="60"/>
              <w:spacing w:after="0"/>
              <w:rPr>
                <w:sz w:val="20"/>
                <w:szCs w:val="20"/>
                <w:color w:val="auto"/>
              </w:rPr>
            </w:pPr>
            <w:r>
              <w:rPr>
                <w:rFonts w:ascii="Arial" w:cs="Arial" w:eastAsia="Arial" w:hAnsi="Arial"/>
                <w:sz w:val="16"/>
                <w:szCs w:val="16"/>
                <w:color w:val="auto"/>
              </w:rPr>
              <w:t>Mark Parrish</w:t>
            </w:r>
          </w:p>
        </w:tc>
        <w:tc>
          <w:tcPr>
            <w:tcW w:w="700" w:type="dxa"/>
            <w:vAlign w:val="bottom"/>
          </w:tcPr>
          <w:p>
            <w:pPr>
              <w:jc w:val="center"/>
              <w:ind w:left="39"/>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9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Pr>
          <w:p>
            <w:pPr>
              <w:spacing w:after="0"/>
              <w:rPr>
                <w:sz w:val="22"/>
                <w:szCs w:val="22"/>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0" w:type="dxa"/>
            <w:vAlign w:val="bottom"/>
          </w:tcPr>
          <w:p>
            <w:pPr>
              <w:spacing w:after="0"/>
              <w:rPr>
                <w:sz w:val="22"/>
                <w:szCs w:val="22"/>
                <w:color w:val="auto"/>
              </w:rPr>
            </w:pPr>
          </w:p>
        </w:tc>
      </w:tr>
      <w:tr>
        <w:trPr>
          <w:trHeight w:val="257"/>
        </w:trPr>
        <w:tc>
          <w:tcPr>
            <w:tcW w:w="3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Scott A. Smith</w:t>
            </w:r>
          </w:p>
        </w:tc>
        <w:tc>
          <w:tcPr>
            <w:tcW w:w="70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940" w:type="dxa"/>
            <w:vAlign w:val="bottom"/>
            <w:shd w:val="clear" w:color="auto" w:fill="E5E5E5"/>
          </w:tcPr>
          <w:p>
            <w:pPr>
              <w:spacing w:after="0"/>
              <w:rPr>
                <w:sz w:val="22"/>
                <w:szCs w:val="22"/>
                <w:color w:val="auto"/>
              </w:rPr>
            </w:pPr>
          </w:p>
        </w:tc>
        <w:tc>
          <w:tcPr>
            <w:tcW w:w="820" w:type="dxa"/>
            <w:vAlign w:val="bottom"/>
            <w:shd w:val="clear" w:color="auto" w:fill="E5E5E5"/>
          </w:tcPr>
          <w:p>
            <w:pPr>
              <w:spacing w:after="0"/>
              <w:rPr>
                <w:sz w:val="22"/>
                <w:szCs w:val="22"/>
                <w:color w:val="auto"/>
              </w:rPr>
            </w:pPr>
          </w:p>
        </w:tc>
        <w:tc>
          <w:tcPr>
            <w:tcW w:w="1400" w:type="dxa"/>
            <w:vAlign w:val="bottom"/>
            <w:shd w:val="clear" w:color="auto" w:fill="E5E5E5"/>
          </w:tcPr>
          <w:p>
            <w:pPr>
              <w:spacing w:after="0"/>
              <w:rPr>
                <w:sz w:val="22"/>
                <w:szCs w:val="22"/>
                <w:color w:val="auto"/>
              </w:rPr>
            </w:pPr>
          </w:p>
        </w:tc>
        <w:tc>
          <w:tcPr>
            <w:tcW w:w="1200" w:type="dxa"/>
            <w:vAlign w:val="bottom"/>
            <w:shd w:val="clear" w:color="auto" w:fill="E5E5E5"/>
          </w:tcPr>
          <w:p>
            <w:pPr>
              <w:jc w:val="center"/>
              <w:ind w:left="1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350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Rogério Vivaldi Coelho</w:t>
            </w:r>
          </w:p>
        </w:tc>
        <w:tc>
          <w:tcPr>
            <w:tcW w:w="700" w:type="dxa"/>
            <w:vAlign w:val="bottom"/>
            <w:tcBorders>
              <w:bottom w:val="single" w:sz="8" w:color="732282"/>
            </w:tcBorders>
          </w:tcPr>
          <w:p>
            <w:pPr>
              <w:spacing w:after="0"/>
              <w:rPr>
                <w:sz w:val="22"/>
                <w:szCs w:val="22"/>
                <w:color w:val="auto"/>
              </w:rPr>
            </w:pPr>
          </w:p>
        </w:tc>
        <w:tc>
          <w:tcPr>
            <w:tcW w:w="1340" w:type="dxa"/>
            <w:vAlign w:val="bottom"/>
            <w:tcBorders>
              <w:bottom w:val="single" w:sz="8" w:color="732282"/>
            </w:tcBorders>
          </w:tcPr>
          <w:p>
            <w:pPr>
              <w:spacing w:after="0"/>
              <w:rPr>
                <w:sz w:val="22"/>
                <w:szCs w:val="22"/>
                <w:color w:val="auto"/>
              </w:rPr>
            </w:pPr>
          </w:p>
        </w:tc>
        <w:tc>
          <w:tcPr>
            <w:tcW w:w="1120" w:type="dxa"/>
            <w:vAlign w:val="bottom"/>
            <w:tcBorders>
              <w:bottom w:val="single" w:sz="8" w:color="732282"/>
            </w:tcBorders>
          </w:tcPr>
          <w:p>
            <w:pPr>
              <w:spacing w:after="0"/>
              <w:rPr>
                <w:sz w:val="22"/>
                <w:szCs w:val="22"/>
                <w:color w:val="auto"/>
              </w:rPr>
            </w:pPr>
          </w:p>
        </w:tc>
        <w:tc>
          <w:tcPr>
            <w:tcW w:w="940" w:type="dxa"/>
            <w:vAlign w:val="bottom"/>
            <w:tcBorders>
              <w:bottom w:val="single" w:sz="8" w:color="732282"/>
            </w:tcBorders>
          </w:tcPr>
          <w:p>
            <w:pPr>
              <w:spacing w:after="0"/>
              <w:rPr>
                <w:sz w:val="22"/>
                <w:szCs w:val="22"/>
                <w:color w:val="auto"/>
              </w:rPr>
            </w:pPr>
          </w:p>
        </w:tc>
        <w:tc>
          <w:tcPr>
            <w:tcW w:w="820" w:type="dxa"/>
            <w:vAlign w:val="bottom"/>
            <w:tcBorders>
              <w:bottom w:val="single" w:sz="8" w:color="732282"/>
            </w:tcBorders>
          </w:tcPr>
          <w:p>
            <w:pPr>
              <w:spacing w:after="0"/>
              <w:rPr>
                <w:sz w:val="22"/>
                <w:szCs w:val="22"/>
                <w:color w:val="auto"/>
              </w:rPr>
            </w:pPr>
          </w:p>
        </w:tc>
        <w:tc>
          <w:tcPr>
            <w:tcW w:w="1400" w:type="dxa"/>
            <w:vAlign w:val="bottom"/>
            <w:tcBorders>
              <w:bottom w:val="single" w:sz="8" w:color="732282"/>
            </w:tcBorders>
          </w:tcPr>
          <w:p>
            <w:pPr>
              <w:spacing w:after="0"/>
              <w:rPr>
                <w:sz w:val="22"/>
                <w:szCs w:val="22"/>
                <w:color w:val="auto"/>
              </w:rPr>
            </w:pPr>
          </w:p>
        </w:tc>
        <w:tc>
          <w:tcPr>
            <w:tcW w:w="1200" w:type="dxa"/>
            <w:vAlign w:val="bottom"/>
            <w:tcBorders>
              <w:bottom w:val="single" w:sz="8" w:color="732282"/>
            </w:tcBorders>
          </w:tcPr>
          <w:p>
            <w:pPr>
              <w:jc w:val="center"/>
              <w:ind w:left="1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0"/>
        </w:trPr>
        <w:tc>
          <w:tcPr>
            <w:tcW w:w="35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Meetings during 2023</w:t>
            </w:r>
          </w:p>
        </w:tc>
        <w:tc>
          <w:tcPr>
            <w:tcW w:w="700" w:type="dxa"/>
            <w:vAlign w:val="bottom"/>
            <w:tcBorders>
              <w:bottom w:val="single" w:sz="8" w:color="732282"/>
            </w:tcBorders>
            <w:shd w:val="clear" w:color="auto" w:fill="E5E5E5"/>
          </w:tcPr>
          <w:p>
            <w:pPr>
              <w:jc w:val="center"/>
              <w:ind w:left="39"/>
              <w:spacing w:after="0"/>
              <w:rPr>
                <w:sz w:val="20"/>
                <w:szCs w:val="20"/>
                <w:color w:val="auto"/>
              </w:rPr>
            </w:pPr>
            <w:r>
              <w:rPr>
                <w:rFonts w:ascii="Arial" w:cs="Arial" w:eastAsia="Arial" w:hAnsi="Arial"/>
                <w:sz w:val="16"/>
                <w:szCs w:val="16"/>
                <w:color w:val="auto"/>
              </w:rPr>
              <w:t>10</w:t>
            </w:r>
          </w:p>
        </w:tc>
        <w:tc>
          <w:tcPr>
            <w:tcW w:w="134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8</w:t>
            </w:r>
          </w:p>
        </w:tc>
        <w:tc>
          <w:tcPr>
            <w:tcW w:w="1120" w:type="dxa"/>
            <w:vAlign w:val="bottom"/>
            <w:tcBorders>
              <w:bottom w:val="single" w:sz="8" w:color="732282"/>
            </w:tcBorders>
            <w:shd w:val="clear" w:color="auto" w:fill="E5E5E5"/>
          </w:tcPr>
          <w:p>
            <w:pPr>
              <w:jc w:val="center"/>
              <w:spacing w:after="0" w:line="290" w:lineRule="exact"/>
              <w:rPr>
                <w:sz w:val="20"/>
                <w:szCs w:val="20"/>
                <w:color w:val="auto"/>
              </w:rPr>
            </w:pPr>
            <w:r>
              <w:rPr>
                <w:rFonts w:ascii="Arial" w:cs="Arial" w:eastAsia="Arial" w:hAnsi="Arial"/>
                <w:sz w:val="32"/>
                <w:szCs w:val="32"/>
                <w:color w:val="auto"/>
                <w:w w:val="90"/>
                <w:vertAlign w:val="subscript"/>
              </w:rPr>
              <w:t>5</w:t>
            </w:r>
            <w:r>
              <w:rPr>
                <w:rFonts w:ascii="Arial" w:cs="Arial" w:eastAsia="Arial" w:hAnsi="Arial"/>
                <w:sz w:val="12"/>
                <w:szCs w:val="12"/>
                <w:color w:val="auto"/>
                <w:w w:val="90"/>
              </w:rPr>
              <w:t>(4)</w:t>
            </w:r>
          </w:p>
        </w:tc>
        <w:tc>
          <w:tcPr>
            <w:tcW w:w="94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9</w:t>
            </w:r>
          </w:p>
        </w:tc>
        <w:tc>
          <w:tcPr>
            <w:tcW w:w="82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6</w:t>
            </w:r>
          </w:p>
        </w:tc>
        <w:tc>
          <w:tcPr>
            <w:tcW w:w="140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89"/>
              </w:rPr>
              <w:t>9</w:t>
            </w:r>
          </w:p>
        </w:tc>
        <w:tc>
          <w:tcPr>
            <w:tcW w:w="1200" w:type="dxa"/>
            <w:vAlign w:val="bottom"/>
            <w:tcBorders>
              <w:bottom w:val="single" w:sz="8" w:color="732282"/>
            </w:tcBorders>
            <w:shd w:val="clear" w:color="auto" w:fill="E5E5E5"/>
          </w:tcPr>
          <w:p>
            <w:pPr>
              <w:jc w:val="center"/>
              <w:ind w:left="19"/>
              <w:spacing w:after="0"/>
              <w:rPr>
                <w:sz w:val="20"/>
                <w:szCs w:val="20"/>
                <w:color w:val="auto"/>
              </w:rPr>
            </w:pPr>
            <w:r>
              <w:rPr>
                <w:rFonts w:ascii="Arial" w:cs="Arial" w:eastAsia="Arial" w:hAnsi="Arial"/>
                <w:sz w:val="16"/>
                <w:szCs w:val="16"/>
                <w:color w:val="auto"/>
              </w:rPr>
              <w:t>0</w:t>
            </w:r>
          </w:p>
        </w:tc>
      </w:tr>
      <w:tr>
        <w:trPr>
          <w:trHeight w:val="208"/>
        </w:trPr>
        <w:tc>
          <w:tcPr>
            <w:tcW w:w="3500" w:type="dxa"/>
            <w:vAlign w:val="bottom"/>
          </w:tcPr>
          <w:p>
            <w:pPr>
              <w:ind w:left="60"/>
              <w:spacing w:after="0"/>
              <w:rPr>
                <w:sz w:val="20"/>
                <w:szCs w:val="20"/>
                <w:color w:val="auto"/>
              </w:rPr>
            </w:pPr>
            <w:r>
              <w:rPr>
                <w:rFonts w:ascii="Arial" w:cs="Arial" w:eastAsia="Arial" w:hAnsi="Arial"/>
                <w:sz w:val="16"/>
                <w:szCs w:val="16"/>
                <w:color w:val="auto"/>
              </w:rPr>
              <w:t>Meetings during 2024</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89"/>
              </w:rPr>
              <w:t>5</w:t>
            </w:r>
          </w:p>
        </w:tc>
        <w:tc>
          <w:tcPr>
            <w:tcW w:w="1340" w:type="dxa"/>
            <w:vAlign w:val="bottom"/>
          </w:tcPr>
          <w:p>
            <w:pPr>
              <w:jc w:val="center"/>
              <w:spacing w:after="0"/>
              <w:rPr>
                <w:sz w:val="20"/>
                <w:szCs w:val="20"/>
                <w:color w:val="auto"/>
              </w:rPr>
            </w:pPr>
            <w:r>
              <w:rPr>
                <w:rFonts w:ascii="Arial" w:cs="Arial" w:eastAsia="Arial" w:hAnsi="Arial"/>
                <w:sz w:val="16"/>
                <w:szCs w:val="16"/>
                <w:color w:val="auto"/>
              </w:rPr>
              <w:t>4</w:t>
            </w:r>
          </w:p>
        </w:tc>
        <w:tc>
          <w:tcPr>
            <w:tcW w:w="1120" w:type="dxa"/>
            <w:vAlign w:val="bottom"/>
          </w:tcPr>
          <w:p>
            <w:pPr>
              <w:jc w:val="center"/>
              <w:spacing w:after="0"/>
              <w:rPr>
                <w:sz w:val="20"/>
                <w:szCs w:val="20"/>
                <w:color w:val="auto"/>
              </w:rPr>
            </w:pPr>
            <w:r>
              <w:rPr>
                <w:rFonts w:ascii="Arial" w:cs="Arial" w:eastAsia="Arial" w:hAnsi="Arial"/>
                <w:sz w:val="16"/>
                <w:szCs w:val="16"/>
                <w:color w:val="auto"/>
              </w:rPr>
              <w:t>3</w:t>
            </w:r>
          </w:p>
        </w:tc>
        <w:tc>
          <w:tcPr>
            <w:tcW w:w="940" w:type="dxa"/>
            <w:vAlign w:val="bottom"/>
          </w:tcPr>
          <w:p>
            <w:pPr>
              <w:jc w:val="center"/>
              <w:spacing w:after="0"/>
              <w:rPr>
                <w:sz w:val="20"/>
                <w:szCs w:val="20"/>
                <w:color w:val="auto"/>
              </w:rPr>
            </w:pPr>
            <w:r>
              <w:rPr>
                <w:rFonts w:ascii="Arial" w:cs="Arial" w:eastAsia="Arial" w:hAnsi="Arial"/>
                <w:sz w:val="16"/>
                <w:szCs w:val="16"/>
                <w:color w:val="auto"/>
              </w:rPr>
              <w:t>4</w:t>
            </w:r>
          </w:p>
        </w:tc>
        <w:tc>
          <w:tcPr>
            <w:tcW w:w="820" w:type="dxa"/>
            <w:vAlign w:val="bottom"/>
          </w:tcPr>
          <w:p>
            <w:pPr>
              <w:jc w:val="center"/>
              <w:spacing w:after="0"/>
              <w:rPr>
                <w:sz w:val="20"/>
                <w:szCs w:val="20"/>
                <w:color w:val="auto"/>
              </w:rPr>
            </w:pPr>
            <w:r>
              <w:rPr>
                <w:rFonts w:ascii="Arial" w:cs="Arial" w:eastAsia="Arial" w:hAnsi="Arial"/>
                <w:sz w:val="16"/>
                <w:szCs w:val="16"/>
                <w:color w:val="auto"/>
              </w:rPr>
              <w:t>4</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0" w:type="dxa"/>
            <w:vAlign w:val="bottom"/>
          </w:tcPr>
          <w:p>
            <w:pPr>
              <w:jc w:val="center"/>
              <w:ind w:left="19"/>
              <w:spacing w:after="0"/>
              <w:rPr>
                <w:sz w:val="20"/>
                <w:szCs w:val="20"/>
                <w:color w:val="auto"/>
              </w:rPr>
            </w:pPr>
            <w:r>
              <w:rPr>
                <w:rFonts w:ascii="Arial" w:cs="Arial" w:eastAsia="Arial" w:hAnsi="Arial"/>
                <w:sz w:val="16"/>
                <w:szCs w:val="16"/>
                <w:color w:val="auto"/>
              </w:rPr>
              <w:t>1</w:t>
            </w:r>
          </w:p>
        </w:tc>
      </w:tr>
    </w:tbl>
    <w:p>
      <w:pPr>
        <w:spacing w:after="0" w:line="14" w:lineRule="exact"/>
        <w:rPr>
          <w:sz w:val="20"/>
          <w:szCs w:val="20"/>
          <w:color w:val="auto"/>
        </w:rPr>
      </w:pPr>
    </w:p>
    <w:p>
      <w:pPr>
        <w:ind w:left="540" w:right="100" w:hanging="424"/>
        <w:spacing w:after="0" w:line="251" w:lineRule="auto"/>
        <w:tabs>
          <w:tab w:leader="none" w:pos="5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Effective immediately after the 2023 Annual Meeting, JoEllen Lyons Dillon joined the Compensation Committee; Leo Groothuis joined the Compliance and Risk Oversight Committee, Executive Committee and Governance and Sustainability Committee; Melina Higgins became Chair of the Executive Committee; and Harry Korman became Chair of the Compensation Committee. Until the 2023 Annual Meeting, Melina Higgins chaired and served on the Compensation Committee and served on the Governance and Nominating Committee.</w:t>
      </w:r>
    </w:p>
    <w:p>
      <w:pPr>
        <w:spacing w:after="0" w:line="2" w:lineRule="exact"/>
        <w:rPr>
          <w:rFonts w:ascii="Arial" w:cs="Arial" w:eastAsia="Arial" w:hAnsi="Arial"/>
          <w:sz w:val="16"/>
          <w:szCs w:val="16"/>
          <w:color w:val="3F3F3F"/>
        </w:rPr>
      </w:pPr>
    </w:p>
    <w:p>
      <w:pPr>
        <w:ind w:left="540" w:right="200" w:hanging="424"/>
        <w:spacing w:after="0" w:line="246" w:lineRule="auto"/>
        <w:tabs>
          <w:tab w:leader="none" w:pos="5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The Board has determined that Richard Mark, the Chair of the Audit Committee, is an “audit committee financial expert”, as that term is defined in the rules of the SEC.</w:t>
      </w:r>
    </w:p>
    <w:p>
      <w:pPr>
        <w:ind w:left="540" w:right="240" w:hanging="424"/>
        <w:spacing w:after="0" w:line="246" w:lineRule="auto"/>
        <w:tabs>
          <w:tab w:leader="none" w:pos="5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Effective immediately following the 2023 Annual Meeting, the Compliance Committee and Risk Oversight Committee were consolidated to be the Compliance and Risk Oversight Committee and the Governance and Nominating Committee was renamed the Governance and Sustainability Committee. Prior to the 2023 Annual Meeting, the Compliance Committee included Mark Parrish (Chair), JoEllen Lyons Dillon and Harry Korman and the Risk Oversight Committee included Harry Korman (Chair), W. Don Cornwell and Richard Mark.</w:t>
      </w:r>
    </w:p>
    <w:p>
      <w:pPr>
        <w:spacing w:after="0" w:line="1" w:lineRule="exact"/>
        <w:rPr>
          <w:rFonts w:ascii="Arial" w:cs="Arial" w:eastAsia="Arial" w:hAnsi="Arial"/>
          <w:sz w:val="16"/>
          <w:szCs w:val="16"/>
          <w:color w:val="3F3F3F"/>
        </w:rPr>
      </w:pPr>
    </w:p>
    <w:p>
      <w:pPr>
        <w:ind w:left="540" w:right="300" w:hanging="424"/>
        <w:spacing w:after="0" w:line="246" w:lineRule="auto"/>
        <w:tabs>
          <w:tab w:leader="none" w:pos="5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Represents the number of meetings of the Compliance Committee held prior to the 2023 Annual Meeting during 2023. The Risk Oversight Committee held five meetings prior to the 2023 Annual Meeting during 2023. Subsequent to the 2023 Annual Meeting, the Compliance and Risk Oversight Committee held no meetings during the remainder of 2023.</w:t>
      </w:r>
    </w:p>
    <w:p>
      <w:pPr>
        <w:spacing w:after="0" w:line="1" w:lineRule="exact"/>
        <w:rPr>
          <w:rFonts w:ascii="Arial" w:cs="Arial" w:eastAsia="Arial" w:hAnsi="Arial"/>
          <w:sz w:val="16"/>
          <w:szCs w:val="16"/>
          <w:color w:val="3F3F3F"/>
        </w:rPr>
      </w:pPr>
    </w:p>
    <w:p>
      <w:pPr>
        <w:ind w:left="540" w:right="260" w:hanging="424"/>
        <w:spacing w:after="0" w:line="256" w:lineRule="auto"/>
        <w:tabs>
          <w:tab w:leader="none" w:pos="540" w:val="left"/>
        </w:tabs>
        <w:numPr>
          <w:ilvl w:val="0"/>
          <w:numId w:val="24"/>
        </w:numPr>
        <w:rPr>
          <w:rFonts w:ascii="Arial" w:cs="Arial" w:eastAsia="Arial" w:hAnsi="Arial"/>
          <w:sz w:val="16"/>
          <w:szCs w:val="16"/>
          <w:color w:val="3F3F3F"/>
        </w:rPr>
      </w:pPr>
      <w:r>
        <w:rPr>
          <w:rFonts w:ascii="Arial" w:cs="Arial" w:eastAsia="Arial" w:hAnsi="Arial"/>
          <w:sz w:val="16"/>
          <w:szCs w:val="16"/>
          <w:color w:val="3F3F3F"/>
        </w:rPr>
        <w:t>The Board re-established the Science and Technology Committee in May 2024 with Rajiv Malik (Chair) and Scott A. Smith as members. Rogério Vivaldi Coelho joined the committee upon his appointment to the Board in June 2024. Prior to its dissolution in February 2023, current Directors who were members of the Science and Technology Committee were Harry Korman and 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-1943100</wp:posOffset>
            </wp:positionV>
            <wp:extent cx="6995160"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551305" cy="2289175"/>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1551305" cy="2289175"/>
                    </a:xfrm>
                    <a:prstGeom prst="rect">
                      <a:avLst/>
                    </a:prstGeom>
                    <a:noFill/>
                  </pic:spPr>
                </pic:pic>
              </a:graphicData>
            </a:graphic>
          </wp:anchor>
        </w:drawing>
      </w:r>
    </w:p>
    <w:p>
      <w:pPr>
        <w:spacing w:after="0" w:line="361" w:lineRule="exact"/>
        <w:rPr>
          <w:sz w:val="20"/>
          <w:szCs w:val="20"/>
          <w:color w:val="auto"/>
        </w:rPr>
      </w:pPr>
    </w:p>
    <w:p>
      <w:pPr>
        <w:ind w:left="220" w:right="500"/>
        <w:spacing w:after="0" w:line="297" w:lineRule="auto"/>
        <w:rPr>
          <w:sz w:val="20"/>
          <w:szCs w:val="20"/>
          <w:color w:val="auto"/>
        </w:rPr>
      </w:pPr>
      <w:r>
        <w:rPr>
          <w:rFonts w:ascii="Arial" w:cs="Arial" w:eastAsia="Arial" w:hAnsi="Arial"/>
          <w:sz w:val="21"/>
          <w:szCs w:val="21"/>
          <w:b w:val="1"/>
          <w:bCs w:val="1"/>
          <w:color w:val="732282"/>
        </w:rPr>
        <w:t>AUDIT COMMITTEE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Members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3F3F3F"/>
        </w:rPr>
        <w:t>Mr. Mark (Chair)</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3F3F3F"/>
        </w:rPr>
        <w:t>Mr. Cornwell</w:t>
      </w:r>
    </w:p>
    <w:p>
      <w:pPr>
        <w:ind w:left="220"/>
        <w:spacing w:after="0" w:line="234" w:lineRule="auto"/>
        <w:rPr>
          <w:sz w:val="20"/>
          <w:szCs w:val="20"/>
          <w:color w:val="auto"/>
        </w:rPr>
      </w:pPr>
      <w:r>
        <w:rPr>
          <w:rFonts w:ascii="Arial" w:cs="Arial" w:eastAsia="Arial" w:hAnsi="Arial"/>
          <w:sz w:val="18"/>
          <w:szCs w:val="18"/>
          <w:color w:val="3F3F3F"/>
        </w:rPr>
        <w:t>Ms. Dillon</w:t>
      </w:r>
    </w:p>
    <w:p>
      <w:pPr>
        <w:ind w:left="220"/>
        <w:spacing w:after="0" w:line="235" w:lineRule="auto"/>
        <w:rPr>
          <w:sz w:val="20"/>
          <w:szCs w:val="20"/>
          <w:color w:val="auto"/>
        </w:rPr>
      </w:pPr>
      <w:r>
        <w:rPr>
          <w:rFonts w:ascii="Arial" w:cs="Arial" w:eastAsia="Arial" w:hAnsi="Arial"/>
          <w:sz w:val="18"/>
          <w:szCs w:val="18"/>
          <w:color w:val="3F3F3F"/>
        </w:rPr>
        <w:t>Ms. Finney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1197610</wp:posOffset>
            </wp:positionV>
            <wp:extent cx="8890"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1197610</wp:posOffset>
            </wp:positionV>
            <wp:extent cx="8255"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1197610</wp:posOffset>
            </wp:positionV>
            <wp:extent cx="8255"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1197610</wp:posOffset>
            </wp:positionV>
            <wp:extent cx="8255"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1197610</wp:posOffset>
            </wp:positionV>
            <wp:extent cx="8890" cy="8255"/>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1197610</wp:posOffset>
            </wp:positionV>
            <wp:extent cx="8255"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1197610</wp:posOffset>
            </wp:positionV>
            <wp:extent cx="8255"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1197610</wp:posOffset>
            </wp:positionV>
            <wp:extent cx="8890"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1197610</wp:posOffset>
            </wp:positionV>
            <wp:extent cx="8255"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1197610</wp:posOffset>
            </wp:positionV>
            <wp:extent cx="8255" cy="8255"/>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1197610</wp:posOffset>
            </wp:positionV>
            <wp:extent cx="8255"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1197610</wp:posOffset>
            </wp:positionV>
            <wp:extent cx="8255"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1197610</wp:posOffset>
            </wp:positionV>
            <wp:extent cx="8255"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1197610</wp:posOffset>
            </wp:positionV>
            <wp:extent cx="8890"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1197610</wp:posOffset>
            </wp:positionV>
            <wp:extent cx="8255" cy="8255"/>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1197610</wp:posOffset>
            </wp:positionV>
            <wp:extent cx="8255"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1197610</wp:posOffset>
            </wp:positionV>
            <wp:extent cx="8890"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1197610</wp:posOffset>
            </wp:positionV>
            <wp:extent cx="8255"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1197610</wp:posOffset>
            </wp:positionV>
            <wp:extent cx="8255"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1197610</wp:posOffset>
            </wp:positionV>
            <wp:extent cx="8255" cy="8255"/>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1197610</wp:posOffset>
            </wp:positionV>
            <wp:extent cx="8255"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1197610</wp:posOffset>
            </wp:positionV>
            <wp:extent cx="8255"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1197610</wp:posOffset>
            </wp:positionV>
            <wp:extent cx="8255"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1197610</wp:posOffset>
            </wp:positionV>
            <wp:extent cx="8255"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1197610</wp:posOffset>
            </wp:positionV>
            <wp:extent cx="8255" cy="8255"/>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1197610</wp:posOffset>
            </wp:positionV>
            <wp:extent cx="8255"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1197610</wp:posOffset>
            </wp:positionV>
            <wp:extent cx="8255"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1197610</wp:posOffset>
            </wp:positionV>
            <wp:extent cx="8890"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1197610</wp:posOffset>
            </wp:positionV>
            <wp:extent cx="8255"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1197610</wp:posOffset>
            </wp:positionV>
            <wp:extent cx="8255"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1197610</wp:posOffset>
            </wp:positionV>
            <wp:extent cx="8890"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1197610</wp:posOffset>
            </wp:positionV>
            <wp:extent cx="8890"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1197610</wp:posOffset>
            </wp:positionV>
            <wp:extent cx="8890" cy="8255"/>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1197610</wp:posOffset>
            </wp:positionV>
            <wp:extent cx="8890"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1197610</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1197610</wp:posOffset>
            </wp:positionV>
            <wp:extent cx="8255"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1197610</wp:posOffset>
            </wp:positionV>
            <wp:extent cx="8255"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1197610</wp:posOffset>
            </wp:positionV>
            <wp:extent cx="8890" cy="8255"/>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1197610</wp:posOffset>
            </wp:positionV>
            <wp:extent cx="8890"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1197610</wp:posOffset>
            </wp:positionV>
            <wp:extent cx="8890"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1197610</wp:posOffset>
            </wp:positionV>
            <wp:extent cx="8255"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1197610</wp:posOffset>
            </wp:positionV>
            <wp:extent cx="8255"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1197610</wp:posOffset>
            </wp:positionV>
            <wp:extent cx="8255" cy="8255"/>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1197610</wp:posOffset>
            </wp:positionV>
            <wp:extent cx="8890"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1197610</wp:posOffset>
            </wp:positionV>
            <wp:extent cx="8890"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1197610</wp:posOffset>
            </wp:positionV>
            <wp:extent cx="8890"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1197610</wp:posOffset>
            </wp:positionV>
            <wp:extent cx="8255"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1197610</wp:posOffset>
            </wp:positionV>
            <wp:extent cx="8255" cy="8255"/>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1197610</wp:posOffset>
            </wp:positionV>
            <wp:extent cx="8890"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1197610</wp:posOffset>
            </wp:positionV>
            <wp:extent cx="8890"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1197610</wp:posOffset>
            </wp:positionV>
            <wp:extent cx="8890"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1197610</wp:posOffset>
            </wp:positionV>
            <wp:extent cx="8255"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1197610</wp:posOffset>
            </wp:positionV>
            <wp:extent cx="8255" cy="8255"/>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1197610</wp:posOffset>
            </wp:positionV>
            <wp:extent cx="8255"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1197610</wp:posOffset>
            </wp:positionV>
            <wp:extent cx="8890"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1197610</wp:posOffset>
            </wp:positionV>
            <wp:extent cx="8890"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1197610</wp:posOffset>
            </wp:positionV>
            <wp:extent cx="8890"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1197610</wp:posOffset>
            </wp:positionV>
            <wp:extent cx="8255" cy="8255"/>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1197610</wp:posOffset>
            </wp:positionV>
            <wp:extent cx="8255"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1197610</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1197610</wp:posOffset>
            </wp:positionV>
            <wp:extent cx="8890"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1197610</wp:posOffset>
            </wp:positionV>
            <wp:extent cx="8890"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1197610</wp:posOffset>
            </wp:positionV>
            <wp:extent cx="8255" cy="8255"/>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1197610</wp:posOffset>
            </wp:positionV>
            <wp:extent cx="8255"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1197610</wp:posOffset>
            </wp:positionV>
            <wp:extent cx="8255"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1197610</wp:posOffset>
            </wp:positionV>
            <wp:extent cx="8890"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1197610</wp:posOffset>
            </wp:positionV>
            <wp:extent cx="8890"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1060450</wp:posOffset>
            </wp:positionV>
            <wp:extent cx="8890" cy="8255"/>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1060450</wp:posOffset>
            </wp:positionV>
            <wp:extent cx="8255"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1060450</wp:posOffset>
            </wp:positionV>
            <wp:extent cx="8255"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1060450</wp:posOffset>
            </wp:positionV>
            <wp:extent cx="8255"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1060450</wp:posOffset>
            </wp:positionV>
            <wp:extent cx="8890" cy="825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1060450</wp:posOffset>
            </wp:positionV>
            <wp:extent cx="8255" cy="8255"/>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1060450</wp:posOffset>
            </wp:positionV>
            <wp:extent cx="8255"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1060450</wp:posOffset>
            </wp:positionV>
            <wp:extent cx="8890"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1060450</wp:posOffset>
            </wp:positionV>
            <wp:extent cx="8255"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1060450</wp:posOffset>
            </wp:positionV>
            <wp:extent cx="8255"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1060450</wp:posOffset>
            </wp:positionV>
            <wp:extent cx="8255" cy="8255"/>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1060450</wp:posOffset>
            </wp:positionV>
            <wp:extent cx="8255"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1060450</wp:posOffset>
            </wp:positionV>
            <wp:extent cx="8255"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1060450</wp:posOffset>
            </wp:positionV>
            <wp:extent cx="8890"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1060450</wp:posOffset>
            </wp:positionV>
            <wp:extent cx="8255"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1060450</wp:posOffset>
            </wp:positionV>
            <wp:extent cx="8255" cy="8255"/>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1060450</wp:posOffset>
            </wp:positionV>
            <wp:extent cx="8890"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1060450</wp:posOffset>
            </wp:positionV>
            <wp:extent cx="8255"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1060450</wp:posOffset>
            </wp:positionV>
            <wp:extent cx="8255"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1060450</wp:posOffset>
            </wp:positionV>
            <wp:extent cx="8255"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1060450</wp:posOffset>
            </wp:positionV>
            <wp:extent cx="8255" cy="8255"/>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1060450</wp:posOffset>
            </wp:positionV>
            <wp:extent cx="8255"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1060450</wp:posOffset>
            </wp:positionV>
            <wp:extent cx="8255"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1060450</wp:posOffset>
            </wp:positionV>
            <wp:extent cx="8255"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1060450</wp:posOffset>
            </wp:positionV>
            <wp:extent cx="8255"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1060450</wp:posOffset>
            </wp:positionV>
            <wp:extent cx="8255" cy="8255"/>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1060450</wp:posOffset>
            </wp:positionV>
            <wp:extent cx="8255"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1060450</wp:posOffset>
            </wp:positionV>
            <wp:extent cx="8890"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1060450</wp:posOffset>
            </wp:positionV>
            <wp:extent cx="8255"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1060450</wp:posOffset>
            </wp:positionV>
            <wp:extent cx="8255" cy="825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1060450</wp:posOffset>
            </wp:positionV>
            <wp:extent cx="8890" cy="8255"/>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1060450</wp:posOffset>
            </wp:positionV>
            <wp:extent cx="8890"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1060450</wp:posOffset>
            </wp:positionV>
            <wp:extent cx="8890"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1060450</wp:posOffset>
            </wp:positionV>
            <wp:extent cx="8890"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1060450</wp:posOffset>
            </wp:positionV>
            <wp:extent cx="8890"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1060450</wp:posOffset>
            </wp:positionV>
            <wp:extent cx="8255" cy="8255"/>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1060450</wp:posOffset>
            </wp:positionV>
            <wp:extent cx="8255"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1060450</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1060450</wp:posOffset>
            </wp:positionV>
            <wp:extent cx="8890"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1060450</wp:posOffset>
            </wp:positionV>
            <wp:extent cx="8890"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1060450</wp:posOffset>
            </wp:positionV>
            <wp:extent cx="8255" cy="8255"/>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1060450</wp:posOffset>
            </wp:positionV>
            <wp:extent cx="8255"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1060450</wp:posOffset>
            </wp:positionV>
            <wp:extent cx="8255"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1060450</wp:posOffset>
            </wp:positionV>
            <wp:extent cx="8890" cy="8255"/>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1060450</wp:posOffset>
            </wp:positionV>
            <wp:extent cx="8890"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1060450</wp:posOffset>
            </wp:positionV>
            <wp:extent cx="8890"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1060450</wp:posOffset>
            </wp:positionV>
            <wp:extent cx="8255"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1060450</wp:posOffset>
            </wp:positionV>
            <wp:extent cx="8255"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1060450</wp:posOffset>
            </wp:positionV>
            <wp:extent cx="8890"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1060450</wp:posOffset>
            </wp:positionV>
            <wp:extent cx="8890"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1060450</wp:posOffset>
            </wp:positionV>
            <wp:extent cx="889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1060450</wp:posOffset>
            </wp:positionV>
            <wp:extent cx="8255"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1060450</wp:posOffset>
            </wp:positionV>
            <wp:extent cx="8255"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1060450</wp:posOffset>
            </wp:positionV>
            <wp:extent cx="8255"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1060450</wp:posOffset>
            </wp:positionV>
            <wp:extent cx="8890"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1060450</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1060450</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1060450</wp:posOffset>
            </wp:positionV>
            <wp:extent cx="8255"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1060450</wp:posOffset>
            </wp:positionV>
            <wp:extent cx="8255"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1060450</wp:posOffset>
            </wp:positionV>
            <wp:extent cx="8890"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1060450</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1060450</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1060450</wp:posOffset>
            </wp:positionV>
            <wp:extent cx="8255"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1060450</wp:posOffset>
            </wp:positionV>
            <wp:extent cx="8255"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1060450</wp:posOffset>
            </wp:positionV>
            <wp:extent cx="8255"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1060450</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1060450</wp:posOffset>
            </wp:positionV>
            <wp:extent cx="889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3F3F3F"/>
        </w:rPr>
        <w:t>The Audit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-727710</wp:posOffset>
            </wp:positionV>
            <wp:extent cx="7174865" cy="55880"/>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7" w:lineRule="exact"/>
        <w:rPr>
          <w:sz w:val="20"/>
          <w:szCs w:val="20"/>
          <w:color w:val="auto"/>
        </w:rPr>
      </w:pPr>
    </w:p>
    <w:p>
      <w:pPr>
        <w:ind w:right="300"/>
        <w:spacing w:after="0" w:line="328" w:lineRule="auto"/>
        <w:rPr>
          <w:sz w:val="20"/>
          <w:szCs w:val="20"/>
          <w:color w:val="auto"/>
        </w:rPr>
      </w:pPr>
      <w:r>
        <w:rPr>
          <w:rFonts w:ascii="Arial" w:cs="Arial" w:eastAsia="Arial" w:hAnsi="Arial"/>
          <w:sz w:val="18"/>
          <w:szCs w:val="18"/>
          <w:color w:val="3F3F3F"/>
        </w:rPr>
        <w:t>•   Integrity of the Company’s financial statements and its accounting and financial reporting processes •   Effectiveness of the Company’s internal control over financial reporting</w:t>
      </w:r>
    </w:p>
    <w:p>
      <w:pPr>
        <w:spacing w:after="0" w:line="1" w:lineRule="exact"/>
        <w:rPr>
          <w:sz w:val="20"/>
          <w:szCs w:val="20"/>
          <w:color w:val="auto"/>
        </w:rPr>
      </w:pPr>
    </w:p>
    <w:p>
      <w:pPr>
        <w:jc w:val="both"/>
        <w:ind w:right="280"/>
        <w:spacing w:after="0" w:line="328" w:lineRule="auto"/>
        <w:rPr>
          <w:sz w:val="20"/>
          <w:szCs w:val="20"/>
          <w:color w:val="auto"/>
        </w:rPr>
      </w:pPr>
      <w:r>
        <w:rPr>
          <w:rFonts w:ascii="Arial" w:cs="Arial" w:eastAsia="Arial" w:hAnsi="Arial"/>
          <w:sz w:val="18"/>
          <w:szCs w:val="18"/>
          <w:color w:val="3F3F3F"/>
        </w:rPr>
        <w:t>•   Qualifications, independence, and performance of the independent registered public accounting firm •   Services to be performed by, and fees payable to, the independent registered public accounting firm •   Internal Audit group</w:t>
      </w:r>
    </w:p>
    <w:p>
      <w:pPr>
        <w:spacing w:after="0" w:line="2" w:lineRule="exact"/>
        <w:rPr>
          <w:sz w:val="20"/>
          <w:szCs w:val="20"/>
          <w:color w:val="auto"/>
        </w:rPr>
      </w:pPr>
    </w:p>
    <w:p>
      <w:pPr>
        <w:ind w:left="180" w:right="100" w:hanging="179"/>
        <w:spacing w:after="0" w:line="271" w:lineRule="auto"/>
        <w:rPr>
          <w:sz w:val="20"/>
          <w:szCs w:val="20"/>
          <w:color w:val="auto"/>
        </w:rPr>
      </w:pPr>
      <w:r>
        <w:rPr>
          <w:rFonts w:ascii="Arial" w:cs="Arial" w:eastAsia="Arial" w:hAnsi="Arial"/>
          <w:sz w:val="18"/>
          <w:szCs w:val="18"/>
          <w:color w:val="3F3F3F"/>
        </w:rPr>
        <w:t>•   Company processes and procedures related to risk assessment and risk management of financial and disclosure control-related, as well as SEC reporting-related, matters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3F3F3F"/>
        </w:rPr>
        <w:t>•   Related party transactions</w:t>
      </w:r>
    </w:p>
    <w:p>
      <w:pPr>
        <w:ind w:left="180" w:right="720" w:hanging="665"/>
        <w:spacing w:after="0" w:line="238" w:lineRule="auto"/>
        <w:rPr>
          <w:sz w:val="20"/>
          <w:szCs w:val="20"/>
          <w:color w:val="auto"/>
        </w:rPr>
      </w:pPr>
      <w:r>
        <w:rPr>
          <w:rFonts w:ascii="Arial" w:cs="Arial" w:eastAsia="Arial" w:hAnsi="Arial"/>
          <w:sz w:val="30"/>
          <w:szCs w:val="30"/>
          <w:b w:val="1"/>
          <w:bCs w:val="1"/>
          <w:color w:val="732282"/>
        </w:rPr>
        <w:t xml:space="preserve">     </w:t>
      </w:r>
      <w:r>
        <w:rPr>
          <w:rFonts w:ascii="Arial" w:cs="Arial" w:eastAsia="Arial" w:hAnsi="Arial"/>
          <w:sz w:val="16"/>
          <w:szCs w:val="16"/>
          <w:color w:val="3F3F3F"/>
        </w:rPr>
        <w:t>•   Company compliance with applicable legal and regulatory requirements (including U.S. federal</w:t>
      </w:r>
      <w:r>
        <w:rPr>
          <w:rFonts w:ascii="Arial" w:cs="Arial" w:eastAsia="Arial" w:hAnsi="Arial"/>
          <w:sz w:val="30"/>
          <w:szCs w:val="30"/>
          <w:b w:val="1"/>
          <w:bCs w:val="1"/>
          <w:color w:val="732282"/>
        </w:rPr>
        <w:t xml:space="preserve"> </w:t>
      </w:r>
      <w:r>
        <w:rPr>
          <w:rFonts w:ascii="Arial" w:cs="Arial" w:eastAsia="Arial" w:hAnsi="Arial"/>
          <w:sz w:val="16"/>
          <w:szCs w:val="16"/>
          <w:color w:val="3F3F3F"/>
        </w:rPr>
        <w:t>securities laws) regarding the preceding matters</w:t>
      </w:r>
    </w:p>
    <w:p>
      <w:pPr>
        <w:spacing w:after="0" w:line="47" w:lineRule="exact"/>
        <w:rPr>
          <w:sz w:val="20"/>
          <w:szCs w:val="20"/>
          <w:color w:val="auto"/>
        </w:rPr>
      </w:pPr>
    </w:p>
    <w:p>
      <w:pPr>
        <w:ind w:left="180" w:right="260" w:hanging="179"/>
        <w:spacing w:after="0" w:line="271" w:lineRule="auto"/>
        <w:rPr>
          <w:sz w:val="20"/>
          <w:szCs w:val="20"/>
          <w:color w:val="auto"/>
        </w:rPr>
      </w:pPr>
      <w:r>
        <w:rPr>
          <w:rFonts w:ascii="Arial" w:cs="Arial" w:eastAsia="Arial" w:hAnsi="Arial"/>
          <w:sz w:val="18"/>
          <w:szCs w:val="18"/>
          <w:color w:val="3F3F3F"/>
        </w:rPr>
        <w:t>•   Review of any critical audit matters identified by the independent registered public accounting firm in connection with its audit of the Company’s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220980</wp:posOffset>
            </wp:positionV>
            <wp:extent cx="403225"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83820</wp:posOffset>
            </wp:positionV>
            <wp:extent cx="403225"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400"/>
          </w:cols>
          <w:pgMar w:left="320" w:top="482" w:right="439" w:bottom="1440" w:gutter="0" w:footer="0" w:header="0"/>
        </w:sectPr>
      </w:pP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1960" w:type="dxa"/>
            <w:vAlign w:val="bottom"/>
            <w:vMerge w:val="restart"/>
            <w:shd w:val="clear" w:color="auto" w:fill="E5E5E5"/>
          </w:tcPr>
          <w:p>
            <w:pPr>
              <w:ind w:left="100"/>
              <w:spacing w:after="0"/>
              <w:rPr>
                <w:sz w:val="20"/>
                <w:szCs w:val="20"/>
                <w:color w:val="auto"/>
              </w:rPr>
            </w:pPr>
            <w:r>
              <w:rPr>
                <w:rFonts w:ascii="Arial" w:cs="Arial" w:eastAsia="Arial" w:hAnsi="Arial"/>
                <w:sz w:val="22"/>
                <w:szCs w:val="22"/>
                <w:b w:val="1"/>
                <w:bCs w:val="1"/>
                <w:color w:val="732282"/>
              </w:rPr>
              <w:t>COMPENSATION</w:t>
            </w:r>
          </w:p>
        </w:tc>
        <w:tc>
          <w:tcPr>
            <w:tcW w:w="480" w:type="dxa"/>
            <w:vAlign w:val="bottom"/>
            <w:vMerge w:val="restart"/>
            <w:shd w:val="clear" w:color="auto" w:fill="E5E5E5"/>
          </w:tcPr>
          <w:p>
            <w:pPr>
              <w:ind w:left="180"/>
              <w:spacing w:after="0"/>
              <w:rPr>
                <w:sz w:val="20"/>
                <w:szCs w:val="20"/>
                <w:color w:val="auto"/>
              </w:rPr>
            </w:pPr>
            <w:r>
              <w:rPr>
                <w:rFonts w:ascii="Arial" w:cs="Arial" w:eastAsia="Arial" w:hAnsi="Arial"/>
                <w:sz w:val="32"/>
                <w:szCs w:val="32"/>
                <w:color w:val="3F3F3F"/>
              </w:rPr>
              <w:t xml:space="preserve">    </w:t>
            </w:r>
          </w:p>
        </w:tc>
        <w:tc>
          <w:tcPr>
            <w:tcW w:w="20" w:type="dxa"/>
            <w:vAlign w:val="bottom"/>
            <w:shd w:val="clear" w:color="auto" w:fill="E5E5E5"/>
          </w:tcPr>
          <w:p>
            <w:pPr>
              <w:spacing w:after="0"/>
              <w:rPr>
                <w:sz w:val="11"/>
                <w:szCs w:val="11"/>
                <w:color w:val="auto"/>
              </w:rPr>
            </w:pPr>
          </w:p>
        </w:tc>
        <w:tc>
          <w:tcPr>
            <w:tcW w:w="8560" w:type="dxa"/>
            <w:vAlign w:val="bottom"/>
            <w:vMerge w:val="restart"/>
          </w:tcPr>
          <w:p>
            <w:pPr>
              <w:ind w:left="160"/>
              <w:spacing w:after="0"/>
              <w:rPr>
                <w:sz w:val="20"/>
                <w:szCs w:val="20"/>
                <w:color w:val="auto"/>
              </w:rPr>
            </w:pPr>
            <w:r>
              <w:rPr>
                <w:rFonts w:ascii="Arial" w:cs="Arial" w:eastAsia="Arial" w:hAnsi="Arial"/>
                <w:sz w:val="18"/>
                <w:szCs w:val="18"/>
                <w:b w:val="1"/>
                <w:bCs w:val="1"/>
                <w:color w:val="3F3F3F"/>
              </w:rPr>
              <w:t>The Compensation Committee’s key oversight responsibilities include, but are not limited to:</w:t>
            </w:r>
          </w:p>
        </w:tc>
        <w:tc>
          <w:tcPr>
            <w:tcW w:w="0" w:type="dxa"/>
            <w:vAlign w:val="bottom"/>
          </w:tcPr>
          <w:p>
            <w:pPr>
              <w:spacing w:after="0"/>
              <w:rPr>
                <w:sz w:val="1"/>
                <w:szCs w:val="1"/>
                <w:color w:val="auto"/>
              </w:rPr>
            </w:pPr>
          </w:p>
        </w:tc>
      </w:tr>
      <w:tr>
        <w:trPr>
          <w:trHeight w:val="237"/>
        </w:trPr>
        <w:tc>
          <w:tcPr>
            <w:tcW w:w="1960" w:type="dxa"/>
            <w:vAlign w:val="bottom"/>
            <w:vMerge w:val="continue"/>
            <w:shd w:val="clear" w:color="auto" w:fill="E5E5E5"/>
          </w:tcPr>
          <w:p>
            <w:pPr>
              <w:spacing w:after="0"/>
              <w:rPr>
                <w:sz w:val="20"/>
                <w:szCs w:val="20"/>
                <w:color w:val="auto"/>
              </w:rPr>
            </w:pPr>
          </w:p>
        </w:tc>
        <w:tc>
          <w:tcPr>
            <w:tcW w:w="480" w:type="dxa"/>
            <w:vAlign w:val="bottom"/>
            <w:vMerge w:val="continue"/>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960" w:type="dxa"/>
            <w:vAlign w:val="bottom"/>
            <w:shd w:val="clear" w:color="auto" w:fill="E5E5E5"/>
          </w:tcPr>
          <w:p>
            <w:pPr>
              <w:ind w:left="100"/>
              <w:spacing w:after="0" w:line="230" w:lineRule="exact"/>
              <w:rPr>
                <w:sz w:val="20"/>
                <w:szCs w:val="20"/>
                <w:color w:val="auto"/>
              </w:rPr>
            </w:pPr>
            <w:r>
              <w:rPr>
                <w:rFonts w:ascii="Arial" w:cs="Arial" w:eastAsia="Arial" w:hAnsi="Arial"/>
                <w:sz w:val="22"/>
                <w:szCs w:val="22"/>
                <w:b w:val="1"/>
                <w:bCs w:val="1"/>
                <w:color w:val="732282"/>
              </w:rPr>
              <w:t>COMMITTEE</w:t>
            </w:r>
          </w:p>
        </w:tc>
        <w:tc>
          <w:tcPr>
            <w:tcW w:w="4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3F3F3F"/>
              </w:rPr>
              <w:t>•   CEO and senior management compensation, including the corporate goals and objectives relevant to</w:t>
            </w:r>
          </w:p>
        </w:tc>
        <w:tc>
          <w:tcPr>
            <w:tcW w:w="0" w:type="dxa"/>
            <w:vAlign w:val="bottom"/>
          </w:tcPr>
          <w:p>
            <w:pPr>
              <w:spacing w:after="0"/>
              <w:rPr>
                <w:sz w:val="1"/>
                <w:szCs w:val="1"/>
                <w:color w:val="auto"/>
              </w:rPr>
            </w:pPr>
          </w:p>
        </w:tc>
      </w:tr>
      <w:tr>
        <w:trPr>
          <w:trHeight w:val="239"/>
        </w:trPr>
        <w:tc>
          <w:tcPr>
            <w:tcW w:w="1960" w:type="dxa"/>
            <w:vAlign w:val="bottom"/>
            <w:vMerge w:val="restart"/>
            <w:shd w:val="clear" w:color="auto" w:fill="E5E5E5"/>
          </w:tcPr>
          <w:p>
            <w:pPr>
              <w:ind w:left="100"/>
              <w:spacing w:after="0"/>
              <w:rPr>
                <w:sz w:val="20"/>
                <w:szCs w:val="20"/>
                <w:color w:val="auto"/>
              </w:rPr>
            </w:pPr>
            <w:r>
              <w:rPr>
                <w:rFonts w:ascii="Arial" w:cs="Arial" w:eastAsia="Arial" w:hAnsi="Arial"/>
                <w:sz w:val="18"/>
                <w:szCs w:val="18"/>
                <w:b w:val="1"/>
                <w:bCs w:val="1"/>
                <w:color w:val="3F3F3F"/>
              </w:rPr>
              <w:t>Members</w:t>
            </w:r>
          </w:p>
        </w:tc>
        <w:tc>
          <w:tcPr>
            <w:tcW w:w="4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3F3F3F"/>
              </w:rPr>
              <w:t>such compensation</w:t>
            </w:r>
          </w:p>
        </w:tc>
        <w:tc>
          <w:tcPr>
            <w:tcW w:w="0" w:type="dxa"/>
            <w:vAlign w:val="bottom"/>
          </w:tcPr>
          <w:p>
            <w:pPr>
              <w:spacing w:after="0"/>
              <w:rPr>
                <w:sz w:val="1"/>
                <w:szCs w:val="1"/>
                <w:color w:val="auto"/>
              </w:rPr>
            </w:pPr>
          </w:p>
        </w:tc>
      </w:tr>
      <w:tr>
        <w:trPr>
          <w:trHeight w:val="126"/>
        </w:trPr>
        <w:tc>
          <w:tcPr>
            <w:tcW w:w="1960" w:type="dxa"/>
            <w:vAlign w:val="bottom"/>
            <w:vMerge w:val="continue"/>
            <w:shd w:val="clear" w:color="auto" w:fill="E5E5E5"/>
          </w:tcPr>
          <w:p>
            <w:pPr>
              <w:spacing w:after="0"/>
              <w:rPr>
                <w:sz w:val="10"/>
                <w:szCs w:val="10"/>
                <w:color w:val="auto"/>
              </w:rPr>
            </w:pPr>
          </w:p>
        </w:tc>
        <w:tc>
          <w:tcPr>
            <w:tcW w:w="480" w:type="dxa"/>
            <w:vAlign w:val="bottom"/>
            <w:shd w:val="clear" w:color="auto" w:fill="E5E5E5"/>
          </w:tcPr>
          <w:p>
            <w:pPr>
              <w:spacing w:after="0"/>
              <w:rPr>
                <w:sz w:val="10"/>
                <w:szCs w:val="10"/>
                <w:color w:val="auto"/>
              </w:rPr>
            </w:pPr>
          </w:p>
        </w:tc>
        <w:tc>
          <w:tcPr>
            <w:tcW w:w="20" w:type="dxa"/>
            <w:vAlign w:val="bottom"/>
          </w:tcPr>
          <w:p>
            <w:pPr>
              <w:spacing w:after="0"/>
              <w:rPr>
                <w:sz w:val="10"/>
                <w:szCs w:val="10"/>
                <w:color w:val="auto"/>
              </w:rPr>
            </w:pPr>
          </w:p>
        </w:tc>
        <w:tc>
          <w:tcPr>
            <w:tcW w:w="8560" w:type="dxa"/>
            <w:vAlign w:val="bottom"/>
            <w:vMerge w:val="restart"/>
          </w:tcPr>
          <w:p>
            <w:pPr>
              <w:ind w:left="160"/>
              <w:spacing w:after="0"/>
              <w:rPr>
                <w:sz w:val="20"/>
                <w:szCs w:val="20"/>
                <w:color w:val="auto"/>
              </w:rPr>
            </w:pPr>
            <w:r>
              <w:rPr>
                <w:rFonts w:ascii="Arial" w:cs="Arial" w:eastAsia="Arial" w:hAnsi="Arial"/>
                <w:sz w:val="18"/>
                <w:szCs w:val="18"/>
                <w:color w:val="3F3F3F"/>
              </w:rPr>
              <w:t>•   Board and committee compensation</w:t>
            </w:r>
          </w:p>
        </w:tc>
        <w:tc>
          <w:tcPr>
            <w:tcW w:w="0" w:type="dxa"/>
            <w:vAlign w:val="bottom"/>
          </w:tcPr>
          <w:p>
            <w:pPr>
              <w:spacing w:after="0"/>
              <w:rPr>
                <w:sz w:val="1"/>
                <w:szCs w:val="1"/>
                <w:color w:val="auto"/>
              </w:rPr>
            </w:pPr>
          </w:p>
        </w:tc>
      </w:tr>
      <w:tr>
        <w:trPr>
          <w:trHeight w:val="158"/>
        </w:trPr>
        <w:tc>
          <w:tcPr>
            <w:tcW w:w="1960" w:type="dxa"/>
            <w:vAlign w:val="bottom"/>
            <w:vMerge w:val="restart"/>
            <w:shd w:val="clear" w:color="auto" w:fill="E5E5E5"/>
          </w:tcPr>
          <w:p>
            <w:pPr>
              <w:ind w:left="100"/>
              <w:spacing w:after="0" w:line="202" w:lineRule="exact"/>
              <w:rPr>
                <w:sz w:val="20"/>
                <w:szCs w:val="20"/>
                <w:color w:val="auto"/>
              </w:rPr>
            </w:pPr>
            <w:r>
              <w:rPr>
                <w:rFonts w:ascii="Arial" w:cs="Arial" w:eastAsia="Arial" w:hAnsi="Arial"/>
                <w:sz w:val="18"/>
                <w:szCs w:val="18"/>
                <w:b w:val="1"/>
                <w:bCs w:val="1"/>
                <w:color w:val="3F3F3F"/>
              </w:rPr>
              <w:t>Mr. Korman (Chair)</w:t>
            </w:r>
          </w:p>
        </w:tc>
        <w:tc>
          <w:tcPr>
            <w:tcW w:w="480" w:type="dxa"/>
            <w:vAlign w:val="bottom"/>
            <w:shd w:val="clear" w:color="auto" w:fill="E5E5E5"/>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960" w:type="dxa"/>
            <w:vAlign w:val="bottom"/>
            <w:vMerge w:val="continue"/>
            <w:shd w:val="clear" w:color="auto" w:fill="E5E5E5"/>
          </w:tcPr>
          <w:p>
            <w:pPr>
              <w:spacing w:after="0"/>
              <w:rPr>
                <w:sz w:val="3"/>
                <w:szCs w:val="3"/>
                <w:color w:val="auto"/>
              </w:rPr>
            </w:pPr>
          </w:p>
        </w:tc>
        <w:tc>
          <w:tcPr>
            <w:tcW w:w="480" w:type="dxa"/>
            <w:vAlign w:val="bottom"/>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8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3F3F3F"/>
              </w:rPr>
              <w:t>Ms. Dillon</w:t>
            </w: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Pr>
          <w:p>
            <w:pPr>
              <w:ind w:left="160"/>
              <w:spacing w:after="0" w:line="202" w:lineRule="exact"/>
              <w:rPr>
                <w:sz w:val="20"/>
                <w:szCs w:val="20"/>
                <w:color w:val="auto"/>
              </w:rPr>
            </w:pPr>
            <w:r>
              <w:rPr>
                <w:rFonts w:ascii="Arial" w:cs="Arial" w:eastAsia="Arial" w:hAnsi="Arial"/>
                <w:sz w:val="18"/>
                <w:szCs w:val="18"/>
                <w:color w:val="3F3F3F"/>
              </w:rPr>
              <w:t>•   Equity compensation plans in which Directors and/or executives participate</w:t>
            </w:r>
          </w:p>
        </w:tc>
        <w:tc>
          <w:tcPr>
            <w:tcW w:w="0" w:type="dxa"/>
            <w:vAlign w:val="bottom"/>
          </w:tcPr>
          <w:p>
            <w:pPr>
              <w:spacing w:after="0"/>
              <w:rPr>
                <w:sz w:val="1"/>
                <w:szCs w:val="1"/>
                <w:color w:val="auto"/>
              </w:rPr>
            </w:pPr>
          </w:p>
        </w:tc>
      </w:tr>
      <w:tr>
        <w:trPr>
          <w:trHeight w:val="239"/>
        </w:trPr>
        <w:tc>
          <w:tcPr>
            <w:tcW w:w="1960" w:type="dxa"/>
            <w:vAlign w:val="bottom"/>
            <w:shd w:val="clear" w:color="auto" w:fill="E5E5E5"/>
          </w:tcPr>
          <w:p>
            <w:pPr>
              <w:ind w:left="100"/>
              <w:spacing w:after="0"/>
              <w:rPr>
                <w:sz w:val="20"/>
                <w:szCs w:val="20"/>
                <w:color w:val="auto"/>
              </w:rPr>
            </w:pPr>
            <w:r>
              <w:rPr>
                <w:rFonts w:ascii="Arial" w:cs="Arial" w:eastAsia="Arial" w:hAnsi="Arial"/>
                <w:sz w:val="18"/>
                <w:szCs w:val="18"/>
                <w:color w:val="3F3F3F"/>
              </w:rPr>
              <w:t>Mr. Kilts</w:t>
            </w:r>
          </w:p>
        </w:tc>
        <w:tc>
          <w:tcPr>
            <w:tcW w:w="4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vMerge w:val="restart"/>
          </w:tcPr>
          <w:p>
            <w:pPr>
              <w:ind w:left="160"/>
              <w:spacing w:after="0"/>
              <w:rPr>
                <w:sz w:val="20"/>
                <w:szCs w:val="20"/>
                <w:color w:val="auto"/>
              </w:rPr>
            </w:pPr>
            <w:r>
              <w:rPr>
                <w:rFonts w:ascii="Arial" w:cs="Arial" w:eastAsia="Arial" w:hAnsi="Arial"/>
                <w:sz w:val="18"/>
                <w:szCs w:val="18"/>
                <w:color w:val="3F3F3F"/>
              </w:rPr>
              <w:t>•   Compensation and benefits-related disclosures in annual reports and proxy statements</w:t>
            </w:r>
          </w:p>
        </w:tc>
        <w:tc>
          <w:tcPr>
            <w:tcW w:w="0" w:type="dxa"/>
            <w:vAlign w:val="bottom"/>
          </w:tcPr>
          <w:p>
            <w:pPr>
              <w:spacing w:after="0"/>
              <w:rPr>
                <w:sz w:val="1"/>
                <w:szCs w:val="1"/>
                <w:color w:val="auto"/>
              </w:rPr>
            </w:pPr>
          </w:p>
        </w:tc>
      </w:tr>
      <w:tr>
        <w:trPr>
          <w:trHeight w:val="81"/>
        </w:trPr>
        <w:tc>
          <w:tcPr>
            <w:tcW w:w="1960" w:type="dxa"/>
            <w:vAlign w:val="bottom"/>
            <w:shd w:val="clear" w:color="auto" w:fill="E5E5E5"/>
          </w:tcPr>
          <w:p>
            <w:pPr>
              <w:spacing w:after="0"/>
              <w:rPr>
                <w:sz w:val="7"/>
                <w:szCs w:val="7"/>
                <w:color w:val="auto"/>
              </w:rPr>
            </w:pPr>
          </w:p>
        </w:tc>
        <w:tc>
          <w:tcPr>
            <w:tcW w:w="480" w:type="dxa"/>
            <w:vAlign w:val="bottom"/>
            <w:shd w:val="clear" w:color="auto" w:fill="E5E5E5"/>
          </w:tcPr>
          <w:p>
            <w:pPr>
              <w:spacing w:after="0"/>
              <w:rPr>
                <w:sz w:val="7"/>
                <w:szCs w:val="7"/>
                <w:color w:val="auto"/>
              </w:rPr>
            </w:pPr>
          </w:p>
        </w:tc>
        <w:tc>
          <w:tcPr>
            <w:tcW w:w="20" w:type="dxa"/>
            <w:vAlign w:val="bottom"/>
          </w:tcPr>
          <w:p>
            <w:pPr>
              <w:spacing w:after="0"/>
              <w:rPr>
                <w:sz w:val="7"/>
                <w:szCs w:val="7"/>
                <w:color w:val="auto"/>
              </w:rPr>
            </w:pPr>
          </w:p>
        </w:tc>
        <w:tc>
          <w:tcPr>
            <w:tcW w:w="8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96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3F3F3F"/>
              </w:rPr>
              <w:t>•   Reviewing with management and the Committee’s external compensation consultant the relationship</w:t>
            </w:r>
          </w:p>
        </w:tc>
        <w:tc>
          <w:tcPr>
            <w:tcW w:w="0" w:type="dxa"/>
            <w:vAlign w:val="bottom"/>
          </w:tcPr>
          <w:p>
            <w:pPr>
              <w:spacing w:after="0"/>
              <w:rPr>
                <w:sz w:val="1"/>
                <w:szCs w:val="1"/>
                <w:color w:val="auto"/>
              </w:rPr>
            </w:pPr>
          </w:p>
        </w:tc>
      </w:tr>
      <w:tr>
        <w:trPr>
          <w:trHeight w:val="203"/>
        </w:trPr>
        <w:tc>
          <w:tcPr>
            <w:tcW w:w="19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Pr>
          <w:p>
            <w:pPr>
              <w:ind w:left="340"/>
              <w:spacing w:after="0" w:line="202" w:lineRule="exact"/>
              <w:rPr>
                <w:sz w:val="20"/>
                <w:szCs w:val="20"/>
                <w:color w:val="auto"/>
              </w:rPr>
            </w:pPr>
            <w:r>
              <w:rPr>
                <w:rFonts w:ascii="Arial" w:cs="Arial" w:eastAsia="Arial" w:hAnsi="Arial"/>
                <w:sz w:val="18"/>
                <w:szCs w:val="18"/>
                <w:color w:val="3F3F3F"/>
              </w:rPr>
              <w:t>between the Company’s compensation policies and practices and the Company’s risk management</w:t>
            </w:r>
          </w:p>
        </w:tc>
        <w:tc>
          <w:tcPr>
            <w:tcW w:w="0" w:type="dxa"/>
            <w:vAlign w:val="bottom"/>
          </w:tcPr>
          <w:p>
            <w:pPr>
              <w:spacing w:after="0"/>
              <w:rPr>
                <w:sz w:val="1"/>
                <w:szCs w:val="1"/>
                <w:color w:val="auto"/>
              </w:rPr>
            </w:pPr>
          </w:p>
        </w:tc>
      </w:tr>
      <w:tr>
        <w:trPr>
          <w:trHeight w:val="203"/>
        </w:trPr>
        <w:tc>
          <w:tcPr>
            <w:tcW w:w="19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Pr>
          <w:p>
            <w:pPr>
              <w:ind w:left="340"/>
              <w:spacing w:after="0" w:line="202" w:lineRule="exact"/>
              <w:rPr>
                <w:sz w:val="20"/>
                <w:szCs w:val="20"/>
                <w:color w:val="auto"/>
              </w:rPr>
            </w:pPr>
            <w:r>
              <w:rPr>
                <w:rFonts w:ascii="Arial" w:cs="Arial" w:eastAsia="Arial" w:hAnsi="Arial"/>
                <w:sz w:val="18"/>
                <w:szCs w:val="18"/>
                <w:color w:val="3F3F3F"/>
              </w:rPr>
              <w:t>with respect to compensation-related matters, including to assess whether any risks arising from</w:t>
            </w:r>
          </w:p>
        </w:tc>
        <w:tc>
          <w:tcPr>
            <w:tcW w:w="0" w:type="dxa"/>
            <w:vAlign w:val="bottom"/>
          </w:tcPr>
          <w:p>
            <w:pPr>
              <w:spacing w:after="0"/>
              <w:rPr>
                <w:sz w:val="1"/>
                <w:szCs w:val="1"/>
                <w:color w:val="auto"/>
              </w:rPr>
            </w:pPr>
          </w:p>
        </w:tc>
      </w:tr>
      <w:tr>
        <w:trPr>
          <w:trHeight w:val="203"/>
        </w:trPr>
        <w:tc>
          <w:tcPr>
            <w:tcW w:w="19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Pr>
          <w:p>
            <w:pPr>
              <w:ind w:left="340"/>
              <w:spacing w:after="0" w:line="202" w:lineRule="exact"/>
              <w:rPr>
                <w:sz w:val="20"/>
                <w:szCs w:val="20"/>
                <w:color w:val="auto"/>
              </w:rPr>
            </w:pPr>
            <w:r>
              <w:rPr>
                <w:rFonts w:ascii="Arial" w:cs="Arial" w:eastAsia="Arial" w:hAnsi="Arial"/>
                <w:sz w:val="18"/>
                <w:szCs w:val="18"/>
                <w:color w:val="3F3F3F"/>
              </w:rPr>
              <w:t>compensation practices, policies and programs for the Company’s executive officers and other</w:t>
            </w:r>
          </w:p>
        </w:tc>
        <w:tc>
          <w:tcPr>
            <w:tcW w:w="0" w:type="dxa"/>
            <w:vAlign w:val="bottom"/>
          </w:tcPr>
          <w:p>
            <w:pPr>
              <w:spacing w:after="0"/>
              <w:rPr>
                <w:sz w:val="1"/>
                <w:szCs w:val="1"/>
                <w:color w:val="auto"/>
              </w:rPr>
            </w:pPr>
          </w:p>
        </w:tc>
      </w:tr>
      <w:tr>
        <w:trPr>
          <w:trHeight w:val="239"/>
        </w:trPr>
        <w:tc>
          <w:tcPr>
            <w:tcW w:w="196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3F3F3F"/>
              </w:rPr>
              <w:t>employees are reasonably likely to have a material adverse effect on the Company</w:t>
            </w:r>
          </w:p>
        </w:tc>
        <w:tc>
          <w:tcPr>
            <w:tcW w:w="0" w:type="dxa"/>
            <w:vAlign w:val="bottom"/>
          </w:tcPr>
          <w:p>
            <w:pPr>
              <w:spacing w:after="0"/>
              <w:rPr>
                <w:sz w:val="1"/>
                <w:szCs w:val="1"/>
                <w:color w:val="auto"/>
              </w:rPr>
            </w:pPr>
          </w:p>
        </w:tc>
      </w:tr>
      <w:tr>
        <w:trPr>
          <w:trHeight w:val="247"/>
        </w:trPr>
        <w:tc>
          <w:tcPr>
            <w:tcW w:w="196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3F3F3F"/>
              </w:rPr>
              <w:t>•   From time-to-time reviewing reports from management regarding pay equity, human capital</w:t>
            </w:r>
          </w:p>
        </w:tc>
        <w:tc>
          <w:tcPr>
            <w:tcW w:w="0" w:type="dxa"/>
            <w:vAlign w:val="bottom"/>
          </w:tcPr>
          <w:p>
            <w:pPr>
              <w:spacing w:after="0"/>
              <w:rPr>
                <w:sz w:val="1"/>
                <w:szCs w:val="1"/>
                <w:color w:val="auto"/>
              </w:rPr>
            </w:pPr>
          </w:p>
        </w:tc>
      </w:tr>
      <w:tr>
        <w:trPr>
          <w:trHeight w:val="203"/>
        </w:trPr>
        <w:tc>
          <w:tcPr>
            <w:tcW w:w="19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Pr>
          <w:p>
            <w:pPr>
              <w:ind w:left="340"/>
              <w:spacing w:after="0" w:line="202" w:lineRule="exact"/>
              <w:rPr>
                <w:sz w:val="20"/>
                <w:szCs w:val="20"/>
                <w:color w:val="auto"/>
              </w:rPr>
            </w:pPr>
            <w:r>
              <w:rPr>
                <w:rFonts w:ascii="Arial" w:cs="Arial" w:eastAsia="Arial" w:hAnsi="Arial"/>
                <w:sz w:val="18"/>
                <w:szCs w:val="18"/>
                <w:color w:val="3F3F3F"/>
              </w:rPr>
              <w:t>management, and succession planning (including diversity and inclusion, leadership and talent</w:t>
            </w:r>
          </w:p>
        </w:tc>
        <w:tc>
          <w:tcPr>
            <w:tcW w:w="0" w:type="dxa"/>
            <w:vAlign w:val="bottom"/>
          </w:tcPr>
          <w:p>
            <w:pPr>
              <w:spacing w:after="0"/>
              <w:rPr>
                <w:sz w:val="1"/>
                <w:szCs w:val="1"/>
                <w:color w:val="auto"/>
              </w:rPr>
            </w:pPr>
          </w:p>
        </w:tc>
      </w:tr>
      <w:tr>
        <w:trPr>
          <w:trHeight w:val="239"/>
        </w:trPr>
        <w:tc>
          <w:tcPr>
            <w:tcW w:w="196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3F3F3F"/>
              </w:rPr>
              <w:t>development, employee retention and engagement and workforce planning)</w:t>
            </w:r>
          </w:p>
        </w:tc>
        <w:tc>
          <w:tcPr>
            <w:tcW w:w="0" w:type="dxa"/>
            <w:vAlign w:val="bottom"/>
          </w:tcPr>
          <w:p>
            <w:pPr>
              <w:spacing w:after="0"/>
              <w:rPr>
                <w:sz w:val="1"/>
                <w:szCs w:val="1"/>
                <w:color w:val="auto"/>
              </w:rPr>
            </w:pPr>
          </w:p>
        </w:tc>
      </w:tr>
      <w:tr>
        <w:trPr>
          <w:trHeight w:val="247"/>
        </w:trPr>
        <w:tc>
          <w:tcPr>
            <w:tcW w:w="196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3F3F3F"/>
              </w:rPr>
              <w:t>•   Reviewing and approving the implementation of, or revision to, any clawback or incentive-based</w:t>
            </w:r>
          </w:p>
        </w:tc>
        <w:tc>
          <w:tcPr>
            <w:tcW w:w="0" w:type="dxa"/>
            <w:vAlign w:val="bottom"/>
          </w:tcPr>
          <w:p>
            <w:pPr>
              <w:spacing w:after="0"/>
              <w:rPr>
                <w:sz w:val="1"/>
                <w:szCs w:val="1"/>
                <w:color w:val="auto"/>
              </w:rPr>
            </w:pPr>
          </w:p>
        </w:tc>
      </w:tr>
      <w:tr>
        <w:trPr>
          <w:trHeight w:val="203"/>
        </w:trPr>
        <w:tc>
          <w:tcPr>
            <w:tcW w:w="19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Pr>
          <w:p>
            <w:pPr>
              <w:ind w:left="340"/>
              <w:spacing w:after="0" w:line="202" w:lineRule="exact"/>
              <w:rPr>
                <w:sz w:val="20"/>
                <w:szCs w:val="20"/>
                <w:color w:val="auto"/>
              </w:rPr>
            </w:pPr>
            <w:r>
              <w:rPr>
                <w:rFonts w:ascii="Arial" w:cs="Arial" w:eastAsia="Arial" w:hAnsi="Arial"/>
                <w:sz w:val="18"/>
                <w:szCs w:val="18"/>
                <w:color w:val="3F3F3F"/>
              </w:rPr>
              <w:t>compensation recovery policy allowing the Company to recoup compensation paid to the Company’s</w:t>
            </w:r>
          </w:p>
        </w:tc>
        <w:tc>
          <w:tcPr>
            <w:tcW w:w="0" w:type="dxa"/>
            <w:vAlign w:val="bottom"/>
          </w:tcPr>
          <w:p>
            <w:pPr>
              <w:spacing w:after="0"/>
              <w:rPr>
                <w:sz w:val="1"/>
                <w:szCs w:val="1"/>
                <w:color w:val="auto"/>
              </w:rPr>
            </w:pPr>
          </w:p>
        </w:tc>
      </w:tr>
      <w:tr>
        <w:trPr>
          <w:trHeight w:val="235"/>
        </w:trPr>
        <w:tc>
          <w:tcPr>
            <w:tcW w:w="196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3F3F3F"/>
              </w:rPr>
              <w:t>employees and administering and enforcing any such policy consistent with the terms of the policy</w:t>
            </w:r>
          </w:p>
        </w:tc>
        <w:tc>
          <w:tcPr>
            <w:tcW w:w="0" w:type="dxa"/>
            <w:vAlign w:val="bottom"/>
          </w:tcPr>
          <w:p>
            <w:pPr>
              <w:spacing w:after="0"/>
              <w:rPr>
                <w:sz w:val="1"/>
                <w:szCs w:val="1"/>
                <w:color w:val="auto"/>
              </w:rPr>
            </w:pPr>
          </w:p>
        </w:tc>
      </w:tr>
      <w:tr>
        <w:trPr>
          <w:trHeight w:val="592"/>
        </w:trPr>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Pr>
          <w:p>
            <w:pPr>
              <w:ind w:left="6560"/>
              <w:spacing w:after="0"/>
              <w:rPr>
                <w:sz w:val="20"/>
                <w:szCs w:val="20"/>
                <w:color w:val="auto"/>
              </w:rPr>
            </w:pPr>
            <w:r>
              <w:rPr>
                <w:rFonts w:ascii="Arial" w:cs="Arial" w:eastAsia="Arial" w:hAnsi="Arial"/>
                <w:sz w:val="16"/>
                <w:szCs w:val="16"/>
                <w:color w:val="3F3F3F"/>
                <w:w w:val="98"/>
              </w:rPr>
              <w:t>2024 Proxy Statement  |  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-375285</wp:posOffset>
            </wp:positionV>
            <wp:extent cx="1551305"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-272415</wp:posOffset>
            </wp:positionV>
            <wp:extent cx="7029450" cy="68580"/>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-127000</wp:posOffset>
            </wp:positionV>
            <wp:extent cx="865505" cy="22288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100" w:type="dxa"/>
            <w:vAlign w:val="bottom"/>
            <w:gridSpan w:val="2"/>
            <w:vMerge w:val="restart"/>
          </w:tcPr>
          <w:p>
            <w:pPr>
              <w:ind w:left="220"/>
              <w:spacing w:after="0"/>
              <w:rPr>
                <w:sz w:val="20"/>
                <w:szCs w:val="20"/>
                <w:color w:val="auto"/>
              </w:rPr>
            </w:pPr>
            <w:r>
              <w:rPr>
                <w:rFonts w:ascii="Arial" w:cs="Arial" w:eastAsia="Arial" w:hAnsi="Arial"/>
                <w:sz w:val="22"/>
                <w:szCs w:val="22"/>
                <w:b w:val="1"/>
                <w:bCs w:val="1"/>
                <w:color w:val="732282"/>
              </w:rPr>
              <w:t>COMPLIANCE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gridSpan w:val="2"/>
            <w:vMerge w:val="continue"/>
          </w:tcPr>
          <w:p>
            <w:pPr>
              <w:spacing w:after="0"/>
              <w:rPr>
                <w:sz w:val="5"/>
                <w:szCs w:val="5"/>
                <w:color w:val="auto"/>
              </w:rPr>
            </w:pPr>
          </w:p>
        </w:tc>
        <w:tc>
          <w:tcPr>
            <w:tcW w:w="56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100" w:type="dxa"/>
            <w:vAlign w:val="bottom"/>
            <w:gridSpan w:val="2"/>
            <w:vMerge w:val="continue"/>
          </w:tcPr>
          <w:p>
            <w:pPr>
              <w:spacing w:after="0"/>
              <w:rPr>
                <w:sz w:val="20"/>
                <w:szCs w:val="20"/>
                <w:color w:val="auto"/>
              </w:rPr>
            </w:pPr>
          </w:p>
        </w:tc>
        <w:tc>
          <w:tcPr>
            <w:tcW w:w="560" w:type="dxa"/>
            <w:vAlign w:val="bottom"/>
          </w:tcPr>
          <w:p>
            <w:pPr>
              <w:ind w:left="120"/>
              <w:spacing w:after="0" w:line="236" w:lineRule="exact"/>
              <w:rPr>
                <w:sz w:val="20"/>
                <w:szCs w:val="20"/>
                <w:color w:val="auto"/>
              </w:rPr>
            </w:pPr>
            <w:r>
              <w:rPr>
                <w:rFonts w:ascii="Arial" w:cs="Arial" w:eastAsia="Arial" w:hAnsi="Arial"/>
                <w:sz w:val="27"/>
                <w:szCs w:val="27"/>
                <w:color w:val="auto"/>
              </w:rPr>
              <w:t xml:space="preserve">    </w:t>
            </w:r>
          </w:p>
        </w:tc>
        <w:tc>
          <w:tcPr>
            <w:tcW w:w="0" w:type="dxa"/>
            <w:vAlign w:val="bottom"/>
          </w:tcPr>
          <w:p>
            <w:pPr>
              <w:spacing w:after="0"/>
              <w:rPr>
                <w:sz w:val="1"/>
                <w:szCs w:val="1"/>
                <w:color w:val="auto"/>
              </w:rPr>
            </w:pPr>
          </w:p>
        </w:tc>
      </w:tr>
      <w:tr>
        <w:trPr>
          <w:trHeight w:val="221"/>
        </w:trPr>
        <w:tc>
          <w:tcPr>
            <w:tcW w:w="2100" w:type="dxa"/>
            <w:vAlign w:val="bottom"/>
            <w:gridSpan w:val="2"/>
          </w:tcPr>
          <w:p>
            <w:pPr>
              <w:ind w:left="220"/>
              <w:spacing w:after="0" w:line="221" w:lineRule="exact"/>
              <w:rPr>
                <w:sz w:val="20"/>
                <w:szCs w:val="20"/>
                <w:color w:val="auto"/>
              </w:rPr>
            </w:pPr>
            <w:r>
              <w:rPr>
                <w:rFonts w:ascii="Arial" w:cs="Arial" w:eastAsia="Arial" w:hAnsi="Arial"/>
                <w:sz w:val="22"/>
                <w:szCs w:val="22"/>
                <w:b w:val="1"/>
                <w:bCs w:val="1"/>
                <w:color w:val="732282"/>
              </w:rPr>
              <w:t>AND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00" w:type="dxa"/>
            <w:vAlign w:val="bottom"/>
            <w:gridSpan w:val="2"/>
          </w:tcPr>
          <w:p>
            <w:pPr>
              <w:ind w:left="220"/>
              <w:spacing w:after="0" w:line="243" w:lineRule="exact"/>
              <w:rPr>
                <w:sz w:val="20"/>
                <w:szCs w:val="20"/>
                <w:color w:val="auto"/>
              </w:rPr>
            </w:pPr>
            <w:r>
              <w:rPr>
                <w:rFonts w:ascii="Arial" w:cs="Arial" w:eastAsia="Arial" w:hAnsi="Arial"/>
                <w:sz w:val="22"/>
                <w:szCs w:val="22"/>
                <w:b w:val="1"/>
                <w:bCs w:val="1"/>
                <w:color w:val="732282"/>
                <w:w w:val="98"/>
              </w:rPr>
              <w:t>RISK OVERSIGHT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100" w:type="dxa"/>
            <w:vAlign w:val="bottom"/>
            <w:gridSpan w:val="2"/>
          </w:tcPr>
          <w:p>
            <w:pPr>
              <w:ind w:left="220"/>
              <w:spacing w:after="0"/>
              <w:rPr>
                <w:sz w:val="20"/>
                <w:szCs w:val="20"/>
                <w:color w:val="auto"/>
              </w:rPr>
            </w:pPr>
            <w:r>
              <w:rPr>
                <w:rFonts w:ascii="Arial" w:cs="Arial" w:eastAsia="Arial" w:hAnsi="Arial"/>
                <w:sz w:val="22"/>
                <w:szCs w:val="22"/>
                <w:b w:val="1"/>
                <w:bCs w:val="1"/>
                <w:color w:val="732282"/>
              </w:rPr>
              <w:t>COMMITTEE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-676275</wp:posOffset>
            </wp:positionV>
            <wp:extent cx="1611630" cy="401193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1611630" cy="4011930"/>
                    </a:xfrm>
                    <a:prstGeom prst="rect">
                      <a:avLst/>
                    </a:prstGeom>
                    <a:noFill/>
                  </pic:spPr>
                </pic:pic>
              </a:graphicData>
            </a:graphic>
          </wp:anchor>
        </w:drawing>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Mr. Parrish (Chair)</w:t>
      </w:r>
    </w:p>
    <w:p>
      <w:pPr>
        <w:ind w:left="220"/>
        <w:spacing w:after="0" w:line="234" w:lineRule="auto"/>
        <w:rPr>
          <w:sz w:val="20"/>
          <w:szCs w:val="20"/>
          <w:color w:val="auto"/>
        </w:rPr>
      </w:pPr>
      <w:r>
        <w:rPr>
          <w:rFonts w:ascii="Arial" w:cs="Arial" w:eastAsia="Arial" w:hAnsi="Arial"/>
          <w:sz w:val="18"/>
          <w:szCs w:val="18"/>
          <w:color w:val="3F3F3F"/>
        </w:rPr>
        <w:t>Mr. Cornwell</w:t>
      </w:r>
    </w:p>
    <w:p>
      <w:pPr>
        <w:ind w:left="220"/>
        <w:spacing w:after="0" w:line="235" w:lineRule="auto"/>
        <w:rPr>
          <w:sz w:val="20"/>
          <w:szCs w:val="20"/>
          <w:color w:val="auto"/>
        </w:rPr>
      </w:pPr>
      <w:r>
        <w:rPr>
          <w:rFonts w:ascii="Arial" w:cs="Arial" w:eastAsia="Arial" w:hAnsi="Arial"/>
          <w:sz w:val="18"/>
          <w:szCs w:val="18"/>
          <w:color w:val="3F3F3F"/>
        </w:rPr>
        <w:t>Mr. Groothuis</w:t>
      </w:r>
    </w:p>
    <w:p>
      <w:pPr>
        <w:ind w:left="220"/>
        <w:spacing w:after="0" w:line="235" w:lineRule="auto"/>
        <w:rPr>
          <w:sz w:val="20"/>
          <w:szCs w:val="20"/>
          <w:color w:val="auto"/>
        </w:rPr>
      </w:pPr>
      <w:r>
        <w:rPr>
          <w:rFonts w:ascii="Arial" w:cs="Arial" w:eastAsia="Arial" w:hAnsi="Arial"/>
          <w:sz w:val="18"/>
          <w:szCs w:val="18"/>
          <w:color w:val="3F3F3F"/>
        </w:rPr>
        <w:t>Mr. Korman</w:t>
      </w:r>
    </w:p>
    <w:p>
      <w:pPr>
        <w:ind w:left="220"/>
        <w:spacing w:after="0"/>
        <w:rPr>
          <w:sz w:val="20"/>
          <w:szCs w:val="20"/>
          <w:color w:val="auto"/>
        </w:rPr>
      </w:pPr>
      <w:r>
        <w:rPr>
          <w:rFonts w:ascii="Arial" w:cs="Arial" w:eastAsia="Arial" w:hAnsi="Arial"/>
          <w:sz w:val="18"/>
          <w:szCs w:val="18"/>
          <w:color w:val="3F3F3F"/>
        </w:rPr>
        <w:t>Mr.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2475230</wp:posOffset>
            </wp:positionV>
            <wp:extent cx="1611630"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2637790</wp:posOffset>
            </wp:positionV>
            <wp:extent cx="1585595" cy="1337310"/>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158559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68"/>
        </w:trPr>
        <w:tc>
          <w:tcPr>
            <w:tcW w:w="1860" w:type="dxa"/>
            <w:vAlign w:val="bottom"/>
            <w:vMerge w:val="restart"/>
          </w:tcPr>
          <w:p>
            <w:pPr>
              <w:spacing w:after="0"/>
              <w:rPr>
                <w:sz w:val="20"/>
                <w:szCs w:val="20"/>
                <w:color w:val="auto"/>
              </w:rPr>
            </w:pPr>
            <w:r>
              <w:rPr>
                <w:rFonts w:ascii="Arial" w:cs="Arial" w:eastAsia="Arial" w:hAnsi="Arial"/>
                <w:sz w:val="22"/>
                <w:szCs w:val="22"/>
                <w:b w:val="1"/>
                <w:bCs w:val="1"/>
                <w:color w:val="732282"/>
              </w:rPr>
              <w:t>EXECUTIVE</w:t>
            </w:r>
          </w:p>
        </w:tc>
        <w:tc>
          <w:tcPr>
            <w:tcW w:w="54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860" w:type="dxa"/>
            <w:vAlign w:val="bottom"/>
            <w:vMerge w:val="continue"/>
          </w:tcPr>
          <w:p>
            <w:pPr>
              <w:spacing w:after="0"/>
              <w:rPr>
                <w:sz w:val="20"/>
                <w:szCs w:val="20"/>
                <w:color w:val="auto"/>
              </w:rPr>
            </w:pPr>
          </w:p>
        </w:tc>
        <w:tc>
          <w:tcPr>
            <w:tcW w:w="540" w:type="dxa"/>
            <w:vAlign w:val="bottom"/>
          </w:tcPr>
          <w:p>
            <w:pPr>
              <w:ind w:left="100"/>
              <w:spacing w:after="0" w:line="236" w:lineRule="exact"/>
              <w:rPr>
                <w:sz w:val="20"/>
                <w:szCs w:val="20"/>
                <w:color w:val="auto"/>
              </w:rPr>
            </w:pPr>
            <w:r>
              <w:rPr>
                <w:rFonts w:ascii="Arial" w:cs="Arial" w:eastAsia="Arial" w:hAnsi="Arial"/>
                <w:sz w:val="27"/>
                <w:szCs w:val="27"/>
                <w:color w:val="auto"/>
              </w:rPr>
              <w:t xml:space="preserve">    </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0"/>
                <w:szCs w:val="20"/>
                <w:color w:val="auto"/>
              </w:rPr>
            </w:pPr>
            <w:r>
              <w:rPr>
                <w:rFonts w:ascii="Arial" w:cs="Arial" w:eastAsia="Arial" w:hAnsi="Arial"/>
                <w:sz w:val="22"/>
                <w:szCs w:val="22"/>
                <w:b w:val="1"/>
                <w:bCs w:val="1"/>
                <w:color w:val="732282"/>
              </w:rPr>
              <w:t>COMMITTEE</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Ms. Higgins (Chair)</w:t>
      </w:r>
    </w:p>
    <w:p>
      <w:pPr>
        <w:ind w:left="220"/>
        <w:spacing w:after="0" w:line="234" w:lineRule="auto"/>
        <w:rPr>
          <w:sz w:val="20"/>
          <w:szCs w:val="20"/>
          <w:color w:val="auto"/>
        </w:rPr>
      </w:pPr>
      <w:r>
        <w:rPr>
          <w:rFonts w:ascii="Arial" w:cs="Arial" w:eastAsia="Arial" w:hAnsi="Arial"/>
          <w:sz w:val="18"/>
          <w:szCs w:val="18"/>
          <w:color w:val="3F3F3F"/>
        </w:rPr>
        <w:t>Ms. Dillon</w:t>
      </w:r>
    </w:p>
    <w:p>
      <w:pPr>
        <w:ind w:left="220"/>
        <w:spacing w:after="0" w:line="235" w:lineRule="auto"/>
        <w:rPr>
          <w:sz w:val="20"/>
          <w:szCs w:val="20"/>
          <w:color w:val="auto"/>
        </w:rPr>
      </w:pPr>
      <w:r>
        <w:rPr>
          <w:rFonts w:ascii="Arial" w:cs="Arial" w:eastAsia="Arial" w:hAnsi="Arial"/>
          <w:sz w:val="18"/>
          <w:szCs w:val="18"/>
          <w:color w:val="3F3F3F"/>
        </w:rPr>
        <w:t>Mr. Groothuis</w:t>
      </w:r>
    </w:p>
    <w:p>
      <w:pPr>
        <w:ind w:left="220"/>
        <w:spacing w:after="0" w:line="235" w:lineRule="auto"/>
        <w:rPr>
          <w:sz w:val="20"/>
          <w:szCs w:val="20"/>
          <w:color w:val="auto"/>
        </w:rPr>
      </w:pPr>
      <w:r>
        <w:rPr>
          <w:rFonts w:ascii="Arial" w:cs="Arial" w:eastAsia="Arial" w:hAnsi="Arial"/>
          <w:sz w:val="18"/>
          <w:szCs w:val="18"/>
          <w:color w:val="3F3F3F"/>
        </w:rPr>
        <w:t>Mr. Mark</w:t>
      </w:r>
    </w:p>
    <w:p>
      <w:pPr>
        <w:ind w:left="220"/>
        <w:spacing w:after="0"/>
        <w:rPr>
          <w:sz w:val="20"/>
          <w:szCs w:val="20"/>
          <w:color w:val="auto"/>
        </w:rPr>
      </w:pPr>
      <w:r>
        <w:rPr>
          <w:rFonts w:ascii="Arial" w:cs="Arial" w:eastAsia="Arial" w:hAnsi="Arial"/>
          <w:sz w:val="18"/>
          <w:szCs w:val="18"/>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1585595"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30  |  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b w:val="1"/>
          <w:bCs w:val="1"/>
          <w:color w:val="3F3F3F"/>
        </w:rPr>
        <w:t>The Compliance and Risk Oversight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-903605</wp:posOffset>
            </wp:positionV>
            <wp:extent cx="7174865" cy="55880"/>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80" w:right="120" w:hanging="179"/>
        <w:spacing w:after="0" w:line="271" w:lineRule="auto"/>
        <w:rPr>
          <w:sz w:val="20"/>
          <w:szCs w:val="20"/>
          <w:color w:val="auto"/>
        </w:rPr>
      </w:pPr>
      <w:r>
        <w:rPr>
          <w:rFonts w:ascii="Arial" w:cs="Arial" w:eastAsia="Arial" w:hAnsi="Arial"/>
          <w:sz w:val="18"/>
          <w:szCs w:val="18"/>
          <w:color w:val="3F3F3F"/>
        </w:rPr>
        <w:t>•   Reviewing the enterprise risk framework, infrastructure, and controls implemented by management to help identify, assess, manage and monitor material risks</w:t>
      </w:r>
    </w:p>
    <w:p>
      <w:pPr>
        <w:spacing w:after="0" w:line="19" w:lineRule="exact"/>
        <w:rPr>
          <w:sz w:val="20"/>
          <w:szCs w:val="20"/>
          <w:color w:val="auto"/>
        </w:rPr>
      </w:pPr>
    </w:p>
    <w:p>
      <w:pPr>
        <w:ind w:left="180" w:right="880" w:hanging="179"/>
        <w:spacing w:after="0" w:line="271" w:lineRule="auto"/>
        <w:rPr>
          <w:sz w:val="20"/>
          <w:szCs w:val="20"/>
          <w:color w:val="auto"/>
        </w:rPr>
      </w:pPr>
      <w:r>
        <w:rPr>
          <w:rFonts w:ascii="Arial" w:cs="Arial" w:eastAsia="Arial" w:hAnsi="Arial"/>
          <w:sz w:val="18"/>
          <w:szCs w:val="18"/>
          <w:color w:val="3F3F3F"/>
        </w:rPr>
        <w:t>•   Reviewing the Company’s efforts to foster a culture of risk-adjusted decision making without constraining reasonable risk-taking and innovation</w:t>
      </w:r>
    </w:p>
    <w:p>
      <w:pPr>
        <w:spacing w:after="0" w:line="19" w:lineRule="exact"/>
        <w:rPr>
          <w:sz w:val="20"/>
          <w:szCs w:val="20"/>
          <w:color w:val="auto"/>
        </w:rPr>
      </w:pPr>
    </w:p>
    <w:p>
      <w:pPr>
        <w:ind w:left="180" w:hanging="179"/>
        <w:spacing w:after="0" w:line="247" w:lineRule="auto"/>
        <w:rPr>
          <w:sz w:val="20"/>
          <w:szCs w:val="20"/>
          <w:color w:val="auto"/>
        </w:rPr>
      </w:pPr>
      <w:r>
        <w:rPr>
          <w:rFonts w:ascii="Arial" w:cs="Arial" w:eastAsia="Arial" w:hAnsi="Arial"/>
          <w:sz w:val="18"/>
          <w:szCs w:val="18"/>
          <w:color w:val="3F3F3F"/>
        </w:rPr>
        <w:t>•   Reviewing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w:t>
      </w:r>
    </w:p>
    <w:p>
      <w:pPr>
        <w:spacing w:after="0" w:line="39" w:lineRule="exact"/>
        <w:rPr>
          <w:sz w:val="20"/>
          <w:szCs w:val="20"/>
          <w:color w:val="auto"/>
        </w:rPr>
      </w:pPr>
    </w:p>
    <w:p>
      <w:pPr>
        <w:ind w:left="180" w:right="140" w:hanging="179"/>
        <w:spacing w:after="0" w:line="253" w:lineRule="auto"/>
        <w:rPr>
          <w:sz w:val="20"/>
          <w:szCs w:val="20"/>
          <w:color w:val="auto"/>
        </w:rPr>
      </w:pPr>
      <w:r>
        <w:rPr>
          <w:rFonts w:ascii="Arial" w:cs="Arial" w:eastAsia="Arial" w:hAnsi="Arial"/>
          <w:sz w:val="18"/>
          <w:szCs w:val="18"/>
          <w:color w:val="3F3F3F"/>
        </w:rPr>
        <w:t>•   Reviewing metrics used by management or requested by the Committee to provide insight into the status and efficacy of the corporate compliance program, including the Company’s global compliance systems and organization</w:t>
      </w:r>
    </w:p>
    <w:p>
      <w:pPr>
        <w:spacing w:after="0" w:line="34" w:lineRule="exact"/>
        <w:rPr>
          <w:sz w:val="20"/>
          <w:szCs w:val="20"/>
          <w:color w:val="auto"/>
        </w:rPr>
      </w:pPr>
    </w:p>
    <w:p>
      <w:pPr>
        <w:ind w:left="180" w:right="340" w:hanging="179"/>
        <w:spacing w:after="0" w:line="271" w:lineRule="auto"/>
        <w:rPr>
          <w:sz w:val="20"/>
          <w:szCs w:val="20"/>
          <w:color w:val="auto"/>
        </w:rPr>
      </w:pPr>
      <w:r>
        <w:rPr>
          <w:rFonts w:ascii="Arial" w:cs="Arial" w:eastAsia="Arial" w:hAnsi="Arial"/>
          <w:sz w:val="18"/>
          <w:szCs w:val="18"/>
          <w:color w:val="3F3F3F"/>
        </w:rPr>
        <w:t>•   Reviewing reports of significant actual and alleged violations of the Code of Business Conduct and Ethics, corporate policies and procedures, and applicable laws and regulations</w:t>
      </w:r>
    </w:p>
    <w:p>
      <w:pPr>
        <w:spacing w:after="0" w:line="19" w:lineRule="exact"/>
        <w:rPr>
          <w:sz w:val="20"/>
          <w:szCs w:val="20"/>
          <w:color w:val="auto"/>
        </w:rPr>
      </w:pPr>
    </w:p>
    <w:p>
      <w:pPr>
        <w:ind w:left="180" w:right="480" w:hanging="179"/>
        <w:spacing w:after="0" w:line="271" w:lineRule="auto"/>
        <w:rPr>
          <w:sz w:val="20"/>
          <w:szCs w:val="20"/>
          <w:color w:val="auto"/>
        </w:rPr>
      </w:pPr>
      <w:r>
        <w:rPr>
          <w:rFonts w:ascii="Arial" w:cs="Arial" w:eastAsia="Arial" w:hAnsi="Arial"/>
          <w:sz w:val="18"/>
          <w:szCs w:val="18"/>
          <w:color w:val="3F3F3F"/>
        </w:rPr>
        <w:t>•   Reviewing checks and balances implemented by the Company designed to support and promote compliance with approved corporate policies, legal rules, and regulations</w:t>
      </w:r>
    </w:p>
    <w:p>
      <w:pPr>
        <w:spacing w:after="0" w:line="19" w:lineRule="exact"/>
        <w:rPr>
          <w:sz w:val="20"/>
          <w:szCs w:val="20"/>
          <w:color w:val="auto"/>
        </w:rPr>
      </w:pPr>
    </w:p>
    <w:p>
      <w:pPr>
        <w:ind w:left="180" w:right="380" w:hanging="179"/>
        <w:spacing w:after="0" w:line="253" w:lineRule="auto"/>
        <w:rPr>
          <w:sz w:val="20"/>
          <w:szCs w:val="20"/>
          <w:color w:val="auto"/>
        </w:rPr>
      </w:pPr>
      <w:r>
        <w:rPr>
          <w:rFonts w:ascii="Arial" w:cs="Arial" w:eastAsia="Arial" w:hAnsi="Arial"/>
          <w:sz w:val="18"/>
          <w:szCs w:val="18"/>
          <w:color w:val="3F3F3F"/>
        </w:rPr>
        <w:t>•   Reviewing, in conjunction with the Chief Legal Officer, the performance, responsibilities, plans and resources of the Chief Compliance Officer, including appointment and replacement of the Chief Compliance Officer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3F3F3F"/>
        </w:rPr>
        <w:t>•   Overseeing the Company’s policies and procedures for corporate political and lobbying expenditures</w:t>
      </w:r>
    </w:p>
    <w:p>
      <w:pPr>
        <w:spacing w:after="0" w:line="77" w:lineRule="exact"/>
        <w:rPr>
          <w:sz w:val="20"/>
          <w:szCs w:val="20"/>
          <w:color w:val="auto"/>
        </w:rPr>
      </w:pPr>
    </w:p>
    <w:p>
      <w:pPr>
        <w:jc w:val="both"/>
        <w:ind w:left="180" w:right="220" w:hanging="179"/>
        <w:spacing w:after="0" w:line="253" w:lineRule="auto"/>
        <w:rPr>
          <w:sz w:val="20"/>
          <w:szCs w:val="20"/>
          <w:color w:val="auto"/>
        </w:rPr>
      </w:pPr>
      <w:r>
        <w:rPr>
          <w:rFonts w:ascii="Arial" w:cs="Arial" w:eastAsia="Arial" w:hAnsi="Arial"/>
          <w:sz w:val="18"/>
          <w:szCs w:val="18"/>
          <w:color w:val="3F3F3F"/>
        </w:rPr>
        <w:t>•   Reviewing management’s exercise of its responsibility to identify, assess and manage material risks not allocated to the Board or another committee, including, for example, data security programs and cybersecurity and IT</w:t>
      </w:r>
    </w:p>
    <w:p>
      <w:pPr>
        <w:spacing w:after="0" w:line="34" w:lineRule="exact"/>
        <w:rPr>
          <w:sz w:val="20"/>
          <w:szCs w:val="20"/>
          <w:color w:val="auto"/>
        </w:rPr>
      </w:pPr>
    </w:p>
    <w:p>
      <w:pPr>
        <w:ind w:left="180" w:right="380" w:hanging="179"/>
        <w:spacing w:after="0" w:line="271" w:lineRule="auto"/>
        <w:rPr>
          <w:sz w:val="20"/>
          <w:szCs w:val="20"/>
          <w:color w:val="auto"/>
        </w:rPr>
      </w:pPr>
      <w:r>
        <w:rPr>
          <w:rFonts w:ascii="Arial" w:cs="Arial" w:eastAsia="Arial" w:hAnsi="Arial"/>
          <w:sz w:val="18"/>
          <w:szCs w:val="18"/>
          <w:color w:val="3F3F3F"/>
        </w:rPr>
        <w:t>•   Consulting with the Chairs of the other committees at least two times a year to discuss risk-related matters and the Company’s enterprise risk management framework</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3F3F3F"/>
        </w:rPr>
        <w:t>The Executive Committee’s key oversight responsibilities include, but are not limited to:</w:t>
      </w:r>
    </w:p>
    <w:p>
      <w:pPr>
        <w:spacing w:after="0" w:line="77" w:lineRule="exact"/>
        <w:rPr>
          <w:sz w:val="20"/>
          <w:szCs w:val="20"/>
          <w:color w:val="auto"/>
        </w:rPr>
      </w:pPr>
    </w:p>
    <w:p>
      <w:pPr>
        <w:ind w:left="220" w:right="20" w:hanging="179"/>
        <w:spacing w:after="0" w:line="271" w:lineRule="auto"/>
        <w:rPr>
          <w:sz w:val="20"/>
          <w:szCs w:val="20"/>
          <w:color w:val="auto"/>
        </w:rPr>
      </w:pPr>
      <w:r>
        <w:rPr>
          <w:rFonts w:ascii="Arial" w:cs="Arial" w:eastAsia="Arial" w:hAnsi="Arial"/>
          <w:sz w:val="18"/>
          <w:szCs w:val="18"/>
          <w:color w:val="3F3F3F"/>
        </w:rPr>
        <w:t>•   Assisting the Board in fulfilling its fiduciary responsibilities by exercising those powers of the Board not otherwise limited by a resolution of the Board or by law</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3F3F3F"/>
        </w:rPr>
        <w:t>•   Strategic planning and additional oversight of strategy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789305</wp:posOffset>
            </wp:positionV>
            <wp:extent cx="7029450" cy="6858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934720</wp:posOffset>
            </wp:positionV>
            <wp:extent cx="865505" cy="22288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2">
            <w:col w:w="2660" w:space="100"/>
            <w:col w:w="8340"/>
          </w:cols>
          <w:pgMar w:left="320" w:top="473" w:right="4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360" w:type="dxa"/>
            <w:vAlign w:val="bottom"/>
            <w:tcBorders>
              <w:top w:val="single" w:sz="8" w:color="0000EE"/>
            </w:tcBorders>
            <w:vMerge w:val="restart"/>
          </w:tcPr>
          <w:p>
            <w:pPr>
              <w:ind w:left="220"/>
              <w:spacing w:after="0"/>
              <w:rPr>
                <w:sz w:val="20"/>
                <w:szCs w:val="20"/>
                <w:color w:val="auto"/>
              </w:rPr>
            </w:pPr>
            <w:r>
              <w:rPr>
                <w:rFonts w:ascii="Arial" w:cs="Arial" w:eastAsia="Arial" w:hAnsi="Arial"/>
                <w:sz w:val="22"/>
                <w:szCs w:val="22"/>
                <w:b w:val="1"/>
                <w:bCs w:val="1"/>
                <w:color w:val="732282"/>
              </w:rPr>
              <w:t>FINANCE</w:t>
            </w:r>
          </w:p>
        </w:tc>
        <w:tc>
          <w:tcPr>
            <w:tcW w:w="74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60" w:type="dxa"/>
            <w:vAlign w:val="bottom"/>
          </w:tcPr>
          <w:p>
            <w:pPr>
              <w:ind w:left="120"/>
              <w:spacing w:after="0" w:line="236" w:lineRule="exact"/>
              <w:rPr>
                <w:sz w:val="20"/>
                <w:szCs w:val="20"/>
                <w:color w:val="auto"/>
              </w:rPr>
            </w:pPr>
            <w:r>
              <w:rPr>
                <w:rFonts w:ascii="Arial" w:cs="Arial" w:eastAsia="Arial" w:hAnsi="Arial"/>
                <w:sz w:val="27"/>
                <w:szCs w:val="27"/>
                <w:color w:val="auto"/>
              </w:rPr>
              <w:t xml:space="preserve">    </w:t>
            </w:r>
          </w:p>
        </w:tc>
        <w:tc>
          <w:tcPr>
            <w:tcW w:w="0" w:type="dxa"/>
            <w:vAlign w:val="bottom"/>
          </w:tcPr>
          <w:p>
            <w:pPr>
              <w:spacing w:after="0"/>
              <w:rPr>
                <w:sz w:val="1"/>
                <w:szCs w:val="1"/>
                <w:color w:val="auto"/>
              </w:rPr>
            </w:pPr>
          </w:p>
        </w:tc>
      </w:tr>
      <w:tr>
        <w:trPr>
          <w:trHeight w:val="297"/>
        </w:trPr>
        <w:tc>
          <w:tcPr>
            <w:tcW w:w="2100" w:type="dxa"/>
            <w:vAlign w:val="bottom"/>
            <w:gridSpan w:val="2"/>
          </w:tcPr>
          <w:p>
            <w:pPr>
              <w:ind w:left="220"/>
              <w:spacing w:after="0"/>
              <w:rPr>
                <w:sz w:val="20"/>
                <w:szCs w:val="20"/>
                <w:color w:val="auto"/>
              </w:rPr>
            </w:pPr>
            <w:r>
              <w:rPr>
                <w:rFonts w:ascii="Arial" w:cs="Arial" w:eastAsia="Arial" w:hAnsi="Arial"/>
                <w:sz w:val="22"/>
                <w:szCs w:val="22"/>
                <w:b w:val="1"/>
                <w:bCs w:val="1"/>
                <w:color w:val="732282"/>
              </w:rPr>
              <w:t>COMMITTEE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-381000</wp:posOffset>
            </wp:positionV>
            <wp:extent cx="1611630" cy="1362710"/>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1611630" cy="1362710"/>
                    </a:xfrm>
                    <a:prstGeom prst="rect">
                      <a:avLst/>
                    </a:prstGeom>
                    <a:noFill/>
                  </pic:spPr>
                </pic:pic>
              </a:graphicData>
            </a:graphic>
          </wp:anchor>
        </w:drawing>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Ms. Higgins (Chair)</w:t>
      </w:r>
    </w:p>
    <w:p>
      <w:pPr>
        <w:ind w:left="220"/>
        <w:spacing w:after="0" w:line="234" w:lineRule="auto"/>
        <w:rPr>
          <w:sz w:val="20"/>
          <w:szCs w:val="20"/>
          <w:color w:val="auto"/>
        </w:rPr>
      </w:pPr>
      <w:r>
        <w:rPr>
          <w:rFonts w:ascii="Arial" w:cs="Arial" w:eastAsia="Arial" w:hAnsi="Arial"/>
          <w:sz w:val="18"/>
          <w:szCs w:val="18"/>
          <w:color w:val="3F3F3F"/>
        </w:rPr>
        <w:t>Ms. Finney</w:t>
      </w:r>
    </w:p>
    <w:p>
      <w:pPr>
        <w:ind w:left="220"/>
        <w:spacing w:after="0" w:line="235" w:lineRule="auto"/>
        <w:rPr>
          <w:sz w:val="20"/>
          <w:szCs w:val="20"/>
          <w:color w:val="auto"/>
        </w:rPr>
      </w:pPr>
      <w:r>
        <w:rPr>
          <w:rFonts w:ascii="Arial" w:cs="Arial" w:eastAsia="Arial" w:hAnsi="Arial"/>
          <w:sz w:val="18"/>
          <w:szCs w:val="18"/>
          <w:color w:val="3F3F3F"/>
        </w:rPr>
        <w:t>Mr. Kilts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3F3F3F"/>
        </w:rPr>
        <w:t>Mr.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161163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32282"/>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1585595" cy="20656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1585595" cy="20656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732282"/>
        </w:rPr>
        <w:t>AND</w:t>
      </w:r>
    </w:p>
    <w:p>
      <w:pPr>
        <w:ind w:left="220"/>
        <w:spacing w:after="0" w:line="230" w:lineRule="auto"/>
        <w:rPr>
          <w:sz w:val="20"/>
          <w:szCs w:val="20"/>
          <w:color w:val="auto"/>
        </w:rPr>
      </w:pPr>
      <w:r>
        <w:rPr>
          <w:rFonts w:ascii="Arial" w:cs="Arial" w:eastAsia="Arial" w:hAnsi="Arial"/>
          <w:sz w:val="22"/>
          <w:szCs w:val="22"/>
          <w:b w:val="1"/>
          <w:bCs w:val="1"/>
          <w:color w:val="732282"/>
        </w:rPr>
        <w:t>SUSTAINABILITY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32282"/>
        </w:rPr>
        <w:t>COMMITTEE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Ms. Dillon (Chair)</w:t>
      </w:r>
    </w:p>
    <w:p>
      <w:pPr>
        <w:ind w:left="220"/>
        <w:spacing w:after="0" w:line="234" w:lineRule="auto"/>
        <w:rPr>
          <w:sz w:val="20"/>
          <w:szCs w:val="20"/>
          <w:color w:val="auto"/>
        </w:rPr>
      </w:pPr>
      <w:r>
        <w:rPr>
          <w:rFonts w:ascii="Arial" w:cs="Arial" w:eastAsia="Arial" w:hAnsi="Arial"/>
          <w:sz w:val="18"/>
          <w:szCs w:val="18"/>
          <w:color w:val="3F3F3F"/>
        </w:rPr>
        <w:t>Mr. Groothuis</w:t>
      </w:r>
    </w:p>
    <w:p>
      <w:pPr>
        <w:ind w:left="220"/>
        <w:spacing w:after="0" w:line="235" w:lineRule="auto"/>
        <w:rPr>
          <w:sz w:val="20"/>
          <w:szCs w:val="20"/>
          <w:color w:val="auto"/>
        </w:rPr>
      </w:pPr>
      <w:r>
        <w:rPr>
          <w:rFonts w:ascii="Arial" w:cs="Arial" w:eastAsia="Arial" w:hAnsi="Arial"/>
          <w:sz w:val="18"/>
          <w:szCs w:val="18"/>
          <w:color w:val="3F3F3F"/>
        </w:rPr>
        <w:t>Mr. Korman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3F3F3F"/>
        </w:rPr>
        <w:t>Mr. Parrish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60"/>
        <w:spacing w:after="0"/>
        <w:rPr>
          <w:sz w:val="20"/>
          <w:szCs w:val="20"/>
          <w:color w:val="auto"/>
        </w:rPr>
      </w:pPr>
      <w:r>
        <w:rPr>
          <w:rFonts w:ascii="Arial" w:cs="Arial" w:eastAsia="Arial" w:hAnsi="Arial"/>
          <w:sz w:val="32"/>
          <w:szCs w:val="3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wp:posOffset>
            </wp:positionV>
            <wp:extent cx="1585595"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3F3F3F"/>
        </w:rPr>
        <w:t>The Finance Committee’s key oversight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-727710</wp:posOffset>
            </wp:positionV>
            <wp:extent cx="7174865" cy="55880"/>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3F3F3F"/>
        </w:rPr>
        <w:t>•   Material mergers, acquisitions, and combinations with other companies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3F3F3F"/>
        </w:rPr>
        <w:t>•   Swaps and other derivatives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3F3F3F"/>
        </w:rPr>
        <w:t>•   Establishment of credit facilities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3F3F3F"/>
        </w:rPr>
        <w:t>•   Potential financings with commercial lenders</w:t>
      </w:r>
    </w:p>
    <w:p>
      <w:pPr>
        <w:spacing w:after="0" w:line="77" w:lineRule="exact"/>
        <w:rPr>
          <w:sz w:val="20"/>
          <w:szCs w:val="20"/>
          <w:color w:val="auto"/>
        </w:rPr>
      </w:pPr>
    </w:p>
    <w:p>
      <w:pPr>
        <w:ind w:right="1700"/>
        <w:spacing w:after="0" w:line="365" w:lineRule="auto"/>
        <w:rPr>
          <w:sz w:val="20"/>
          <w:szCs w:val="20"/>
          <w:color w:val="auto"/>
        </w:rPr>
      </w:pPr>
      <w:r>
        <w:rPr>
          <w:rFonts w:ascii="Arial" w:cs="Arial" w:eastAsia="Arial" w:hAnsi="Arial"/>
          <w:sz w:val="18"/>
          <w:szCs w:val="18"/>
          <w:color w:val="3F3F3F"/>
        </w:rPr>
        <w:t>•   Issuance and repurchase of the Company’s debt, equity, hybrid or other securities •   Capital structure, including dividend payments</w:t>
      </w:r>
    </w:p>
    <w:p>
      <w:pPr>
        <w:spacing w:after="0" w:line="288" w:lineRule="exact"/>
        <w:rPr>
          <w:sz w:val="20"/>
          <w:szCs w:val="20"/>
          <w:color w:val="auto"/>
        </w:rPr>
      </w:pPr>
    </w:p>
    <w:p>
      <w:pPr>
        <w:ind w:left="40" w:right="260"/>
        <w:spacing w:after="0" w:line="281" w:lineRule="auto"/>
        <w:rPr>
          <w:sz w:val="20"/>
          <w:szCs w:val="20"/>
          <w:color w:val="auto"/>
        </w:rPr>
      </w:pPr>
      <w:r>
        <w:rPr>
          <w:rFonts w:ascii="Arial" w:cs="Arial" w:eastAsia="Arial" w:hAnsi="Arial"/>
          <w:sz w:val="18"/>
          <w:szCs w:val="18"/>
          <w:b w:val="1"/>
          <w:bCs w:val="1"/>
          <w:color w:val="3F3F3F"/>
        </w:rPr>
        <w:t>The Governance and Sustainability Committee’s key oversight responsibilities include, but are not limited to:</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3F3F3F"/>
        </w:rPr>
        <w:t>•   Corporate governance matters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3F3F3F"/>
        </w:rPr>
        <w:t>•   The nomination or re-nomination of Director candidates</w:t>
      </w:r>
    </w:p>
    <w:p>
      <w:pPr>
        <w:spacing w:after="0" w:line="77" w:lineRule="exact"/>
        <w:rPr>
          <w:sz w:val="20"/>
          <w:szCs w:val="20"/>
          <w:color w:val="auto"/>
        </w:rPr>
      </w:pPr>
    </w:p>
    <w:p>
      <w:pPr>
        <w:ind w:left="220" w:right="560" w:hanging="179"/>
        <w:spacing w:after="0" w:line="271" w:lineRule="auto"/>
        <w:rPr>
          <w:sz w:val="20"/>
          <w:szCs w:val="20"/>
          <w:color w:val="auto"/>
        </w:rPr>
      </w:pPr>
      <w:r>
        <w:rPr>
          <w:rFonts w:ascii="Arial" w:cs="Arial" w:eastAsia="Arial" w:hAnsi="Arial"/>
          <w:sz w:val="18"/>
          <w:szCs w:val="18"/>
          <w:color w:val="3F3F3F"/>
        </w:rPr>
        <w:t>•   The Board’s review and consideration of shareholder recommendations for, and nominations of, Director candidates</w:t>
      </w:r>
    </w:p>
    <w:p>
      <w:pPr>
        <w:spacing w:after="0" w:line="19" w:lineRule="exact"/>
        <w:rPr>
          <w:sz w:val="20"/>
          <w:szCs w:val="20"/>
          <w:color w:val="auto"/>
        </w:rPr>
      </w:pPr>
    </w:p>
    <w:p>
      <w:pPr>
        <w:ind w:left="40" w:right="3480"/>
        <w:spacing w:after="0" w:line="348" w:lineRule="auto"/>
        <w:rPr>
          <w:sz w:val="20"/>
          <w:szCs w:val="20"/>
          <w:color w:val="auto"/>
        </w:rPr>
      </w:pPr>
      <w:r>
        <w:rPr>
          <w:rFonts w:ascii="Arial" w:cs="Arial" w:eastAsia="Arial" w:hAnsi="Arial"/>
          <w:sz w:val="17"/>
          <w:szCs w:val="17"/>
          <w:color w:val="3F3F3F"/>
        </w:rPr>
        <w:t>•   The annual self-evaluation of the Board and its committees •   Director orientation and continuing education programs</w:t>
      </w:r>
    </w:p>
    <w:p>
      <w:pPr>
        <w:ind w:left="220" w:right="380" w:hanging="179"/>
        <w:spacing w:after="0" w:line="271" w:lineRule="auto"/>
        <w:rPr>
          <w:sz w:val="20"/>
          <w:szCs w:val="20"/>
          <w:color w:val="auto"/>
        </w:rPr>
      </w:pPr>
      <w:r>
        <w:rPr>
          <w:rFonts w:ascii="Arial" w:cs="Arial" w:eastAsia="Arial" w:hAnsi="Arial"/>
          <w:sz w:val="18"/>
          <w:szCs w:val="18"/>
          <w:color w:val="3F3F3F"/>
        </w:rPr>
        <w:t>•   Evaluating Board composition with respect to Director independence, skills, experience, expertise, diversity, and other factors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3F3F3F"/>
        </w:rPr>
        <w:t>•   Reviewing succession planning matters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3F3F3F"/>
        </w:rPr>
        <w:t>•   Management’s efforts with respect to corporate environmental and social responsibility matters</w:t>
      </w:r>
    </w:p>
    <w:p>
      <w:pPr>
        <w:spacing w:after="0" w:line="338" w:lineRule="exact"/>
        <w:rPr>
          <w:sz w:val="20"/>
          <w:szCs w:val="20"/>
          <w:color w:val="auto"/>
        </w:rPr>
      </w:pPr>
    </w:p>
    <w:p>
      <w:pPr>
        <w:sectPr>
          <w:pgSz w:w="11900" w:h="16838" w:orient="portrait"/>
          <w:cols w:equalWidth="0" w:num="2">
            <w:col w:w="2660" w:space="100"/>
            <w:col w:w="8380"/>
          </w:cols>
          <w:pgMar w:left="320" w:top="473" w:right="439" w:bottom="1440" w:gutter="0" w:footer="0" w:header="0"/>
        </w:sectPr>
      </w:pPr>
    </w:p>
    <w:p>
      <w:pPr>
        <w:spacing w:after="0" w:line="9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732282"/>
        </w:rPr>
        <w:t>SCIENCE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1585595" cy="1200150"/>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1585595" cy="12001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b w:val="1"/>
          <w:bCs w:val="1"/>
          <w:color w:val="732282"/>
        </w:rPr>
        <w:t>TECHNOLOGY</w:t>
      </w:r>
    </w:p>
    <w:p>
      <w:pPr>
        <w:ind w:left="220"/>
        <w:spacing w:after="0"/>
        <w:rPr>
          <w:sz w:val="20"/>
          <w:szCs w:val="20"/>
          <w:color w:val="auto"/>
        </w:rPr>
      </w:pPr>
      <w:r>
        <w:rPr>
          <w:rFonts w:ascii="Arial" w:cs="Arial" w:eastAsia="Arial" w:hAnsi="Arial"/>
          <w:sz w:val="22"/>
          <w:szCs w:val="22"/>
          <w:b w:val="1"/>
          <w:bCs w:val="1"/>
          <w:color w:val="732282"/>
        </w:rPr>
        <w:t>COMMITTEE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3F3F3F"/>
        </w:rPr>
        <w:t>Mr. Malik (Chair)</w:t>
      </w:r>
    </w:p>
    <w:p>
      <w:pPr>
        <w:ind w:left="220"/>
        <w:spacing w:after="0" w:line="224" w:lineRule="auto"/>
        <w:rPr>
          <w:sz w:val="20"/>
          <w:szCs w:val="20"/>
          <w:color w:val="auto"/>
        </w:rPr>
      </w:pPr>
      <w:r>
        <w:rPr>
          <w:rFonts w:ascii="Arial" w:cs="Arial" w:eastAsia="Arial" w:hAnsi="Arial"/>
          <w:sz w:val="18"/>
          <w:szCs w:val="18"/>
          <w:color w:val="3F3F3F"/>
        </w:rPr>
        <w:t>Mr. Smith</w:t>
      </w:r>
    </w:p>
    <w:tbl>
      <w:tblPr>
        <w:tblLayout w:type="fixed"/>
        <w:tblInd w:w="220" w:type="dxa"/>
        <w:tblCellMar>
          <w:top w:w="0" w:type="dxa"/>
          <w:left w:w="0" w:type="dxa"/>
          <w:bottom w:w="0" w:type="dxa"/>
          <w:right w:w="0" w:type="dxa"/>
        </w:tblCellMar>
      </w:tblPr>
      <w:tr>
        <w:trPr>
          <w:trHeight w:val="172"/>
        </w:trPr>
        <w:tc>
          <w:tcPr>
            <w:tcW w:w="1380" w:type="dxa"/>
            <w:vAlign w:val="bottom"/>
            <w:vMerge w:val="restart"/>
          </w:tcPr>
          <w:p>
            <w:pPr>
              <w:spacing w:after="0"/>
              <w:rPr>
                <w:sz w:val="20"/>
                <w:szCs w:val="20"/>
                <w:color w:val="auto"/>
              </w:rPr>
            </w:pPr>
            <w:r>
              <w:rPr>
                <w:rFonts w:ascii="Arial" w:cs="Arial" w:eastAsia="Arial" w:hAnsi="Arial"/>
                <w:sz w:val="18"/>
                <w:szCs w:val="18"/>
                <w:color w:val="3F3F3F"/>
              </w:rPr>
              <w:t>Dr. Vivaldi</w:t>
            </w:r>
          </w:p>
        </w:tc>
        <w:tc>
          <w:tcPr>
            <w:tcW w:w="900" w:type="dxa"/>
            <w:vAlign w:val="bottom"/>
          </w:tcPr>
          <w:p>
            <w:pPr>
              <w:ind w:left="580"/>
              <w:spacing w:after="0" w:line="173" w:lineRule="exact"/>
              <w:rPr>
                <w:sz w:val="20"/>
                <w:szCs w:val="20"/>
                <w:color w:val="auto"/>
              </w:rPr>
            </w:pPr>
            <w:r>
              <w:rPr>
                <w:rFonts w:ascii="Arial" w:cs="Arial" w:eastAsia="Arial" w:hAnsi="Arial"/>
                <w:sz w:val="19"/>
                <w:szCs w:val="19"/>
                <w:color w:val="auto"/>
              </w:rPr>
              <w:t xml:space="preserve">    </w:t>
            </w:r>
          </w:p>
        </w:tc>
        <w:tc>
          <w:tcPr>
            <w:tcW w:w="0" w:type="dxa"/>
            <w:vAlign w:val="bottom"/>
          </w:tcPr>
          <w:p>
            <w:pPr>
              <w:spacing w:after="0"/>
              <w:rPr>
                <w:sz w:val="1"/>
                <w:szCs w:val="1"/>
                <w:color w:val="auto"/>
              </w:rPr>
            </w:pPr>
          </w:p>
        </w:tc>
      </w:tr>
      <w:tr>
        <w:trPr>
          <w:trHeight w:val="67"/>
        </w:trPr>
        <w:tc>
          <w:tcPr>
            <w:tcW w:w="13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585595"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342900</wp:posOffset>
            </wp:positionV>
            <wp:extent cx="488315" cy="8890"/>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b w:val="1"/>
          <w:bCs w:val="1"/>
          <w:color w:val="3F3F3F"/>
        </w:rPr>
        <w:t>The Science and Technology Committee’s key oversight responsibilities include, but are not limited to:</w:t>
      </w:r>
    </w:p>
    <w:p>
      <w:pPr>
        <w:spacing w:after="0" w:line="1" w:lineRule="exact"/>
        <w:rPr>
          <w:sz w:val="20"/>
          <w:szCs w:val="20"/>
          <w:color w:val="auto"/>
        </w:rPr>
      </w:pPr>
    </w:p>
    <w:p>
      <w:pPr>
        <w:ind w:left="180" w:right="100" w:hanging="179"/>
        <w:spacing w:after="0" w:line="271" w:lineRule="auto"/>
        <w:rPr>
          <w:sz w:val="20"/>
          <w:szCs w:val="20"/>
          <w:color w:val="auto"/>
        </w:rPr>
      </w:pPr>
      <w:r>
        <w:rPr>
          <w:rFonts w:ascii="Arial" w:cs="Arial" w:eastAsia="Arial" w:hAnsi="Arial"/>
          <w:sz w:val="18"/>
          <w:szCs w:val="18"/>
          <w:color w:val="3F3F3F"/>
        </w:rPr>
        <w:t>•   Reviewing the overall strategy and direction of the Company’s R&amp;D program, and report to the Board, at least annually</w:t>
      </w:r>
    </w:p>
    <w:p>
      <w:pPr>
        <w:spacing w:after="0" w:line="19" w:lineRule="exact"/>
        <w:rPr>
          <w:sz w:val="20"/>
          <w:szCs w:val="20"/>
          <w:color w:val="auto"/>
        </w:rPr>
      </w:pPr>
    </w:p>
    <w:p>
      <w:pPr>
        <w:ind w:left="180" w:right="660" w:hanging="179"/>
        <w:spacing w:after="0" w:line="271" w:lineRule="auto"/>
        <w:rPr>
          <w:sz w:val="20"/>
          <w:szCs w:val="20"/>
          <w:color w:val="auto"/>
        </w:rPr>
      </w:pPr>
      <w:r>
        <w:rPr>
          <w:rFonts w:ascii="Arial" w:cs="Arial" w:eastAsia="Arial" w:hAnsi="Arial"/>
          <w:sz w:val="18"/>
          <w:szCs w:val="18"/>
          <w:color w:val="3F3F3F"/>
        </w:rPr>
        <w:t>•   Reviewing presentations regarding significant emerging scientific and technological trends and developments relevant to the Company</w:t>
      </w:r>
    </w:p>
    <w:p>
      <w:pPr>
        <w:spacing w:after="0" w:line="520" w:lineRule="exact"/>
        <w:rPr>
          <w:sz w:val="20"/>
          <w:szCs w:val="20"/>
          <w:color w:val="auto"/>
        </w:rPr>
      </w:pPr>
    </w:p>
    <w:p>
      <w:pPr>
        <w:sectPr>
          <w:pgSz w:w="11900" w:h="16838" w:orient="portrait"/>
          <w:cols w:equalWidth="0" w:num="2">
            <w:col w:w="2500" w:space="300"/>
            <w:col w:w="8340"/>
          </w:cols>
          <w:pgMar w:left="320" w:top="473" w:right="439" w:bottom="1440" w:gutter="0" w:footer="0" w:header="0"/>
          <w:type w:val="continuous"/>
        </w:sect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Board Refreshment and Succession Planning</w:t>
      </w:r>
    </w:p>
    <w:p>
      <w:pPr>
        <w:spacing w:after="0" w:line="135"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3F3F3F"/>
        </w:rPr>
        <w:t>Viatris’ Board, with the support of the Governance and Sustainability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73" w:right="4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3F3F3F"/>
        </w:rPr>
        <w:t>Viatris’ Board and Governance and Sustainability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Sustainability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3F3F3F"/>
        </w:rPr>
        <w:t>Viatris’ Board of Directors has always believed that diverse experiences and perspectives help drive innovation and serve Viatris’ mission, both at the board level and in management. The Board’s Diversity and Inclusion Policy, formalizes its longstanding commitment to fostering a culture of inclusion and seeking, supporting, valuing and leveraging diversity in the Board’s composition, including a mix of genders, nationalities, ethnicities, races, and/or ages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 The Board and Governance and Sustainability Committee consider this policy and diversity matters generally during their self-evaluations and when nominating Directors for election to the Board, and the Board considers the policy effective in making sure these matters are appropriately considered.</w:t>
      </w:r>
    </w:p>
    <w:p>
      <w:pPr>
        <w:spacing w:after="0" w:line="113" w:lineRule="exact"/>
        <w:rPr>
          <w:sz w:val="20"/>
          <w:szCs w:val="20"/>
          <w:color w:val="auto"/>
        </w:rPr>
      </w:pPr>
    </w:p>
    <w:p>
      <w:pPr>
        <w:ind w:left="120" w:right="400"/>
        <w:spacing w:after="0" w:line="244" w:lineRule="auto"/>
        <w:rPr>
          <w:sz w:val="20"/>
          <w:szCs w:val="20"/>
          <w:color w:val="auto"/>
        </w:rPr>
      </w:pPr>
      <w:r>
        <w:rPr>
          <w:rFonts w:ascii="Arial" w:cs="Arial" w:eastAsia="Arial" w:hAnsi="Arial"/>
          <w:sz w:val="18"/>
          <w:szCs w:val="18"/>
          <w:color w:val="3F3F3F"/>
        </w:rPr>
        <w:t>The Board has three women members, including our Chair, and three of our Board committees are chaired by women (Executive; Finance; and Governance and Sustainability). Our current Directors and Nominees also include one individual that self-identifies as African American or Black, one individual that self-identifies as Hispanic or Latinx, one individual that self-identifies as Asian, and one individual who self-identifies as White and Asian, in each case as such terms are defined in NASDAQ’s Board Diversity Matrix Instructions. In addition, two of our executive officers (Chief Financial Officer (“CFO”) and Chief Commercial Officer) are women.</w:t>
      </w:r>
    </w:p>
    <w:p>
      <w:pPr>
        <w:spacing w:after="0" w:line="109"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3F3F3F"/>
        </w:rPr>
        <w:t>As part of the Board’s ongoing focus on board refreshment, since 2021 a third-party search firm has assisted with identifying potential new Director candidates, including gender and racially/ethnically diverse candidates. After initial screenings and outreach, as well as additional guidance from the Governance and Sustainability Committee, members of that committee and selected other Directors interviewed potential Director candidates identified by the third-party search firm as well as additional potential Director candidates recommended by Viatris Directors. Based on this process, the Board, on the recommendation of the Governance and Sustainability Committee, appointed Ms. Finney and Mr. Smith to the Board in December 2022 to fill the two vacancies resulting from the retirements of Neil Dimick and</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lan Read, appointed Mr. Groothuis to the Board in May 2023 to fill the vacancy resulting from Michael Goettler ceasing to serve on the Board, and appointed Dr. Vivaldi to the Board in June 2024. We will continue to work to establish a pool of qualified potential candidates to support our Board refreshment efforts.</w:t>
      </w:r>
    </w:p>
    <w:p>
      <w:pPr>
        <w:spacing w:after="0" w:line="98"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3F3F3F"/>
        </w:rPr>
        <w:t>In addition, and as previously disclosed, in May 2023 we announced that Mr. Coury would not stand for re-election at the 2023 Annual Meeting and would cease to be a Director and to serve as an officer and employee of the Company, in each case effective as of the conclusion of the 2023 Annual Meeting, and the Board subsequently elected Melina Higgins as independent Chair of the Board effective immediately following the 2023 Annual Meeting.</w:t>
      </w:r>
    </w:p>
    <w:p>
      <w:pPr>
        <w:spacing w:after="0" w:line="10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3F3F3F"/>
        </w:rPr>
        <w:t>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as well as to have contingency plans in place for emergencies such as departure, death, or disability. The Board discusses succession planning regularly at scheduled meetings, including in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3F3F3F"/>
        </w:rPr>
        <w:t>session, as appropriate. These succession planning activities have been and may continue to be supported by independent third-party consultants.</w:t>
      </w:r>
    </w:p>
    <w:p>
      <w:pPr>
        <w:spacing w:after="0" w:line="7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3F3F3F"/>
        </w:rPr>
        <w:t>The Board prioritizes reviewing and discussing the succession plans for the CEO and each of his direct reports. Management succession planning continues to be among the Board’s top priorities and is included in the annual goals for executive management. In connection with our management succession planning, in February 2023, the Company appointed Scott A. Smith as CEO. In addition, in December 2023, the Company appointed Doretta Mistras to serve as CFO beginning March 1, 2024, and in April 2024, the Company appointed Dr. Corinne Le Goff to serve as Chief Commercial Officer beginning April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235585</wp:posOffset>
            </wp:positionV>
            <wp:extent cx="488315"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Annual Board and Committee Self-Evaluations</w:t>
      </w:r>
    </w:p>
    <w:p>
      <w:pPr>
        <w:spacing w:after="0" w:line="10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3F3F3F"/>
        </w:rPr>
        <w:t>The Governance and Sustainability Committee is responsible for overseeing the annual self-evaluation of the Board and its committees and, as part of those self-evaluations, engages an outside facilitator to lead the process. To date, the annual self-evaluations have alternated between using one-on-one interviews by the outside facilitator with each Director (with the outside facilitator then reporting out to the full Board) and a full Board discussion led by the outside facilitator. The self-evaluation process is designed to facilitate ongoing, systematic examination of the Board’s and committees’ effectiveness and accountability, and to identify opportunities for improving operations and procedures. In addition, the self-evaluations are intended to collect the perspectives of each Director, and are guided by use of a questionnaire, prepared by the outside facilitator, reviewed and approved by the Governance and Sustainability Committee and distributed to Directors in advance, which includes typical questions used to evaluate a board and its committees with appropriate tailoring for the Company. The questionnaire covers, among other topics: Board and committee composition and organization, including responsibilities and oversight assigned to each committee and the Board’s recent refreshment activities; diversity of the Board’s membership; Board and committee leadership and management, including the recent Board leadership transition; Board responsibilities and oversight with respect to topics including, among others, strategic matters, succession planning (including the recent CEO transition), risk oversight, CSR and human capital management and DEI; Board and committee culture, administration and materials/resources; and Board, committee and Director performance.</w:t>
      </w:r>
    </w:p>
    <w:p>
      <w:pPr>
        <w:spacing w:after="0" w:line="122" w:lineRule="exact"/>
        <w:rPr>
          <w:sz w:val="20"/>
          <w:szCs w:val="20"/>
          <w:color w:val="auto"/>
        </w:rPr>
      </w:pPr>
    </w:p>
    <w:p>
      <w:pPr>
        <w:ind w:left="120" w:right="980"/>
        <w:spacing w:after="0" w:line="271" w:lineRule="auto"/>
        <w:rPr>
          <w:sz w:val="20"/>
          <w:szCs w:val="20"/>
          <w:color w:val="auto"/>
        </w:rPr>
      </w:pPr>
      <w:r>
        <w:rPr>
          <w:rFonts w:ascii="Arial" w:cs="Arial" w:eastAsia="Arial" w:hAnsi="Arial"/>
          <w:sz w:val="18"/>
          <w:szCs w:val="18"/>
          <w:color w:val="3F3F3F"/>
        </w:rPr>
        <w:t>Following its discussion with the outside facilitator, the Board discusses potential action items and evolves its processes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488315"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Setting and Overseeing Strategy</w:t>
      </w:r>
    </w:p>
    <w:p>
      <w:pPr>
        <w:spacing w:after="0" w:line="108"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3F3F3F"/>
        </w:rPr>
        <w:t>The Board actively discusses, determines and oversees strategies intended to unlock value for the Company and its shareholders and ensure the durability, sustainability, and stability of the business. We believe the Board has demonstrated over time the consistency and natural progression of its strategy, resulting in a stable base from which we anticipate continued growth despite evolving, challenging, and often unpredictable market conditions.</w:t>
      </w:r>
    </w:p>
    <w:p>
      <w:pPr>
        <w:spacing w:after="0" w:line="93" w:lineRule="exact"/>
        <w:rPr>
          <w:sz w:val="20"/>
          <w:szCs w:val="20"/>
          <w:color w:val="auto"/>
        </w:rPr>
      </w:pPr>
    </w:p>
    <w:p>
      <w:pPr>
        <w:ind w:left="120" w:right="240"/>
        <w:spacing w:after="0" w:line="259" w:lineRule="auto"/>
        <w:rPr>
          <w:sz w:val="20"/>
          <w:szCs w:val="20"/>
          <w:color w:val="auto"/>
        </w:rPr>
      </w:pPr>
      <w:r>
        <w:rPr>
          <w:rFonts w:ascii="Arial" w:cs="Arial" w:eastAsia="Arial" w:hAnsi="Arial"/>
          <w:sz w:val="17"/>
          <w:szCs w:val="17"/>
          <w:color w:val="3F3F3F"/>
        </w:rPr>
        <w:t>Under the leadership of the Board, along with management, we laid out a clear and deliberate strategy to build a highly diversified company with multiple capabilities spanning numerous geographies and therapeutic areas. We established a roadmap that detailed and emphasized our strategic priorities to deliver value to our shareholders. Our initial focus was on stabilizing the base business, delivering on our pipeline, reducing debt, maintaining an investment grade credit rating and returning capital to shareholders. We also entered into certain transactions in order to simplify our business, accelerate paydown of debt and unlock shareholder value. We now anticipate a period of renewed growth and leadership as we expand our portfolio of more innovative, best-in-class, patent-protected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029450" cy="68580"/>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Viatris has completed or announced several transactions that illustrate its ongoing commitment to these priorities:</w:t>
      </w:r>
    </w:p>
    <w:p>
      <w:pPr>
        <w:spacing w:after="0" w:line="131" w:lineRule="exact"/>
        <w:rPr>
          <w:sz w:val="20"/>
          <w:szCs w:val="20"/>
          <w:color w:val="auto"/>
        </w:rPr>
      </w:pPr>
    </w:p>
    <w:p>
      <w:pPr>
        <w:ind w:left="340" w:right="40" w:hanging="224"/>
        <w:spacing w:after="0" w:line="278" w:lineRule="auto"/>
        <w:tabs>
          <w:tab w:leader="none" w:pos="340" w:val="left"/>
        </w:tabs>
        <w:numPr>
          <w:ilvl w:val="0"/>
          <w:numId w:val="25"/>
        </w:numPr>
        <w:rPr>
          <w:rFonts w:ascii="Arial" w:cs="Arial" w:eastAsia="Arial" w:hAnsi="Arial"/>
          <w:sz w:val="18"/>
          <w:szCs w:val="18"/>
          <w:color w:val="3F3F3F"/>
        </w:rPr>
      </w:pPr>
      <w:r>
        <w:rPr>
          <w:rFonts w:ascii="Arial" w:cs="Arial" w:eastAsia="Arial" w:hAnsi="Arial"/>
          <w:sz w:val="18"/>
          <w:szCs w:val="18"/>
          <w:color w:val="3F3F3F"/>
        </w:rPr>
        <w:t>We completed the divestitures of substantially all of our OTC business, our API business in India (while retaining some selective development API capabilities), our women’s healthcare business and our commercialization rights in the Upjohn Distributor Markets. The divestiture of the women’s healthcare business is primarily related to our oral and injectable contraceptives and does not include all of our women’s healthcare related products; as an example, our Xulane</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product in the U.S. is excluded.</w:t>
      </w:r>
    </w:p>
    <w:p>
      <w:pPr>
        <w:spacing w:after="0" w:line="2" w:lineRule="exact"/>
        <w:rPr>
          <w:rFonts w:ascii="Arial" w:cs="Arial" w:eastAsia="Arial" w:hAnsi="Arial"/>
          <w:sz w:val="18"/>
          <w:szCs w:val="18"/>
          <w:color w:val="3F3F3F"/>
        </w:rPr>
      </w:pPr>
    </w:p>
    <w:p>
      <w:pPr>
        <w:ind w:left="340" w:right="40" w:hanging="224"/>
        <w:spacing w:after="0" w:line="255" w:lineRule="auto"/>
        <w:tabs>
          <w:tab w:leader="none" w:pos="340" w:val="left"/>
        </w:tabs>
        <w:numPr>
          <w:ilvl w:val="0"/>
          <w:numId w:val="25"/>
        </w:numPr>
        <w:rPr>
          <w:rFonts w:ascii="Arial" w:cs="Arial" w:eastAsia="Arial" w:hAnsi="Arial"/>
          <w:sz w:val="18"/>
          <w:szCs w:val="18"/>
          <w:color w:val="3F3F3F"/>
        </w:rPr>
      </w:pPr>
      <w:r>
        <w:rPr>
          <w:rFonts w:ascii="Arial" w:cs="Arial" w:eastAsia="Arial" w:hAnsi="Arial"/>
          <w:sz w:val="18"/>
          <w:szCs w:val="18"/>
          <w:color w:val="3F3F3F"/>
        </w:rPr>
        <w:t>In the first quarter of 2023, we completed the acquisition of Oyster Point Pharma, Inc. (“Oyster Point”) and acquired the remaining equity shares of Famy Life Sciences Private Limited (“Famy Life Sciences”). Ophthalmology is one of our key therapeutic areas of focus. With the combination of Viatris’ global commercial footprint, R&amp;D and regulatory capabilities and supply chain, along with Oyster Point’s deep knowledge of the ophthalmology space from a clinical, medical, regulatory and commercial perspective—including Tyrvaya</w:t>
      </w:r>
      <w:r>
        <w:rPr>
          <w:rFonts w:ascii="Arial" w:cs="Arial" w:eastAsia="Arial" w:hAnsi="Arial"/>
          <w:sz w:val="26"/>
          <w:szCs w:val="26"/>
          <w:color w:val="3F3F3F"/>
          <w:vertAlign w:val="superscript"/>
        </w:rPr>
        <w:t>®</w:t>
      </w:r>
      <w:r>
        <w:rPr>
          <w:rFonts w:ascii="Arial" w:cs="Arial" w:eastAsia="Arial" w:hAnsi="Arial"/>
          <w:sz w:val="18"/>
          <w:szCs w:val="18"/>
          <w:color w:val="3F3F3F"/>
        </w:rPr>
        <w:t>—and Famy Life Sciences’ Phase III-ready pipeline, we believe it has the foundation to create a leading global ophthalmology franchise, accelerating efforts to address the unmet needs of patients with ophthalmic disease and the eye care professionals who treat them.</w:t>
      </w:r>
    </w:p>
    <w:p>
      <w:pPr>
        <w:spacing w:after="0" w:line="89" w:lineRule="exact"/>
        <w:rPr>
          <w:rFonts w:ascii="Arial" w:cs="Arial" w:eastAsia="Arial" w:hAnsi="Arial"/>
          <w:sz w:val="18"/>
          <w:szCs w:val="18"/>
          <w:color w:val="3F3F3F"/>
        </w:rPr>
      </w:pPr>
    </w:p>
    <w:p>
      <w:pPr>
        <w:ind w:left="340" w:right="60" w:hanging="224"/>
        <w:spacing w:after="0" w:line="253" w:lineRule="auto"/>
        <w:tabs>
          <w:tab w:leader="none" w:pos="340" w:val="left"/>
        </w:tabs>
        <w:numPr>
          <w:ilvl w:val="0"/>
          <w:numId w:val="25"/>
        </w:numPr>
        <w:rPr>
          <w:rFonts w:ascii="Arial" w:cs="Arial" w:eastAsia="Arial" w:hAnsi="Arial"/>
          <w:sz w:val="17"/>
          <w:szCs w:val="17"/>
          <w:color w:val="3F3F3F"/>
        </w:rPr>
      </w:pPr>
      <w:r>
        <w:rPr>
          <w:rFonts w:ascii="Arial" w:cs="Arial" w:eastAsia="Arial" w:hAnsi="Arial"/>
          <w:sz w:val="17"/>
          <w:szCs w:val="17"/>
          <w:color w:val="3F3F3F"/>
        </w:rPr>
        <w:t>In March 2024, we closed a significant global R&amp;D collaboration with Idorsia under which Viatris received exclusive global development and commercialization rights to two Phase III assets as well as the potential to add additional innovative assets in the future. The collaboration includes (i) selatogrel, a potential life-saving self-administered medicine for patients with a history of acute myocardial infarction, or heart attack, and builds on Viatris’ existing global cardiovascular franchise and specialty infrastructure, as well as its knowledge, leadership, and distribution capabilities for self-administered medication for acute life-threatening conditions as well as</w:t>
      </w:r>
    </w:p>
    <w:p>
      <w:pPr>
        <w:ind w:left="340" w:right="160"/>
        <w:spacing w:after="0" w:line="239" w:lineRule="auto"/>
        <w:rPr>
          <w:rFonts w:ascii="Arial" w:cs="Arial" w:eastAsia="Arial" w:hAnsi="Arial"/>
          <w:sz w:val="17"/>
          <w:szCs w:val="17"/>
          <w:color w:val="3F3F3F"/>
        </w:rPr>
      </w:pPr>
      <w:r>
        <w:rPr>
          <w:rFonts w:ascii="Arial" w:cs="Arial" w:eastAsia="Arial" w:hAnsi="Arial"/>
          <w:sz w:val="18"/>
          <w:szCs w:val="18"/>
          <w:color w:val="3F3F3F"/>
        </w:rPr>
        <w:t>(ii) cenerimod, a novel immunology asset that has the potential to be a first-in-class oral therapy for the treatment of systemic lupus erythematosus, the most common form of lupus. Through lifecycle management, this asset also has the potential for broad application across multiple autoimmune diseases in a specialist-driven category with attractive market dynamics for oral therapies and could be a cornerstone asset in Viatris’ immunology platform. We believe this type of global R&amp;D partnership structure with Idorsia is a great example of our disciplined approach to capital allocation.</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3F3F3F"/>
        </w:rPr>
        <w:t>The Board remains committed to overseeing continuing efforts to further unlock the value of our unique global platform and return capital to shareholders and to maintaining an ongoing dialogue with shareholders regarding a broad range of topics, including, among others, our differentiated strategy and business model; the Global Healthcare Gateway</w:t>
      </w:r>
      <w:r>
        <w:rPr>
          <w:rFonts w:ascii="Arial" w:cs="Arial" w:eastAsia="Arial" w:hAnsi="Arial"/>
          <w:sz w:val="26"/>
          <w:szCs w:val="26"/>
          <w:color w:val="3F3F3F"/>
          <w:vertAlign w:val="superscript"/>
        </w:rPr>
        <w:t>®</w:t>
      </w:r>
      <w:r>
        <w:rPr>
          <w:rFonts w:ascii="Arial" w:cs="Arial" w:eastAsia="Arial" w:hAnsi="Arial"/>
          <w:sz w:val="18"/>
          <w:szCs w:val="18"/>
          <w:color w:val="3F3F3F"/>
        </w:rPr>
        <w:t>; de-leveraging strategies; debt reduction; governance; compensation; sustainability; and further enhancing our efforts to advance our corporate environmental and social responsibility performance.</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174"/>
        </w:trPr>
        <w:tc>
          <w:tcPr>
            <w:tcW w:w="1960" w:type="dxa"/>
            <w:vAlign w:val="bottom"/>
            <w:shd w:val="clear" w:color="auto" w:fill="FEF9E5"/>
          </w:tcPr>
          <w:p>
            <w:pPr>
              <w:spacing w:after="0"/>
              <w:rPr>
                <w:sz w:val="24"/>
                <w:szCs w:val="24"/>
                <w:color w:val="auto"/>
              </w:rPr>
            </w:pPr>
          </w:p>
        </w:tc>
        <w:tc>
          <w:tcPr>
            <w:tcW w:w="2340" w:type="dxa"/>
            <w:vAlign w:val="bottom"/>
            <w:shd w:val="clear" w:color="auto" w:fill="FEF9E5"/>
          </w:tcPr>
          <w:p>
            <w:pPr>
              <w:spacing w:after="0"/>
              <w:rPr>
                <w:sz w:val="24"/>
                <w:szCs w:val="24"/>
                <w:color w:val="auto"/>
              </w:rPr>
            </w:pPr>
          </w:p>
        </w:tc>
        <w:tc>
          <w:tcPr>
            <w:tcW w:w="2280" w:type="dxa"/>
            <w:vAlign w:val="bottom"/>
            <w:shd w:val="clear" w:color="auto" w:fill="FEF9E5"/>
          </w:tcPr>
          <w:p>
            <w:pPr>
              <w:spacing w:after="0"/>
              <w:rPr>
                <w:sz w:val="24"/>
                <w:szCs w:val="24"/>
                <w:color w:val="auto"/>
              </w:rPr>
            </w:pP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231161"/>
              </w:rPr>
              <w:t>Global</w:t>
            </w:r>
          </w:p>
        </w:tc>
        <w:tc>
          <w:tcPr>
            <w:tcW w:w="2200" w:type="dxa"/>
            <w:vAlign w:val="bottom"/>
            <w:shd w:val="clear" w:color="auto" w:fill="FEF9E5"/>
          </w:tcPr>
          <w:p>
            <w:pPr>
              <w:jc w:val="center"/>
              <w:ind w:left="9"/>
              <w:spacing w:after="0"/>
              <w:rPr>
                <w:sz w:val="20"/>
                <w:szCs w:val="20"/>
                <w:color w:val="auto"/>
              </w:rPr>
            </w:pPr>
            <w:r>
              <w:rPr>
                <w:rFonts w:ascii="Arial" w:cs="Arial" w:eastAsia="Arial" w:hAnsi="Arial"/>
                <w:sz w:val="14"/>
                <w:szCs w:val="14"/>
                <w:color w:val="231161"/>
              </w:rPr>
              <w:t>Execution</w:t>
            </w:r>
          </w:p>
        </w:tc>
        <w:tc>
          <w:tcPr>
            <w:tcW w:w="0" w:type="dxa"/>
            <w:vAlign w:val="bottom"/>
          </w:tcPr>
          <w:p>
            <w:pPr>
              <w:spacing w:after="0"/>
              <w:rPr>
                <w:sz w:val="1"/>
                <w:szCs w:val="1"/>
                <w:color w:val="auto"/>
              </w:rPr>
            </w:pPr>
          </w:p>
        </w:tc>
      </w:tr>
      <w:tr>
        <w:trPr>
          <w:trHeight w:val="203"/>
        </w:trPr>
        <w:tc>
          <w:tcPr>
            <w:tcW w:w="196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Committed</w:t>
            </w:r>
          </w:p>
        </w:tc>
        <w:tc>
          <w:tcPr>
            <w:tcW w:w="2340" w:type="dxa"/>
            <w:vAlign w:val="bottom"/>
            <w:shd w:val="clear" w:color="auto" w:fill="FEF9E5"/>
          </w:tcPr>
          <w:p>
            <w:pPr>
              <w:spacing w:after="0"/>
              <w:rPr>
                <w:sz w:val="17"/>
                <w:szCs w:val="17"/>
                <w:color w:val="auto"/>
              </w:rPr>
            </w:pPr>
          </w:p>
        </w:tc>
        <w:tc>
          <w:tcPr>
            <w:tcW w:w="2280" w:type="dxa"/>
            <w:vAlign w:val="bottom"/>
            <w:shd w:val="clear" w:color="auto" w:fill="FEF9E5"/>
          </w:tcPr>
          <w:p>
            <w:pPr>
              <w:spacing w:after="0"/>
              <w:rPr>
                <w:sz w:val="17"/>
                <w:szCs w:val="17"/>
                <w:color w:val="auto"/>
              </w:rPr>
            </w:pP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231161"/>
              </w:rPr>
              <w:t>Healthcare</w:t>
            </w:r>
          </w:p>
        </w:tc>
        <w:tc>
          <w:tcPr>
            <w:tcW w:w="2200" w:type="dxa"/>
            <w:vAlign w:val="bottom"/>
            <w:shd w:val="clear" w:color="auto" w:fill="FEF9E5"/>
          </w:tcPr>
          <w:p>
            <w:pPr>
              <w:jc w:val="center"/>
              <w:ind w:left="9"/>
              <w:spacing w:after="0"/>
              <w:rPr>
                <w:sz w:val="20"/>
                <w:szCs w:val="20"/>
                <w:color w:val="auto"/>
              </w:rPr>
            </w:pPr>
            <w:r>
              <w:rPr>
                <w:rFonts w:ascii="Arial" w:cs="Arial" w:eastAsia="Arial" w:hAnsi="Arial"/>
                <w:sz w:val="14"/>
                <w:szCs w:val="14"/>
                <w:color w:val="231161"/>
              </w:rPr>
              <w:t>roadmap to</w:t>
            </w:r>
          </w:p>
        </w:tc>
        <w:tc>
          <w:tcPr>
            <w:tcW w:w="0" w:type="dxa"/>
            <w:vAlign w:val="bottom"/>
          </w:tcPr>
          <w:p>
            <w:pPr>
              <w:spacing w:after="0"/>
              <w:rPr>
                <w:sz w:val="1"/>
                <w:szCs w:val="1"/>
                <w:color w:val="auto"/>
              </w:rPr>
            </w:pPr>
          </w:p>
        </w:tc>
      </w:tr>
      <w:tr>
        <w:trPr>
          <w:trHeight w:val="162"/>
        </w:trPr>
        <w:tc>
          <w:tcPr>
            <w:tcW w:w="196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to Delivering</w:t>
            </w:r>
          </w:p>
        </w:tc>
        <w:tc>
          <w:tcPr>
            <w:tcW w:w="2340" w:type="dxa"/>
            <w:vAlign w:val="bottom"/>
            <w:shd w:val="clear" w:color="auto" w:fill="FEF9E5"/>
          </w:tcPr>
          <w:p>
            <w:pPr>
              <w:jc w:val="center"/>
              <w:spacing w:after="0"/>
              <w:rPr>
                <w:sz w:val="20"/>
                <w:szCs w:val="20"/>
                <w:color w:val="auto"/>
              </w:rPr>
            </w:pPr>
            <w:r>
              <w:rPr>
                <w:rFonts w:ascii="Arial" w:cs="Arial" w:eastAsia="Arial" w:hAnsi="Arial"/>
                <w:sz w:val="14"/>
                <w:szCs w:val="14"/>
                <w:color w:val="231161"/>
              </w:rPr>
              <w:t>Unique global</w:t>
            </w:r>
          </w:p>
        </w:tc>
        <w:tc>
          <w:tcPr>
            <w:tcW w:w="2280" w:type="dxa"/>
            <w:vAlign w:val="bottom"/>
            <w:shd w:val="clear" w:color="auto" w:fill="FEF9E5"/>
          </w:tcPr>
          <w:p>
            <w:pPr>
              <w:jc w:val="center"/>
              <w:ind w:right="10"/>
              <w:spacing w:after="0"/>
              <w:rPr>
                <w:sz w:val="20"/>
                <w:szCs w:val="20"/>
                <w:color w:val="auto"/>
              </w:rPr>
            </w:pPr>
            <w:r>
              <w:rPr>
                <w:rFonts w:ascii="Arial" w:cs="Arial" w:eastAsia="Arial" w:hAnsi="Arial"/>
                <w:sz w:val="14"/>
                <w:szCs w:val="14"/>
                <w:color w:val="231161"/>
              </w:rPr>
              <w:t>Performance-</w:t>
            </w:r>
          </w:p>
        </w:tc>
        <w:tc>
          <w:tcPr>
            <w:tcW w:w="2240" w:type="dxa"/>
            <w:vAlign w:val="bottom"/>
            <w:shd w:val="clear" w:color="auto" w:fill="FEF9E5"/>
          </w:tcPr>
          <w:p>
            <w:pPr>
              <w:jc w:val="center"/>
              <w:spacing w:after="0" w:line="162" w:lineRule="exact"/>
              <w:rPr>
                <w:sz w:val="20"/>
                <w:szCs w:val="20"/>
                <w:color w:val="auto"/>
              </w:rPr>
            </w:pPr>
            <w:r>
              <w:rPr>
                <w:rFonts w:ascii="Arial" w:cs="Arial" w:eastAsia="Arial" w:hAnsi="Arial"/>
                <w:sz w:val="13"/>
                <w:szCs w:val="13"/>
                <w:color w:val="231161"/>
              </w:rPr>
              <w:t>Gateway</w:t>
            </w:r>
            <w:r>
              <w:rPr>
                <w:rFonts w:ascii="Arial" w:cs="Arial" w:eastAsia="Arial" w:hAnsi="Arial"/>
                <w:sz w:val="18"/>
                <w:szCs w:val="18"/>
                <w:color w:val="231161"/>
                <w:vertAlign w:val="superscript"/>
              </w:rPr>
              <w:t>®</w:t>
            </w:r>
          </w:p>
        </w:tc>
        <w:tc>
          <w:tcPr>
            <w:tcW w:w="2200" w:type="dxa"/>
            <w:vAlign w:val="bottom"/>
            <w:shd w:val="clear" w:color="auto" w:fill="FEF9E5"/>
          </w:tcPr>
          <w:p>
            <w:pPr>
              <w:jc w:val="center"/>
              <w:ind w:left="9"/>
              <w:spacing w:after="0"/>
              <w:rPr>
                <w:sz w:val="20"/>
                <w:szCs w:val="20"/>
                <w:color w:val="auto"/>
              </w:rPr>
            </w:pPr>
            <w:r>
              <w:rPr>
                <w:rFonts w:ascii="Arial" w:cs="Arial" w:eastAsia="Arial" w:hAnsi="Arial"/>
                <w:sz w:val="14"/>
                <w:szCs w:val="14"/>
                <w:color w:val="231161"/>
              </w:rPr>
              <w:t>optimize total</w:t>
            </w:r>
          </w:p>
        </w:tc>
        <w:tc>
          <w:tcPr>
            <w:tcW w:w="0" w:type="dxa"/>
            <w:vAlign w:val="bottom"/>
          </w:tcPr>
          <w:p>
            <w:pPr>
              <w:spacing w:after="0"/>
              <w:rPr>
                <w:sz w:val="1"/>
                <w:szCs w:val="1"/>
                <w:color w:val="auto"/>
              </w:rPr>
            </w:pPr>
          </w:p>
        </w:tc>
      </w:tr>
      <w:tr>
        <w:trPr>
          <w:trHeight w:val="99"/>
        </w:trPr>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Significant</w:t>
            </w:r>
          </w:p>
        </w:tc>
        <w:tc>
          <w:tcPr>
            <w:tcW w:w="234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platform</w:t>
            </w:r>
          </w:p>
        </w:tc>
        <w:tc>
          <w:tcPr>
            <w:tcW w:w="2280" w:type="dxa"/>
            <w:vAlign w:val="bottom"/>
            <w:shd w:val="clear" w:color="auto" w:fill="FEF9E5"/>
          </w:tcPr>
          <w:p>
            <w:pPr>
              <w:jc w:val="center"/>
              <w:spacing w:after="0" w:line="99" w:lineRule="exact"/>
              <w:rPr>
                <w:sz w:val="20"/>
                <w:szCs w:val="20"/>
                <w:color w:val="auto"/>
              </w:rPr>
            </w:pPr>
            <w:r>
              <w:rPr>
                <w:rFonts w:ascii="Arial" w:cs="Arial" w:eastAsia="Arial" w:hAnsi="Arial"/>
                <w:sz w:val="11"/>
                <w:szCs w:val="11"/>
                <w:color w:val="231161"/>
              </w:rPr>
              <w:t>driven culture</w:t>
            </w:r>
          </w:p>
        </w:tc>
        <w:tc>
          <w:tcPr>
            <w:tcW w:w="224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Innovative global</w:t>
            </w:r>
          </w:p>
        </w:tc>
        <w:tc>
          <w:tcPr>
            <w:tcW w:w="2200" w:type="dxa"/>
            <w:vAlign w:val="bottom"/>
            <w:shd w:val="clear" w:color="auto" w:fill="FEF9E5"/>
          </w:tcPr>
          <w:p>
            <w:pPr>
              <w:jc w:val="center"/>
              <w:ind w:left="9"/>
              <w:spacing w:after="0" w:line="99" w:lineRule="exact"/>
              <w:rPr>
                <w:sz w:val="20"/>
                <w:szCs w:val="20"/>
                <w:color w:val="auto"/>
              </w:rPr>
            </w:pPr>
            <w:r>
              <w:rPr>
                <w:rFonts w:ascii="Arial" w:cs="Arial" w:eastAsia="Arial" w:hAnsi="Arial"/>
                <w:sz w:val="11"/>
                <w:szCs w:val="11"/>
                <w:color w:val="231161"/>
              </w:rPr>
              <w:t>shareholder</w:t>
            </w:r>
          </w:p>
        </w:tc>
        <w:tc>
          <w:tcPr>
            <w:tcW w:w="0" w:type="dxa"/>
            <w:vAlign w:val="bottom"/>
          </w:tcPr>
          <w:p>
            <w:pPr>
              <w:spacing w:after="0"/>
              <w:rPr>
                <w:sz w:val="1"/>
                <w:szCs w:val="1"/>
                <w:color w:val="auto"/>
              </w:rPr>
            </w:pPr>
          </w:p>
        </w:tc>
      </w:tr>
      <w:tr>
        <w:trPr>
          <w:trHeight w:val="144"/>
        </w:trPr>
        <w:tc>
          <w:tcPr>
            <w:tcW w:w="1960" w:type="dxa"/>
            <w:vAlign w:val="bottom"/>
            <w:vMerge w:val="continue"/>
            <w:shd w:val="clear" w:color="auto" w:fill="FEF9E5"/>
          </w:tcPr>
          <w:p>
            <w:pPr>
              <w:spacing w:after="0"/>
              <w:rPr>
                <w:sz w:val="12"/>
                <w:szCs w:val="12"/>
                <w:color w:val="auto"/>
              </w:rPr>
            </w:pPr>
          </w:p>
        </w:tc>
        <w:tc>
          <w:tcPr>
            <w:tcW w:w="2340" w:type="dxa"/>
            <w:vAlign w:val="bottom"/>
            <w:vMerge w:val="continue"/>
            <w:shd w:val="clear" w:color="auto" w:fill="FEF9E5"/>
          </w:tcPr>
          <w:p>
            <w:pPr>
              <w:spacing w:after="0"/>
              <w:rPr>
                <w:sz w:val="12"/>
                <w:szCs w:val="12"/>
                <w:color w:val="auto"/>
              </w:rPr>
            </w:pPr>
          </w:p>
        </w:tc>
        <w:tc>
          <w:tcPr>
            <w:tcW w:w="2280" w:type="dxa"/>
            <w:vAlign w:val="bottom"/>
            <w:shd w:val="clear" w:color="auto" w:fill="FEF9E5"/>
          </w:tcPr>
          <w:p>
            <w:pPr>
              <w:jc w:val="center"/>
              <w:ind w:right="10"/>
              <w:spacing w:after="0" w:line="145" w:lineRule="exact"/>
              <w:rPr>
                <w:sz w:val="20"/>
                <w:szCs w:val="20"/>
                <w:color w:val="auto"/>
              </w:rPr>
            </w:pPr>
            <w:r>
              <w:rPr>
                <w:rFonts w:ascii="Arial" w:cs="Arial" w:eastAsia="Arial" w:hAnsi="Arial"/>
                <w:sz w:val="14"/>
                <w:szCs w:val="14"/>
                <w:color w:val="3F3F3F"/>
              </w:rPr>
              <w:t>Focused on commercial</w:t>
            </w:r>
          </w:p>
        </w:tc>
        <w:tc>
          <w:tcPr>
            <w:tcW w:w="2240" w:type="dxa"/>
            <w:vAlign w:val="bottom"/>
            <w:vMerge w:val="continue"/>
            <w:shd w:val="clear" w:color="auto" w:fill="FEF9E5"/>
          </w:tcPr>
          <w:p>
            <w:pPr>
              <w:spacing w:after="0"/>
              <w:rPr>
                <w:sz w:val="12"/>
                <w:szCs w:val="12"/>
                <w:color w:val="auto"/>
              </w:rPr>
            </w:pPr>
          </w:p>
        </w:tc>
        <w:tc>
          <w:tcPr>
            <w:tcW w:w="2200" w:type="dxa"/>
            <w:vAlign w:val="bottom"/>
            <w:shd w:val="clear" w:color="auto" w:fill="FEF9E5"/>
          </w:tcPr>
          <w:p>
            <w:pPr>
              <w:jc w:val="center"/>
              <w:ind w:left="29"/>
              <w:spacing w:after="0" w:line="145" w:lineRule="exact"/>
              <w:rPr>
                <w:sz w:val="20"/>
                <w:szCs w:val="20"/>
                <w:color w:val="auto"/>
              </w:rPr>
            </w:pPr>
            <w:r>
              <w:rPr>
                <w:rFonts w:ascii="Arial" w:cs="Arial" w:eastAsia="Arial" w:hAnsi="Arial"/>
                <w:sz w:val="14"/>
                <w:szCs w:val="14"/>
                <w:color w:val="231161"/>
              </w:rPr>
              <w:t>return</w:t>
            </w:r>
          </w:p>
        </w:tc>
        <w:tc>
          <w:tcPr>
            <w:tcW w:w="0" w:type="dxa"/>
            <w:vAlign w:val="bottom"/>
          </w:tcPr>
          <w:p>
            <w:pPr>
              <w:spacing w:after="0"/>
              <w:rPr>
                <w:sz w:val="1"/>
                <w:szCs w:val="1"/>
                <w:color w:val="auto"/>
              </w:rPr>
            </w:pPr>
          </w:p>
        </w:tc>
      </w:tr>
      <w:tr>
        <w:trPr>
          <w:trHeight w:val="162"/>
        </w:trPr>
        <w:tc>
          <w:tcPr>
            <w:tcW w:w="196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Shareholder</w:t>
            </w:r>
          </w:p>
        </w:tc>
        <w:tc>
          <w:tcPr>
            <w:tcW w:w="23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Unparalleled global reach</w:t>
            </w:r>
          </w:p>
        </w:tc>
        <w:tc>
          <w:tcPr>
            <w:tcW w:w="2280" w:type="dxa"/>
            <w:vAlign w:val="bottom"/>
            <w:shd w:val="clear" w:color="auto" w:fill="FEF9E5"/>
          </w:tcPr>
          <w:p>
            <w:pPr>
              <w:jc w:val="center"/>
              <w:ind w:right="10"/>
              <w:spacing w:after="0"/>
              <w:rPr>
                <w:sz w:val="20"/>
                <w:szCs w:val="20"/>
                <w:color w:val="auto"/>
              </w:rPr>
            </w:pPr>
            <w:r>
              <w:rPr>
                <w:rFonts w:ascii="Arial" w:cs="Arial" w:eastAsia="Arial" w:hAnsi="Arial"/>
                <w:sz w:val="14"/>
                <w:szCs w:val="14"/>
                <w:color w:val="3F3F3F"/>
              </w:rPr>
              <w:t>execution, operational</w:t>
            </w: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infrastructure</w:t>
            </w:r>
          </w:p>
        </w:tc>
        <w:tc>
          <w:tcPr>
            <w:tcW w:w="2200" w:type="dxa"/>
            <w:vAlign w:val="bottom"/>
            <w:shd w:val="clear" w:color="auto" w:fill="FEF9E5"/>
          </w:tcPr>
          <w:p>
            <w:pPr>
              <w:jc w:val="center"/>
              <w:ind w:left="29"/>
              <w:spacing w:after="0"/>
              <w:rPr>
                <w:sz w:val="20"/>
                <w:szCs w:val="20"/>
                <w:color w:val="auto"/>
              </w:rPr>
            </w:pPr>
            <w:r>
              <w:rPr>
                <w:rFonts w:ascii="Arial" w:cs="Arial" w:eastAsia="Arial" w:hAnsi="Arial"/>
                <w:sz w:val="14"/>
                <w:szCs w:val="14"/>
                <w:color w:val="3F3F3F"/>
              </w:rPr>
              <w:t>Right internal conditions</w:t>
            </w:r>
          </w:p>
        </w:tc>
        <w:tc>
          <w:tcPr>
            <w:tcW w:w="0" w:type="dxa"/>
            <w:vAlign w:val="bottom"/>
          </w:tcPr>
          <w:p>
            <w:pPr>
              <w:spacing w:after="0"/>
              <w:rPr>
                <w:sz w:val="1"/>
                <w:szCs w:val="1"/>
                <w:color w:val="auto"/>
              </w:rPr>
            </w:pPr>
          </w:p>
        </w:tc>
      </w:tr>
      <w:tr>
        <w:trPr>
          <w:trHeight w:val="162"/>
        </w:trPr>
        <w:tc>
          <w:tcPr>
            <w:tcW w:w="196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Value</w:t>
            </w:r>
          </w:p>
        </w:tc>
        <w:tc>
          <w:tcPr>
            <w:tcW w:w="23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and global network with</w:t>
            </w:r>
          </w:p>
        </w:tc>
        <w:tc>
          <w:tcPr>
            <w:tcW w:w="2280" w:type="dxa"/>
            <w:vAlign w:val="bottom"/>
            <w:shd w:val="clear" w:color="auto" w:fill="FEF9E5"/>
          </w:tcPr>
          <w:p>
            <w:pPr>
              <w:jc w:val="center"/>
              <w:ind w:right="10"/>
              <w:spacing w:after="0"/>
              <w:rPr>
                <w:sz w:val="20"/>
                <w:szCs w:val="20"/>
                <w:color w:val="auto"/>
              </w:rPr>
            </w:pPr>
            <w:r>
              <w:rPr>
                <w:rFonts w:ascii="Arial" w:cs="Arial" w:eastAsia="Arial" w:hAnsi="Arial"/>
                <w:sz w:val="14"/>
                <w:szCs w:val="14"/>
                <w:color w:val="3F3F3F"/>
              </w:rPr>
              <w:t>excellence, financial</w:t>
            </w: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offers partners ready</w:t>
            </w:r>
          </w:p>
        </w:tc>
        <w:tc>
          <w:tcPr>
            <w:tcW w:w="2200" w:type="dxa"/>
            <w:vAlign w:val="bottom"/>
            <w:shd w:val="clear" w:color="auto" w:fill="FEF9E5"/>
          </w:tcPr>
          <w:p>
            <w:pPr>
              <w:jc w:val="center"/>
              <w:ind w:left="29"/>
              <w:spacing w:after="0"/>
              <w:rPr>
                <w:sz w:val="20"/>
                <w:szCs w:val="20"/>
                <w:color w:val="auto"/>
              </w:rPr>
            </w:pPr>
            <w:r>
              <w:rPr>
                <w:rFonts w:ascii="Arial" w:cs="Arial" w:eastAsia="Arial" w:hAnsi="Arial"/>
                <w:sz w:val="14"/>
                <w:szCs w:val="14"/>
                <w:color w:val="3F3F3F"/>
              </w:rPr>
              <w:t>to maximize value</w:t>
            </w:r>
          </w:p>
        </w:tc>
        <w:tc>
          <w:tcPr>
            <w:tcW w:w="0" w:type="dxa"/>
            <w:vAlign w:val="bottom"/>
          </w:tcPr>
          <w:p>
            <w:pPr>
              <w:spacing w:after="0"/>
              <w:rPr>
                <w:sz w:val="1"/>
                <w:szCs w:val="1"/>
                <w:color w:val="auto"/>
              </w:rPr>
            </w:pPr>
          </w:p>
        </w:tc>
      </w:tr>
      <w:tr>
        <w:trPr>
          <w:trHeight w:val="162"/>
        </w:trPr>
        <w:tc>
          <w:tcPr>
            <w:tcW w:w="1960" w:type="dxa"/>
            <w:vAlign w:val="bottom"/>
            <w:shd w:val="clear" w:color="auto" w:fill="FEF9E5"/>
          </w:tcPr>
          <w:p>
            <w:pPr>
              <w:spacing w:after="0"/>
              <w:rPr>
                <w:sz w:val="14"/>
                <w:szCs w:val="14"/>
                <w:color w:val="auto"/>
              </w:rPr>
            </w:pPr>
          </w:p>
        </w:tc>
        <w:tc>
          <w:tcPr>
            <w:tcW w:w="23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sustainable, diverse, and</w:t>
            </w:r>
          </w:p>
        </w:tc>
        <w:tc>
          <w:tcPr>
            <w:tcW w:w="2280" w:type="dxa"/>
            <w:vAlign w:val="bottom"/>
            <w:shd w:val="clear" w:color="auto" w:fill="FEF9E5"/>
          </w:tcPr>
          <w:p>
            <w:pPr>
              <w:jc w:val="center"/>
              <w:ind w:right="10"/>
              <w:spacing w:after="0"/>
              <w:rPr>
                <w:sz w:val="20"/>
                <w:szCs w:val="20"/>
                <w:color w:val="auto"/>
              </w:rPr>
            </w:pPr>
            <w:r>
              <w:rPr>
                <w:rFonts w:ascii="Arial" w:cs="Arial" w:eastAsia="Arial" w:hAnsi="Arial"/>
                <w:sz w:val="14"/>
                <w:szCs w:val="14"/>
                <w:color w:val="3F3F3F"/>
              </w:rPr>
              <w:t>discipline, and corporate</w:t>
            </w: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access to expanded</w:t>
            </w:r>
          </w:p>
        </w:tc>
        <w:tc>
          <w:tcPr>
            <w:tcW w:w="2200" w:type="dxa"/>
            <w:vAlign w:val="bottom"/>
            <w:shd w:val="clear" w:color="auto" w:fill="FEF9E5"/>
          </w:tcPr>
          <w:p>
            <w:pPr>
              <w:jc w:val="center"/>
              <w:ind w:left="9"/>
              <w:spacing w:after="0"/>
              <w:rPr>
                <w:sz w:val="20"/>
                <w:szCs w:val="20"/>
                <w:color w:val="auto"/>
              </w:rPr>
            </w:pPr>
            <w:r>
              <w:rPr>
                <w:rFonts w:ascii="Arial" w:cs="Arial" w:eastAsia="Arial" w:hAnsi="Arial"/>
                <w:sz w:val="14"/>
                <w:szCs w:val="14"/>
                <w:color w:val="3F3F3F"/>
              </w:rPr>
              <w:t>creation with clear</w:t>
            </w:r>
          </w:p>
        </w:tc>
        <w:tc>
          <w:tcPr>
            <w:tcW w:w="0" w:type="dxa"/>
            <w:vAlign w:val="bottom"/>
          </w:tcPr>
          <w:p>
            <w:pPr>
              <w:spacing w:after="0"/>
              <w:rPr>
                <w:sz w:val="1"/>
                <w:szCs w:val="1"/>
                <w:color w:val="auto"/>
              </w:rPr>
            </w:pPr>
          </w:p>
        </w:tc>
      </w:tr>
      <w:tr>
        <w:trPr>
          <w:trHeight w:val="162"/>
        </w:trPr>
        <w:tc>
          <w:tcPr>
            <w:tcW w:w="1960" w:type="dxa"/>
            <w:vAlign w:val="bottom"/>
            <w:shd w:val="clear" w:color="auto" w:fill="FEF9E5"/>
          </w:tcPr>
          <w:p>
            <w:pPr>
              <w:spacing w:after="0"/>
              <w:rPr>
                <w:sz w:val="14"/>
                <w:szCs w:val="14"/>
                <w:color w:val="auto"/>
              </w:rPr>
            </w:pPr>
          </w:p>
        </w:tc>
        <w:tc>
          <w:tcPr>
            <w:tcW w:w="23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differentiated portfolio</w:t>
            </w:r>
          </w:p>
        </w:tc>
        <w:tc>
          <w:tcPr>
            <w:tcW w:w="2280" w:type="dxa"/>
            <w:vAlign w:val="bottom"/>
            <w:shd w:val="clear" w:color="auto" w:fill="FEF9E5"/>
          </w:tcPr>
          <w:p>
            <w:pPr>
              <w:jc w:val="center"/>
              <w:ind w:right="10"/>
              <w:spacing w:after="0"/>
              <w:rPr>
                <w:sz w:val="20"/>
                <w:szCs w:val="20"/>
                <w:color w:val="auto"/>
              </w:rPr>
            </w:pPr>
            <w:r>
              <w:rPr>
                <w:rFonts w:ascii="Arial" w:cs="Arial" w:eastAsia="Arial" w:hAnsi="Arial"/>
                <w:sz w:val="14"/>
                <w:szCs w:val="14"/>
                <w:color w:val="3F3F3F"/>
              </w:rPr>
              <w:t>social responsibility</w:t>
            </w: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markets as well as our</w:t>
            </w:r>
          </w:p>
        </w:tc>
        <w:tc>
          <w:tcPr>
            <w:tcW w:w="2200" w:type="dxa"/>
            <w:vAlign w:val="bottom"/>
            <w:shd w:val="clear" w:color="auto" w:fill="FEF9E5"/>
          </w:tcPr>
          <w:p>
            <w:pPr>
              <w:jc w:val="center"/>
              <w:ind w:left="9"/>
              <w:spacing w:after="0"/>
              <w:rPr>
                <w:sz w:val="20"/>
                <w:szCs w:val="20"/>
                <w:color w:val="auto"/>
              </w:rPr>
            </w:pPr>
            <w:r>
              <w:rPr>
                <w:rFonts w:ascii="Arial" w:cs="Arial" w:eastAsia="Arial" w:hAnsi="Arial"/>
                <w:sz w:val="14"/>
                <w:szCs w:val="14"/>
                <w:color w:val="3F3F3F"/>
              </w:rPr>
              <w:t>execution plan and</w:t>
            </w:r>
          </w:p>
        </w:tc>
        <w:tc>
          <w:tcPr>
            <w:tcW w:w="0" w:type="dxa"/>
            <w:vAlign w:val="bottom"/>
          </w:tcPr>
          <w:p>
            <w:pPr>
              <w:spacing w:after="0"/>
              <w:rPr>
                <w:sz w:val="1"/>
                <w:szCs w:val="1"/>
                <w:color w:val="auto"/>
              </w:rPr>
            </w:pPr>
          </w:p>
        </w:tc>
      </w:tr>
      <w:tr>
        <w:trPr>
          <w:trHeight w:val="162"/>
        </w:trPr>
        <w:tc>
          <w:tcPr>
            <w:tcW w:w="1960" w:type="dxa"/>
            <w:vAlign w:val="bottom"/>
            <w:shd w:val="clear" w:color="auto" w:fill="FEF9E5"/>
          </w:tcPr>
          <w:p>
            <w:pPr>
              <w:spacing w:after="0"/>
              <w:rPr>
                <w:sz w:val="14"/>
                <w:szCs w:val="14"/>
                <w:color w:val="auto"/>
              </w:rPr>
            </w:pPr>
          </w:p>
        </w:tc>
        <w:tc>
          <w:tcPr>
            <w:tcW w:w="2340" w:type="dxa"/>
            <w:vAlign w:val="bottom"/>
            <w:shd w:val="clear" w:color="auto" w:fill="FEF9E5"/>
          </w:tcPr>
          <w:p>
            <w:pPr>
              <w:spacing w:after="0"/>
              <w:rPr>
                <w:sz w:val="14"/>
                <w:szCs w:val="14"/>
                <w:color w:val="auto"/>
              </w:rPr>
            </w:pPr>
          </w:p>
        </w:tc>
        <w:tc>
          <w:tcPr>
            <w:tcW w:w="2280" w:type="dxa"/>
            <w:vAlign w:val="bottom"/>
            <w:shd w:val="clear" w:color="auto" w:fill="FEF9E5"/>
          </w:tcPr>
          <w:p>
            <w:pPr>
              <w:spacing w:after="0"/>
              <w:rPr>
                <w:sz w:val="14"/>
                <w:szCs w:val="14"/>
                <w:color w:val="auto"/>
              </w:rPr>
            </w:pP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organic development to</w:t>
            </w:r>
          </w:p>
        </w:tc>
        <w:tc>
          <w:tcPr>
            <w:tcW w:w="2200" w:type="dxa"/>
            <w:vAlign w:val="bottom"/>
            <w:shd w:val="clear" w:color="auto" w:fill="FEF9E5"/>
          </w:tcPr>
          <w:p>
            <w:pPr>
              <w:jc w:val="center"/>
              <w:ind w:left="9"/>
              <w:spacing w:after="0"/>
              <w:rPr>
                <w:sz w:val="20"/>
                <w:szCs w:val="20"/>
                <w:color w:val="auto"/>
              </w:rPr>
            </w:pPr>
            <w:r>
              <w:rPr>
                <w:rFonts w:ascii="Arial" w:cs="Arial" w:eastAsia="Arial" w:hAnsi="Arial"/>
                <w:sz w:val="14"/>
                <w:szCs w:val="14"/>
                <w:color w:val="3F3F3F"/>
              </w:rPr>
              <w:t>disciplined capital</w:t>
            </w:r>
          </w:p>
        </w:tc>
        <w:tc>
          <w:tcPr>
            <w:tcW w:w="0" w:type="dxa"/>
            <w:vAlign w:val="bottom"/>
          </w:tcPr>
          <w:p>
            <w:pPr>
              <w:spacing w:after="0"/>
              <w:rPr>
                <w:sz w:val="1"/>
                <w:szCs w:val="1"/>
                <w:color w:val="auto"/>
              </w:rPr>
            </w:pPr>
          </w:p>
        </w:tc>
      </w:tr>
      <w:tr>
        <w:trPr>
          <w:trHeight w:val="203"/>
        </w:trPr>
        <w:tc>
          <w:tcPr>
            <w:tcW w:w="1960" w:type="dxa"/>
            <w:vAlign w:val="bottom"/>
            <w:shd w:val="clear" w:color="auto" w:fill="FEF9E5"/>
          </w:tcPr>
          <w:p>
            <w:pPr>
              <w:spacing w:after="0"/>
              <w:rPr>
                <w:sz w:val="17"/>
                <w:szCs w:val="17"/>
                <w:color w:val="auto"/>
              </w:rPr>
            </w:pPr>
          </w:p>
        </w:tc>
        <w:tc>
          <w:tcPr>
            <w:tcW w:w="2340" w:type="dxa"/>
            <w:vAlign w:val="bottom"/>
            <w:shd w:val="clear" w:color="auto" w:fill="FEF9E5"/>
          </w:tcPr>
          <w:p>
            <w:pPr>
              <w:spacing w:after="0"/>
              <w:rPr>
                <w:sz w:val="17"/>
                <w:szCs w:val="17"/>
                <w:color w:val="auto"/>
              </w:rPr>
            </w:pPr>
          </w:p>
        </w:tc>
        <w:tc>
          <w:tcPr>
            <w:tcW w:w="2280" w:type="dxa"/>
            <w:vAlign w:val="bottom"/>
            <w:shd w:val="clear" w:color="auto" w:fill="FEF9E5"/>
          </w:tcPr>
          <w:p>
            <w:pPr>
              <w:spacing w:after="0"/>
              <w:rPr>
                <w:sz w:val="17"/>
                <w:szCs w:val="17"/>
                <w:color w:val="auto"/>
              </w:rPr>
            </w:pPr>
          </w:p>
        </w:tc>
        <w:tc>
          <w:tcPr>
            <w:tcW w:w="2240" w:type="dxa"/>
            <w:vAlign w:val="bottom"/>
            <w:shd w:val="clear" w:color="auto" w:fill="FEF9E5"/>
          </w:tcPr>
          <w:p>
            <w:pPr>
              <w:jc w:val="center"/>
              <w:spacing w:after="0"/>
              <w:rPr>
                <w:sz w:val="20"/>
                <w:szCs w:val="20"/>
                <w:color w:val="auto"/>
              </w:rPr>
            </w:pPr>
            <w:r>
              <w:rPr>
                <w:rFonts w:ascii="Arial" w:cs="Arial" w:eastAsia="Arial" w:hAnsi="Arial"/>
                <w:sz w:val="14"/>
                <w:szCs w:val="14"/>
                <w:color w:val="3F3F3F"/>
              </w:rPr>
              <w:t>fuel future growth</w:t>
            </w:r>
          </w:p>
        </w:tc>
        <w:tc>
          <w:tcPr>
            <w:tcW w:w="2200" w:type="dxa"/>
            <w:vAlign w:val="bottom"/>
            <w:shd w:val="clear" w:color="auto" w:fill="FEF9E5"/>
          </w:tcPr>
          <w:p>
            <w:pPr>
              <w:jc w:val="center"/>
              <w:ind w:left="29"/>
              <w:spacing w:after="0"/>
              <w:rPr>
                <w:sz w:val="20"/>
                <w:szCs w:val="20"/>
                <w:color w:val="auto"/>
              </w:rPr>
            </w:pPr>
            <w:r>
              <w:rPr>
                <w:rFonts w:ascii="Arial" w:cs="Arial" w:eastAsia="Arial" w:hAnsi="Arial"/>
                <w:sz w:val="14"/>
                <w:szCs w:val="14"/>
                <w:color w:val="3F3F3F"/>
              </w:rPr>
              <w:t>deployment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-1739900</wp:posOffset>
            </wp:positionV>
            <wp:extent cx="6446520" cy="857250"/>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6446520" cy="8572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Risk Oversight</w:t>
      </w:r>
    </w:p>
    <w:p>
      <w:pPr>
        <w:spacing w:after="0" w:line="13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objectives, including completed or potential acquisitions and divestitures; IT and cybersecurity; data privacy; financial controls and reporting; manufacturing and quality; legal, regulatory and compliance requirements and developments; the global nature of our operations; human capital management;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and long-term financial and operational performance, and protect our assets (financial, intellectual property, and information, among others). Risk management is an enterprise-wide objective and is subject to oversight by the Board and its committees.</w:t>
      </w:r>
    </w:p>
    <w:p>
      <w:pPr>
        <w:spacing w:after="0" w:line="11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3F3F3F"/>
        </w:rPr>
        <w:t>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update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Compliance and Risk Oversight Committee. The Company’s internal risk committee of senior management consists of senior leaders across multiple disciplines, including internal audit, IT, information security, compliance, corporate affairs, operations, finance, legal, and quality and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w:t>
      </w:r>
    </w:p>
    <w:p>
      <w:pPr>
        <w:spacing w:after="0" w:line="105"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3F3F3F"/>
        </w:rPr>
        <w:t>The Company’s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CFO, Chief Legal Officer, Corporate Controller, Chief Corporate Affairs Officer, Head of Capital Markets, and General Counsel—Corporate Securities and Transactions, all of whom participate in the associated risk assessment as described above. The financial statements are also reviewed with the CEO before being reviewed with and approved by the Audit Committee, and filed with the SEC.</w:t>
      </w:r>
    </w:p>
    <w:p>
      <w:pPr>
        <w:spacing w:after="0" w:line="111" w:lineRule="exact"/>
        <w:rPr>
          <w:sz w:val="20"/>
          <w:szCs w:val="20"/>
          <w:color w:val="auto"/>
        </w:rPr>
      </w:pPr>
    </w:p>
    <w:p>
      <w:pPr>
        <w:ind w:left="120" w:right="40"/>
        <w:spacing w:after="0" w:line="255" w:lineRule="auto"/>
        <w:rPr>
          <w:sz w:val="20"/>
          <w:szCs w:val="20"/>
          <w:color w:val="auto"/>
        </w:rPr>
      </w:pPr>
      <w:r>
        <w:rPr>
          <w:rFonts w:ascii="Arial" w:cs="Arial" w:eastAsia="Arial" w:hAnsi="Arial"/>
          <w:sz w:val="17"/>
          <w:szCs w:val="17"/>
          <w:color w:val="3F3F3F"/>
        </w:rPr>
        <w:t>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Board committees has full access to officers and employees of the Company, and the Board and committees also meet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committees also have access to outside advisors in their sole discretion and periodically receive external updates concerning oversight of risks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029450" cy="68580"/>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3F3F3F"/>
        </w:rPr>
        <w:t>the Company and management’s efforts to manage risk. The Compliance and Risk Oversight Committee is responsible for appointing and replacing the Company’s Chief Compliance Officer, who is responsible for, among other things, the day-to-day management and implementation of the Company’s Corporate Compliance Program and who reports to the Compliance and Risk Oversight Committee and the Chief Legal Officer. In addition to meeting with the Company’s internal risk committee of senior management, which meets at least quarterly, the Chief Compliance Officer meets at least quarterly with the Audit Committee and Compliance and Risk Oversight Committee.</w:t>
      </w:r>
    </w:p>
    <w:p>
      <w:pPr>
        <w:spacing w:after="0" w:line="85"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3F3F3F"/>
        </w:rPr>
        <w:t>The Board also has approved a Code of Business Conduct and Ethics, Code of Ethics for Chief Executive Officer, Chief Financial Officer and Corporate Controller, and other related policies to help manage and mitigate risk globally.</w:t>
      </w:r>
    </w:p>
    <w:p>
      <w:pPr>
        <w:spacing w:after="0" w:line="8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3F3F3F"/>
        </w:rPr>
        <w:t>The Vice Chair of the Board serves as Chair of the Compliance and Risk Oversight Committee, which also meets at least twice a year with other committee Chairs to discuss risk-related matters and the Company’s enterprise risk management framework. While the full Board has retained responsibility for overseeing strategic risks to the business overall, it has delegated oversight of specific risks to its committees as outlined below.</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 Role in Risk Oversight</w:t>
      </w:r>
    </w:p>
    <w:p>
      <w:pPr>
        <w:spacing w:after="0" w:line="122" w:lineRule="exact"/>
        <w:rPr>
          <w:sz w:val="20"/>
          <w:szCs w:val="20"/>
          <w:color w:val="auto"/>
        </w:rPr>
      </w:pPr>
    </w:p>
    <w:p>
      <w:pPr>
        <w:ind w:left="340" w:right="120" w:hanging="224"/>
        <w:spacing w:after="0"/>
        <w:tabs>
          <w:tab w:leader="none" w:pos="340" w:val="left"/>
        </w:tabs>
        <w:numPr>
          <w:ilvl w:val="0"/>
          <w:numId w:val="26"/>
        </w:numPr>
        <w:rPr>
          <w:rFonts w:ascii="Arial" w:cs="Arial" w:eastAsia="Arial" w:hAnsi="Arial"/>
          <w:sz w:val="18"/>
          <w:szCs w:val="18"/>
          <w:color w:val="3F3F3F"/>
        </w:rPr>
      </w:pPr>
      <w:r>
        <w:rPr>
          <w:rFonts w:ascii="Arial" w:cs="Arial" w:eastAsia="Arial" w:hAnsi="Arial"/>
          <w:sz w:val="18"/>
          <w:szCs w:val="18"/>
          <w:b w:val="1"/>
          <w:bCs w:val="1"/>
          <w:i w:val="1"/>
          <w:iCs w:val="1"/>
          <w:color w:val="3F3F3F"/>
        </w:rPr>
        <w:t xml:space="preserve">The Audit Committee </w:t>
      </w:r>
      <w:r>
        <w:rPr>
          <w:rFonts w:ascii="Arial" w:cs="Arial" w:eastAsia="Arial" w:hAnsi="Arial"/>
          <w:sz w:val="18"/>
          <w:szCs w:val="18"/>
          <w:color w:val="3F3F3F"/>
        </w:rPr>
        <w:t>focuses on risks relating to financial and disclosure controls, SEC reporting matters, and oversight of Viatris’</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85" w:lineRule="exact"/>
        <w:rPr>
          <w:rFonts w:ascii="Arial" w:cs="Arial" w:eastAsia="Arial" w:hAnsi="Arial"/>
          <w:sz w:val="18"/>
          <w:szCs w:val="18"/>
          <w:color w:val="3F3F3F"/>
        </w:rPr>
      </w:pPr>
    </w:p>
    <w:p>
      <w:pPr>
        <w:ind w:left="340" w:right="20" w:hanging="224"/>
        <w:spacing w:after="0"/>
        <w:tabs>
          <w:tab w:leader="none" w:pos="340" w:val="left"/>
        </w:tabs>
        <w:numPr>
          <w:ilvl w:val="0"/>
          <w:numId w:val="26"/>
        </w:numPr>
        <w:rPr>
          <w:rFonts w:ascii="Arial" w:cs="Arial" w:eastAsia="Arial" w:hAnsi="Arial"/>
          <w:sz w:val="18"/>
          <w:szCs w:val="18"/>
          <w:color w:val="3F3F3F"/>
        </w:rPr>
      </w:pPr>
      <w:r>
        <w:rPr>
          <w:rFonts w:ascii="Arial" w:cs="Arial" w:eastAsia="Arial" w:hAnsi="Arial"/>
          <w:sz w:val="18"/>
          <w:szCs w:val="18"/>
          <w:b w:val="1"/>
          <w:bCs w:val="1"/>
          <w:i w:val="1"/>
          <w:iCs w:val="1"/>
          <w:color w:val="3F3F3F"/>
        </w:rPr>
        <w:t xml:space="preserve">The Compensation Committee </w:t>
      </w:r>
      <w:r>
        <w:rPr>
          <w:rFonts w:ascii="Arial" w:cs="Arial" w:eastAsia="Arial" w:hAnsi="Arial"/>
          <w:sz w:val="18"/>
          <w:szCs w:val="18"/>
          <w:color w:val="3F3F3F"/>
        </w:rPr>
        <w:t>focuses on the design and administration of compensation-related plans and programs, and reviews</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with management and its external compensation consultant, at least annually,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w:t>
      </w:r>
    </w:p>
    <w:p>
      <w:pPr>
        <w:spacing w:after="0" w:line="90" w:lineRule="exact"/>
        <w:rPr>
          <w:rFonts w:ascii="Arial" w:cs="Arial" w:eastAsia="Arial" w:hAnsi="Arial"/>
          <w:sz w:val="18"/>
          <w:szCs w:val="18"/>
          <w:color w:val="3F3F3F"/>
        </w:rPr>
      </w:pPr>
    </w:p>
    <w:p>
      <w:pPr>
        <w:ind w:left="340" w:right="40" w:hanging="224"/>
        <w:spacing w:after="0" w:line="237" w:lineRule="auto"/>
        <w:tabs>
          <w:tab w:leader="none" w:pos="340" w:val="left"/>
        </w:tabs>
        <w:numPr>
          <w:ilvl w:val="0"/>
          <w:numId w:val="26"/>
        </w:numPr>
        <w:rPr>
          <w:rFonts w:ascii="Arial" w:cs="Arial" w:eastAsia="Arial" w:hAnsi="Arial"/>
          <w:sz w:val="18"/>
          <w:szCs w:val="18"/>
          <w:color w:val="3F3F3F"/>
        </w:rPr>
      </w:pPr>
      <w:r>
        <w:rPr>
          <w:rFonts w:ascii="Arial" w:cs="Arial" w:eastAsia="Arial" w:hAnsi="Arial"/>
          <w:sz w:val="18"/>
          <w:szCs w:val="18"/>
          <w:b w:val="1"/>
          <w:bCs w:val="1"/>
          <w:i w:val="1"/>
          <w:iCs w:val="1"/>
          <w:color w:val="3F3F3F"/>
        </w:rPr>
        <w:t xml:space="preserve">The Compliance and Risk Oversight Committee </w:t>
      </w:r>
      <w:r>
        <w:rPr>
          <w:rFonts w:ascii="Arial" w:cs="Arial" w:eastAsia="Arial" w:hAnsi="Arial"/>
          <w:sz w:val="18"/>
          <w:szCs w:val="18"/>
          <w:color w:val="3F3F3F"/>
        </w:rPr>
        <w:t>assists the Board in its oversight of Viatris’ enterprise risk management framework</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and reviews the 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IT;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w:t>
      </w:r>
    </w:p>
    <w:p>
      <w:pPr>
        <w:spacing w:after="0" w:line="2" w:lineRule="exact"/>
        <w:rPr>
          <w:rFonts w:ascii="Arial" w:cs="Arial" w:eastAsia="Arial" w:hAnsi="Arial"/>
          <w:sz w:val="18"/>
          <w:szCs w:val="18"/>
          <w:color w:val="3F3F3F"/>
        </w:rPr>
      </w:pPr>
    </w:p>
    <w:p>
      <w:pPr>
        <w:ind w:left="340"/>
        <w:spacing w:after="0"/>
        <w:rPr>
          <w:rFonts w:ascii="Arial" w:cs="Arial" w:eastAsia="Arial" w:hAnsi="Arial"/>
          <w:sz w:val="18"/>
          <w:szCs w:val="18"/>
          <w:color w:val="3F3F3F"/>
        </w:rPr>
      </w:pPr>
      <w:r>
        <w:rPr>
          <w:rFonts w:ascii="Arial" w:cs="Arial" w:eastAsia="Arial" w:hAnsi="Arial"/>
          <w:sz w:val="18"/>
          <w:szCs w:val="18"/>
          <w:color w:val="3F3F3F"/>
        </w:rPr>
        <w:t>the Chairs of the other committees at least two times a year to discuss enterprise risk and related matters.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29450" cy="68580"/>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340" w:right="40"/>
        <w:spacing w:after="0" w:line="239" w:lineRule="auto"/>
        <w:rPr>
          <w:sz w:val="20"/>
          <w:szCs w:val="20"/>
          <w:color w:val="auto"/>
        </w:rPr>
      </w:pPr>
      <w:r>
        <w:rPr>
          <w:rFonts w:ascii="Arial" w:cs="Arial" w:eastAsia="Arial" w:hAnsi="Arial"/>
          <w:sz w:val="18"/>
          <w:szCs w:val="18"/>
          <w:color w:val="3F3F3F"/>
        </w:rPr>
        <w:t>Committee is also responsible for overseeing the Chief Compliance Officer’s implementation of Viatris’ Corporate Compliance Program. The Chief Compliance Officer reports to the Committee and the Chief Legal Officer and the Committee is responsible for appointing and, as applicable, replacing, the Chief Compliance Officer. The Committee discusses the Chief Compliance Officer’s performance, responsibilities, plans and resources with the Chief Legal Officer.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w:t>
      </w:r>
    </w:p>
    <w:p>
      <w:pPr>
        <w:spacing w:after="0" w:line="85" w:lineRule="exact"/>
        <w:rPr>
          <w:sz w:val="20"/>
          <w:szCs w:val="20"/>
          <w:color w:val="auto"/>
        </w:rPr>
      </w:pPr>
    </w:p>
    <w:p>
      <w:pPr>
        <w:ind w:left="340" w:right="260" w:hanging="224"/>
        <w:spacing w:after="0" w:line="253" w:lineRule="auto"/>
        <w:tabs>
          <w:tab w:leader="none" w:pos="340" w:val="left"/>
        </w:tabs>
        <w:numPr>
          <w:ilvl w:val="0"/>
          <w:numId w:val="27"/>
        </w:numPr>
        <w:rPr>
          <w:rFonts w:ascii="Arial" w:cs="Arial" w:eastAsia="Arial" w:hAnsi="Arial"/>
          <w:sz w:val="18"/>
          <w:szCs w:val="18"/>
          <w:color w:val="3F3F3F"/>
        </w:rPr>
      </w:pPr>
      <w:r>
        <w:rPr>
          <w:rFonts w:ascii="Arial" w:cs="Arial" w:eastAsia="Arial" w:hAnsi="Arial"/>
          <w:sz w:val="18"/>
          <w:szCs w:val="18"/>
          <w:b w:val="1"/>
          <w:bCs w:val="1"/>
          <w:i w:val="1"/>
          <w:iCs w:val="1"/>
          <w:color w:val="3F3F3F"/>
        </w:rPr>
        <w:t xml:space="preserve">The Finance Committee </w:t>
      </w:r>
      <w:r>
        <w:rPr>
          <w:rFonts w:ascii="Arial" w:cs="Arial" w:eastAsia="Arial" w:hAnsi="Arial"/>
          <w:sz w:val="18"/>
          <w:szCs w:val="18"/>
          <w:color w:val="3F3F3F"/>
        </w:rPr>
        <w:t>is responsible for reviewing and, as appropriate, providing recommendations to the Board with respect to</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significant strategies and policies of the Company relating to its capital structure and deployment and/or allocation of capital, material financial matters and transactions, and the risks related to such activities.</w:t>
      </w:r>
    </w:p>
    <w:p>
      <w:pPr>
        <w:spacing w:after="0" w:line="74" w:lineRule="exact"/>
        <w:rPr>
          <w:rFonts w:ascii="Arial" w:cs="Arial" w:eastAsia="Arial" w:hAnsi="Arial"/>
          <w:sz w:val="18"/>
          <w:szCs w:val="18"/>
          <w:color w:val="3F3F3F"/>
        </w:rPr>
      </w:pPr>
    </w:p>
    <w:p>
      <w:pPr>
        <w:ind w:left="340" w:right="120" w:hanging="224"/>
        <w:spacing w:after="0" w:line="242" w:lineRule="auto"/>
        <w:tabs>
          <w:tab w:leader="none" w:pos="340" w:val="left"/>
        </w:tabs>
        <w:numPr>
          <w:ilvl w:val="0"/>
          <w:numId w:val="27"/>
        </w:numPr>
        <w:rPr>
          <w:rFonts w:ascii="Arial" w:cs="Arial" w:eastAsia="Arial" w:hAnsi="Arial"/>
          <w:sz w:val="18"/>
          <w:szCs w:val="18"/>
          <w:color w:val="3F3F3F"/>
        </w:rPr>
      </w:pPr>
      <w:r>
        <w:rPr>
          <w:rFonts w:ascii="Arial" w:cs="Arial" w:eastAsia="Arial" w:hAnsi="Arial"/>
          <w:sz w:val="18"/>
          <w:szCs w:val="18"/>
          <w:b w:val="1"/>
          <w:bCs w:val="1"/>
          <w:i w:val="1"/>
          <w:iCs w:val="1"/>
          <w:color w:val="3F3F3F"/>
        </w:rPr>
        <w:t xml:space="preserve">The Governance and Sustainability Committee </w:t>
      </w:r>
      <w:r>
        <w:rPr>
          <w:rFonts w:ascii="Arial" w:cs="Arial" w:eastAsia="Arial" w:hAnsi="Arial"/>
          <w:sz w:val="18"/>
          <w:szCs w:val="18"/>
          <w:color w:val="3F3F3F"/>
        </w:rPr>
        <w:t>is responsible for identifying, assisting in recruiting, and nominating qualified</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individuals to become 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Director orientation and continuing education programs; Board and management succession planning; and management’s activities with respect to corporate environmental and social responsibility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Role in Oversight of Corporate Environmental and Social Responsibility Matters</w:t>
      </w:r>
    </w:p>
    <w:p>
      <w:pPr>
        <w:spacing w:after="0" w:line="10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Viatris’ Board oversees management’s efforts with respect to sustainability matters, including corporate environmental and social responsibility matters through its Governance and Sustainability Committee. The Company’s sustainability function operates as a center of excellence within the Viatris Corporate Affairs leadership team. The Head of Global Sustainability drives the strategic and operational development of sustainability matters across the Company, together with key partners. The Chief Corporate Affairs Officer reports directly to the CEO and, together with the Head of Global Sustainability, communicates quarterly with the Board on sustainability matters, including corporate environmental and social responsibility matters through the Governance and Sustainability Committee and, on an annual basis, the Governance and Sustainability Committee reviews progress with the Chief Corporate Affairs Officer and Head of Global Sustainability on sustainability matters, including corporate environmental and social responsibility matters that have been discussed with the Board to confirm the Company is tracking its priorities in this area.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and its Committees’ Role in Cybersecurity Oversight</w:t>
      </w:r>
    </w:p>
    <w:p>
      <w:pPr>
        <w:spacing w:after="0" w:line="108"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3F3F3F"/>
        </w:rPr>
        <w:t>The Company maintains an information security program designed to identify, protect, detect, respond to and recover from cybersecurity threats. The Company’s Chief Information Security Officer &amp; Head of Global Security, under the direction of the Company’s Chief Compliance Officer, reports quarterly to an internal risk committee of senior management which includes the CEO, CFO, Chief Legal Officer, Chief People Officer, Chief Corporate Affairs Officer, Regional Presidents, Chief Information Officer and Chief Compliance Officer, and to the Board on the progress of the information security program and overall security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3F3F3F"/>
        </w:rPr>
        <w:t>The Compliance and Risk Oversight Committee of the Board is responsible for reviewing management’s exercise of its responsibility to identify, assess, and manage material risks not allocated to the Board or another Committee of the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is necessary to notify the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On a biannual basis, the Compliance and Risk Oversight Committee and Chairs of each other Committee of the Board receive an information security update from the Company’s Chief Information Security Officer &amp; Head of Global Security, the Chief Compliance Officer and the Chief Information Officer. The full Board receives a report on the respective quarterly discussions from the Chair of the Compliance and Risk Oversight Committee each quarter.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Education and Director Orientation</w:t>
      </w:r>
    </w:p>
    <w:p>
      <w:pPr>
        <w:spacing w:after="0" w:line="108"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3F3F3F"/>
        </w:rPr>
        <w:t>The Governance and Sustainability Committee is responsible for overseeing and reviewing quarterly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Stanford Graduate School of Business Directors’ Consortium and Deloitte’s Board Symposium, among others. The Company reimburses Directors for costs associated with any related seminars and conferences, including travel expenses.</w:t>
      </w:r>
    </w:p>
    <w:p>
      <w:pPr>
        <w:spacing w:after="0" w:line="9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The Governance and Sustainability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235585</wp:posOffset>
            </wp:positionV>
            <wp:extent cx="488315" cy="8890"/>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Directors Are Selected and Evaluated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Director Nominees</w:t>
      </w:r>
    </w:p>
    <w:p>
      <w:pPr>
        <w:spacing w:after="0" w:line="135" w:lineRule="exact"/>
        <w:rPr>
          <w:sz w:val="20"/>
          <w:szCs w:val="20"/>
          <w:color w:val="auto"/>
        </w:rPr>
      </w:pPr>
    </w:p>
    <w:p>
      <w:pPr>
        <w:jc w:val="both"/>
        <w:ind w:left="120" w:right="820"/>
        <w:spacing w:after="0" w:line="247" w:lineRule="auto"/>
        <w:rPr>
          <w:sz w:val="20"/>
          <w:szCs w:val="20"/>
          <w:color w:val="auto"/>
        </w:rPr>
      </w:pPr>
      <w:r>
        <w:rPr>
          <w:rFonts w:ascii="Arial" w:cs="Arial" w:eastAsia="Arial" w:hAnsi="Arial"/>
          <w:sz w:val="18"/>
          <w:szCs w:val="18"/>
          <w:color w:val="3F3F3F"/>
        </w:rPr>
        <w:t>For purposes of identifying individuals qualified to become members of the Board, and consistent with the Company’s Corporate Governance Principles, the Governance and Sustainability Committee considers the following general criteria, among others, in nominating Director candidates. These criteria reflect the traits, abilities, and experience that the Board considers in determining candidates for election:</w:t>
      </w:r>
    </w:p>
    <w:p>
      <w:pPr>
        <w:spacing w:after="0" w:line="79"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3F3F3F"/>
        </w:rPr>
      </w:pPr>
      <w:r>
        <w:rPr>
          <w:rFonts w:ascii="Arial" w:cs="Arial" w:eastAsia="Arial" w:hAnsi="Arial"/>
          <w:sz w:val="18"/>
          <w:szCs w:val="18"/>
          <w:color w:val="3F3F3F"/>
        </w:rPr>
        <w:t>Highest ethical character and shares the values of the Company</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28"/>
        </w:numPr>
        <w:rPr>
          <w:rFonts w:ascii="Arial" w:cs="Arial" w:eastAsia="Arial" w:hAnsi="Arial"/>
          <w:sz w:val="18"/>
          <w:szCs w:val="18"/>
          <w:color w:val="3F3F3F"/>
        </w:rPr>
      </w:pPr>
      <w:r>
        <w:rPr>
          <w:rFonts w:ascii="Arial" w:cs="Arial" w:eastAsia="Arial" w:hAnsi="Arial"/>
          <w:sz w:val="18"/>
          <w:szCs w:val="18"/>
          <w:color w:val="3F3F3F"/>
        </w:rPr>
        <w:t>Personal and/or professional reputations that are consistent with the image and reputation of the Company</w:t>
      </w:r>
    </w:p>
    <w:p>
      <w:pPr>
        <w:spacing w:after="0" w:line="117" w:lineRule="exact"/>
        <w:rPr>
          <w:rFonts w:ascii="Arial" w:cs="Arial" w:eastAsia="Arial" w:hAnsi="Arial"/>
          <w:sz w:val="18"/>
          <w:szCs w:val="18"/>
          <w:color w:val="3F3F3F"/>
        </w:rPr>
      </w:pPr>
    </w:p>
    <w:p>
      <w:pPr>
        <w:ind w:left="340" w:hanging="224"/>
        <w:spacing w:after="0" w:line="271" w:lineRule="auto"/>
        <w:tabs>
          <w:tab w:leader="none" w:pos="340" w:val="left"/>
        </w:tabs>
        <w:numPr>
          <w:ilvl w:val="0"/>
          <w:numId w:val="28"/>
        </w:numPr>
        <w:rPr>
          <w:rFonts w:ascii="Arial" w:cs="Arial" w:eastAsia="Arial" w:hAnsi="Arial"/>
          <w:sz w:val="18"/>
          <w:szCs w:val="18"/>
          <w:color w:val="3F3F3F"/>
        </w:rPr>
      </w:pPr>
      <w:r>
        <w:rPr>
          <w:rFonts w:ascii="Arial" w:cs="Arial" w:eastAsia="Arial" w:hAnsi="Arial"/>
          <w:sz w:val="18"/>
          <w:szCs w:val="18"/>
          <w:color w:val="3F3F3F"/>
        </w:rPr>
        <w:t>Relevant expertise and experience and ability to offer advice and guidance to the CEO and senior management based on that expertise and experience</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28"/>
        </w:numPr>
        <w:rPr>
          <w:rFonts w:ascii="Arial" w:cs="Arial" w:eastAsia="Arial" w:hAnsi="Arial"/>
          <w:sz w:val="18"/>
          <w:szCs w:val="18"/>
          <w:color w:val="3F3F3F"/>
        </w:rPr>
      </w:pPr>
      <w:r>
        <w:rPr>
          <w:rFonts w:ascii="Arial" w:cs="Arial" w:eastAsia="Arial" w:hAnsi="Arial"/>
          <w:sz w:val="18"/>
          <w:szCs w:val="18"/>
          <w:color w:val="3F3F3F"/>
        </w:rPr>
        <w:t>Sound business judgment</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28"/>
        </w:numPr>
        <w:rPr>
          <w:rFonts w:ascii="Arial" w:cs="Arial" w:eastAsia="Arial" w:hAnsi="Arial"/>
          <w:sz w:val="18"/>
          <w:szCs w:val="18"/>
          <w:color w:val="3F3F3F"/>
        </w:rPr>
      </w:pPr>
      <w:r>
        <w:rPr>
          <w:rFonts w:ascii="Arial" w:cs="Arial" w:eastAsia="Arial" w:hAnsi="Arial"/>
          <w:sz w:val="18"/>
          <w:szCs w:val="18"/>
          <w:color w:val="3F3F3F"/>
        </w:rPr>
        <w:t>Diverse perspectives and personal backgrounds reflecting a mix of nationalities, ethnicities, races, ages and/or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29450" cy="68580"/>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3F3F3F"/>
        </w:rPr>
        <w:t>In addition to the criteria set forth above, and any others the Governance and Sustainability Committee or Viatris’ Board may consider, a majority of the members of the Board must be “independent”, as that term may be defined from time to time by the applicable NASDAQ listing standards, including that an independent Director must be free of any relationships which, in the opinion of the Board, would interfere with the exercise of such Director’s independent judgment in carrying out the responsibilities of a Director.</w:t>
      </w:r>
    </w:p>
    <w:p>
      <w:pPr>
        <w:spacing w:after="0" w:line="93" w:lineRule="exact"/>
        <w:rPr>
          <w:sz w:val="20"/>
          <w:szCs w:val="20"/>
          <w:color w:val="auto"/>
        </w:rPr>
      </w:pPr>
    </w:p>
    <w:p>
      <w:pPr>
        <w:ind w:left="120" w:right="100"/>
        <w:spacing w:after="0"/>
        <w:rPr>
          <w:sz w:val="20"/>
          <w:szCs w:val="20"/>
          <w:color w:val="auto"/>
        </w:rPr>
      </w:pPr>
      <w:r>
        <w:rPr>
          <w:rFonts w:ascii="Arial" w:cs="Arial" w:eastAsia="Arial" w:hAnsi="Arial"/>
          <w:sz w:val="18"/>
          <w:szCs w:val="18"/>
          <w:color w:val="3F3F3F"/>
        </w:rPr>
        <w:t>As needed, the Governance and Sustainability Committee may identify new potential Director nominees by, among other means, requesting current Directors, executive officers, and external advisors to notify it if they become aware of persons meeting the criteria described above who would be suitable candidates for service on Viatris’ Board. The Committee also may, as needed, engage one or more firms that specialize in identifying Director candidates. The Governance and Sustainability Committee also may consider candidates recommended by shareholders in accordance with the procedures outlined in the question titled, “How do I recommend a candidate for nomination to Viatris’ Board?” on page A-8. The Committee’s evaluation process does not vary based on whether a candidate is recommended by a shareholder.</w:t>
      </w:r>
    </w:p>
    <w:p>
      <w:pPr>
        <w:spacing w:after="0" w:line="117" w:lineRule="exact"/>
        <w:rPr>
          <w:sz w:val="20"/>
          <w:szCs w:val="20"/>
          <w:color w:val="auto"/>
        </w:rPr>
      </w:pPr>
    </w:p>
    <w:p>
      <w:pPr>
        <w:ind w:left="120" w:right="100"/>
        <w:spacing w:after="0"/>
        <w:rPr>
          <w:sz w:val="20"/>
          <w:szCs w:val="20"/>
          <w:color w:val="auto"/>
        </w:rPr>
      </w:pPr>
      <w:r>
        <w:rPr>
          <w:rFonts w:ascii="Arial" w:cs="Arial" w:eastAsia="Arial" w:hAnsi="Arial"/>
          <w:sz w:val="18"/>
          <w:szCs w:val="18"/>
          <w:color w:val="3F3F3F"/>
        </w:rPr>
        <w:t>As appropriate, the Governance and Sustainability Committee will review publicly available information regarding a potential candidate, request information from the candidate, review the candidate’s experience and qualifications, including in light of any other candidates the Governance and Sustainability Committee might be considering, and conduct, together with other members of Viatris’ Board, one or more interviews with the candidate. Governance and Sustainability Committee members or their designees also may contact one or more references provided by the candidate or may contact other members of the business community or persons who have first-hand knowledge of the candidate’s talents and experience. With respect to Board composition, the Board considers characteristics such as expertise, experience, knowledge, abilities and diversity (including nationality, ethnicity, race, age, gender, education and professional background),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488315"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Certain Relationships and Related Transactions</w:t>
      </w:r>
    </w:p>
    <w:p>
      <w:pPr>
        <w:spacing w:after="0" w:line="135"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3F3F3F"/>
        </w:rPr>
        <w:t>Based on a review of any transactions between Viatris and its Directors and executive officers, their immediate family members, and their affiliated entities, Viatris has determined that since the beginning of 2023,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w:t>
      </w:r>
    </w:p>
    <w:p>
      <w:pPr>
        <w:spacing w:after="0" w:line="66"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3F3F3F"/>
        </w:rPr>
        <w:t>Since approximately 1995, The Coury Firm LLC (together with its predecessors, “TCF”) and, in the past, other affiliated entities of TCF, has been serving as the broker of record in connection with several of Mylan’s and, since the closing of the Combination, Viatris’ employee benefit programs. TCF is in the business of providing strategic corporate benefits advice and services, among others. TCF provides certain services to Viatris and its subsidiaries pursuant to a contract between Mylan Inc., a subsidiary of Viatris, and TCF. The principals of TCF are brothers and a son of Robert J. Coury, a Director and executive officer of the Company until December 15, 2023, and TCF is beneficially owned by brothers and trusts on behalf of brothers and children of Mr. Coury.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2023 and through October 18, 2024, received payments totaling approximately $73,000 in commissions for these services directly from the insurance carriers (including payments for 2022 business paid in 2023). Commencing on September 1, 2023, the parties further extended this agreement through December 31, 2026 on substantially the same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3F3F3F"/>
        </w:rPr>
        <w:t>Based on the contractual terms of Mr. Coury’s previous Executive Employment Agreement with the Company and the Transition and Advisory Agreement and Release entered into with him in connection with his transition to Chairman Emeritus and Senior Strategic Advisor to the Company, Mr. Coury is eligible to use Company aircraft for personal purposes through the end of his service as Chairman Emeritus and Senior Strategic Advisor. Since Mr. Coury’s transition on December 15, 2023 and through October 18, 2024, the value of such aircraft usage based on comparable third-party charter rates is equal to approximately $189,800, which we believe is a fair estimate of the approximate dollar value of such transaction and of Mr. Coury’s interest in it, although the Company is providing this benefit through existing Company resources and is not incurring expenses to any third-party charter provider.</w:t>
      </w:r>
    </w:p>
    <w:p>
      <w:pPr>
        <w:spacing w:after="0" w:line="10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Angela Campbell, Mr. Campbell’s spouse and herself a related person of Viatris, held roles of increasing responsibility at Mylan Inc. since June 2007 and most recently served as Head of Operations Strategic Initiatives until her departure effective December 31, 2022. In 2023, Ms. Campbell received an annual short-term cash incentive bonus of approximately $93,000 and deferred compensation and salary payments of approximately $7,000, in each case related to work performed in 2022, payment of approximately $21,000 for previously accrued but unused vacation days, and standard Company severance payments of approximately $166,000.</w:t>
      </w:r>
    </w:p>
    <w:p>
      <w:pPr>
        <w:spacing w:after="0" w:line="109" w:lineRule="exact"/>
        <w:rPr>
          <w:sz w:val="20"/>
          <w:szCs w:val="20"/>
          <w:color w:val="auto"/>
        </w:rPr>
      </w:pPr>
    </w:p>
    <w:p>
      <w:pPr>
        <w:ind w:left="120" w:right="60"/>
        <w:spacing w:after="0"/>
        <w:rPr>
          <w:sz w:val="20"/>
          <w:szCs w:val="20"/>
          <w:color w:val="auto"/>
        </w:rPr>
      </w:pPr>
      <w:r>
        <w:rPr>
          <w:rFonts w:ascii="Arial" w:cs="Arial" w:eastAsia="Arial" w:hAnsi="Arial"/>
          <w:sz w:val="18"/>
          <w:szCs w:val="18"/>
          <w:color w:val="3F3F3F"/>
        </w:rPr>
        <w:t>Mr. Malik, a Director and former executive officer of the Company, was party to an employment agreement with Mylan Inc., which contained standard indemnification provisions, and is currently party to a standard indemnification agreement with the Company. The Company has made payments to counsel to Mr. Malik of approximately $476,000 from January 1, 2023 through October 18, 2024 for services provided to Mr. Malik in connection with certain previously disclosed drug pricing matters. The Company anticipates making additional payments of approximately $131,000 in 2024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Viatris has a written related party transactions policy that establishes guidelines for the Audit Committee to review and approve or ratify, as appropriate, transactions involving any Director, nominee for Director, “officer” (as defined in Rule 16a-1(f) of the Securities Exchange Act of 1934, as amended (the “Exchange Act”)),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Non-Employee Directors Are Compensated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Compensation for 2023</w:t>
      </w:r>
    </w:p>
    <w:p>
      <w:pPr>
        <w:spacing w:after="0" w:line="14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3F3F3F"/>
        </w:rPr>
        <w:t>The following table sets forth information concerning the compensation earned by Viatris’ non-employee Directors (each a “Non-Employee Director” and, together, the “Non-Employee Directors”) for 2023. Directors who are or were concurrently employees of Viatris (Messrs. Coury, Smith, Goettler and Malik) received no compensation for their concurrent Board service. Dr. Vivaldi did not receive compensation for Board service in 2023 as he was appointed to the Board on June 3, 2024. A discussion of the elements of Non-Employee Director compensation follows the table.</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4780" w:type="dxa"/>
            <w:vAlign w:val="bottom"/>
            <w:shd w:val="clear" w:color="auto" w:fill="732282"/>
          </w:tcPr>
          <w:p>
            <w:pPr>
              <w:spacing w:after="0"/>
              <w:rPr>
                <w:sz w:val="21"/>
                <w:szCs w:val="21"/>
                <w:color w:val="auto"/>
              </w:rPr>
            </w:pPr>
          </w:p>
        </w:tc>
        <w:tc>
          <w:tcPr>
            <w:tcW w:w="2000" w:type="dxa"/>
            <w:vAlign w:val="bottom"/>
            <w:shd w:val="clear" w:color="auto" w:fill="732282"/>
          </w:tcPr>
          <w:p>
            <w:pPr>
              <w:jc w:val="center"/>
              <w:ind w:left="179"/>
              <w:spacing w:after="0"/>
              <w:rPr>
                <w:sz w:val="20"/>
                <w:szCs w:val="20"/>
                <w:color w:val="auto"/>
              </w:rPr>
            </w:pPr>
            <w:r>
              <w:rPr>
                <w:rFonts w:ascii="Arial" w:cs="Arial" w:eastAsia="Arial" w:hAnsi="Arial"/>
                <w:sz w:val="16"/>
                <w:szCs w:val="16"/>
                <w:b w:val="1"/>
                <w:bCs w:val="1"/>
                <w:color w:val="FFFFFF"/>
              </w:rPr>
              <w:t>Fees Earned</w:t>
            </w:r>
          </w:p>
        </w:tc>
        <w:tc>
          <w:tcPr>
            <w:tcW w:w="1320" w:type="dxa"/>
            <w:vAlign w:val="bottom"/>
            <w:shd w:val="clear" w:color="auto" w:fill="732282"/>
          </w:tcPr>
          <w:p>
            <w:pPr>
              <w:spacing w:after="0"/>
              <w:rPr>
                <w:sz w:val="21"/>
                <w:szCs w:val="21"/>
                <w:color w:val="auto"/>
              </w:rPr>
            </w:pPr>
          </w:p>
        </w:tc>
        <w:tc>
          <w:tcPr>
            <w:tcW w:w="188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rPr>
              <w:t>All Other</w:t>
            </w:r>
          </w:p>
        </w:tc>
        <w:tc>
          <w:tcPr>
            <w:tcW w:w="1040" w:type="dxa"/>
            <w:vAlign w:val="bottom"/>
            <w:shd w:val="clear" w:color="auto" w:fill="732282"/>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780" w:type="dxa"/>
            <w:vAlign w:val="bottom"/>
            <w:shd w:val="clear" w:color="auto" w:fill="732282"/>
          </w:tcPr>
          <w:p>
            <w:pPr>
              <w:spacing w:after="0"/>
              <w:rPr>
                <w:sz w:val="13"/>
                <w:szCs w:val="13"/>
                <w:color w:val="auto"/>
              </w:rPr>
            </w:pPr>
          </w:p>
        </w:tc>
        <w:tc>
          <w:tcPr>
            <w:tcW w:w="2000" w:type="dxa"/>
            <w:vAlign w:val="bottom"/>
            <w:vMerge w:val="restart"/>
            <w:shd w:val="clear" w:color="auto" w:fill="732282"/>
          </w:tcPr>
          <w:p>
            <w:pPr>
              <w:jc w:val="center"/>
              <w:ind w:left="179"/>
              <w:spacing w:after="0"/>
              <w:rPr>
                <w:sz w:val="20"/>
                <w:szCs w:val="20"/>
                <w:color w:val="auto"/>
              </w:rPr>
            </w:pPr>
            <w:r>
              <w:rPr>
                <w:rFonts w:ascii="Arial" w:cs="Arial" w:eastAsia="Arial" w:hAnsi="Arial"/>
                <w:sz w:val="16"/>
                <w:szCs w:val="16"/>
                <w:b w:val="1"/>
                <w:bCs w:val="1"/>
                <w:color w:val="FFFFFF"/>
              </w:rPr>
              <w:t>or Paid in</w:t>
            </w:r>
          </w:p>
        </w:tc>
        <w:tc>
          <w:tcPr>
            <w:tcW w:w="1320" w:type="dxa"/>
            <w:vAlign w:val="bottom"/>
            <w:shd w:val="clear" w:color="auto" w:fill="732282"/>
          </w:tcPr>
          <w:p>
            <w:pPr>
              <w:spacing w:after="0"/>
              <w:rPr>
                <w:sz w:val="13"/>
                <w:szCs w:val="13"/>
                <w:color w:val="auto"/>
              </w:rPr>
            </w:pPr>
          </w:p>
        </w:tc>
        <w:tc>
          <w:tcPr>
            <w:tcW w:w="1880" w:type="dxa"/>
            <w:vAlign w:val="bottom"/>
            <w:vMerge w:val="continue"/>
            <w:shd w:val="clear" w:color="auto" w:fill="732282"/>
          </w:tcPr>
          <w:p>
            <w:pPr>
              <w:spacing w:after="0"/>
              <w:rPr>
                <w:sz w:val="13"/>
                <w:szCs w:val="13"/>
                <w:color w:val="auto"/>
              </w:rPr>
            </w:pPr>
          </w:p>
        </w:tc>
        <w:tc>
          <w:tcPr>
            <w:tcW w:w="1040" w:type="dxa"/>
            <w:vAlign w:val="bottom"/>
            <w:shd w:val="clear" w:color="auto" w:fill="73228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780" w:type="dxa"/>
            <w:vAlign w:val="bottom"/>
            <w:shd w:val="clear" w:color="auto" w:fill="732282"/>
          </w:tcPr>
          <w:p>
            <w:pPr>
              <w:spacing w:after="0"/>
              <w:rPr>
                <w:sz w:val="2"/>
                <w:szCs w:val="2"/>
                <w:color w:val="auto"/>
              </w:rPr>
            </w:pPr>
          </w:p>
        </w:tc>
        <w:tc>
          <w:tcPr>
            <w:tcW w:w="2000" w:type="dxa"/>
            <w:vAlign w:val="bottom"/>
            <w:vMerge w:val="continue"/>
            <w:shd w:val="clear" w:color="auto" w:fill="732282"/>
          </w:tcPr>
          <w:p>
            <w:pPr>
              <w:spacing w:after="0"/>
              <w:rPr>
                <w:sz w:val="2"/>
                <w:szCs w:val="2"/>
                <w:color w:val="auto"/>
              </w:rPr>
            </w:pPr>
          </w:p>
        </w:tc>
        <w:tc>
          <w:tcPr>
            <w:tcW w:w="1320" w:type="dxa"/>
            <w:vAlign w:val="bottom"/>
            <w:vMerge w:val="restart"/>
            <w:shd w:val="clear" w:color="auto" w:fill="732282"/>
          </w:tcPr>
          <w:p>
            <w:pPr>
              <w:ind w:left="400"/>
              <w:spacing w:after="0"/>
              <w:rPr>
                <w:sz w:val="20"/>
                <w:szCs w:val="20"/>
                <w:color w:val="auto"/>
              </w:rPr>
            </w:pPr>
            <w:r>
              <w:rPr>
                <w:rFonts w:ascii="Arial" w:cs="Arial" w:eastAsia="Arial" w:hAnsi="Arial"/>
                <w:sz w:val="16"/>
                <w:szCs w:val="16"/>
                <w:b w:val="1"/>
                <w:bCs w:val="1"/>
                <w:color w:val="FFFFFF"/>
              </w:rPr>
              <w:t>RSUs</w:t>
            </w:r>
          </w:p>
        </w:tc>
        <w:tc>
          <w:tcPr>
            <w:tcW w:w="188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040" w:type="dxa"/>
            <w:vAlign w:val="bottom"/>
            <w:shd w:val="clear" w:color="auto" w:fill="73228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780" w:type="dxa"/>
            <w:vAlign w:val="bottom"/>
            <w:shd w:val="clear" w:color="auto" w:fill="732282"/>
          </w:tcPr>
          <w:p>
            <w:pPr>
              <w:spacing w:after="0"/>
              <w:rPr>
                <w:sz w:val="15"/>
                <w:szCs w:val="15"/>
                <w:color w:val="auto"/>
              </w:rPr>
            </w:pPr>
          </w:p>
        </w:tc>
        <w:tc>
          <w:tcPr>
            <w:tcW w:w="2000" w:type="dxa"/>
            <w:vAlign w:val="bottom"/>
            <w:shd w:val="clear" w:color="auto" w:fill="732282"/>
          </w:tcPr>
          <w:p>
            <w:pPr>
              <w:jc w:val="center"/>
              <w:ind w:left="179"/>
              <w:spacing w:after="0" w:line="175" w:lineRule="exact"/>
              <w:rPr>
                <w:sz w:val="20"/>
                <w:szCs w:val="20"/>
                <w:color w:val="auto"/>
              </w:rPr>
            </w:pPr>
            <w:r>
              <w:rPr>
                <w:rFonts w:ascii="Arial" w:cs="Arial" w:eastAsia="Arial" w:hAnsi="Arial"/>
                <w:sz w:val="16"/>
                <w:szCs w:val="16"/>
                <w:b w:val="1"/>
                <w:bCs w:val="1"/>
                <w:color w:val="FFFFFF"/>
                <w:w w:val="97"/>
              </w:rPr>
              <w:t>Cash</w:t>
            </w:r>
          </w:p>
        </w:tc>
        <w:tc>
          <w:tcPr>
            <w:tcW w:w="1320" w:type="dxa"/>
            <w:vAlign w:val="bottom"/>
            <w:vMerge w:val="continue"/>
            <w:shd w:val="clear" w:color="auto" w:fill="732282"/>
          </w:tcPr>
          <w:p>
            <w:pPr>
              <w:spacing w:after="0"/>
              <w:rPr>
                <w:sz w:val="15"/>
                <w:szCs w:val="15"/>
                <w:color w:val="auto"/>
              </w:rPr>
            </w:pPr>
          </w:p>
        </w:tc>
        <w:tc>
          <w:tcPr>
            <w:tcW w:w="1880" w:type="dxa"/>
            <w:vAlign w:val="bottom"/>
            <w:vMerge w:val="continue"/>
            <w:shd w:val="clear" w:color="auto" w:fill="732282"/>
          </w:tcPr>
          <w:p>
            <w:pPr>
              <w:spacing w:after="0"/>
              <w:rPr>
                <w:sz w:val="15"/>
                <w:szCs w:val="15"/>
                <w:color w:val="auto"/>
              </w:rPr>
            </w:pPr>
          </w:p>
        </w:tc>
        <w:tc>
          <w:tcPr>
            <w:tcW w:w="1040" w:type="dxa"/>
            <w:vAlign w:val="bottom"/>
            <w:shd w:val="clear" w:color="auto" w:fill="732282"/>
          </w:tcPr>
          <w:p>
            <w:pPr>
              <w:jc w:val="right"/>
              <w:ind w:right="119"/>
              <w:spacing w:after="0" w:line="175" w:lineRule="exact"/>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84"/>
        </w:trPr>
        <w:tc>
          <w:tcPr>
            <w:tcW w:w="47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2000" w:type="dxa"/>
            <w:vAlign w:val="bottom"/>
            <w:shd w:val="clear" w:color="auto" w:fill="732282"/>
          </w:tcPr>
          <w:p>
            <w:pPr>
              <w:jc w:val="center"/>
              <w:ind w:left="179"/>
              <w:spacing w:after="0"/>
              <w:rPr>
                <w:sz w:val="20"/>
                <w:szCs w:val="20"/>
                <w:color w:val="auto"/>
              </w:rPr>
            </w:pPr>
            <w:r>
              <w:rPr>
                <w:rFonts w:ascii="Arial" w:cs="Arial" w:eastAsia="Arial" w:hAnsi="Arial"/>
                <w:sz w:val="16"/>
                <w:szCs w:val="16"/>
                <w:b w:val="1"/>
                <w:bCs w:val="1"/>
                <w:color w:val="FFFFFF"/>
                <w:w w:val="91"/>
              </w:rPr>
              <w:t>($)</w:t>
            </w:r>
          </w:p>
        </w:tc>
        <w:tc>
          <w:tcPr>
            <w:tcW w:w="1320" w:type="dxa"/>
            <w:vAlign w:val="bottom"/>
            <w:shd w:val="clear" w:color="auto" w:fill="732282"/>
          </w:tcPr>
          <w:p>
            <w:pPr>
              <w:ind w:left="44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(3)</w:t>
            </w:r>
          </w:p>
        </w:tc>
        <w:tc>
          <w:tcPr>
            <w:tcW w:w="18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86"/>
              </w:rPr>
              <w:t>($)</w:t>
            </w:r>
            <w:r>
              <w:rPr>
                <w:rFonts w:ascii="Arial" w:cs="Arial" w:eastAsia="Arial" w:hAnsi="Arial"/>
                <w:sz w:val="24"/>
                <w:szCs w:val="24"/>
                <w:b w:val="1"/>
                <w:bCs w:val="1"/>
                <w:color w:val="FFFFFF"/>
                <w:w w:val="86"/>
                <w:vertAlign w:val="superscript"/>
              </w:rPr>
              <w:t>(4)</w:t>
            </w:r>
          </w:p>
        </w:tc>
        <w:tc>
          <w:tcPr>
            <w:tcW w:w="104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70"/>
        </w:trPr>
        <w:tc>
          <w:tcPr>
            <w:tcW w:w="4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20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150,000 </w:t>
            </w:r>
          </w:p>
        </w:tc>
        <w:tc>
          <w:tcPr>
            <w:tcW w:w="13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20,000 </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370,006</w:t>
            </w:r>
          </w:p>
        </w:tc>
        <w:tc>
          <w:tcPr>
            <w:tcW w:w="0" w:type="dxa"/>
            <w:vAlign w:val="bottom"/>
          </w:tcPr>
          <w:p>
            <w:pPr>
              <w:spacing w:after="0"/>
              <w:rPr>
                <w:sz w:val="1"/>
                <w:szCs w:val="1"/>
                <w:color w:val="auto"/>
              </w:rPr>
            </w:pPr>
          </w:p>
        </w:tc>
      </w:tr>
      <w:tr>
        <w:trPr>
          <w:trHeight w:val="262"/>
        </w:trPr>
        <w:tc>
          <w:tcPr>
            <w:tcW w:w="4780" w:type="dxa"/>
            <w:vAlign w:val="bottom"/>
          </w:tcPr>
          <w:p>
            <w:pPr>
              <w:ind w:left="60"/>
              <w:spacing w:after="0"/>
              <w:rPr>
                <w:sz w:val="20"/>
                <w:szCs w:val="20"/>
                <w:color w:val="auto"/>
              </w:rPr>
            </w:pPr>
            <w:r>
              <w:rPr>
                <w:rFonts w:ascii="Arial" w:cs="Arial" w:eastAsia="Arial" w:hAnsi="Arial"/>
                <w:sz w:val="16"/>
                <w:szCs w:val="16"/>
                <w:color w:val="auto"/>
              </w:rPr>
              <w:t>JoEllen Lyons Dillon</w:t>
            </w:r>
          </w:p>
        </w:tc>
        <w:tc>
          <w:tcPr>
            <w:tcW w:w="2000" w:type="dxa"/>
            <w:vAlign w:val="bottom"/>
          </w:tcPr>
          <w:p>
            <w:pPr>
              <w:jc w:val="right"/>
              <w:ind w:right="439"/>
              <w:spacing w:after="0"/>
              <w:rPr>
                <w:sz w:val="20"/>
                <w:szCs w:val="20"/>
                <w:color w:val="auto"/>
              </w:rPr>
            </w:pPr>
            <w:r>
              <w:rPr>
                <w:rFonts w:ascii="Arial" w:cs="Arial" w:eastAsia="Arial" w:hAnsi="Arial"/>
                <w:sz w:val="16"/>
                <w:szCs w:val="16"/>
                <w:color w:val="auto"/>
              </w:rPr>
              <w:t>200,000 </w:t>
            </w:r>
          </w:p>
        </w:tc>
        <w:tc>
          <w:tcPr>
            <w:tcW w:w="1320" w:type="dxa"/>
            <w:vAlign w:val="bottom"/>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400,006</w:t>
            </w:r>
          </w:p>
        </w:tc>
        <w:tc>
          <w:tcPr>
            <w:tcW w:w="0" w:type="dxa"/>
            <w:vAlign w:val="bottom"/>
          </w:tcPr>
          <w:p>
            <w:pPr>
              <w:spacing w:after="0"/>
              <w:rPr>
                <w:sz w:val="1"/>
                <w:szCs w:val="1"/>
                <w:color w:val="auto"/>
              </w:rPr>
            </w:pPr>
          </w:p>
        </w:tc>
      </w:tr>
      <w:tr>
        <w:trPr>
          <w:trHeight w:val="278"/>
        </w:trPr>
        <w:tc>
          <w:tcPr>
            <w:tcW w:w="4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Elisha Finney</w:t>
            </w:r>
          </w:p>
        </w:tc>
        <w:tc>
          <w:tcPr>
            <w:tcW w:w="20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150,000 </w:t>
            </w:r>
          </w:p>
        </w:tc>
        <w:tc>
          <w:tcPr>
            <w:tcW w:w="13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20,000 </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370,006</w:t>
            </w:r>
          </w:p>
        </w:tc>
        <w:tc>
          <w:tcPr>
            <w:tcW w:w="0" w:type="dxa"/>
            <w:vAlign w:val="bottom"/>
          </w:tcPr>
          <w:p>
            <w:pPr>
              <w:spacing w:after="0"/>
              <w:rPr>
                <w:sz w:val="1"/>
                <w:szCs w:val="1"/>
                <w:color w:val="auto"/>
              </w:rPr>
            </w:pPr>
          </w:p>
        </w:tc>
      </w:tr>
      <w:tr>
        <w:trPr>
          <w:trHeight w:val="310"/>
        </w:trPr>
        <w:tc>
          <w:tcPr>
            <w:tcW w:w="4780" w:type="dxa"/>
            <w:vAlign w:val="bottom"/>
          </w:tcPr>
          <w:p>
            <w:pPr>
              <w:ind w:left="60"/>
              <w:spacing w:after="0"/>
              <w:rPr>
                <w:sz w:val="20"/>
                <w:szCs w:val="20"/>
                <w:color w:val="auto"/>
              </w:rPr>
            </w:pPr>
            <w:r>
              <w:rPr>
                <w:rFonts w:ascii="Arial" w:cs="Arial" w:eastAsia="Arial" w:hAnsi="Arial"/>
                <w:sz w:val="16"/>
                <w:szCs w:val="16"/>
                <w:color w:val="auto"/>
              </w:rPr>
              <w:t>Leo Groothuis</w:t>
            </w:r>
            <w:r>
              <w:rPr>
                <w:rFonts w:ascii="Arial" w:cs="Arial" w:eastAsia="Arial" w:hAnsi="Arial"/>
                <w:sz w:val="24"/>
                <w:szCs w:val="24"/>
                <w:color w:val="auto"/>
                <w:vertAlign w:val="superscript"/>
              </w:rPr>
              <w:t>(1)</w:t>
            </w:r>
          </w:p>
        </w:tc>
        <w:tc>
          <w:tcPr>
            <w:tcW w:w="2000" w:type="dxa"/>
            <w:vAlign w:val="bottom"/>
          </w:tcPr>
          <w:p>
            <w:pPr>
              <w:jc w:val="right"/>
              <w:ind w:right="439"/>
              <w:spacing w:after="0"/>
              <w:rPr>
                <w:sz w:val="20"/>
                <w:szCs w:val="20"/>
                <w:color w:val="auto"/>
              </w:rPr>
            </w:pPr>
            <w:r>
              <w:rPr>
                <w:rFonts w:ascii="Arial" w:cs="Arial" w:eastAsia="Arial" w:hAnsi="Arial"/>
                <w:sz w:val="16"/>
                <w:szCs w:val="16"/>
                <w:color w:val="auto"/>
              </w:rPr>
              <w:t>113,542 </w:t>
            </w:r>
          </w:p>
        </w:tc>
        <w:tc>
          <w:tcPr>
            <w:tcW w:w="1320" w:type="dxa"/>
            <w:vAlign w:val="bottom"/>
          </w:tcPr>
          <w:p>
            <w:pPr>
              <w:ind w:left="380"/>
              <w:spacing w:after="0"/>
              <w:rPr>
                <w:sz w:val="20"/>
                <w:szCs w:val="20"/>
                <w:color w:val="auto"/>
              </w:rPr>
            </w:pPr>
            <w:r>
              <w:rPr>
                <w:rFonts w:ascii="Arial" w:cs="Arial" w:eastAsia="Arial" w:hAnsi="Arial"/>
                <w:sz w:val="16"/>
                <w:szCs w:val="16"/>
                <w:color w:val="auto"/>
              </w:rPr>
              <w:t>200,001</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313,543</w:t>
            </w:r>
          </w:p>
        </w:tc>
        <w:tc>
          <w:tcPr>
            <w:tcW w:w="0" w:type="dxa"/>
            <w:vAlign w:val="bottom"/>
          </w:tcPr>
          <w:p>
            <w:pPr>
              <w:spacing w:after="0"/>
              <w:rPr>
                <w:sz w:val="1"/>
                <w:szCs w:val="1"/>
                <w:color w:val="auto"/>
              </w:rPr>
            </w:pPr>
          </w:p>
        </w:tc>
      </w:tr>
      <w:tr>
        <w:trPr>
          <w:trHeight w:val="270"/>
        </w:trPr>
        <w:tc>
          <w:tcPr>
            <w:tcW w:w="4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20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234,375 </w:t>
            </w:r>
          </w:p>
        </w:tc>
        <w:tc>
          <w:tcPr>
            <w:tcW w:w="13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20,000 </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454,381</w:t>
            </w:r>
          </w:p>
        </w:tc>
        <w:tc>
          <w:tcPr>
            <w:tcW w:w="0" w:type="dxa"/>
            <w:vAlign w:val="bottom"/>
          </w:tcPr>
          <w:p>
            <w:pPr>
              <w:spacing w:after="0"/>
              <w:rPr>
                <w:sz w:val="1"/>
                <w:szCs w:val="1"/>
                <w:color w:val="auto"/>
              </w:rPr>
            </w:pPr>
          </w:p>
        </w:tc>
      </w:tr>
      <w:tr>
        <w:trPr>
          <w:trHeight w:val="262"/>
        </w:trPr>
        <w:tc>
          <w:tcPr>
            <w:tcW w:w="4780" w:type="dxa"/>
            <w:vAlign w:val="bottom"/>
          </w:tcPr>
          <w:p>
            <w:pPr>
              <w:ind w:left="60"/>
              <w:spacing w:after="0"/>
              <w:rPr>
                <w:sz w:val="20"/>
                <w:szCs w:val="20"/>
                <w:color w:val="auto"/>
              </w:rPr>
            </w:pPr>
            <w:r>
              <w:rPr>
                <w:rFonts w:ascii="Arial" w:cs="Arial" w:eastAsia="Arial" w:hAnsi="Arial"/>
                <w:sz w:val="16"/>
                <w:szCs w:val="16"/>
                <w:color w:val="auto"/>
              </w:rPr>
              <w:t>James M. Kilts</w:t>
            </w:r>
          </w:p>
        </w:tc>
        <w:tc>
          <w:tcPr>
            <w:tcW w:w="2000" w:type="dxa"/>
            <w:vAlign w:val="bottom"/>
          </w:tcPr>
          <w:p>
            <w:pPr>
              <w:jc w:val="right"/>
              <w:ind w:right="439"/>
              <w:spacing w:after="0"/>
              <w:rPr>
                <w:sz w:val="20"/>
                <w:szCs w:val="20"/>
                <w:color w:val="auto"/>
              </w:rPr>
            </w:pPr>
            <w:r>
              <w:rPr>
                <w:rFonts w:ascii="Arial" w:cs="Arial" w:eastAsia="Arial" w:hAnsi="Arial"/>
                <w:sz w:val="16"/>
                <w:szCs w:val="16"/>
                <w:color w:val="auto"/>
              </w:rPr>
              <w:t>150,000 </w:t>
            </w:r>
          </w:p>
        </w:tc>
        <w:tc>
          <w:tcPr>
            <w:tcW w:w="1320" w:type="dxa"/>
            <w:vAlign w:val="bottom"/>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20,000 </w:t>
            </w:r>
          </w:p>
        </w:tc>
        <w:tc>
          <w:tcPr>
            <w:tcW w:w="1040" w:type="dxa"/>
            <w:vAlign w:val="bottom"/>
          </w:tcPr>
          <w:p>
            <w:pPr>
              <w:jc w:val="right"/>
              <w:spacing w:after="0"/>
              <w:rPr>
                <w:sz w:val="20"/>
                <w:szCs w:val="20"/>
                <w:color w:val="auto"/>
              </w:rPr>
            </w:pPr>
            <w:r>
              <w:rPr>
                <w:rFonts w:ascii="Arial" w:cs="Arial" w:eastAsia="Arial" w:hAnsi="Arial"/>
                <w:sz w:val="16"/>
                <w:szCs w:val="16"/>
                <w:color w:val="auto"/>
              </w:rPr>
              <w:t>370,006</w:t>
            </w:r>
          </w:p>
        </w:tc>
        <w:tc>
          <w:tcPr>
            <w:tcW w:w="0" w:type="dxa"/>
            <w:vAlign w:val="bottom"/>
          </w:tcPr>
          <w:p>
            <w:pPr>
              <w:spacing w:after="0"/>
              <w:rPr>
                <w:sz w:val="1"/>
                <w:szCs w:val="1"/>
                <w:color w:val="auto"/>
              </w:rPr>
            </w:pPr>
          </w:p>
        </w:tc>
      </w:tr>
      <w:tr>
        <w:trPr>
          <w:trHeight w:val="278"/>
        </w:trPr>
        <w:tc>
          <w:tcPr>
            <w:tcW w:w="4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Harry Korman</w:t>
            </w:r>
          </w:p>
        </w:tc>
        <w:tc>
          <w:tcPr>
            <w:tcW w:w="20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175,000 </w:t>
            </w:r>
          </w:p>
        </w:tc>
        <w:tc>
          <w:tcPr>
            <w:tcW w:w="13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— </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375,006</w:t>
            </w:r>
          </w:p>
        </w:tc>
        <w:tc>
          <w:tcPr>
            <w:tcW w:w="0" w:type="dxa"/>
            <w:vAlign w:val="bottom"/>
          </w:tcPr>
          <w:p>
            <w:pPr>
              <w:spacing w:after="0"/>
              <w:rPr>
                <w:sz w:val="1"/>
                <w:szCs w:val="1"/>
                <w:color w:val="auto"/>
              </w:rPr>
            </w:pPr>
          </w:p>
        </w:tc>
      </w:tr>
      <w:tr>
        <w:trPr>
          <w:trHeight w:val="262"/>
        </w:trPr>
        <w:tc>
          <w:tcPr>
            <w:tcW w:w="4780" w:type="dxa"/>
            <w:vAlign w:val="bottom"/>
          </w:tcPr>
          <w:p>
            <w:pPr>
              <w:ind w:left="60"/>
              <w:spacing w:after="0"/>
              <w:rPr>
                <w:sz w:val="20"/>
                <w:szCs w:val="20"/>
                <w:color w:val="auto"/>
              </w:rPr>
            </w:pPr>
            <w:r>
              <w:rPr>
                <w:rFonts w:ascii="Arial" w:cs="Arial" w:eastAsia="Arial" w:hAnsi="Arial"/>
                <w:sz w:val="16"/>
                <w:szCs w:val="16"/>
                <w:color w:val="auto"/>
              </w:rPr>
              <w:t>Richard Mark</w:t>
            </w:r>
          </w:p>
        </w:tc>
        <w:tc>
          <w:tcPr>
            <w:tcW w:w="2000" w:type="dxa"/>
            <w:vAlign w:val="bottom"/>
          </w:tcPr>
          <w:p>
            <w:pPr>
              <w:jc w:val="right"/>
              <w:ind w:right="439"/>
              <w:spacing w:after="0"/>
              <w:rPr>
                <w:sz w:val="20"/>
                <w:szCs w:val="20"/>
                <w:color w:val="auto"/>
              </w:rPr>
            </w:pPr>
            <w:r>
              <w:rPr>
                <w:rFonts w:ascii="Arial" w:cs="Arial" w:eastAsia="Arial" w:hAnsi="Arial"/>
                <w:sz w:val="16"/>
                <w:szCs w:val="16"/>
                <w:color w:val="auto"/>
              </w:rPr>
              <w:t>200,000 </w:t>
            </w:r>
          </w:p>
        </w:tc>
        <w:tc>
          <w:tcPr>
            <w:tcW w:w="1320" w:type="dxa"/>
            <w:vAlign w:val="bottom"/>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tcPr>
          <w:p>
            <w:pPr>
              <w:jc w:val="right"/>
              <w:ind w:right="659"/>
              <w:spacing w:after="0"/>
              <w:rPr>
                <w:sz w:val="20"/>
                <w:szCs w:val="20"/>
                <w:color w:val="auto"/>
              </w:rPr>
            </w:pPr>
            <w:r>
              <w:rPr>
                <w:rFonts w:ascii="Arial" w:cs="Arial" w:eastAsia="Arial" w:hAnsi="Arial"/>
                <w:sz w:val="16"/>
                <w:szCs w:val="16"/>
                <w:color w:val="auto"/>
              </w:rPr>
              <w:t>20,000 </w:t>
            </w:r>
          </w:p>
        </w:tc>
        <w:tc>
          <w:tcPr>
            <w:tcW w:w="1040" w:type="dxa"/>
            <w:vAlign w:val="bottom"/>
          </w:tcPr>
          <w:p>
            <w:pPr>
              <w:jc w:val="right"/>
              <w:spacing w:after="0"/>
              <w:rPr>
                <w:sz w:val="20"/>
                <w:szCs w:val="20"/>
                <w:color w:val="auto"/>
              </w:rPr>
            </w:pPr>
            <w:r>
              <w:rPr>
                <w:rFonts w:ascii="Arial" w:cs="Arial" w:eastAsia="Arial" w:hAnsi="Arial"/>
                <w:sz w:val="16"/>
                <w:szCs w:val="16"/>
                <w:color w:val="auto"/>
              </w:rPr>
              <w:t>420,006</w:t>
            </w:r>
          </w:p>
        </w:tc>
        <w:tc>
          <w:tcPr>
            <w:tcW w:w="0" w:type="dxa"/>
            <w:vAlign w:val="bottom"/>
          </w:tcPr>
          <w:p>
            <w:pPr>
              <w:spacing w:after="0"/>
              <w:rPr>
                <w:sz w:val="1"/>
                <w:szCs w:val="1"/>
                <w:color w:val="auto"/>
              </w:rPr>
            </w:pPr>
          </w:p>
        </w:tc>
      </w:tr>
      <w:tr>
        <w:trPr>
          <w:trHeight w:val="278"/>
        </w:trPr>
        <w:tc>
          <w:tcPr>
            <w:tcW w:w="4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Mark Parrish</w:t>
            </w:r>
          </w:p>
        </w:tc>
        <w:tc>
          <w:tcPr>
            <w:tcW w:w="20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250,000 </w:t>
            </w:r>
          </w:p>
        </w:tc>
        <w:tc>
          <w:tcPr>
            <w:tcW w:w="13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shd w:val="clear" w:color="auto" w:fill="E5E5E5"/>
          </w:tcPr>
          <w:p>
            <w:pPr>
              <w:jc w:val="right"/>
              <w:ind w:right="659"/>
              <w:spacing w:after="0"/>
              <w:rPr>
                <w:sz w:val="20"/>
                <w:szCs w:val="20"/>
                <w:color w:val="auto"/>
              </w:rPr>
            </w:pPr>
            <w:r>
              <w:rPr>
                <w:rFonts w:ascii="Arial" w:cs="Arial" w:eastAsia="Arial" w:hAnsi="Arial"/>
                <w:sz w:val="16"/>
                <w:szCs w:val="16"/>
                <w:color w:val="auto"/>
              </w:rPr>
              <w:t>— </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450,006</w:t>
            </w:r>
          </w:p>
        </w:tc>
        <w:tc>
          <w:tcPr>
            <w:tcW w:w="0" w:type="dxa"/>
            <w:vAlign w:val="bottom"/>
          </w:tcPr>
          <w:p>
            <w:pPr>
              <w:spacing w:after="0"/>
              <w:rPr>
                <w:sz w:val="1"/>
                <w:szCs w:val="1"/>
                <w:color w:val="auto"/>
              </w:rPr>
            </w:pPr>
          </w:p>
        </w:tc>
      </w:tr>
      <w:tr>
        <w:trPr>
          <w:trHeight w:val="310"/>
        </w:trPr>
        <w:tc>
          <w:tcPr>
            <w:tcW w:w="478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Pauline van der Meer Mohr</w:t>
            </w:r>
            <w:r>
              <w:rPr>
                <w:rFonts w:ascii="Arial" w:cs="Arial" w:eastAsia="Arial" w:hAnsi="Arial"/>
                <w:sz w:val="24"/>
                <w:szCs w:val="24"/>
                <w:color w:val="auto"/>
                <w:vertAlign w:val="superscript"/>
              </w:rPr>
              <w:t>(1)(2)</w:t>
            </w:r>
          </w:p>
        </w:tc>
        <w:tc>
          <w:tcPr>
            <w:tcW w:w="2000" w:type="dxa"/>
            <w:vAlign w:val="bottom"/>
            <w:tcBorders>
              <w:bottom w:val="single" w:sz="8" w:color="732282"/>
            </w:tcBorders>
          </w:tcPr>
          <w:p>
            <w:pPr>
              <w:jc w:val="right"/>
              <w:ind w:right="439"/>
              <w:spacing w:after="0"/>
              <w:rPr>
                <w:sz w:val="20"/>
                <w:szCs w:val="20"/>
                <w:color w:val="auto"/>
              </w:rPr>
            </w:pPr>
            <w:r>
              <w:rPr>
                <w:rFonts w:ascii="Arial" w:cs="Arial" w:eastAsia="Arial" w:hAnsi="Arial"/>
                <w:sz w:val="16"/>
                <w:szCs w:val="16"/>
                <w:color w:val="auto"/>
              </w:rPr>
              <w:t>150,000 </w:t>
            </w:r>
          </w:p>
        </w:tc>
        <w:tc>
          <w:tcPr>
            <w:tcW w:w="1320" w:type="dxa"/>
            <w:vAlign w:val="bottom"/>
            <w:tcBorders>
              <w:bottom w:val="single" w:sz="8" w:color="732282"/>
            </w:tcBorders>
          </w:tcPr>
          <w:p>
            <w:pPr>
              <w:ind w:left="380"/>
              <w:spacing w:after="0"/>
              <w:rPr>
                <w:sz w:val="20"/>
                <w:szCs w:val="20"/>
                <w:color w:val="auto"/>
              </w:rPr>
            </w:pPr>
            <w:r>
              <w:rPr>
                <w:rFonts w:ascii="Arial" w:cs="Arial" w:eastAsia="Arial" w:hAnsi="Arial"/>
                <w:sz w:val="16"/>
                <w:szCs w:val="16"/>
                <w:color w:val="auto"/>
              </w:rPr>
              <w:t>200,006</w:t>
            </w:r>
          </w:p>
        </w:tc>
        <w:tc>
          <w:tcPr>
            <w:tcW w:w="1880" w:type="dxa"/>
            <w:vAlign w:val="bottom"/>
            <w:tcBorders>
              <w:bottom w:val="single" w:sz="8" w:color="732282"/>
            </w:tcBorders>
          </w:tcPr>
          <w:p>
            <w:pPr>
              <w:jc w:val="right"/>
              <w:ind w:right="659"/>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350,006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40" w:right="660" w:hanging="424"/>
        <w:spacing w:after="0" w:line="256" w:lineRule="auto"/>
        <w:tabs>
          <w:tab w:leader="none" w:pos="5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Fees earned by Mr. Groothuis and Ms. van der Meer Mohr were paid in Euros. Such amounts were converted into Euros using the monthly conversion rate in effect when each payment was made.</w:t>
      </w:r>
    </w:p>
    <w:p>
      <w:pPr>
        <w:spacing w:after="0" w:line="1" w:lineRule="exact"/>
        <w:rPr>
          <w:rFonts w:ascii="Arial" w:cs="Arial" w:eastAsia="Arial" w:hAnsi="Arial"/>
          <w:sz w:val="16"/>
          <w:szCs w:val="16"/>
          <w:color w:val="3F3F3F"/>
        </w:rPr>
      </w:pPr>
    </w:p>
    <w:p>
      <w:pPr>
        <w:ind w:left="540" w:hanging="424"/>
        <w:spacing w:after="0"/>
        <w:tabs>
          <w:tab w:leader="none" w:pos="5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Ms. van der Meer Mohr did not stand for re-election to the Board at the 2023 Annual Meeting.</w:t>
      </w:r>
    </w:p>
    <w:p>
      <w:pPr>
        <w:spacing w:after="0" w:line="5" w:lineRule="exact"/>
        <w:rPr>
          <w:rFonts w:ascii="Arial" w:cs="Arial" w:eastAsia="Arial" w:hAnsi="Arial"/>
          <w:sz w:val="16"/>
          <w:szCs w:val="16"/>
          <w:color w:val="3F3F3F"/>
        </w:rPr>
      </w:pPr>
    </w:p>
    <w:p>
      <w:pPr>
        <w:ind w:left="540" w:right="20" w:hanging="424"/>
        <w:spacing w:after="0" w:line="246" w:lineRule="auto"/>
        <w:tabs>
          <w:tab w:leader="none" w:pos="5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Represents the grant date fair value of the specific award granted to the Non-Employee Director. Restricted stock unit (“RSU”) awards granted in 2023 vested on March 3, 2024. For information regarding assumptions used in determining the amounts reflected in the table above, please refer to Note 13 to the Company’s Consolidated Financial Statements contained in the Company’s Annual Report on Form 10-K for the year ended December 31, 2023 (“Form 10-K”). The number of unvested RSUs held by each of the Non-Employee Directors, as of December 31, 2023, were as follows: Mr. Cornwell, 18,855; Ms. Dillon, 18,855; Ms. Finney, 18,855; Mr. Groothuis, 22,484; Ms. Higgins, 18,855; Mr. Kilts, 18,855; Mr. Korman, 18,855; Mr. Mark, 18,855; and Mr. Parrish, 18,855. Amounts include all accrued and unvested whole share dividend equivalent units (“DEUs”) that vest only to the extent and at the same time the underlying award on which they are issued vest. The aggregate number of shares subject to stock options held by the Non-Employee Directors, as of December 31, 2023, were as follows: Ms. Dillon, 24,780; Ms. Higgins, 24,780; Mr. Korman, 24,714; Mr. Mark, 12,260; Mr. Parrish, 24,780; and Ms. van der Meer Mohr, 13,949.</w:t>
      </w:r>
    </w:p>
    <w:p>
      <w:pPr>
        <w:spacing w:after="0" w:line="3" w:lineRule="exact"/>
        <w:rPr>
          <w:rFonts w:ascii="Arial" w:cs="Arial" w:eastAsia="Arial" w:hAnsi="Arial"/>
          <w:sz w:val="16"/>
          <w:szCs w:val="16"/>
          <w:color w:val="3F3F3F"/>
        </w:rPr>
      </w:pPr>
    </w:p>
    <w:p>
      <w:pPr>
        <w:ind w:left="540" w:hanging="424"/>
        <w:spacing w:after="0"/>
        <w:tabs>
          <w:tab w:leader="none" w:pos="5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The amounts represent charitable contributions made in 2023 under our director matching gift program.</w:t>
      </w:r>
    </w:p>
    <w:p>
      <w:pPr>
        <w:spacing w:after="0" w:line="11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3F3F3F"/>
        </w:rPr>
        <w:t>Viatris’ compensation philosophy for Non-Employee Directors is designed to attract and retain Directors with the experience necessary to represent the Company and oversee executive management. On an annual basis, the Compensation Committee considers market data for our 2023 Peer Group (see pages 53 to 54) and input received from the Compensation Committee’s independent compensation consultant regarding market practices for Non-Employee Director compensation. Any changes to Non-Employee Director compensation are approved by the Compensation Committee and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3177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Compensation Structure for 2023 and 2024</w:t>
      </w:r>
    </w:p>
    <w:p>
      <w:pPr>
        <w:spacing w:after="0" w:line="108" w:lineRule="exact"/>
        <w:rPr>
          <w:sz w:val="20"/>
          <w:szCs w:val="20"/>
          <w:color w:val="auto"/>
        </w:rPr>
      </w:pPr>
    </w:p>
    <w:p>
      <w:pPr>
        <w:ind w:left="120" w:right="1160"/>
        <w:spacing w:after="0" w:line="271" w:lineRule="auto"/>
        <w:rPr>
          <w:sz w:val="20"/>
          <w:szCs w:val="20"/>
          <w:color w:val="auto"/>
        </w:rPr>
      </w:pPr>
      <w:r>
        <w:rPr>
          <w:rFonts w:ascii="Arial" w:cs="Arial" w:eastAsia="Arial" w:hAnsi="Arial"/>
          <w:sz w:val="18"/>
          <w:szCs w:val="18"/>
          <w:color w:val="3F3F3F"/>
        </w:rPr>
        <w:t>In March 2023, the Compensation Committee and the independent Directors approved the following Non-Employee Director compensation structure effective as of January 2023, unchanged from 2022:</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00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Element of Compensation</w:t>
            </w:r>
          </w:p>
        </w:tc>
        <w:tc>
          <w:tcPr>
            <w:tcW w:w="96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Amount</w:t>
            </w:r>
          </w:p>
        </w:tc>
      </w:tr>
      <w:tr>
        <w:trPr>
          <w:trHeight w:val="243"/>
        </w:trPr>
        <w:tc>
          <w:tcPr>
            <w:tcW w:w="10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Board Member Retainer</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$150,000</w:t>
            </w:r>
          </w:p>
        </w:tc>
      </w:tr>
      <w:tr>
        <w:trPr>
          <w:trHeight w:val="235"/>
        </w:trPr>
        <w:tc>
          <w:tcPr>
            <w:tcW w:w="10060" w:type="dxa"/>
            <w:vAlign w:val="bottom"/>
          </w:tcPr>
          <w:p>
            <w:pPr>
              <w:ind w:left="60"/>
              <w:spacing w:after="0"/>
              <w:rPr>
                <w:sz w:val="20"/>
                <w:szCs w:val="20"/>
                <w:color w:val="auto"/>
              </w:rPr>
            </w:pPr>
            <w:r>
              <w:rPr>
                <w:rFonts w:ascii="Arial" w:cs="Arial" w:eastAsia="Arial" w:hAnsi="Arial"/>
                <w:sz w:val="16"/>
                <w:szCs w:val="16"/>
                <w:color w:val="auto"/>
              </w:rPr>
              <w:t>Committee Chair Fee</w:t>
            </w:r>
          </w:p>
        </w:tc>
        <w:tc>
          <w:tcPr>
            <w:tcW w:w="9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1"/>
        </w:trPr>
        <w:tc>
          <w:tcPr>
            <w:tcW w:w="10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Committee Member Fee</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$25,000</w:t>
            </w:r>
          </w:p>
        </w:tc>
      </w:tr>
      <w:tr>
        <w:trPr>
          <w:trHeight w:val="235"/>
        </w:trPr>
        <w:tc>
          <w:tcPr>
            <w:tcW w:w="10060" w:type="dxa"/>
            <w:vAlign w:val="bottom"/>
          </w:tcPr>
          <w:p>
            <w:pPr>
              <w:ind w:left="60"/>
              <w:spacing w:after="0"/>
              <w:rPr>
                <w:sz w:val="20"/>
                <w:szCs w:val="20"/>
                <w:color w:val="auto"/>
              </w:rPr>
            </w:pPr>
            <w:r>
              <w:rPr>
                <w:rFonts w:ascii="Arial" w:cs="Arial" w:eastAsia="Arial" w:hAnsi="Arial"/>
                <w:sz w:val="16"/>
                <w:szCs w:val="16"/>
                <w:color w:val="auto"/>
              </w:rPr>
              <w:t>Lead Independent Director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44"/>
        </w:trPr>
        <w:tc>
          <w:tcPr>
            <w:tcW w:w="100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Annual Equity Grant Value (RSUs)</w:t>
            </w:r>
          </w:p>
        </w:tc>
        <w:tc>
          <w:tcPr>
            <w:tcW w:w="96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$200,000</w:t>
            </w:r>
          </w:p>
        </w:tc>
      </w:tr>
    </w:tbl>
    <w:p>
      <w:pPr>
        <w:spacing w:after="0" w:line="197"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3F3F3F"/>
        </w:rPr>
        <w:t>In December 2023, the Compensation Committee and the independent Directors approved the following Non-Employee Director compensation effective as of December 15, 2023:</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01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Element of Compensation</w:t>
            </w:r>
          </w:p>
        </w:tc>
        <w:tc>
          <w:tcPr>
            <w:tcW w:w="920" w:type="dxa"/>
            <w:vAlign w:val="bottom"/>
            <w:shd w:val="clear" w:color="auto" w:fill="732282"/>
          </w:tcPr>
          <w:p>
            <w:pPr>
              <w:jc w:val="right"/>
              <w:ind w:right="39"/>
              <w:spacing w:after="0"/>
              <w:rPr>
                <w:sz w:val="20"/>
                <w:szCs w:val="20"/>
                <w:color w:val="auto"/>
              </w:rPr>
            </w:pPr>
            <w:r>
              <w:rPr>
                <w:rFonts w:ascii="Arial" w:cs="Arial" w:eastAsia="Arial" w:hAnsi="Arial"/>
                <w:sz w:val="16"/>
                <w:szCs w:val="16"/>
                <w:b w:val="1"/>
                <w:bCs w:val="1"/>
                <w:color w:val="FFFFFF"/>
              </w:rPr>
              <w:t>Amount</w:t>
            </w:r>
          </w:p>
        </w:tc>
      </w:tr>
      <w:tr>
        <w:trPr>
          <w:trHeight w:val="243"/>
        </w:trPr>
        <w:tc>
          <w:tcPr>
            <w:tcW w:w="1010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Board Member Retainer</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$150,000</w:t>
            </w:r>
          </w:p>
        </w:tc>
      </w:tr>
      <w:tr>
        <w:trPr>
          <w:trHeight w:val="235"/>
        </w:trPr>
        <w:tc>
          <w:tcPr>
            <w:tcW w:w="10100" w:type="dxa"/>
            <w:vAlign w:val="bottom"/>
          </w:tcPr>
          <w:p>
            <w:pPr>
              <w:ind w:left="60"/>
              <w:spacing w:after="0"/>
              <w:rPr>
                <w:sz w:val="20"/>
                <w:szCs w:val="20"/>
                <w:color w:val="auto"/>
              </w:rPr>
            </w:pPr>
            <w:r>
              <w:rPr>
                <w:rFonts w:ascii="Arial" w:cs="Arial" w:eastAsia="Arial" w:hAnsi="Arial"/>
                <w:sz w:val="16"/>
                <w:szCs w:val="16"/>
                <w:color w:val="auto"/>
              </w:rPr>
              <w:t>Chair of the Board of Directors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$225,000</w:t>
            </w:r>
          </w:p>
        </w:tc>
      </w:tr>
      <w:tr>
        <w:trPr>
          <w:trHeight w:val="251"/>
        </w:trPr>
        <w:tc>
          <w:tcPr>
            <w:tcW w:w="10100" w:type="dxa"/>
            <w:vAlign w:val="bottom"/>
            <w:shd w:val="clear" w:color="auto" w:fill="E5E5E5"/>
          </w:tcPr>
          <w:p>
            <w:pPr>
              <w:ind w:left="60"/>
              <w:spacing w:after="0"/>
              <w:rPr>
                <w:sz w:val="20"/>
                <w:szCs w:val="20"/>
                <w:color w:val="auto"/>
              </w:rPr>
            </w:pPr>
            <w:r>
              <w:rPr>
                <w:rFonts w:ascii="Arial" w:cs="Arial" w:eastAsia="Arial" w:hAnsi="Arial"/>
                <w:sz w:val="16"/>
                <w:szCs w:val="16"/>
                <w:color w:val="auto"/>
              </w:rPr>
              <w:t>Vice Chair Compensation</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$50,000</w:t>
            </w:r>
          </w:p>
        </w:tc>
      </w:tr>
      <w:tr>
        <w:trPr>
          <w:trHeight w:val="235"/>
        </w:trPr>
        <w:tc>
          <w:tcPr>
            <w:tcW w:w="10100" w:type="dxa"/>
            <w:vAlign w:val="bottom"/>
          </w:tcPr>
          <w:p>
            <w:pPr>
              <w:ind w:left="60"/>
              <w:spacing w:after="0"/>
              <w:rPr>
                <w:sz w:val="20"/>
                <w:szCs w:val="20"/>
                <w:color w:val="auto"/>
              </w:rPr>
            </w:pPr>
            <w:r>
              <w:rPr>
                <w:rFonts w:ascii="Arial" w:cs="Arial" w:eastAsia="Arial" w:hAnsi="Arial"/>
                <w:sz w:val="16"/>
                <w:szCs w:val="16"/>
                <w:color w:val="auto"/>
              </w:rPr>
              <w:t>Committee Chair Fee</w:t>
            </w:r>
          </w:p>
        </w:tc>
        <w:tc>
          <w:tcPr>
            <w:tcW w:w="92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51"/>
        </w:trPr>
        <w:tc>
          <w:tcPr>
            <w:tcW w:w="1010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Committee Member Fee</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$25,000</w:t>
            </w:r>
          </w:p>
        </w:tc>
      </w:tr>
      <w:tr>
        <w:trPr>
          <w:trHeight w:val="237"/>
        </w:trPr>
        <w:tc>
          <w:tcPr>
            <w:tcW w:w="1010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Annual Equity Grant Value (RSUs)</w:t>
            </w:r>
          </w:p>
        </w:tc>
        <w:tc>
          <w:tcPr>
            <w:tcW w:w="92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$225,000</w:t>
            </w:r>
          </w:p>
        </w:tc>
      </w:tr>
    </w:tbl>
    <w:p>
      <w:pPr>
        <w:spacing w:after="0" w:line="197"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3F3F3F"/>
        </w:rPr>
        <w:t>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Share Ownership Guidelines</w:t>
      </w:r>
    </w:p>
    <w:p>
      <w:pPr>
        <w:spacing w:after="0" w:line="108"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3F3F3F"/>
        </w:rPr>
        <w:t>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their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488315"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Directors, Nominees, NEOs, and Executive Officers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sets forth information regarding the beneficial ownership of common stock of Viatris Inc. as of October 18, 2024 by</w:t>
      </w:r>
    </w:p>
    <w:p>
      <w:pPr>
        <w:spacing w:after="0" w:line="14" w:lineRule="exact"/>
        <w:rPr>
          <w:sz w:val="20"/>
          <w:szCs w:val="20"/>
          <w:color w:val="auto"/>
        </w:rPr>
      </w:pPr>
    </w:p>
    <w:p>
      <w:pPr>
        <w:ind w:left="120" w:right="40" w:hanging="4"/>
        <w:spacing w:after="0" w:line="252" w:lineRule="auto"/>
        <w:tabs>
          <w:tab w:leader="none" w:pos="330" w:val="left"/>
        </w:tabs>
        <w:numPr>
          <w:ilvl w:val="0"/>
          <w:numId w:val="30"/>
        </w:numPr>
        <w:rPr>
          <w:rFonts w:ascii="Arial" w:cs="Arial" w:eastAsia="Arial" w:hAnsi="Arial"/>
          <w:sz w:val="17"/>
          <w:szCs w:val="17"/>
          <w:color w:val="3F3F3F"/>
        </w:rPr>
      </w:pPr>
      <w:r>
        <w:rPr>
          <w:rFonts w:ascii="Arial" w:cs="Arial" w:eastAsia="Arial" w:hAnsi="Arial"/>
          <w:sz w:val="17"/>
          <w:szCs w:val="17"/>
          <w:color w:val="3F3F3F"/>
        </w:rPr>
        <w:t>each Viatris Director and Director nominee, (ii) each named executive officer (“NEO”), and (iii) all Directors and executive officers of Viatris Inc. as a group (based on 1,193,592,902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October 18, 2024.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Stock Ownership Guidelines. In addition, each of our covered employees has five years to achieve minimum ownership requirements, as discussed in more detail in the Compensation Discussion &amp; Analysis (“CD&amp;A”) section of this document.</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680" w:type="dxa"/>
            <w:vAlign w:val="bottom"/>
            <w:shd w:val="clear" w:color="auto" w:fill="732282"/>
          </w:tcPr>
          <w:p>
            <w:pPr>
              <w:spacing w:after="0"/>
              <w:rPr>
                <w:sz w:val="16"/>
                <w:szCs w:val="16"/>
                <w:color w:val="auto"/>
              </w:rPr>
            </w:pPr>
          </w:p>
        </w:tc>
        <w:tc>
          <w:tcPr>
            <w:tcW w:w="1860" w:type="dxa"/>
            <w:vAlign w:val="bottom"/>
            <w:shd w:val="clear" w:color="auto" w:fill="732282"/>
          </w:tcPr>
          <w:p>
            <w:pPr>
              <w:spacing w:after="0"/>
              <w:rPr>
                <w:sz w:val="16"/>
                <w:szCs w:val="16"/>
                <w:color w:val="auto"/>
              </w:rPr>
            </w:pPr>
          </w:p>
        </w:tc>
        <w:tc>
          <w:tcPr>
            <w:tcW w:w="2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Options</w:t>
            </w:r>
          </w:p>
        </w:tc>
        <w:tc>
          <w:tcPr>
            <w:tcW w:w="1420" w:type="dxa"/>
            <w:vAlign w:val="bottom"/>
            <w:shd w:val="clear" w:color="auto" w:fill="732282"/>
          </w:tcPr>
          <w:p>
            <w:pPr>
              <w:spacing w:after="0"/>
              <w:rPr>
                <w:sz w:val="16"/>
                <w:szCs w:val="16"/>
                <w:color w:val="auto"/>
              </w:rPr>
            </w:pPr>
          </w:p>
        </w:tc>
      </w:tr>
      <w:tr>
        <w:trPr>
          <w:trHeight w:val="189"/>
        </w:trPr>
        <w:tc>
          <w:tcPr>
            <w:tcW w:w="5680" w:type="dxa"/>
            <w:vAlign w:val="bottom"/>
            <w:shd w:val="clear" w:color="auto" w:fill="732282"/>
          </w:tcPr>
          <w:p>
            <w:pPr>
              <w:spacing w:after="0"/>
              <w:rPr>
                <w:sz w:val="16"/>
                <w:szCs w:val="16"/>
                <w:color w:val="auto"/>
              </w:rPr>
            </w:pPr>
          </w:p>
        </w:tc>
        <w:tc>
          <w:tcPr>
            <w:tcW w:w="18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Amount and</w:t>
            </w:r>
          </w:p>
        </w:tc>
        <w:tc>
          <w:tcPr>
            <w:tcW w:w="2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Exercisable and</w:t>
            </w:r>
          </w:p>
        </w:tc>
        <w:tc>
          <w:tcPr>
            <w:tcW w:w="1420" w:type="dxa"/>
            <w:vAlign w:val="bottom"/>
            <w:shd w:val="clear" w:color="auto" w:fill="732282"/>
          </w:tcPr>
          <w:p>
            <w:pPr>
              <w:spacing w:after="0"/>
              <w:rPr>
                <w:sz w:val="16"/>
                <w:szCs w:val="16"/>
                <w:color w:val="auto"/>
              </w:rPr>
            </w:pPr>
          </w:p>
        </w:tc>
      </w:tr>
      <w:tr>
        <w:trPr>
          <w:trHeight w:val="189"/>
        </w:trPr>
        <w:tc>
          <w:tcPr>
            <w:tcW w:w="5680" w:type="dxa"/>
            <w:vAlign w:val="bottom"/>
            <w:shd w:val="clear" w:color="auto" w:fill="732282"/>
          </w:tcPr>
          <w:p>
            <w:pPr>
              <w:spacing w:after="0"/>
              <w:rPr>
                <w:sz w:val="16"/>
                <w:szCs w:val="16"/>
                <w:color w:val="auto"/>
              </w:rPr>
            </w:pPr>
          </w:p>
        </w:tc>
        <w:tc>
          <w:tcPr>
            <w:tcW w:w="18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Nature of</w:t>
            </w:r>
          </w:p>
        </w:tc>
        <w:tc>
          <w:tcPr>
            <w:tcW w:w="2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Restricted</w:t>
            </w:r>
          </w:p>
        </w:tc>
        <w:tc>
          <w:tcPr>
            <w:tcW w:w="1420" w:type="dxa"/>
            <w:vAlign w:val="bottom"/>
            <w:shd w:val="clear" w:color="auto" w:fill="732282"/>
          </w:tcPr>
          <w:p>
            <w:pPr>
              <w:spacing w:after="0"/>
              <w:rPr>
                <w:sz w:val="16"/>
                <w:szCs w:val="16"/>
                <w:color w:val="auto"/>
              </w:rPr>
            </w:pPr>
          </w:p>
        </w:tc>
      </w:tr>
      <w:tr>
        <w:trPr>
          <w:trHeight w:val="189"/>
        </w:trPr>
        <w:tc>
          <w:tcPr>
            <w:tcW w:w="5680" w:type="dxa"/>
            <w:vAlign w:val="bottom"/>
            <w:shd w:val="clear" w:color="auto" w:fill="732282"/>
          </w:tcPr>
          <w:p>
            <w:pPr>
              <w:spacing w:after="0"/>
              <w:rPr>
                <w:sz w:val="16"/>
                <w:szCs w:val="16"/>
                <w:color w:val="auto"/>
              </w:rPr>
            </w:pPr>
          </w:p>
        </w:tc>
        <w:tc>
          <w:tcPr>
            <w:tcW w:w="18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Beneficial</w:t>
            </w:r>
          </w:p>
        </w:tc>
        <w:tc>
          <w:tcPr>
            <w:tcW w:w="2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Shares Vesting</w:t>
            </w:r>
          </w:p>
        </w:tc>
        <w:tc>
          <w:tcPr>
            <w:tcW w:w="142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 xml:space="preserve">    Percent   </w:t>
            </w:r>
          </w:p>
        </w:tc>
      </w:tr>
      <w:tr>
        <w:trPr>
          <w:trHeight w:val="217"/>
        </w:trPr>
        <w:tc>
          <w:tcPr>
            <w:tcW w:w="56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 of Beneficial Owner</w:t>
            </w:r>
          </w:p>
        </w:tc>
        <w:tc>
          <w:tcPr>
            <w:tcW w:w="18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Ownership</w:t>
            </w:r>
          </w:p>
        </w:tc>
        <w:tc>
          <w:tcPr>
            <w:tcW w:w="2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within 60 days</w:t>
            </w:r>
          </w:p>
        </w:tc>
        <w:tc>
          <w:tcPr>
            <w:tcW w:w="1420" w:type="dxa"/>
            <w:vAlign w:val="bottom"/>
            <w:shd w:val="clear" w:color="auto" w:fill="732282"/>
          </w:tcPr>
          <w:p>
            <w:pPr>
              <w:jc w:val="right"/>
              <w:ind w:right="139"/>
              <w:spacing w:after="0"/>
              <w:rPr>
                <w:sz w:val="20"/>
                <w:szCs w:val="20"/>
                <w:color w:val="auto"/>
              </w:rPr>
            </w:pPr>
            <w:r>
              <w:rPr>
                <w:rFonts w:ascii="Arial" w:cs="Arial" w:eastAsia="Arial" w:hAnsi="Arial"/>
                <w:sz w:val="16"/>
                <w:szCs w:val="16"/>
                <w:b w:val="1"/>
                <w:bCs w:val="1"/>
                <w:color w:val="FFFFFF"/>
              </w:rPr>
              <w:t>of Class</w:t>
            </w:r>
          </w:p>
        </w:tc>
      </w:tr>
      <w:tr>
        <w:trPr>
          <w:trHeight w:val="277"/>
        </w:trPr>
        <w:tc>
          <w:tcPr>
            <w:tcW w:w="56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86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61,365</w:t>
            </w:r>
          </w:p>
        </w:tc>
        <w:tc>
          <w:tcPr>
            <w:tcW w:w="20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311"/>
        </w:trPr>
        <w:tc>
          <w:tcPr>
            <w:tcW w:w="5680" w:type="dxa"/>
            <w:vAlign w:val="bottom"/>
          </w:tcPr>
          <w:p>
            <w:pPr>
              <w:ind w:left="60"/>
              <w:spacing w:after="0"/>
              <w:rPr>
                <w:sz w:val="20"/>
                <w:szCs w:val="20"/>
                <w:color w:val="auto"/>
              </w:rPr>
            </w:pPr>
            <w:r>
              <w:rPr>
                <w:rFonts w:ascii="Arial" w:cs="Arial" w:eastAsia="Arial" w:hAnsi="Arial"/>
                <w:sz w:val="16"/>
                <w:szCs w:val="16"/>
                <w:color w:val="auto"/>
              </w:rPr>
              <w:t>Robert J. Coury</w:t>
            </w:r>
            <w:r>
              <w:rPr>
                <w:rFonts w:ascii="Arial" w:cs="Arial" w:eastAsia="Arial" w:hAnsi="Arial"/>
                <w:sz w:val="24"/>
                <w:szCs w:val="24"/>
                <w:color w:val="auto"/>
                <w:vertAlign w:val="superscript"/>
              </w:rPr>
              <w:t>(1)</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2,703,111</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146,011</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97"/>
        </w:trPr>
        <w:tc>
          <w:tcPr>
            <w:tcW w:w="568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186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58,732</w:t>
            </w:r>
            <w:r>
              <w:rPr>
                <w:rFonts w:ascii="Arial" w:cs="Arial" w:eastAsia="Arial" w:hAnsi="Arial"/>
                <w:sz w:val="24"/>
                <w:szCs w:val="24"/>
                <w:color w:val="auto"/>
                <w:vertAlign w:val="superscript"/>
              </w:rPr>
              <w:t>(2)</w:t>
            </w:r>
          </w:p>
        </w:tc>
        <w:tc>
          <w:tcPr>
            <w:tcW w:w="2060" w:type="dxa"/>
            <w:vAlign w:val="bottom"/>
            <w:shd w:val="clear" w:color="auto" w:fill="E5E5E5"/>
          </w:tcPr>
          <w:p>
            <w:pPr>
              <w:jc w:val="right"/>
              <w:ind w:right="619"/>
              <w:spacing w:after="0"/>
              <w:rPr>
                <w:sz w:val="20"/>
                <w:szCs w:val="20"/>
                <w:color w:val="auto"/>
              </w:rPr>
            </w:pPr>
            <w:r>
              <w:rPr>
                <w:rFonts w:ascii="Arial" w:cs="Arial" w:eastAsia="Arial" w:hAnsi="Arial"/>
                <w:sz w:val="16"/>
                <w:szCs w:val="16"/>
                <w:color w:val="auto"/>
              </w:rPr>
              <w:t>21,806</w:t>
            </w:r>
          </w:p>
        </w:tc>
        <w:tc>
          <w:tcPr>
            <w:tcW w:w="142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55"/>
        </w:trPr>
        <w:tc>
          <w:tcPr>
            <w:tcW w:w="5680" w:type="dxa"/>
            <w:vAlign w:val="bottom"/>
          </w:tcPr>
          <w:p>
            <w:pPr>
              <w:ind w:left="60"/>
              <w:spacing w:after="0"/>
              <w:rPr>
                <w:sz w:val="20"/>
                <w:szCs w:val="20"/>
                <w:color w:val="auto"/>
              </w:rPr>
            </w:pPr>
            <w:r>
              <w:rPr>
                <w:rFonts w:ascii="Arial" w:cs="Arial" w:eastAsia="Arial" w:hAnsi="Arial"/>
                <w:sz w:val="16"/>
                <w:szCs w:val="16"/>
                <w:color w:val="auto"/>
              </w:rPr>
              <w:t>Elisha Finney</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18,855</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43"/>
        </w:trPr>
        <w:tc>
          <w:tcPr>
            <w:tcW w:w="56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310"/>
        </w:trPr>
        <w:tc>
          <w:tcPr>
            <w:tcW w:w="56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r>
              <w:rPr>
                <w:rFonts w:ascii="Arial" w:cs="Arial" w:eastAsia="Arial" w:hAnsi="Arial"/>
                <w:sz w:val="24"/>
                <w:szCs w:val="24"/>
                <w:color w:val="auto"/>
                <w:vertAlign w:val="superscript"/>
              </w:rPr>
              <w:t>(3)</w:t>
            </w:r>
          </w:p>
        </w:tc>
        <w:tc>
          <w:tcPr>
            <w:tcW w:w="1860" w:type="dxa"/>
            <w:vAlign w:val="bottom"/>
            <w:shd w:val="clear" w:color="auto" w:fill="E5E5E5"/>
          </w:tcPr>
          <w:p>
            <w:pPr>
              <w:jc w:val="right"/>
              <w:ind w:right="479"/>
              <w:spacing w:after="0"/>
              <w:rPr>
                <w:sz w:val="20"/>
                <w:szCs w:val="20"/>
                <w:color w:val="auto"/>
              </w:rPr>
            </w:pPr>
            <w:r>
              <w:rPr>
                <w:rFonts w:ascii="Arial" w:cs="Arial" w:eastAsia="Arial" w:hAnsi="Arial"/>
                <w:sz w:val="16"/>
                <w:szCs w:val="16"/>
                <w:color w:val="auto"/>
              </w:rPr>
              <w:t>295,495</w:t>
            </w:r>
          </w:p>
        </w:tc>
        <w:tc>
          <w:tcPr>
            <w:tcW w:w="2060" w:type="dxa"/>
            <w:vAlign w:val="bottom"/>
            <w:shd w:val="clear" w:color="auto" w:fill="E5E5E5"/>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55"/>
        </w:trPr>
        <w:tc>
          <w:tcPr>
            <w:tcW w:w="5680" w:type="dxa"/>
            <w:vAlign w:val="bottom"/>
          </w:tcPr>
          <w:p>
            <w:pPr>
              <w:ind w:left="60"/>
              <w:spacing w:after="0"/>
              <w:rPr>
                <w:sz w:val="20"/>
                <w:szCs w:val="20"/>
                <w:color w:val="auto"/>
              </w:rPr>
            </w:pPr>
            <w:r>
              <w:rPr>
                <w:rFonts w:ascii="Arial" w:cs="Arial" w:eastAsia="Arial" w:hAnsi="Arial"/>
                <w:sz w:val="16"/>
                <w:szCs w:val="16"/>
                <w:color w:val="auto"/>
              </w:rPr>
              <w:t>Leo Groothuis</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22,146</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43"/>
        </w:trPr>
        <w:tc>
          <w:tcPr>
            <w:tcW w:w="56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97"/>
        </w:trPr>
        <w:tc>
          <w:tcPr>
            <w:tcW w:w="568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186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176,236</w:t>
            </w:r>
            <w:r>
              <w:rPr>
                <w:rFonts w:ascii="Arial" w:cs="Arial" w:eastAsia="Arial" w:hAnsi="Arial"/>
                <w:sz w:val="24"/>
                <w:szCs w:val="24"/>
                <w:color w:val="auto"/>
                <w:vertAlign w:val="superscript"/>
              </w:rPr>
              <w:t>(4)</w:t>
            </w:r>
          </w:p>
        </w:tc>
        <w:tc>
          <w:tcPr>
            <w:tcW w:w="2060" w:type="dxa"/>
            <w:vAlign w:val="bottom"/>
            <w:shd w:val="clear" w:color="auto" w:fill="E5E5E5"/>
          </w:tcPr>
          <w:p>
            <w:pPr>
              <w:jc w:val="right"/>
              <w:ind w:right="619"/>
              <w:spacing w:after="0"/>
              <w:rPr>
                <w:sz w:val="20"/>
                <w:szCs w:val="20"/>
                <w:color w:val="auto"/>
              </w:rPr>
            </w:pPr>
            <w:r>
              <w:rPr>
                <w:rFonts w:ascii="Arial" w:cs="Arial" w:eastAsia="Arial" w:hAnsi="Arial"/>
                <w:sz w:val="16"/>
                <w:szCs w:val="16"/>
                <w:color w:val="auto"/>
              </w:rPr>
              <w:t>21,806</w:t>
            </w:r>
          </w:p>
        </w:tc>
        <w:tc>
          <w:tcPr>
            <w:tcW w:w="142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55"/>
        </w:trPr>
        <w:tc>
          <w:tcPr>
            <w:tcW w:w="5680" w:type="dxa"/>
            <w:vAlign w:val="bottom"/>
          </w:tcPr>
          <w:p>
            <w:pPr>
              <w:ind w:left="60"/>
              <w:spacing w:after="0"/>
              <w:rPr>
                <w:sz w:val="20"/>
                <w:szCs w:val="20"/>
                <w:color w:val="auto"/>
              </w:rPr>
            </w:pPr>
            <w:r>
              <w:rPr>
                <w:rFonts w:ascii="Arial" w:cs="Arial" w:eastAsia="Arial" w:hAnsi="Arial"/>
                <w:sz w:val="16"/>
                <w:szCs w:val="16"/>
                <w:color w:val="auto"/>
              </w:rPr>
              <w:t>James M. Kilts</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117,445</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43"/>
        </w:trPr>
        <w:tc>
          <w:tcPr>
            <w:tcW w:w="56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7"/>
        </w:trPr>
        <w:tc>
          <w:tcPr>
            <w:tcW w:w="56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Harry Korman</w:t>
            </w:r>
          </w:p>
        </w:tc>
        <w:tc>
          <w:tcPr>
            <w:tcW w:w="186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94,960</w:t>
            </w:r>
          </w:p>
        </w:tc>
        <w:tc>
          <w:tcPr>
            <w:tcW w:w="20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6"/>
                <w:szCs w:val="16"/>
                <w:color w:val="auto"/>
              </w:rPr>
              <w:t>13,949</w:t>
            </w:r>
          </w:p>
        </w:tc>
        <w:tc>
          <w:tcPr>
            <w:tcW w:w="142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55"/>
        </w:trPr>
        <w:tc>
          <w:tcPr>
            <w:tcW w:w="568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505,838</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373,903</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43"/>
        </w:trPr>
        <w:tc>
          <w:tcPr>
            <w:tcW w:w="56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7"/>
        </w:trPr>
        <w:tc>
          <w:tcPr>
            <w:tcW w:w="56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Richard Mark</w:t>
            </w:r>
          </w:p>
        </w:tc>
        <w:tc>
          <w:tcPr>
            <w:tcW w:w="186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72,333</w:t>
            </w:r>
          </w:p>
        </w:tc>
        <w:tc>
          <w:tcPr>
            <w:tcW w:w="20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6"/>
                <w:szCs w:val="16"/>
                <w:color w:val="auto"/>
              </w:rPr>
              <w:t>12,260</w:t>
            </w:r>
          </w:p>
        </w:tc>
        <w:tc>
          <w:tcPr>
            <w:tcW w:w="142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310"/>
        </w:trPr>
        <w:tc>
          <w:tcPr>
            <w:tcW w:w="5680" w:type="dxa"/>
            <w:vAlign w:val="bottom"/>
          </w:tcPr>
          <w:p>
            <w:pPr>
              <w:ind w:left="60"/>
              <w:spacing w:after="0"/>
              <w:rPr>
                <w:sz w:val="20"/>
                <w:szCs w:val="20"/>
                <w:color w:val="auto"/>
              </w:rPr>
            </w:pPr>
            <w:r>
              <w:rPr>
                <w:rFonts w:ascii="Arial" w:cs="Arial" w:eastAsia="Arial" w:hAnsi="Arial"/>
                <w:sz w:val="16"/>
                <w:szCs w:val="16"/>
                <w:color w:val="auto"/>
              </w:rPr>
              <w:t>Anthony Mauro</w:t>
            </w:r>
            <w:r>
              <w:rPr>
                <w:rFonts w:ascii="Arial" w:cs="Arial" w:eastAsia="Arial" w:hAnsi="Arial"/>
                <w:sz w:val="24"/>
                <w:szCs w:val="24"/>
                <w:color w:val="auto"/>
                <w:vertAlign w:val="superscript"/>
              </w:rPr>
              <w:t>(5)</w:t>
            </w:r>
          </w:p>
        </w:tc>
        <w:tc>
          <w:tcPr>
            <w:tcW w:w="1860" w:type="dxa"/>
            <w:vAlign w:val="bottom"/>
          </w:tcPr>
          <w:p>
            <w:pPr>
              <w:jc w:val="right"/>
              <w:ind w:right="339"/>
              <w:spacing w:after="0"/>
              <w:rPr>
                <w:sz w:val="20"/>
                <w:szCs w:val="20"/>
                <w:color w:val="auto"/>
              </w:rPr>
            </w:pPr>
            <w:r>
              <w:rPr>
                <w:rFonts w:ascii="Arial" w:cs="Arial" w:eastAsia="Arial" w:hAnsi="Arial"/>
                <w:sz w:val="16"/>
                <w:szCs w:val="16"/>
                <w:color w:val="auto"/>
              </w:rPr>
              <w:t>248,618</w:t>
            </w:r>
            <w:r>
              <w:rPr>
                <w:rFonts w:ascii="Arial" w:cs="Arial" w:eastAsia="Arial" w:hAnsi="Arial"/>
                <w:sz w:val="24"/>
                <w:szCs w:val="24"/>
                <w:color w:val="auto"/>
                <w:vertAlign w:val="superscript"/>
              </w:rPr>
              <w:t>(6)</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169,899</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311"/>
        </w:trPr>
        <w:tc>
          <w:tcPr>
            <w:tcW w:w="56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r>
              <w:rPr>
                <w:rFonts w:ascii="Arial" w:cs="Arial" w:eastAsia="Arial" w:hAnsi="Arial"/>
                <w:sz w:val="24"/>
                <w:szCs w:val="24"/>
                <w:color w:val="auto"/>
                <w:vertAlign w:val="superscript"/>
              </w:rPr>
              <w:t>(7)</w:t>
            </w:r>
          </w:p>
        </w:tc>
        <w:tc>
          <w:tcPr>
            <w:tcW w:w="1860" w:type="dxa"/>
            <w:vAlign w:val="bottom"/>
            <w:shd w:val="clear" w:color="auto" w:fill="E5E5E5"/>
          </w:tcPr>
          <w:p>
            <w:pPr>
              <w:jc w:val="right"/>
              <w:ind w:right="479"/>
              <w:spacing w:after="0"/>
              <w:rPr>
                <w:sz w:val="20"/>
                <w:szCs w:val="20"/>
                <w:color w:val="auto"/>
              </w:rPr>
            </w:pPr>
            <w:r>
              <w:rPr>
                <w:rFonts w:ascii="Arial" w:cs="Arial" w:eastAsia="Arial" w:hAnsi="Arial"/>
                <w:sz w:val="16"/>
                <w:szCs w:val="16"/>
                <w:color w:val="auto"/>
              </w:rPr>
              <w:t>216,007</w:t>
            </w:r>
          </w:p>
        </w:tc>
        <w:tc>
          <w:tcPr>
            <w:tcW w:w="2060" w:type="dxa"/>
            <w:vAlign w:val="bottom"/>
            <w:shd w:val="clear" w:color="auto" w:fill="E5E5E5"/>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55"/>
        </w:trPr>
        <w:tc>
          <w:tcPr>
            <w:tcW w:w="5680" w:type="dxa"/>
            <w:vAlign w:val="bottom"/>
          </w:tcPr>
          <w:p>
            <w:pPr>
              <w:ind w:left="60"/>
              <w:spacing w:after="0"/>
              <w:rPr>
                <w:sz w:val="20"/>
                <w:szCs w:val="20"/>
                <w:color w:val="auto"/>
              </w:rPr>
            </w:pPr>
            <w:r>
              <w:rPr>
                <w:rFonts w:ascii="Arial" w:cs="Arial" w:eastAsia="Arial" w:hAnsi="Arial"/>
                <w:sz w:val="16"/>
                <w:szCs w:val="16"/>
                <w:color w:val="auto"/>
              </w:rPr>
              <w:t>Mark Parrish</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121,418</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21,806</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42"/>
        </w:trPr>
        <w:tc>
          <w:tcPr>
            <w:tcW w:w="56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7"/>
        </w:trPr>
        <w:tc>
          <w:tcPr>
            <w:tcW w:w="56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Brian Roman</w:t>
            </w:r>
          </w:p>
        </w:tc>
        <w:tc>
          <w:tcPr>
            <w:tcW w:w="186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67,723</w:t>
            </w:r>
          </w:p>
        </w:tc>
        <w:tc>
          <w:tcPr>
            <w:tcW w:w="20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6"/>
                <w:szCs w:val="16"/>
                <w:color w:val="auto"/>
              </w:rPr>
              <w:t>36,806</w:t>
            </w:r>
          </w:p>
        </w:tc>
        <w:tc>
          <w:tcPr>
            <w:tcW w:w="142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55"/>
        </w:trPr>
        <w:tc>
          <w:tcPr>
            <w:tcW w:w="5680" w:type="dxa"/>
            <w:vAlign w:val="bottom"/>
          </w:tcPr>
          <w:p>
            <w:pPr>
              <w:ind w:left="60"/>
              <w:spacing w:after="0"/>
              <w:rPr>
                <w:sz w:val="20"/>
                <w:szCs w:val="20"/>
                <w:color w:val="auto"/>
              </w:rPr>
            </w:pPr>
            <w:r>
              <w:rPr>
                <w:rFonts w:ascii="Arial" w:cs="Arial" w:eastAsia="Arial" w:hAnsi="Arial"/>
                <w:sz w:val="16"/>
                <w:szCs w:val="16"/>
                <w:color w:val="auto"/>
              </w:rPr>
              <w:t>Scott A. Smith</w:t>
            </w:r>
          </w:p>
        </w:tc>
        <w:tc>
          <w:tcPr>
            <w:tcW w:w="1860" w:type="dxa"/>
            <w:vAlign w:val="bottom"/>
          </w:tcPr>
          <w:p>
            <w:pPr>
              <w:jc w:val="right"/>
              <w:ind w:right="479"/>
              <w:spacing w:after="0"/>
              <w:rPr>
                <w:sz w:val="20"/>
                <w:szCs w:val="20"/>
                <w:color w:val="auto"/>
              </w:rPr>
            </w:pPr>
            <w:r>
              <w:rPr>
                <w:rFonts w:ascii="Arial" w:cs="Arial" w:eastAsia="Arial" w:hAnsi="Arial"/>
                <w:sz w:val="16"/>
                <w:szCs w:val="16"/>
                <w:color w:val="auto"/>
              </w:rPr>
              <w:t>85,350</w:t>
            </w:r>
          </w:p>
        </w:tc>
        <w:tc>
          <w:tcPr>
            <w:tcW w:w="20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43"/>
        </w:trPr>
        <w:tc>
          <w:tcPr>
            <w:tcW w:w="56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7"/>
        </w:trPr>
        <w:tc>
          <w:tcPr>
            <w:tcW w:w="56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Rogério Vivaldi Coelho</w:t>
            </w:r>
          </w:p>
        </w:tc>
        <w:tc>
          <w:tcPr>
            <w:tcW w:w="186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5E5E5"/>
            </w:tcBorders>
            <w:shd w:val="clear" w:color="auto" w:fill="E5E5E5"/>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310"/>
        </w:trPr>
        <w:tc>
          <w:tcPr>
            <w:tcW w:w="568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All Directors and executive officers as a group (16 persons)</w:t>
            </w:r>
            <w:r>
              <w:rPr>
                <w:rFonts w:ascii="Arial" w:cs="Arial" w:eastAsia="Arial" w:hAnsi="Arial"/>
                <w:sz w:val="24"/>
                <w:szCs w:val="24"/>
                <w:color w:val="auto"/>
                <w:vertAlign w:val="superscript"/>
              </w:rPr>
              <w:t>(8)</w:t>
            </w:r>
          </w:p>
        </w:tc>
        <w:tc>
          <w:tcPr>
            <w:tcW w:w="1860" w:type="dxa"/>
            <w:vAlign w:val="bottom"/>
            <w:tcBorders>
              <w:bottom w:val="single" w:sz="8" w:color="732282"/>
            </w:tcBorders>
          </w:tcPr>
          <w:p>
            <w:pPr>
              <w:jc w:val="right"/>
              <w:ind w:right="479"/>
              <w:spacing w:after="0"/>
              <w:rPr>
                <w:sz w:val="20"/>
                <w:szCs w:val="20"/>
                <w:color w:val="auto"/>
              </w:rPr>
            </w:pPr>
            <w:r>
              <w:rPr>
                <w:rFonts w:ascii="Arial" w:cs="Arial" w:eastAsia="Arial" w:hAnsi="Arial"/>
                <w:sz w:val="16"/>
                <w:szCs w:val="16"/>
                <w:color w:val="auto"/>
              </w:rPr>
              <w:t>1,556,545</w:t>
            </w:r>
          </w:p>
        </w:tc>
        <w:tc>
          <w:tcPr>
            <w:tcW w:w="2060" w:type="dxa"/>
            <w:vAlign w:val="bottom"/>
            <w:tcBorders>
              <w:bottom w:val="single" w:sz="8" w:color="732282"/>
            </w:tcBorders>
          </w:tcPr>
          <w:p>
            <w:pPr>
              <w:jc w:val="right"/>
              <w:ind w:right="619"/>
              <w:spacing w:after="0"/>
              <w:rPr>
                <w:sz w:val="20"/>
                <w:szCs w:val="20"/>
                <w:color w:val="auto"/>
              </w:rPr>
            </w:pPr>
            <w:r>
              <w:rPr>
                <w:rFonts w:ascii="Arial" w:cs="Arial" w:eastAsia="Arial" w:hAnsi="Arial"/>
                <w:sz w:val="16"/>
                <w:szCs w:val="16"/>
                <w:color w:val="auto"/>
              </w:rPr>
              <w:t>541,118</w:t>
            </w:r>
          </w:p>
        </w:tc>
        <w:tc>
          <w:tcPr>
            <w:tcW w:w="1420" w:type="dxa"/>
            <w:vAlign w:val="bottom"/>
            <w:tcBorders>
              <w:bottom w:val="single" w:sz="8" w:color="732282"/>
            </w:tcBorders>
          </w:tcPr>
          <w:p>
            <w:pPr>
              <w:jc w:val="right"/>
              <w:ind w:right="379"/>
              <w:spacing w:after="0"/>
              <w:rPr>
                <w:sz w:val="20"/>
                <w:szCs w:val="20"/>
                <w:color w:val="auto"/>
              </w:rPr>
            </w:pPr>
            <w:r>
              <w:rPr>
                <w:rFonts w:ascii="Arial" w:cs="Arial" w:eastAsia="Arial" w:hAnsi="Arial"/>
                <w:sz w:val="16"/>
                <w:szCs w:val="16"/>
                <w:color w:val="auto"/>
              </w:rPr>
              <w:t>*</w:t>
            </w:r>
          </w:p>
        </w:tc>
      </w:tr>
    </w:tbl>
    <w:p>
      <w:pPr>
        <w:spacing w:after="0" w:line="107"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Less than 1%.</w:t>
      </w:r>
    </w:p>
    <w:p>
      <w:pPr>
        <w:spacing w:after="0" w:line="21" w:lineRule="exact"/>
        <w:rPr>
          <w:sz w:val="20"/>
          <w:szCs w:val="20"/>
          <w:color w:val="auto"/>
        </w:rPr>
      </w:pPr>
    </w:p>
    <w:p>
      <w:pPr>
        <w:ind w:left="540" w:right="200" w:hanging="424"/>
        <w:spacing w:after="0" w:line="246" w:lineRule="auto"/>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As previously disclosed, Mr. Coury ceased to be a Director and to serve as an officer and employee of the Company, in each case, effective as of the conclusion of the 2023 Annual Meeting.</w:t>
      </w: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Includes 18 shares held by Ms. Dillon’s spouse.</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Mr. Goettler ceased to serve as the Company’s CEO and ceased to serve on the Board, in each case, effective as of April 1, 2023.</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Includes 74,000 shares held by Ms. Higgins’ spouse.</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Mr. Mauro departed from the Company effective as of April 1, 2024.</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Includes 5,574 shares held in Mr. Mauro’s 401(k) account.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Mr. Narula ceased to serve as the Company’s CFO effective as of March 1, 2024.</w:t>
      </w:r>
    </w:p>
    <w:p>
      <w:pPr>
        <w:spacing w:after="0" w:line="5" w:lineRule="exact"/>
        <w:rPr>
          <w:rFonts w:ascii="Arial" w:cs="Arial" w:eastAsia="Arial" w:hAnsi="Arial"/>
          <w:sz w:val="16"/>
          <w:szCs w:val="16"/>
          <w:color w:val="3F3F3F"/>
        </w:rPr>
      </w:pPr>
    </w:p>
    <w:p>
      <w:pPr>
        <w:ind w:left="540" w:right="680" w:hanging="424"/>
        <w:spacing w:after="0" w:line="265" w:lineRule="auto"/>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Includes the 13 individuals other than Messrs. Coury, Goettler, Mauro and Narula set forth above as well as Mses. Mistras and Le Goff and Mr.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4"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585470</wp:posOffset>
            </wp:positionV>
            <wp:extent cx="488315" cy="8890"/>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Certain Beneficial Owners</w:t>
      </w:r>
    </w:p>
    <w:p>
      <w:pPr>
        <w:spacing w:after="0" w:line="10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3F3F3F"/>
        </w:rPr>
        <w:t>The following table lists the names and addresses of shareholders known to management to own beneficially more than five percent of the shares of common stock of Viatris as of October 18, 2024 (based on 1,193,592,902 shares of common stock of Viatris Inc. outstanding as of such date):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260" w:type="dxa"/>
            <w:vAlign w:val="bottom"/>
            <w:shd w:val="clear" w:color="auto" w:fill="732282"/>
          </w:tcPr>
          <w:p>
            <w:pPr>
              <w:spacing w:after="0"/>
              <w:rPr>
                <w:sz w:val="19"/>
                <w:szCs w:val="19"/>
                <w:color w:val="auto"/>
              </w:rPr>
            </w:pPr>
          </w:p>
        </w:tc>
        <w:tc>
          <w:tcPr>
            <w:tcW w:w="1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Amount and</w:t>
            </w:r>
          </w:p>
        </w:tc>
        <w:tc>
          <w:tcPr>
            <w:tcW w:w="1020" w:type="dxa"/>
            <w:vAlign w:val="bottom"/>
            <w:shd w:val="clear" w:color="auto" w:fill="73228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732282"/>
          </w:tcPr>
          <w:p>
            <w:pPr>
              <w:spacing w:after="0"/>
              <w:rPr>
                <w:sz w:val="16"/>
                <w:szCs w:val="16"/>
                <w:color w:val="auto"/>
              </w:rPr>
            </w:pPr>
          </w:p>
        </w:tc>
        <w:tc>
          <w:tcPr>
            <w:tcW w:w="1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Nature of Beneficial</w:t>
            </w:r>
          </w:p>
        </w:tc>
        <w:tc>
          <w:tcPr>
            <w:tcW w:w="1020" w:type="dxa"/>
            <w:vAlign w:val="bottom"/>
            <w:shd w:val="clear" w:color="auto" w:fill="732282"/>
          </w:tcPr>
          <w:p>
            <w:pPr>
              <w:ind w:left="140"/>
              <w:spacing w:after="0"/>
              <w:rPr>
                <w:sz w:val="20"/>
                <w:szCs w:val="20"/>
                <w:color w:val="auto"/>
              </w:rPr>
            </w:pPr>
            <w:r>
              <w:rPr>
                <w:rFonts w:ascii="Arial" w:cs="Arial" w:eastAsia="Arial" w:hAnsi="Arial"/>
                <w:sz w:val="16"/>
                <w:szCs w:val="16"/>
                <w:b w:val="1"/>
                <w:bCs w:val="1"/>
                <w:color w:val="FFFFFF"/>
              </w:rPr>
              <w:t>Percent</w:t>
            </w:r>
          </w:p>
        </w:tc>
        <w:tc>
          <w:tcPr>
            <w:tcW w:w="0" w:type="dxa"/>
            <w:vAlign w:val="bottom"/>
          </w:tcPr>
          <w:p>
            <w:pPr>
              <w:spacing w:after="0"/>
              <w:rPr>
                <w:sz w:val="1"/>
                <w:szCs w:val="1"/>
                <w:color w:val="auto"/>
              </w:rPr>
            </w:pPr>
          </w:p>
        </w:tc>
      </w:tr>
      <w:tr>
        <w:trPr>
          <w:trHeight w:val="251"/>
        </w:trPr>
        <w:tc>
          <w:tcPr>
            <w:tcW w:w="826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Name and Address of Beneficial Owner</w:t>
            </w:r>
          </w:p>
        </w:tc>
        <w:tc>
          <w:tcPr>
            <w:tcW w:w="1740" w:type="dxa"/>
            <w:vAlign w:val="bottom"/>
            <w:tcBorders>
              <w:bottom w:val="single" w:sz="8" w:color="732282"/>
            </w:tcBorders>
            <w:shd w:val="clear" w:color="auto" w:fill="732282"/>
          </w:tcPr>
          <w:p>
            <w:pPr>
              <w:jc w:val="center"/>
              <w:spacing w:after="0"/>
              <w:rPr>
                <w:sz w:val="20"/>
                <w:szCs w:val="20"/>
                <w:color w:val="auto"/>
              </w:rPr>
            </w:pPr>
            <w:r>
              <w:rPr>
                <w:rFonts w:ascii="Arial" w:cs="Arial" w:eastAsia="Arial" w:hAnsi="Arial"/>
                <w:sz w:val="16"/>
                <w:szCs w:val="16"/>
                <w:b w:val="1"/>
                <w:bCs w:val="1"/>
                <w:color w:val="FFFFFF"/>
              </w:rPr>
              <w:t>Ownership</w:t>
            </w:r>
          </w:p>
        </w:tc>
        <w:tc>
          <w:tcPr>
            <w:tcW w:w="1020" w:type="dxa"/>
            <w:vAlign w:val="bottom"/>
            <w:tcBorders>
              <w:bottom w:val="single" w:sz="8" w:color="732282"/>
            </w:tcBorders>
            <w:shd w:val="clear" w:color="auto" w:fill="732282"/>
          </w:tcPr>
          <w:p>
            <w:pPr>
              <w:ind w:left="120"/>
              <w:spacing w:after="0"/>
              <w:rPr>
                <w:sz w:val="20"/>
                <w:szCs w:val="20"/>
                <w:color w:val="auto"/>
              </w:rPr>
            </w:pPr>
            <w:r>
              <w:rPr>
                <w:rFonts w:ascii="Arial" w:cs="Arial" w:eastAsia="Arial" w:hAnsi="Arial"/>
                <w:sz w:val="16"/>
                <w:szCs w:val="16"/>
                <w:b w:val="1"/>
                <w:bCs w:val="1"/>
                <w:color w:val="FFFFFF"/>
              </w:rPr>
              <w:t>of Class</w:t>
            </w:r>
          </w:p>
        </w:tc>
        <w:tc>
          <w:tcPr>
            <w:tcW w:w="0" w:type="dxa"/>
            <w:vAlign w:val="bottom"/>
          </w:tcPr>
          <w:p>
            <w:pPr>
              <w:spacing w:after="0"/>
              <w:rPr>
                <w:sz w:val="1"/>
                <w:szCs w:val="1"/>
                <w:color w:val="auto"/>
              </w:rPr>
            </w:pPr>
          </w:p>
        </w:tc>
      </w:tr>
      <w:tr>
        <w:trPr>
          <w:trHeight w:val="175"/>
        </w:trPr>
        <w:tc>
          <w:tcPr>
            <w:tcW w:w="826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The Vanguard Group,</w:t>
            </w:r>
          </w:p>
        </w:tc>
        <w:tc>
          <w:tcPr>
            <w:tcW w:w="17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142,262,690</w:t>
            </w:r>
            <w:r>
              <w:rPr>
                <w:rFonts w:ascii="Arial" w:cs="Arial" w:eastAsia="Arial" w:hAnsi="Arial"/>
                <w:sz w:val="24"/>
                <w:szCs w:val="24"/>
                <w:color w:val="auto"/>
                <w:w w:val="95"/>
                <w:vertAlign w:val="superscript"/>
              </w:rPr>
              <w:t>(1)</w:t>
            </w:r>
          </w:p>
        </w:tc>
        <w:tc>
          <w:tcPr>
            <w:tcW w:w="10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100 Vanguard Blvd., Malvern, PA 19355</w:t>
            </w:r>
          </w:p>
        </w:tc>
        <w:tc>
          <w:tcPr>
            <w:tcW w:w="1740" w:type="dxa"/>
            <w:vAlign w:val="bottom"/>
            <w:vMerge w:val="continue"/>
            <w:shd w:val="clear" w:color="auto" w:fill="E5E5E5"/>
          </w:tcPr>
          <w:p>
            <w:pPr>
              <w:spacing w:after="0"/>
              <w:rPr>
                <w:sz w:val="18"/>
                <w:szCs w:val="18"/>
                <w:color w:val="auto"/>
              </w:rPr>
            </w:pPr>
          </w:p>
        </w:tc>
        <w:tc>
          <w:tcPr>
            <w:tcW w:w="1020" w:type="dxa"/>
            <w:vAlign w:val="bottom"/>
            <w:shd w:val="clear" w:color="auto" w:fill="E5E5E5"/>
          </w:tcPr>
          <w:p>
            <w:pPr>
              <w:jc w:val="center"/>
              <w:ind w:right="79"/>
              <w:spacing w:after="0"/>
              <w:rPr>
                <w:sz w:val="20"/>
                <w:szCs w:val="20"/>
                <w:color w:val="auto"/>
              </w:rPr>
            </w:pPr>
            <w:r>
              <w:rPr>
                <w:rFonts w:ascii="Arial" w:cs="Arial" w:eastAsia="Arial" w:hAnsi="Arial"/>
                <w:sz w:val="16"/>
                <w:szCs w:val="16"/>
                <w:color w:val="auto"/>
                <w:w w:val="96"/>
              </w:rPr>
              <w:t>11.9</w:t>
            </w:r>
          </w:p>
        </w:tc>
        <w:tc>
          <w:tcPr>
            <w:tcW w:w="0" w:type="dxa"/>
            <w:vAlign w:val="bottom"/>
          </w:tcPr>
          <w:p>
            <w:pPr>
              <w:spacing w:after="0"/>
              <w:rPr>
                <w:sz w:val="1"/>
                <w:szCs w:val="1"/>
                <w:color w:val="auto"/>
              </w:rPr>
            </w:pPr>
          </w:p>
        </w:tc>
      </w:tr>
      <w:tr>
        <w:trPr>
          <w:trHeight w:val="175"/>
        </w:trPr>
        <w:tc>
          <w:tcPr>
            <w:tcW w:w="8260" w:type="dxa"/>
            <w:vAlign w:val="bottom"/>
          </w:tcPr>
          <w:p>
            <w:pPr>
              <w:ind w:left="60"/>
              <w:spacing w:after="0" w:line="175" w:lineRule="exact"/>
              <w:rPr>
                <w:sz w:val="20"/>
                <w:szCs w:val="20"/>
                <w:color w:val="auto"/>
              </w:rPr>
            </w:pPr>
            <w:r>
              <w:rPr>
                <w:rFonts w:ascii="Arial" w:cs="Arial" w:eastAsia="Arial" w:hAnsi="Arial"/>
                <w:sz w:val="16"/>
                <w:szCs w:val="16"/>
                <w:color w:val="auto"/>
              </w:rPr>
              <w:t>BlackRock, Inc.,</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2"/>
              </w:rPr>
              <w:t>  92,337,568</w:t>
            </w:r>
            <w:r>
              <w:rPr>
                <w:rFonts w:ascii="Arial" w:cs="Arial" w:eastAsia="Arial" w:hAnsi="Arial"/>
                <w:sz w:val="24"/>
                <w:szCs w:val="24"/>
                <w:color w:val="auto"/>
                <w:w w:val="92"/>
                <w:vertAlign w:val="superscript"/>
              </w:rPr>
              <w:t>(2)</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tcPr>
          <w:p>
            <w:pPr>
              <w:ind w:left="60"/>
              <w:spacing w:after="0"/>
              <w:rPr>
                <w:sz w:val="20"/>
                <w:szCs w:val="20"/>
                <w:color w:val="auto"/>
              </w:rPr>
            </w:pPr>
            <w:r>
              <w:rPr>
                <w:rFonts w:ascii="Arial" w:cs="Arial" w:eastAsia="Arial" w:hAnsi="Arial"/>
                <w:sz w:val="16"/>
                <w:szCs w:val="16"/>
                <w:color w:val="auto"/>
              </w:rPr>
              <w:t>50 Hudson Yards, New York, NY 10001</w:t>
            </w:r>
          </w:p>
        </w:tc>
        <w:tc>
          <w:tcPr>
            <w:tcW w:w="1740" w:type="dxa"/>
            <w:vAlign w:val="bottom"/>
            <w:vMerge w:val="continue"/>
          </w:tcPr>
          <w:p>
            <w:pPr>
              <w:spacing w:after="0"/>
              <w:rPr>
                <w:sz w:val="18"/>
                <w:szCs w:val="18"/>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75"/>
        </w:trPr>
        <w:tc>
          <w:tcPr>
            <w:tcW w:w="8260" w:type="dxa"/>
            <w:vAlign w:val="bottom"/>
            <w:shd w:val="clear" w:color="auto" w:fill="E5E5E5"/>
          </w:tcPr>
          <w:p>
            <w:pPr>
              <w:ind w:left="60"/>
              <w:spacing w:after="0" w:line="175" w:lineRule="exact"/>
              <w:rPr>
                <w:sz w:val="20"/>
                <w:szCs w:val="20"/>
                <w:color w:val="auto"/>
              </w:rPr>
            </w:pPr>
            <w:r>
              <w:rPr>
                <w:rFonts w:ascii="Arial" w:cs="Arial" w:eastAsia="Arial" w:hAnsi="Arial"/>
                <w:sz w:val="16"/>
                <w:szCs w:val="16"/>
                <w:color w:val="auto"/>
              </w:rPr>
              <w:t>Davis Selected Advisers, L.P.</w:t>
            </w:r>
          </w:p>
        </w:tc>
        <w:tc>
          <w:tcPr>
            <w:tcW w:w="17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2"/>
              </w:rPr>
              <w:t>  62,661,728</w:t>
            </w:r>
            <w:r>
              <w:rPr>
                <w:rFonts w:ascii="Arial" w:cs="Arial" w:eastAsia="Arial" w:hAnsi="Arial"/>
                <w:sz w:val="24"/>
                <w:szCs w:val="24"/>
                <w:color w:val="auto"/>
                <w:w w:val="92"/>
                <w:vertAlign w:val="superscript"/>
              </w:rPr>
              <w:t>(3)</w:t>
            </w:r>
          </w:p>
        </w:tc>
        <w:tc>
          <w:tcPr>
            <w:tcW w:w="10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2949 East Elvira Road, Suite 101, Tucson, AZ 85756</w:t>
            </w:r>
          </w:p>
        </w:tc>
        <w:tc>
          <w:tcPr>
            <w:tcW w:w="1740" w:type="dxa"/>
            <w:vAlign w:val="bottom"/>
            <w:vMerge w:val="continue"/>
            <w:shd w:val="clear" w:color="auto" w:fill="E5E5E5"/>
          </w:tcPr>
          <w:p>
            <w:pPr>
              <w:spacing w:after="0"/>
              <w:rPr>
                <w:sz w:val="18"/>
                <w:szCs w:val="18"/>
                <w:color w:val="auto"/>
              </w:rPr>
            </w:pPr>
          </w:p>
        </w:tc>
        <w:tc>
          <w:tcPr>
            <w:tcW w:w="1020" w:type="dxa"/>
            <w:vAlign w:val="bottom"/>
            <w:shd w:val="clear" w:color="auto" w:fill="E5E5E5"/>
          </w:tcPr>
          <w:p>
            <w:pPr>
              <w:jc w:val="center"/>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5"/>
        </w:trPr>
        <w:tc>
          <w:tcPr>
            <w:tcW w:w="8260" w:type="dxa"/>
            <w:vAlign w:val="bottom"/>
          </w:tcPr>
          <w:p>
            <w:pPr>
              <w:ind w:left="60"/>
              <w:spacing w:after="0" w:line="175" w:lineRule="exact"/>
              <w:rPr>
                <w:sz w:val="20"/>
                <w:szCs w:val="20"/>
                <w:color w:val="auto"/>
              </w:rPr>
            </w:pPr>
            <w:r>
              <w:rPr>
                <w:rFonts w:ascii="Arial" w:cs="Arial" w:eastAsia="Arial" w:hAnsi="Arial"/>
                <w:sz w:val="16"/>
                <w:szCs w:val="16"/>
                <w:color w:val="auto"/>
              </w:rPr>
              <w:t>State Street Corporation</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2"/>
              </w:rPr>
              <w:t>  61,969,119</w:t>
            </w:r>
            <w:r>
              <w:rPr>
                <w:rFonts w:ascii="Arial" w:cs="Arial" w:eastAsia="Arial" w:hAnsi="Arial"/>
                <w:sz w:val="24"/>
                <w:szCs w:val="24"/>
                <w:color w:val="auto"/>
                <w:w w:val="92"/>
                <w:vertAlign w:val="superscript"/>
              </w:rPr>
              <w:t>(4)</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60" w:type="dxa"/>
            <w:vAlign w:val="bottom"/>
            <w:tcBorders>
              <w:bottom w:val="single" w:sz="8" w:color="732282"/>
            </w:tcBorders>
          </w:tcPr>
          <w:p>
            <w:pPr>
              <w:ind w:left="60"/>
              <w:spacing w:after="0"/>
              <w:rPr>
                <w:sz w:val="20"/>
                <w:szCs w:val="20"/>
                <w:color w:val="auto"/>
              </w:rPr>
            </w:pPr>
            <w:r>
              <w:rPr>
                <w:rFonts w:ascii="Arial" w:cs="Arial" w:eastAsia="Arial" w:hAnsi="Arial"/>
                <w:sz w:val="16"/>
                <w:szCs w:val="16"/>
                <w:color w:val="auto"/>
              </w:rPr>
              <w:t>State Street Financial Center, One Congress Street, Suite 1, Boston, MA 02114-2016</w:t>
            </w:r>
          </w:p>
        </w:tc>
        <w:tc>
          <w:tcPr>
            <w:tcW w:w="1740" w:type="dxa"/>
            <w:vAlign w:val="bottom"/>
            <w:tcBorders>
              <w:bottom w:val="single" w:sz="8" w:color="732282"/>
            </w:tcBorders>
            <w:vMerge w:val="continue"/>
          </w:tcPr>
          <w:p>
            <w:pPr>
              <w:spacing w:after="0"/>
              <w:rPr>
                <w:sz w:val="18"/>
                <w:szCs w:val="18"/>
                <w:color w:val="auto"/>
              </w:rPr>
            </w:pPr>
          </w:p>
        </w:tc>
        <w:tc>
          <w:tcPr>
            <w:tcW w:w="1020" w:type="dxa"/>
            <w:vAlign w:val="bottom"/>
            <w:tcBorders>
              <w:bottom w:val="single" w:sz="8" w:color="732282"/>
            </w:tcBorders>
          </w:tcPr>
          <w:p>
            <w:pPr>
              <w:jc w:val="center"/>
              <w:ind w:right="5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20" w:hanging="424"/>
        <w:spacing w:after="0" w:line="253" w:lineRule="auto"/>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Based on the Schedule 13G/A filed by The Vanguard Group with the SEC on February 13, 2024, The Vanguard Group has sole voting power over 0 shares of common stock, shared voting power over 1,620,666 shares of common stock, sole dispositive power over 136,880,832 shares of common stock and shared dispositive power over 5,381,858 shares of common stock.</w:t>
      </w:r>
    </w:p>
    <w:p>
      <w:pPr>
        <w:spacing w:after="0" w:line="1" w:lineRule="exact"/>
        <w:rPr>
          <w:rFonts w:ascii="Arial" w:cs="Arial" w:eastAsia="Arial" w:hAnsi="Arial"/>
          <w:sz w:val="16"/>
          <w:szCs w:val="16"/>
          <w:color w:val="3F3F3F"/>
        </w:rPr>
      </w:pPr>
    </w:p>
    <w:p>
      <w:pPr>
        <w:ind w:left="540" w:right="160" w:hanging="424"/>
        <w:spacing w:after="0" w:line="246" w:lineRule="auto"/>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Based on the Schedule 13G/A filed by BlackRock, Inc. with the SEC on January 26, 2024, BlackRock, Inc. has sole voting power over 82,732,122 shares of common stock, shared voting power over 0 shares of common stock, sole dispositive power over 92,337,568 shares of common stock and shared dispositive power over 0 shares of common stock.</w:t>
      </w:r>
    </w:p>
    <w:p>
      <w:pPr>
        <w:spacing w:after="0" w:line="1" w:lineRule="exact"/>
        <w:rPr>
          <w:rFonts w:ascii="Arial" w:cs="Arial" w:eastAsia="Arial" w:hAnsi="Arial"/>
          <w:sz w:val="16"/>
          <w:szCs w:val="16"/>
          <w:color w:val="3F3F3F"/>
        </w:rPr>
      </w:pPr>
    </w:p>
    <w:p>
      <w:pPr>
        <w:ind w:left="540" w:right="120" w:hanging="424"/>
        <w:spacing w:after="0" w:line="246" w:lineRule="auto"/>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Based on a Schedule 13G filed by Davis Selected Advisers, L.P. with the SEC on February 9, 2024, Davis Selected Advisors, L.P. has sole voting power of 61,054,564 shares of common stock, shared voting power over 0 shares of common stock and no voting power over 1,607,164 shares of common stock, sole dispositive voting power of 62,661,728 shares of common stock and shared dispositive voting power of 0 shares of common stock.</w:t>
      </w:r>
    </w:p>
    <w:p>
      <w:pPr>
        <w:spacing w:after="0" w:line="1" w:lineRule="exact"/>
        <w:rPr>
          <w:rFonts w:ascii="Arial" w:cs="Arial" w:eastAsia="Arial" w:hAnsi="Arial"/>
          <w:sz w:val="16"/>
          <w:szCs w:val="16"/>
          <w:color w:val="3F3F3F"/>
        </w:rPr>
      </w:pPr>
    </w:p>
    <w:p>
      <w:pPr>
        <w:ind w:left="540" w:right="120" w:hanging="424"/>
        <w:spacing w:after="0" w:line="256" w:lineRule="auto"/>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Based on the Schedule 13G/A filed by State Street Corporation with the SEC on January 30, 2024, State Street Corporation has sole voting power over 0 shares of common stock, shared voting power over 40,564,300 shares of common stock, sole dispositive power over 0 shares of common stock and shared dispositive power over 61,923,920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224790</wp:posOffset>
            </wp:positionV>
            <wp:extent cx="488315" cy="8890"/>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Delinquent Section 16(a) Reports</w:t>
      </w:r>
    </w:p>
    <w:p>
      <w:pPr>
        <w:spacing w:after="0" w:line="10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3F3F3F"/>
        </w:rPr>
        <w:t>Section 16(a) of the Exchange Act requires the Company’s Directors, “officers” (as defined in Rule 16a-1(f) of the Exchange Act) (“Section 16 Officers”) and beneficial owners of more than 10% of any class of the Company’s equity securities registered pursuant to Section 12 of the Exchange Act to file initial reports of ownership and changes in ownership with the SEC. To the Company’s knowledge, with respect to the fiscal year ended December 31, 2023, all applicable filings were timely made except that Harry Korman, a Director of the Company, was late in filing ownership reports with respect to (i) six purchases (totaling 3,681 shares of Company common stock in the aggregate) executed by his investment advisors in managed accounts as part of the investment advisors’ implementation and continued execution of managed investment strategies involving the securities of multiple issuers; such purchases occurred between December 2020 and October 2023 and (ii) four purchases (totaling 722.1 shares of Company common stock in the aggregate) that were the result of the automatic reinvestment of dividends received on shares of Company common stock pursuant to a broker-sponsored dividend reinvestment plan; such automatic dividend reinvestments occurred in 2021 and 2022 prior to the Company filing a registration statement on Form S-3 with respect to its Dividend Reinvestment and Share Purchase Plan on May 6, 2022. Mr. Korman was late in filing seven reports with respect to these transactions and filed a Form 4 on October 25, 2024 to report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Officers</w:t>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sets forth the names, ages, and positions of Viatris’ executive officers as of October 18,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2840" w:type="dxa"/>
            <w:vAlign w:val="bottom"/>
            <w:tcBorders>
              <w:top w:val="single" w:sz="8" w:color="732282"/>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Scott A. Smith</w:t>
            </w:r>
          </w:p>
        </w:tc>
        <w:tc>
          <w:tcPr>
            <w:tcW w:w="400" w:type="dxa"/>
            <w:vAlign w:val="bottom"/>
            <w:tcBorders>
              <w:top w:val="single" w:sz="8" w:color="732282"/>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62</w:t>
            </w:r>
          </w:p>
        </w:tc>
        <w:tc>
          <w:tcPr>
            <w:tcW w:w="7780" w:type="dxa"/>
            <w:vAlign w:val="bottom"/>
            <w:tcBorders>
              <w:top w:val="single" w:sz="8" w:color="732282"/>
              <w:bottom w:val="single" w:sz="8" w:color="E5E5E5"/>
            </w:tcBorders>
            <w:shd w:val="clear" w:color="auto" w:fill="E5E5E5"/>
          </w:tcPr>
          <w:p>
            <w:pPr>
              <w:ind w:left="80"/>
              <w:spacing w:after="0"/>
              <w:rPr>
                <w:sz w:val="20"/>
                <w:szCs w:val="20"/>
                <w:color w:val="auto"/>
              </w:rPr>
            </w:pPr>
            <w:r>
              <w:rPr>
                <w:rFonts w:ascii="Arial" w:cs="Arial" w:eastAsia="Arial" w:hAnsi="Arial"/>
                <w:sz w:val="18"/>
                <w:szCs w:val="18"/>
                <w:color w:val="auto"/>
              </w:rPr>
              <w:t>Chief Executive Officer (principal executive officer)</w:t>
            </w:r>
          </w:p>
        </w:tc>
      </w:tr>
      <w:tr>
        <w:trPr>
          <w:trHeight w:val="274"/>
        </w:trPr>
        <w:tc>
          <w:tcPr>
            <w:tcW w:w="2840" w:type="dxa"/>
            <w:vAlign w:val="bottom"/>
          </w:tcPr>
          <w:p>
            <w:pPr>
              <w:ind w:left="60"/>
              <w:spacing w:after="0"/>
              <w:rPr>
                <w:sz w:val="20"/>
                <w:szCs w:val="20"/>
                <w:color w:val="auto"/>
              </w:rPr>
            </w:pPr>
            <w:r>
              <w:rPr>
                <w:rFonts w:ascii="Arial" w:cs="Arial" w:eastAsia="Arial" w:hAnsi="Arial"/>
                <w:sz w:val="18"/>
                <w:szCs w:val="18"/>
                <w:color w:val="auto"/>
              </w:rPr>
              <w:t>Theodora (Doretta) Mistras</w:t>
            </w: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7780" w:type="dxa"/>
            <w:vAlign w:val="bottom"/>
          </w:tcPr>
          <w:p>
            <w:pPr>
              <w:ind w:left="80"/>
              <w:spacing w:after="0"/>
              <w:rPr>
                <w:sz w:val="20"/>
                <w:szCs w:val="20"/>
                <w:color w:val="auto"/>
              </w:rPr>
            </w:pPr>
            <w:r>
              <w:rPr>
                <w:rFonts w:ascii="Arial" w:cs="Arial" w:eastAsia="Arial" w:hAnsi="Arial"/>
                <w:sz w:val="18"/>
                <w:szCs w:val="18"/>
                <w:color w:val="auto"/>
              </w:rPr>
              <w:t>Chief Financial Officer (principal financial officer)</w:t>
            </w:r>
          </w:p>
        </w:tc>
      </w:tr>
      <w:tr>
        <w:trPr>
          <w:trHeight w:val="37"/>
        </w:trPr>
        <w:tc>
          <w:tcPr>
            <w:tcW w:w="2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780" w:type="dxa"/>
            <w:vAlign w:val="bottom"/>
          </w:tcPr>
          <w:p>
            <w:pPr>
              <w:spacing w:after="0"/>
              <w:rPr>
                <w:sz w:val="3"/>
                <w:szCs w:val="3"/>
                <w:color w:val="auto"/>
              </w:rPr>
            </w:pPr>
          </w:p>
        </w:tc>
      </w:tr>
      <w:tr>
        <w:trPr>
          <w:trHeight w:val="290"/>
        </w:trPr>
        <w:tc>
          <w:tcPr>
            <w:tcW w:w="2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Paul Campbell</w:t>
            </w:r>
          </w:p>
        </w:tc>
        <w:tc>
          <w:tcPr>
            <w:tcW w:w="4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77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color w:val="auto"/>
              </w:rPr>
              <w:t>Chief Accounting Officer and Corporate Controller (principal accounting officer)</w:t>
            </w:r>
          </w:p>
        </w:tc>
      </w:tr>
      <w:tr>
        <w:trPr>
          <w:trHeight w:val="274"/>
        </w:trPr>
        <w:tc>
          <w:tcPr>
            <w:tcW w:w="2840" w:type="dxa"/>
            <w:vAlign w:val="bottom"/>
          </w:tcPr>
          <w:p>
            <w:pPr>
              <w:ind w:left="60"/>
              <w:spacing w:after="0"/>
              <w:rPr>
                <w:sz w:val="20"/>
                <w:szCs w:val="20"/>
                <w:color w:val="auto"/>
              </w:rPr>
            </w:pPr>
            <w:r>
              <w:rPr>
                <w:rFonts w:ascii="Arial" w:cs="Arial" w:eastAsia="Arial" w:hAnsi="Arial"/>
                <w:sz w:val="18"/>
                <w:szCs w:val="18"/>
                <w:color w:val="auto"/>
              </w:rPr>
              <w:t>Brian Roman</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7780" w:type="dxa"/>
            <w:vAlign w:val="bottom"/>
          </w:tcPr>
          <w:p>
            <w:pPr>
              <w:ind w:left="80"/>
              <w:spacing w:after="0"/>
              <w:rPr>
                <w:sz w:val="20"/>
                <w:szCs w:val="20"/>
                <w:color w:val="auto"/>
              </w:rPr>
            </w:pPr>
            <w:r>
              <w:rPr>
                <w:rFonts w:ascii="Arial" w:cs="Arial" w:eastAsia="Arial" w:hAnsi="Arial"/>
                <w:sz w:val="18"/>
                <w:szCs w:val="18"/>
                <w:color w:val="auto"/>
              </w:rPr>
              <w:t>Chief Legal Officer</w:t>
            </w:r>
          </w:p>
        </w:tc>
      </w:tr>
      <w:tr>
        <w:trPr>
          <w:trHeight w:val="37"/>
        </w:trPr>
        <w:tc>
          <w:tcPr>
            <w:tcW w:w="2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780" w:type="dxa"/>
            <w:vAlign w:val="bottom"/>
          </w:tcPr>
          <w:p>
            <w:pPr>
              <w:spacing w:after="0"/>
              <w:rPr>
                <w:sz w:val="3"/>
                <w:szCs w:val="3"/>
                <w:color w:val="auto"/>
              </w:rPr>
            </w:pPr>
          </w:p>
        </w:tc>
      </w:tr>
      <w:tr>
        <w:trPr>
          <w:trHeight w:val="290"/>
        </w:trPr>
        <w:tc>
          <w:tcPr>
            <w:tcW w:w="2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Dr. Corinne Le Goff</w:t>
            </w:r>
          </w:p>
        </w:tc>
        <w:tc>
          <w:tcPr>
            <w:tcW w:w="4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778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color w:val="auto"/>
              </w:rPr>
              <w:t>Chief Commercial Officer</w:t>
            </w:r>
          </w:p>
        </w:tc>
      </w:tr>
      <w:tr>
        <w:trPr>
          <w:trHeight w:val="81"/>
        </w:trPr>
        <w:tc>
          <w:tcPr>
            <w:tcW w:w="2840" w:type="dxa"/>
            <w:vAlign w:val="bottom"/>
            <w:tcBorders>
              <w:bottom w:val="single" w:sz="8" w:color="732282"/>
            </w:tcBorders>
          </w:tcPr>
          <w:p>
            <w:pPr>
              <w:ind w:left="60"/>
              <w:spacing w:after="0"/>
              <w:rPr>
                <w:sz w:val="20"/>
                <w:szCs w:val="20"/>
                <w:color w:val="auto"/>
              </w:rPr>
            </w:pPr>
            <w:r>
              <w:rPr>
                <w:rFonts w:ascii="Arial" w:cs="Arial" w:eastAsia="Arial" w:hAnsi="Arial"/>
                <w:sz w:val="7"/>
                <w:szCs w:val="7"/>
                <w:color w:val="auto"/>
              </w:rPr>
              <w:t xml:space="preserve">    </w:t>
            </w:r>
          </w:p>
        </w:tc>
        <w:tc>
          <w:tcPr>
            <w:tcW w:w="400" w:type="dxa"/>
            <w:vAlign w:val="bottom"/>
            <w:tcBorders>
              <w:bottom w:val="single" w:sz="8" w:color="732282"/>
            </w:tcBorders>
          </w:tcPr>
          <w:p>
            <w:pPr>
              <w:spacing w:after="0"/>
              <w:rPr>
                <w:sz w:val="7"/>
                <w:szCs w:val="7"/>
                <w:color w:val="auto"/>
              </w:rPr>
            </w:pPr>
          </w:p>
        </w:tc>
        <w:tc>
          <w:tcPr>
            <w:tcW w:w="7780" w:type="dxa"/>
            <w:vAlign w:val="bottom"/>
            <w:tcBorders>
              <w:bottom w:val="single" w:sz="8" w:color="732282"/>
            </w:tcBorders>
          </w:tcPr>
          <w:p>
            <w:pPr>
              <w:spacing w:after="0"/>
              <w:rPr>
                <w:sz w:val="7"/>
                <w:szCs w:val="7"/>
                <w:color w:val="auto"/>
              </w:rPr>
            </w:pPr>
          </w:p>
        </w:tc>
      </w:tr>
    </w:tbl>
    <w:p>
      <w:pPr>
        <w:spacing w:after="0" w:line="89"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color w:val="3F3F3F"/>
        </w:rPr>
        <w:t>Scott A. Smith</w:t>
      </w:r>
      <w:r>
        <w:rPr>
          <w:rFonts w:ascii="Arial" w:cs="Arial" w:eastAsia="Arial" w:hAnsi="Arial"/>
          <w:sz w:val="18"/>
          <w:szCs w:val="18"/>
          <w:color w:val="3F3F3F"/>
        </w:rPr>
        <w:t>. Mr. Smith has served as Viatris’ CEO since April 1, 2023. His responsibilities include leading the daily management and</w:t>
      </w:r>
      <w:r>
        <w:rPr>
          <w:rFonts w:ascii="Arial" w:cs="Arial" w:eastAsia="Arial" w:hAnsi="Arial"/>
          <w:sz w:val="18"/>
          <w:szCs w:val="18"/>
          <w:b w:val="1"/>
          <w:bCs w:val="1"/>
          <w:color w:val="3F3F3F"/>
        </w:rPr>
        <w:t xml:space="preserve"> </w:t>
      </w:r>
      <w:r>
        <w:rPr>
          <w:rFonts w:ascii="Arial" w:cs="Arial" w:eastAsia="Arial" w:hAnsi="Arial"/>
          <w:sz w:val="18"/>
          <w:szCs w:val="18"/>
          <w:color w:val="3F3F3F"/>
        </w:rPr>
        <w:t>the overall performance of the Company and executing on the strategies developed in collaboration with the Board, among other responsibilities. Mr. Smith is also a member of the Board and additional details regarding his background and experience can be found under the heading “Viatris’ Board of Directors” on page 23.</w:t>
      </w:r>
    </w:p>
    <w:p>
      <w:pPr>
        <w:spacing w:after="0" w:line="6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b w:val="1"/>
          <w:bCs w:val="1"/>
          <w:color w:val="3F3F3F"/>
        </w:rPr>
        <w:t>Doretta Mistras</w:t>
      </w:r>
      <w:r>
        <w:rPr>
          <w:rFonts w:ascii="Arial" w:cs="Arial" w:eastAsia="Arial" w:hAnsi="Arial"/>
          <w:sz w:val="18"/>
          <w:szCs w:val="18"/>
          <w:color w:val="3F3F3F"/>
        </w:rPr>
        <w:t>. Ms. Mistras has served as Viatris’ CFO since March 1, 2024. Her responsibilities include oversight of the global Finance</w:t>
      </w:r>
      <w:r>
        <w:rPr>
          <w:rFonts w:ascii="Arial" w:cs="Arial" w:eastAsia="Arial" w:hAnsi="Arial"/>
          <w:sz w:val="18"/>
          <w:szCs w:val="18"/>
          <w:b w:val="1"/>
          <w:bCs w:val="1"/>
          <w:color w:val="3F3F3F"/>
        </w:rPr>
        <w:t xml:space="preserve"> </w:t>
      </w:r>
      <w:r>
        <w:rPr>
          <w:rFonts w:ascii="Arial" w:cs="Arial" w:eastAsia="Arial" w:hAnsi="Arial"/>
          <w:sz w:val="18"/>
          <w:szCs w:val="18"/>
          <w:color w:val="3F3F3F"/>
        </w:rPr>
        <w:t>Department, which includes corporate controllership, financial planning and analysis, internal audit, and tax and Treasury functions, among others. Prior to joining the Company as of January 1, 2024 as CFO-elect, Ms. Mistras was Managing Director, Healthcare Investment Banking at Citigroup Global Markets from September 2019 to December 2023 and prior to that was Managing Director, Healthcare Investment Banking at Goldman Sachs, where she spent over 15 years in their investment banking healthcare group. She has almost two decades of leadership, advisory and capital markets experience helping guide corporate boards and leadership teams on matters affecting corporate strategy, including business development, financial planning, corporate finance and investor relations.</w:t>
      </w:r>
    </w:p>
    <w:p>
      <w:pPr>
        <w:spacing w:after="0" w:line="5"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3F3F3F"/>
        </w:rPr>
        <w:t>Ms. Mistras has also advised leading healthcare corporations on a multitude of important financial and strategic decisions, including M&amp;A, joint ventures, and capital markets transactions.</w:t>
      </w:r>
    </w:p>
    <w:p>
      <w:pPr>
        <w:spacing w:after="0" w:line="64" w:lineRule="exact"/>
        <w:rPr>
          <w:sz w:val="20"/>
          <w:szCs w:val="20"/>
          <w:color w:val="auto"/>
        </w:rPr>
      </w:pPr>
    </w:p>
    <w:p>
      <w:pPr>
        <w:ind w:left="120" w:right="60"/>
        <w:spacing w:after="0"/>
        <w:rPr>
          <w:sz w:val="20"/>
          <w:szCs w:val="20"/>
          <w:color w:val="auto"/>
        </w:rPr>
      </w:pPr>
      <w:r>
        <w:rPr>
          <w:rFonts w:ascii="Arial" w:cs="Arial" w:eastAsia="Arial" w:hAnsi="Arial"/>
          <w:sz w:val="18"/>
          <w:szCs w:val="18"/>
          <w:b w:val="1"/>
          <w:bCs w:val="1"/>
          <w:color w:val="3F3F3F"/>
        </w:rPr>
        <w:t>Paul Campbell</w:t>
      </w:r>
      <w:r>
        <w:rPr>
          <w:rFonts w:ascii="Arial" w:cs="Arial" w:eastAsia="Arial" w:hAnsi="Arial"/>
          <w:sz w:val="18"/>
          <w:szCs w:val="18"/>
          <w:color w:val="3F3F3F"/>
        </w:rPr>
        <w:t>. Mr. Campbell has served as Viatris’ Chief Accounting Officer and Corporate Controller since the closing of the</w:t>
      </w:r>
      <w:r>
        <w:rPr>
          <w:rFonts w:ascii="Arial" w:cs="Arial" w:eastAsia="Arial" w:hAnsi="Arial"/>
          <w:sz w:val="18"/>
          <w:szCs w:val="18"/>
          <w:b w:val="1"/>
          <w:bCs w:val="1"/>
          <w:color w:val="3F3F3F"/>
        </w:rPr>
        <w:t xml:space="preserve"> </w:t>
      </w:r>
      <w:r>
        <w:rPr>
          <w:rFonts w:ascii="Arial" w:cs="Arial" w:eastAsia="Arial" w:hAnsi="Arial"/>
          <w:sz w:val="18"/>
          <w:szCs w:val="18"/>
          <w:color w:val="3F3F3F"/>
        </w:rPr>
        <w:t>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7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color w:val="3F3F3F"/>
        </w:rPr>
        <w:t>Brian Roman</w:t>
      </w:r>
      <w:r>
        <w:rPr>
          <w:rFonts w:ascii="Arial" w:cs="Arial" w:eastAsia="Arial" w:hAnsi="Arial"/>
          <w:sz w:val="18"/>
          <w:szCs w:val="18"/>
          <w:color w:val="3F3F3F"/>
        </w:rPr>
        <w:t>. Mr. Roman served as Viatris’ Global General Counsel since the closing of the Combination on November 16, 2020 and</w:t>
      </w:r>
      <w:r>
        <w:rPr>
          <w:rFonts w:ascii="Arial" w:cs="Arial" w:eastAsia="Arial" w:hAnsi="Arial"/>
          <w:sz w:val="18"/>
          <w:szCs w:val="18"/>
          <w:b w:val="1"/>
          <w:bCs w:val="1"/>
          <w:color w:val="3F3F3F"/>
        </w:rPr>
        <w:t xml:space="preserve"> </w:t>
      </w:r>
      <w:r>
        <w:rPr>
          <w:rFonts w:ascii="Arial" w:cs="Arial" w:eastAsia="Arial" w:hAnsi="Arial"/>
          <w:sz w:val="18"/>
          <w:szCs w:val="18"/>
          <w:color w:val="3F3F3F"/>
        </w:rPr>
        <w:t>was named Chief Legal Officer on April 1, 2024. His responsibilities include oversight of the Company’s global legal organization, including securities, global contracts, labor and employment, global regulatory, business development, litigation, and intellectual property, and, together with the Compliance and Risk Oversight Committee, overseeing the Company’s compliance function, among other areas. From July 2017 until the closing of the Combination, Mr. Roman was Mylan’s Global General Counsel, with similar responsibilities for oversight of the global legal organization.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0" cy="68580"/>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b w:val="1"/>
          <w:bCs w:val="1"/>
          <w:color w:val="3F3F3F"/>
        </w:rPr>
        <w:t xml:space="preserve">Dr. Corinne Le Goff, Pharm D. </w:t>
      </w:r>
      <w:r>
        <w:rPr>
          <w:rFonts w:ascii="Arial" w:cs="Arial" w:eastAsia="Arial" w:hAnsi="Arial"/>
          <w:sz w:val="18"/>
          <w:szCs w:val="18"/>
          <w:color w:val="3F3F3F"/>
        </w:rPr>
        <w:t>Dr. Le Goff has served as Chief Commercial Officer since April 15, 2024. Her responsibilities include</w:t>
      </w:r>
      <w:r>
        <w:rPr>
          <w:rFonts w:ascii="Arial" w:cs="Arial" w:eastAsia="Arial" w:hAnsi="Arial"/>
          <w:sz w:val="18"/>
          <w:szCs w:val="18"/>
          <w:b w:val="1"/>
          <w:bCs w:val="1"/>
          <w:color w:val="3F3F3F"/>
        </w:rPr>
        <w:t xml:space="preserve"> </w:t>
      </w:r>
      <w:r>
        <w:rPr>
          <w:rFonts w:ascii="Arial" w:cs="Arial" w:eastAsia="Arial" w:hAnsi="Arial"/>
          <w:sz w:val="18"/>
          <w:szCs w:val="18"/>
          <w:color w:val="3F3F3F"/>
        </w:rPr>
        <w:t>oversight of the Company’s global commercial function, including Developed Markets, Emerging Markets, JANZ and Greater China. As a result of this appointment, the Company’s President, JANZ and Emerging Markets and President, Greater China now report to Dr. Le Goff (and, as previously disclosed, the Company’s President, Developed Markets, departed from the Company effective as of April 1, 2024 as a result of an elimination of his position in connection with a realignment of the Company’s commercial function). Prior to joining the Company, Dr. Le Goff held roles at biotechnology companies, most recently as President, Chief Executive Officer and Director of Imunon, Inc. (“Imunon”), a clinical stage biotechnology company, from July 2022 until March 2024, where she led an organizational turnaround and rebranding effort (Imunon was known as Celsion Corporation until September 2022). Prior to Imunon, she was Chief Commercial Officer of Moderna, Inc. from January 2021 through January 2022 and served in various roles at Amgen Inc. from June 2015 to January 2021, including President of the U.S. business from March 2019 to January 2021, Senior Vice President of Global Product Strategy and Commercial Innovation from June 2018 to March 2019 and President of the Europe Region from June 2015 to May 2018. Dr. Le Goff also held various positions within the Roche Group, a publicly traded Swiss multinational healthcare company, including President of Roche’s French affiliate from May 2012 to May 2015. Dr. Le Goff has served on the board of directors of Longboard Pharmaceuticals Inc., a clinical-stage biopharmaceutical company since March 2021, most recently serving on that company’s Audit and Nominating and Corporate Governance Committees, and previously served on the boards of directors of EuroAPI S.A., which develops, manufactures, markets and distributes APIs and intermediates used in the formulation of medicines for human and veterinary use, from April 2022 to January 2023, Acticor Biotech SAS, a clinical stage biopharmaceutical company, from May 2022 to December 2023, and CFAO Group, a trading company, from October 2014 to October 2020.</w:t>
      </w:r>
    </w:p>
    <w:p>
      <w:pPr>
        <w:spacing w:after="0" w:line="74" w:lineRule="exact"/>
        <w:rPr>
          <w:sz w:val="20"/>
          <w:szCs w:val="20"/>
          <w:color w:val="auto"/>
        </w:rPr>
      </w:pPr>
    </w:p>
    <w:p>
      <w:pPr>
        <w:ind w:left="120" w:right="880"/>
        <w:spacing w:after="0" w:line="271" w:lineRule="auto"/>
        <w:rPr>
          <w:sz w:val="20"/>
          <w:szCs w:val="20"/>
          <w:color w:val="auto"/>
        </w:rPr>
      </w:pPr>
      <w:r>
        <w:rPr>
          <w:rFonts w:ascii="Arial" w:cs="Arial" w:eastAsia="Arial" w:hAnsi="Arial"/>
          <w:sz w:val="18"/>
          <w:szCs w:val="18"/>
          <w:color w:val="3F3F3F"/>
        </w:rPr>
        <w:t>Pursuant to the Bylaws, officers hold office until their successors are chosen and qualify in their stead or until their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2</w:t>
      </w:r>
    </w:p>
    <w:p>
      <w:pPr>
        <w:spacing w:after="0" w:line="23" w:lineRule="exact"/>
        <w:rPr>
          <w:sz w:val="20"/>
          <w:szCs w:val="20"/>
          <w:color w:val="auto"/>
        </w:rPr>
      </w:pPr>
    </w:p>
    <w:p>
      <w:pPr>
        <w:ind w:left="120" w:right="1160"/>
        <w:spacing w:after="0" w:line="253" w:lineRule="auto"/>
        <w:rPr>
          <w:sz w:val="20"/>
          <w:szCs w:val="20"/>
          <w:color w:val="auto"/>
        </w:rPr>
      </w:pPr>
      <w:r>
        <w:rPr>
          <w:rFonts w:ascii="Arial" w:cs="Arial" w:eastAsia="Arial" w:hAnsi="Arial"/>
          <w:sz w:val="40"/>
          <w:szCs w:val="40"/>
          <w:color w:val="3F3F3F"/>
        </w:rPr>
        <w:t>Advisory Vote to Approve the 2023 Compensation of the Named Executive Officers of the Company</w:t>
      </w:r>
    </w:p>
    <w:p>
      <w:pPr>
        <w:spacing w:after="0" w:line="35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As required by Section 14A of the Exchange Act, Viatris’ shareholders have the opportunity to vote to approve, on a non-binding, advisory basis, the 2023 compensation of our NEOs as disclosed in this Proxy Statement in accordance with SEC rules, which we also have referred to herein as the “Say-on-Pay vote”.</w:t>
      </w:r>
    </w:p>
    <w:p>
      <w:pPr>
        <w:spacing w:after="0" w:line="6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As detailed in the Compensation Discussion and Analysis section of this Proxy Statement, which begins on page 48, our NEO compensation program is designed to incentivize the continued development of our durable business and shareholder value creation over the short- and long-term, while providing a competitive level of compensation to attract, retain, and motivate our talented NEOs. Our program also aligns compensation with performance and shareholder and other stakeholder interests. The Board urges you to consider the factors discussed in the Compensation Discussion and Analysis section when deciding how to vote on this Item 2.</w:t>
      </w:r>
    </w:p>
    <w:p>
      <w:pPr>
        <w:spacing w:after="0" w:line="6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3F3F3F"/>
        </w:rPr>
        <w:t xml:space="preserve">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 w:cs="Arial" w:eastAsia="Arial" w:hAnsi="Arial"/>
          <w:sz w:val="18"/>
          <w:szCs w:val="18"/>
          <w:b w:val="1"/>
          <w:bCs w:val="1"/>
          <w:color w:val="3F3F3F"/>
        </w:rPr>
        <w:t>“FOR”</w:t>
      </w:r>
      <w:r>
        <w:rPr>
          <w:rFonts w:ascii="Arial" w:cs="Arial" w:eastAsia="Arial" w:hAnsi="Arial"/>
          <w:sz w:val="18"/>
          <w:szCs w:val="18"/>
          <w:color w:val="3F3F3F"/>
        </w:rPr>
        <w:t xml:space="preserve"> the following resolution at the 2024 Annual Meeting:</w:t>
      </w:r>
    </w:p>
    <w:p>
      <w:pPr>
        <w:spacing w:after="0" w:line="51" w:lineRule="exact"/>
        <w:rPr>
          <w:sz w:val="20"/>
          <w:szCs w:val="20"/>
          <w:color w:val="auto"/>
        </w:rPr>
      </w:pPr>
    </w:p>
    <w:p>
      <w:pPr>
        <w:ind w:left="560" w:right="240"/>
        <w:spacing w:after="0" w:line="247" w:lineRule="auto"/>
        <w:rPr>
          <w:sz w:val="20"/>
          <w:szCs w:val="20"/>
          <w:color w:val="auto"/>
        </w:rPr>
      </w:pPr>
      <w:r>
        <w:rPr>
          <w:rFonts w:ascii="Arial" w:cs="Arial" w:eastAsia="Arial" w:hAnsi="Arial"/>
          <w:sz w:val="18"/>
          <w:szCs w:val="18"/>
          <w:color w:val="3F3F3F"/>
        </w:rPr>
        <w:t>“</w:t>
      </w:r>
      <w:r>
        <w:rPr>
          <w:rFonts w:ascii="Arial" w:cs="Arial" w:eastAsia="Arial" w:hAnsi="Arial"/>
          <w:sz w:val="18"/>
          <w:szCs w:val="18"/>
          <w:b w:val="1"/>
          <w:bCs w:val="1"/>
          <w:color w:val="3F3F3F"/>
        </w:rPr>
        <w:t>RESOLVED</w:t>
      </w:r>
      <w:r>
        <w:rPr>
          <w:rFonts w:ascii="Arial" w:cs="Arial" w:eastAsia="Arial" w:hAnsi="Arial"/>
          <w:sz w:val="18"/>
          <w:szCs w:val="18"/>
          <w:color w:val="3F3F3F"/>
        </w:rPr>
        <w:t>, that Viatris shareholders approve, on an advisory basis, the 2023 compensation of the Company’s named executive officers, as disclosed on pages 48 to 76 of Viatris’ Proxy Statement for the 2024 Annual Meeting of Shareholders pursuant to Item 402 of Regulation S-K, including the Compensation Discussion and Analysis, the compensation and other tables and narrative discussion.”</w:t>
      </w:r>
    </w:p>
    <w:p>
      <w:pPr>
        <w:spacing w:after="0" w:line="66"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color w:val="3F3F3F"/>
        </w:rPr>
        <w:t>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2025 annual meeting of shareholders.</w:t>
      </w:r>
    </w:p>
    <w:p>
      <w:pPr>
        <w:spacing w:after="0" w:line="215" w:lineRule="exact"/>
        <w:rPr>
          <w:sz w:val="20"/>
          <w:szCs w:val="20"/>
          <w:color w:val="auto"/>
        </w:rPr>
      </w:pPr>
    </w:p>
    <w:tbl>
      <w:tblPr>
        <w:tblLayout w:type="fixed"/>
        <w:tblInd w:w="740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322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xml:space="preserve">   Board Recommendation   </w:t>
            </w:r>
          </w:p>
        </w:tc>
        <w:tc>
          <w:tcPr>
            <w:tcW w:w="420" w:type="dxa"/>
            <w:vAlign w:val="bottom"/>
          </w:tcPr>
          <w:p>
            <w:pPr>
              <w:ind w:left="120"/>
              <w:spacing w:after="0"/>
              <w:rPr>
                <w:sz w:val="20"/>
                <w:szCs w:val="20"/>
                <w:color w:val="auto"/>
              </w:rPr>
            </w:pPr>
            <w:r>
              <w:rPr>
                <w:rFonts w:ascii="Arial" w:cs="Arial" w:eastAsia="Arial" w:hAnsi="Arial"/>
                <w:sz w:val="14"/>
                <w:szCs w:val="14"/>
                <w:b w:val="1"/>
                <w:bCs w:val="1"/>
                <w:color w:val="3F3F3F"/>
              </w:rPr>
              <w:t xml:space="preserve">    </w:t>
            </w:r>
          </w:p>
        </w:tc>
        <w:tc>
          <w:tcPr>
            <w:tcW w:w="0" w:type="dxa"/>
            <w:vAlign w:val="bottom"/>
          </w:tcPr>
          <w:p>
            <w:pPr>
              <w:spacing w:after="0"/>
              <w:rPr>
                <w:sz w:val="1"/>
                <w:szCs w:val="1"/>
                <w:color w:val="auto"/>
              </w:rPr>
            </w:pPr>
          </w:p>
        </w:tc>
      </w:tr>
      <w:tr>
        <w:trPr>
          <w:trHeight w:val="121"/>
        </w:trPr>
        <w:tc>
          <w:tcPr>
            <w:tcW w:w="100" w:type="dxa"/>
            <w:vAlign w:val="bottom"/>
            <w:tcBorders>
              <w:bottom w:val="single" w:sz="8" w:color="E5E5E5"/>
            </w:tcBorders>
            <w:shd w:val="clear" w:color="auto" w:fill="E5E5E5"/>
          </w:tcPr>
          <w:p>
            <w:pPr>
              <w:spacing w:after="0" w:line="122" w:lineRule="exact"/>
              <w:rPr>
                <w:sz w:val="20"/>
                <w:szCs w:val="20"/>
                <w:color w:val="auto"/>
              </w:rPr>
            </w:pPr>
            <w:r>
              <w:rPr>
                <w:rFonts w:ascii="Arial" w:cs="Arial" w:eastAsia="Arial" w:hAnsi="Arial"/>
                <w:sz w:val="11"/>
                <w:szCs w:val="11"/>
                <w:color w:val="auto"/>
              </w:rPr>
              <w:t> </w:t>
            </w:r>
          </w:p>
        </w:tc>
        <w:tc>
          <w:tcPr>
            <w:tcW w:w="3220" w:type="dxa"/>
            <w:vAlign w:val="bottom"/>
            <w:tcBorders>
              <w:bottom w:val="single" w:sz="8" w:color="732282"/>
            </w:tcBorders>
            <w:vMerge w:val="continue"/>
            <w:shd w:val="clear" w:color="auto" w:fill="732282"/>
          </w:tcPr>
          <w:p>
            <w:pPr>
              <w:spacing w:after="0"/>
              <w:rPr>
                <w:sz w:val="10"/>
                <w:szCs w:val="10"/>
                <w:color w:val="auto"/>
              </w:rPr>
            </w:pPr>
          </w:p>
        </w:tc>
        <w:tc>
          <w:tcPr>
            <w:tcW w:w="420" w:type="dxa"/>
            <w:vAlign w:val="bottom"/>
            <w:tcBorders>
              <w:bottom w:val="single" w:sz="8" w:color="E5E5E5"/>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00" w:type="dxa"/>
            <w:vAlign w:val="bottom"/>
            <w:tcBorders>
              <w:top w:val="single" w:sz="8" w:color="E5E5E5"/>
            </w:tcBorders>
            <w:shd w:val="clear" w:color="auto" w:fill="E5E5E5"/>
          </w:tcPr>
          <w:p>
            <w:pPr>
              <w:spacing w:after="0"/>
              <w:rPr>
                <w:sz w:val="18"/>
                <w:szCs w:val="18"/>
                <w:color w:val="auto"/>
              </w:rPr>
            </w:pPr>
          </w:p>
        </w:tc>
        <w:tc>
          <w:tcPr>
            <w:tcW w:w="3220" w:type="dxa"/>
            <w:vAlign w:val="bottom"/>
            <w:tcBorders>
              <w:top w:val="single" w:sz="8" w:color="732282"/>
            </w:tcBorders>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p>
        </w:tc>
        <w:tc>
          <w:tcPr>
            <w:tcW w:w="420" w:type="dxa"/>
            <w:vAlign w:val="bottom"/>
            <w:tcBorders>
              <w:top w:val="single" w:sz="8" w:color="732282"/>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E5E5E5"/>
          </w:tcPr>
          <w:p>
            <w:pPr>
              <w:spacing w:after="0"/>
              <w:rPr>
                <w:sz w:val="16"/>
                <w:szCs w:val="16"/>
                <w:color w:val="auto"/>
              </w:rPr>
            </w:pPr>
          </w:p>
        </w:tc>
        <w:tc>
          <w:tcPr>
            <w:tcW w:w="322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the approval, on an advisory basis,</w:t>
            </w:r>
          </w:p>
        </w:tc>
        <w:tc>
          <w:tcPr>
            <w:tcW w:w="4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E5E5E5"/>
          </w:tcPr>
          <w:p>
            <w:pPr>
              <w:spacing w:after="0"/>
              <w:rPr>
                <w:sz w:val="18"/>
                <w:szCs w:val="18"/>
                <w:color w:val="auto"/>
              </w:rPr>
            </w:pPr>
          </w:p>
        </w:tc>
        <w:tc>
          <w:tcPr>
            <w:tcW w:w="322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of the 2023 compensation of the NEOs.</w:t>
            </w:r>
          </w:p>
        </w:tc>
        <w:tc>
          <w:tcPr>
            <w:tcW w:w="4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00" w:type="dxa"/>
            <w:vAlign w:val="bottom"/>
            <w:shd w:val="clear" w:color="auto" w:fill="E5E5E5"/>
          </w:tcPr>
          <w:p>
            <w:pPr>
              <w:spacing w:after="0"/>
              <w:rPr>
                <w:sz w:val="10"/>
                <w:szCs w:val="10"/>
                <w:color w:val="auto"/>
              </w:rPr>
            </w:pPr>
          </w:p>
        </w:tc>
        <w:tc>
          <w:tcPr>
            <w:tcW w:w="3220" w:type="dxa"/>
            <w:vAlign w:val="bottom"/>
            <w:shd w:val="clear" w:color="auto" w:fill="E5E5E5"/>
          </w:tcPr>
          <w:p>
            <w:pPr>
              <w:spacing w:after="0"/>
              <w:rPr>
                <w:sz w:val="10"/>
                <w:szCs w:val="10"/>
                <w:color w:val="auto"/>
              </w:rPr>
            </w:pPr>
          </w:p>
        </w:tc>
        <w:tc>
          <w:tcPr>
            <w:tcW w:w="42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47 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Compensation Discussion and Analysis</w:t>
      </w:r>
    </w:p>
    <w:p>
      <w:pPr>
        <w:spacing w:after="0" w:line="188"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3F3F3F"/>
        </w:rPr>
        <w:t>This CD&amp;A describes the compensation of our NEOs for 2023, which continues to be closely linked to the Company’s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188595"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15240</wp:posOffset>
            </wp:positionV>
            <wp:extent cx="28321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51"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2391410"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276225</wp:posOffset>
            </wp:positionV>
            <wp:extent cx="694055" cy="6940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Scott A. Smith</w:t>
      </w:r>
      <w:r>
        <w:rPr>
          <w:rFonts w:ascii="Arial" w:cs="Arial" w:eastAsia="Arial" w:hAnsi="Arial"/>
          <w:sz w:val="16"/>
          <w:szCs w:val="16"/>
          <w:b w:val="1"/>
          <w:bCs w:val="1"/>
          <w:color w:val="732282"/>
        </w:rPr>
        <w:t xml:space="preserve"> </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2391410" cy="8890"/>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447675</wp:posOffset>
            </wp:positionV>
            <wp:extent cx="694055" cy="6940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Rajiv Malik</w:t>
      </w:r>
      <w:r>
        <w:rPr>
          <w:rFonts w:ascii="Arial" w:cs="Arial" w:eastAsia="Arial" w:hAnsi="Arial"/>
          <w:sz w:val="16"/>
          <w:szCs w:val="16"/>
          <w:b w:val="1"/>
          <w:bCs w:val="1"/>
          <w:color w:val="732282"/>
        </w:rPr>
        <w:t xml:space="preserve"> </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Former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2391410" cy="754380"/>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2391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Sanjeev Narula</w:t>
      </w:r>
      <w:r>
        <w:rPr>
          <w:rFonts w:ascii="Arial" w:cs="Arial" w:eastAsia="Arial" w:hAnsi="Arial"/>
          <w:sz w:val="16"/>
          <w:szCs w:val="16"/>
          <w:b w:val="1"/>
          <w:bCs w:val="1"/>
          <w:color w:val="732282"/>
        </w:rPr>
        <w:t xml:space="preserve"> </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Former Chief Financial</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327660</wp:posOffset>
            </wp:positionV>
            <wp:extent cx="2391410" cy="754380"/>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2391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Anthony Mauro</w:t>
      </w:r>
      <w:r>
        <w:rPr>
          <w:rFonts w:ascii="Arial" w:cs="Arial" w:eastAsia="Arial" w:hAnsi="Arial"/>
          <w:sz w:val="16"/>
          <w:szCs w:val="16"/>
          <w:b w:val="1"/>
          <w:bCs w:val="1"/>
          <w:color w:val="732282"/>
        </w:rPr>
        <w:t xml:space="preserve"> </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Former President,</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Developed Markets  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2391410" cy="754380"/>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2391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Brian Roman</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310515</wp:posOffset>
            </wp:positionV>
            <wp:extent cx="2391410" cy="754380"/>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2391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Michael Goettler</w:t>
      </w:r>
      <w:r>
        <w:rPr>
          <w:rFonts w:ascii="Arial" w:cs="Arial" w:eastAsia="Arial" w:hAnsi="Arial"/>
          <w:sz w:val="16"/>
          <w:szCs w:val="16"/>
          <w:b w:val="1"/>
          <w:bCs w:val="1"/>
          <w:color w:val="732282"/>
        </w:rPr>
        <w:t xml:space="preserve"> </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Former Chief Executive</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276225</wp:posOffset>
            </wp:positionV>
            <wp:extent cx="2391410" cy="754380"/>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23914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Robert J. Coury</w:t>
      </w:r>
      <w:r>
        <w:rPr>
          <w:rFonts w:ascii="Arial" w:cs="Arial" w:eastAsia="Arial" w:hAnsi="Arial"/>
          <w:sz w:val="16"/>
          <w:szCs w:val="16"/>
          <w:b w:val="1"/>
          <w:bCs w:val="1"/>
          <w:color w:val="732282"/>
        </w:rPr>
        <w:t xml:space="preserve"> </w:t>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Former Executive</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2391410" cy="8890"/>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23116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4123055"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80" w:type="dxa"/>
            <w:vAlign w:val="bottom"/>
            <w:tcBorders>
              <w:bottom w:val="single" w:sz="8" w:color="E5E5E5"/>
            </w:tcBorders>
            <w:shd w:val="clear" w:color="auto" w:fill="E5E5E5"/>
          </w:tcPr>
          <w:p>
            <w:pPr>
              <w:spacing w:after="0"/>
              <w:rPr>
                <w:sz w:val="24"/>
                <w:szCs w:val="24"/>
                <w:color w:val="auto"/>
              </w:rPr>
            </w:pPr>
          </w:p>
        </w:tc>
        <w:tc>
          <w:tcPr>
            <w:tcW w:w="2220" w:type="dxa"/>
            <w:vAlign w:val="bottom"/>
            <w:tcBorders>
              <w:bottom w:val="single" w:sz="8" w:color="0000EE"/>
            </w:tcBorders>
            <w:gridSpan w:val="9"/>
            <w:shd w:val="clear" w:color="auto" w:fill="E5E5E5"/>
          </w:tcPr>
          <w:p>
            <w:pPr>
              <w:spacing w:after="0"/>
              <w:rPr>
                <w:sz w:val="20"/>
                <w:szCs w:val="20"/>
                <w:color w:val="auto"/>
              </w:rPr>
            </w:pPr>
            <w:r>
              <w:rPr>
                <w:rFonts w:ascii="Arial" w:cs="Arial" w:eastAsia="Arial" w:hAnsi="Arial"/>
                <w:sz w:val="18"/>
                <w:szCs w:val="18"/>
                <w:b w:val="1"/>
                <w:bCs w:val="1"/>
                <w:color w:val="0000EE"/>
                <w:w w:val="99"/>
              </w:rPr>
              <w:t>Named Executive Officers</w:t>
            </w:r>
          </w:p>
        </w:tc>
        <w:tc>
          <w:tcPr>
            <w:tcW w:w="3460" w:type="dxa"/>
            <w:vAlign w:val="bottom"/>
            <w:tcBorders>
              <w:bottom w:val="single" w:sz="8" w:color="E5E5E5"/>
            </w:tcBorders>
            <w:gridSpan w:val="19"/>
            <w:shd w:val="clear" w:color="auto" w:fill="E5E5E5"/>
          </w:tcPr>
          <w:p>
            <w:pPr>
              <w:spacing w:after="0"/>
              <w:rPr>
                <w:sz w:val="24"/>
                <w:szCs w:val="24"/>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48</w:t>
            </w:r>
          </w:p>
        </w:tc>
        <w:tc>
          <w:tcPr>
            <w:tcW w:w="0" w:type="dxa"/>
            <w:vAlign w:val="bottom"/>
          </w:tcPr>
          <w:p>
            <w:pPr>
              <w:spacing w:after="0"/>
              <w:rPr>
                <w:sz w:val="1"/>
                <w:szCs w:val="1"/>
                <w:color w:val="auto"/>
              </w:rPr>
            </w:pPr>
          </w:p>
        </w:tc>
      </w:tr>
      <w:tr>
        <w:trPr>
          <w:trHeight w:val="304"/>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Executive Summary</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49</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E5E5E5"/>
            </w:tcBorders>
            <w:shd w:val="clear" w:color="auto" w:fill="0000EE"/>
          </w:tcPr>
          <w:p>
            <w:pPr>
              <w:spacing w:after="0" w:line="20" w:lineRule="exact"/>
              <w:rPr>
                <w:sz w:val="1"/>
                <w:szCs w:val="1"/>
                <w:color w:val="auto"/>
              </w:rPr>
            </w:pPr>
          </w:p>
        </w:tc>
        <w:tc>
          <w:tcPr>
            <w:tcW w:w="240" w:type="dxa"/>
            <w:vAlign w:val="bottom"/>
            <w:tcBorders>
              <w:right w:val="single" w:sz="8" w:color="E5E5E5"/>
            </w:tcBorders>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gridSpan w:val="2"/>
            <w:shd w:val="clear" w:color="auto" w:fill="E5E5E5"/>
          </w:tcPr>
          <w:p>
            <w:pPr>
              <w:spacing w:after="0" w:line="20" w:lineRule="exact"/>
              <w:rPr>
                <w:sz w:val="1"/>
                <w:szCs w:val="1"/>
                <w:color w:val="auto"/>
              </w:rPr>
            </w:pPr>
          </w:p>
        </w:tc>
        <w:tc>
          <w:tcPr>
            <w:tcW w:w="60" w:type="dxa"/>
            <w:vAlign w:val="bottom"/>
            <w:tcBorders>
              <w:right w:val="single" w:sz="8" w:color="E5E5E5"/>
            </w:tcBorders>
            <w:shd w:val="clear" w:color="auto" w:fill="E5E5E5"/>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Leadership Transitions</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50</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E5E5E5"/>
            </w:tcBorders>
            <w:shd w:val="clear" w:color="auto" w:fill="0000EE"/>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gridSpan w:val="2"/>
            <w:shd w:val="clear" w:color="auto" w:fill="E5E5E5"/>
          </w:tcPr>
          <w:p>
            <w:pPr>
              <w:spacing w:after="0" w:line="20" w:lineRule="exact"/>
              <w:rPr>
                <w:sz w:val="1"/>
                <w:szCs w:val="1"/>
                <w:color w:val="auto"/>
              </w:rPr>
            </w:pPr>
          </w:p>
        </w:tc>
        <w:tc>
          <w:tcPr>
            <w:tcW w:w="60" w:type="dxa"/>
            <w:vAlign w:val="bottom"/>
            <w:tcBorders>
              <w:right w:val="single" w:sz="8" w:color="E5E5E5"/>
            </w:tcBorders>
            <w:shd w:val="clear" w:color="auto" w:fill="E5E5E5"/>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Selected Highlights and Recent Developments</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51</w:t>
            </w:r>
          </w:p>
        </w:tc>
        <w:tc>
          <w:tcPr>
            <w:tcW w:w="0" w:type="dxa"/>
            <w:vAlign w:val="bottom"/>
          </w:tcPr>
          <w:p>
            <w:pPr>
              <w:spacing w:after="0"/>
              <w:rPr>
                <w:sz w:val="1"/>
                <w:szCs w:val="1"/>
                <w:color w:val="auto"/>
              </w:rPr>
            </w:pPr>
          </w:p>
        </w:tc>
      </w:tr>
      <w:tr>
        <w:trPr>
          <w:trHeight w:val="290"/>
        </w:trPr>
        <w:tc>
          <w:tcPr>
            <w:tcW w:w="180" w:type="dxa"/>
            <w:vAlign w:val="bottom"/>
            <w:tcBorders>
              <w:top w:val="single" w:sz="8" w:color="E5E5E5"/>
              <w:bottom w:val="single" w:sz="8" w:color="E5E5E5"/>
            </w:tcBorders>
            <w:shd w:val="clear" w:color="auto" w:fill="E5E5E5"/>
          </w:tcPr>
          <w:p>
            <w:pPr>
              <w:spacing w:after="0"/>
              <w:rPr>
                <w:sz w:val="24"/>
                <w:szCs w:val="24"/>
                <w:color w:val="auto"/>
              </w:rPr>
            </w:pPr>
          </w:p>
        </w:tc>
        <w:tc>
          <w:tcPr>
            <w:tcW w:w="3160" w:type="dxa"/>
            <w:vAlign w:val="bottom"/>
            <w:tcBorders>
              <w:top w:val="single" w:sz="8" w:color="0000EE"/>
              <w:bottom w:val="single" w:sz="8" w:color="0000EE"/>
            </w:tcBorders>
            <w:gridSpan w:val="13"/>
            <w:shd w:val="clear" w:color="auto" w:fill="E5E5E5"/>
          </w:tcPr>
          <w:p>
            <w:pPr>
              <w:spacing w:after="0"/>
              <w:rPr>
                <w:sz w:val="20"/>
                <w:szCs w:val="20"/>
                <w:color w:val="auto"/>
              </w:rPr>
            </w:pPr>
            <w:r>
              <w:rPr>
                <w:rFonts w:ascii="Arial" w:cs="Arial" w:eastAsia="Arial" w:hAnsi="Arial"/>
                <w:sz w:val="18"/>
                <w:szCs w:val="18"/>
                <w:b w:val="1"/>
                <w:bCs w:val="1"/>
                <w:color w:val="0000EE"/>
                <w:w w:val="99"/>
              </w:rPr>
              <w:t>Executive Compensation Philosophy</w:t>
            </w:r>
          </w:p>
        </w:tc>
        <w:tc>
          <w:tcPr>
            <w:tcW w:w="800" w:type="dxa"/>
            <w:vAlign w:val="bottom"/>
            <w:tcBorders>
              <w:top w:val="single" w:sz="8" w:color="0000EE"/>
              <w:bottom w:val="single" w:sz="8" w:color="E5E5E5"/>
            </w:tcBorders>
            <w:gridSpan w:val="5"/>
            <w:shd w:val="clear" w:color="auto" w:fill="E5E5E5"/>
          </w:tcPr>
          <w:p>
            <w:pPr>
              <w:spacing w:after="0"/>
              <w:rPr>
                <w:sz w:val="24"/>
                <w:szCs w:val="24"/>
                <w:color w:val="auto"/>
              </w:rPr>
            </w:pPr>
          </w:p>
        </w:tc>
        <w:tc>
          <w:tcPr>
            <w:tcW w:w="1720" w:type="dxa"/>
            <w:vAlign w:val="bottom"/>
            <w:tcBorders>
              <w:top w:val="single" w:sz="8" w:color="E5E5E5"/>
              <w:bottom w:val="single" w:sz="8" w:color="E5E5E5"/>
            </w:tcBorders>
            <w:gridSpan w:val="10"/>
            <w:shd w:val="clear" w:color="auto" w:fill="E5E5E5"/>
          </w:tcPr>
          <w:p>
            <w:pPr>
              <w:spacing w:after="0"/>
              <w:rPr>
                <w:sz w:val="24"/>
                <w:szCs w:val="24"/>
                <w:color w:val="auto"/>
              </w:rPr>
            </w:pPr>
          </w:p>
        </w:tc>
        <w:tc>
          <w:tcPr>
            <w:tcW w:w="640" w:type="dxa"/>
            <w:vAlign w:val="bottom"/>
            <w:tcBorders>
              <w:top w:val="single" w:sz="8" w:color="E5E5E5"/>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52</w:t>
            </w:r>
          </w:p>
        </w:tc>
        <w:tc>
          <w:tcPr>
            <w:tcW w:w="0" w:type="dxa"/>
            <w:vAlign w:val="bottom"/>
          </w:tcPr>
          <w:p>
            <w:pPr>
              <w:spacing w:after="0"/>
              <w:rPr>
                <w:sz w:val="1"/>
                <w:szCs w:val="1"/>
                <w:color w:val="auto"/>
              </w:rPr>
            </w:pPr>
          </w:p>
        </w:tc>
      </w:tr>
      <w:tr>
        <w:trPr>
          <w:trHeight w:val="291"/>
        </w:trPr>
        <w:tc>
          <w:tcPr>
            <w:tcW w:w="180" w:type="dxa"/>
            <w:vAlign w:val="bottom"/>
            <w:tcBorders>
              <w:bottom w:val="single" w:sz="8" w:color="E5E5E5"/>
            </w:tcBorders>
            <w:shd w:val="clear" w:color="auto" w:fill="E5E5E5"/>
          </w:tcPr>
          <w:p>
            <w:pPr>
              <w:spacing w:after="0"/>
              <w:rPr>
                <w:sz w:val="24"/>
                <w:szCs w:val="24"/>
                <w:color w:val="auto"/>
              </w:rPr>
            </w:pPr>
          </w:p>
        </w:tc>
        <w:tc>
          <w:tcPr>
            <w:tcW w:w="4240" w:type="dxa"/>
            <w:vAlign w:val="bottom"/>
            <w:tcBorders>
              <w:bottom w:val="single" w:sz="8" w:color="0000EE"/>
            </w:tcBorders>
            <w:gridSpan w:val="20"/>
            <w:shd w:val="clear" w:color="auto" w:fill="E5E5E5"/>
          </w:tcPr>
          <w:p>
            <w:pPr>
              <w:spacing w:after="0"/>
              <w:rPr>
                <w:sz w:val="20"/>
                <w:szCs w:val="20"/>
                <w:color w:val="auto"/>
              </w:rPr>
            </w:pPr>
            <w:r>
              <w:rPr>
                <w:rFonts w:ascii="Arial" w:cs="Arial" w:eastAsia="Arial" w:hAnsi="Arial"/>
                <w:sz w:val="18"/>
                <w:szCs w:val="18"/>
                <w:b w:val="1"/>
                <w:bCs w:val="1"/>
                <w:color w:val="0000EE"/>
                <w:w w:val="99"/>
              </w:rPr>
              <w:t>2023 Performance-Based Compensation Program</w:t>
            </w:r>
          </w:p>
        </w:tc>
        <w:tc>
          <w:tcPr>
            <w:tcW w:w="1440" w:type="dxa"/>
            <w:vAlign w:val="bottom"/>
            <w:tcBorders>
              <w:bottom w:val="single" w:sz="8" w:color="E5E5E5"/>
            </w:tcBorders>
            <w:gridSpan w:val="8"/>
            <w:shd w:val="clear" w:color="auto" w:fill="E5E5E5"/>
          </w:tcPr>
          <w:p>
            <w:pPr>
              <w:spacing w:after="0"/>
              <w:rPr>
                <w:sz w:val="24"/>
                <w:szCs w:val="24"/>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53</w:t>
            </w:r>
          </w:p>
        </w:tc>
        <w:tc>
          <w:tcPr>
            <w:tcW w:w="0" w:type="dxa"/>
            <w:vAlign w:val="bottom"/>
          </w:tcPr>
          <w:p>
            <w:pPr>
              <w:spacing w:after="0"/>
              <w:rPr>
                <w:sz w:val="1"/>
                <w:szCs w:val="1"/>
                <w:color w:val="auto"/>
              </w:rPr>
            </w:pPr>
          </w:p>
        </w:tc>
      </w:tr>
      <w:tr>
        <w:trPr>
          <w:trHeight w:val="237"/>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2023 Total Target Compensation</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80" w:type="dxa"/>
            <w:vAlign w:val="bottom"/>
            <w:shd w:val="clear" w:color="auto" w:fill="E5E5E5"/>
          </w:tcPr>
          <w:p>
            <w:pPr>
              <w:spacing w:after="0" w:line="20" w:lineRule="exact"/>
              <w:rPr>
                <w:sz w:val="1"/>
                <w:szCs w:val="1"/>
                <w:color w:val="auto"/>
              </w:rPr>
            </w:pPr>
          </w:p>
        </w:tc>
        <w:tc>
          <w:tcPr>
            <w:tcW w:w="80" w:type="dxa"/>
            <w:vAlign w:val="bottom"/>
            <w:gridSpan w:val="2"/>
            <w:shd w:val="clear" w:color="auto" w:fill="E5E5E5"/>
          </w:tcPr>
          <w:p>
            <w:pPr>
              <w:spacing w:after="0" w:line="20" w:lineRule="exact"/>
              <w:rPr>
                <w:sz w:val="1"/>
                <w:szCs w:val="1"/>
                <w:color w:val="auto"/>
              </w:rPr>
            </w:pPr>
          </w:p>
        </w:tc>
        <w:tc>
          <w:tcPr>
            <w:tcW w:w="320" w:type="dxa"/>
            <w:vAlign w:val="bottom"/>
            <w:gridSpan w:val="2"/>
            <w:shd w:val="clear" w:color="auto" w:fill="E5E5E5"/>
          </w:tcPr>
          <w:p>
            <w:pPr>
              <w:spacing w:after="0" w:line="20" w:lineRule="exact"/>
              <w:rPr>
                <w:sz w:val="1"/>
                <w:szCs w:val="1"/>
                <w:color w:val="auto"/>
              </w:rPr>
            </w:pPr>
          </w:p>
        </w:tc>
        <w:tc>
          <w:tcPr>
            <w:tcW w:w="3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4900" w:type="dxa"/>
            <w:vAlign w:val="bottom"/>
            <w:tcBorders>
              <w:bottom w:val="single" w:sz="8" w:color="0000EE"/>
            </w:tcBorders>
            <w:gridSpan w:val="25"/>
            <w:shd w:val="clear" w:color="auto" w:fill="E5E5E5"/>
          </w:tcPr>
          <w:p>
            <w:pPr>
              <w:spacing w:after="0"/>
              <w:rPr>
                <w:sz w:val="20"/>
                <w:szCs w:val="20"/>
                <w:color w:val="auto"/>
              </w:rPr>
            </w:pPr>
            <w:r>
              <w:rPr>
                <w:rFonts w:ascii="Arial" w:cs="Arial" w:eastAsia="Arial" w:hAnsi="Arial"/>
                <w:sz w:val="18"/>
                <w:szCs w:val="18"/>
                <w:color w:val="0000EE"/>
                <w:w w:val="99"/>
              </w:rPr>
              <w:t>Considerations for Setting 2023 Incentive Performance Goals</w:t>
            </w:r>
          </w:p>
        </w:tc>
        <w:tc>
          <w:tcPr>
            <w:tcW w:w="560" w:type="dxa"/>
            <w:vAlign w:val="bottom"/>
            <w:tcBorders>
              <w:bottom w:val="single" w:sz="8" w:color="E5E5E5"/>
            </w:tcBorders>
            <w:gridSpan w:val="2"/>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237"/>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1380" w:type="dxa"/>
            <w:vAlign w:val="bottom"/>
            <w:tcBorders>
              <w:bottom w:val="single" w:sz="8" w:color="0000EE"/>
            </w:tcBorders>
            <w:gridSpan w:val="3"/>
            <w:shd w:val="clear" w:color="auto" w:fill="E5E5E5"/>
          </w:tcPr>
          <w:p>
            <w:pPr>
              <w:spacing w:after="0"/>
              <w:rPr>
                <w:sz w:val="20"/>
                <w:szCs w:val="20"/>
                <w:color w:val="auto"/>
              </w:rPr>
            </w:pPr>
            <w:r>
              <w:rPr>
                <w:rFonts w:ascii="Arial" w:cs="Arial" w:eastAsia="Arial" w:hAnsi="Arial"/>
                <w:sz w:val="18"/>
                <w:szCs w:val="18"/>
                <w:color w:val="0000EE"/>
                <w:w w:val="98"/>
              </w:rPr>
              <w:t>2023 Peer Group</w:t>
            </w:r>
          </w:p>
        </w:tc>
        <w:tc>
          <w:tcPr>
            <w:tcW w:w="4080" w:type="dxa"/>
            <w:vAlign w:val="bottom"/>
            <w:tcBorders>
              <w:bottom w:val="single" w:sz="8" w:color="E5E5E5"/>
            </w:tcBorders>
            <w:gridSpan w:val="24"/>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291"/>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Elements of 2023 Compensation</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54</w:t>
            </w:r>
          </w:p>
        </w:tc>
        <w:tc>
          <w:tcPr>
            <w:tcW w:w="0" w:type="dxa"/>
            <w:vAlign w:val="bottom"/>
          </w:tcPr>
          <w:p>
            <w:pPr>
              <w:spacing w:after="0"/>
              <w:rPr>
                <w:sz w:val="1"/>
                <w:szCs w:val="1"/>
                <w:color w:val="auto"/>
              </w:rPr>
            </w:pPr>
          </w:p>
        </w:tc>
      </w:tr>
      <w:tr>
        <w:trPr>
          <w:trHeight w:val="236"/>
        </w:trPr>
        <w:tc>
          <w:tcPr>
            <w:tcW w:w="180" w:type="dxa"/>
            <w:vAlign w:val="bottom"/>
            <w:tcBorders>
              <w:top w:val="single" w:sz="8" w:color="E5E5E5"/>
            </w:tcBorders>
            <w:shd w:val="clear" w:color="auto" w:fill="E5E5E5"/>
          </w:tcPr>
          <w:p>
            <w:pPr>
              <w:spacing w:after="0"/>
              <w:rPr>
                <w:sz w:val="20"/>
                <w:szCs w:val="20"/>
                <w:color w:val="auto"/>
              </w:rPr>
            </w:pPr>
          </w:p>
        </w:tc>
        <w:tc>
          <w:tcPr>
            <w:tcW w:w="220" w:type="dxa"/>
            <w:vAlign w:val="bottom"/>
            <w:tcBorders>
              <w:top w:val="single" w:sz="8" w:color="0000EE"/>
            </w:tcBorders>
            <w:shd w:val="clear" w:color="auto" w:fill="E5E5E5"/>
          </w:tcPr>
          <w:p>
            <w:pPr>
              <w:spacing w:after="0"/>
              <w:rPr>
                <w:sz w:val="20"/>
                <w:szCs w:val="20"/>
                <w:color w:val="auto"/>
              </w:rPr>
            </w:pPr>
          </w:p>
        </w:tc>
        <w:tc>
          <w:tcPr>
            <w:tcW w:w="2580" w:type="dxa"/>
            <w:vAlign w:val="bottom"/>
            <w:tcBorders>
              <w:top w:val="single" w:sz="8" w:color="0000EE"/>
              <w:right w:val="single" w:sz="8" w:color="E5E5E5"/>
            </w:tcBorders>
            <w:gridSpan w:val="10"/>
            <w:shd w:val="clear" w:color="auto" w:fill="E5E5E5"/>
          </w:tcPr>
          <w:p>
            <w:pPr>
              <w:spacing w:after="0"/>
              <w:rPr>
                <w:sz w:val="20"/>
                <w:szCs w:val="20"/>
                <w:color w:val="auto"/>
              </w:rPr>
            </w:pPr>
            <w:r>
              <w:rPr>
                <w:rFonts w:ascii="Arial" w:cs="Arial" w:eastAsia="Arial" w:hAnsi="Arial"/>
                <w:sz w:val="18"/>
                <w:szCs w:val="18"/>
                <w:color w:val="0000EE"/>
              </w:rPr>
              <w:t>Base Salaries</w:t>
            </w:r>
          </w:p>
        </w:tc>
        <w:tc>
          <w:tcPr>
            <w:tcW w:w="2880" w:type="dxa"/>
            <w:vAlign w:val="bottom"/>
            <w:tcBorders>
              <w:top w:val="single" w:sz="8" w:color="E5E5E5"/>
            </w:tcBorders>
            <w:gridSpan w:val="17"/>
            <w:shd w:val="clear" w:color="auto" w:fill="E5E5E5"/>
          </w:tcPr>
          <w:p>
            <w:pPr>
              <w:spacing w:after="0"/>
              <w:rPr>
                <w:sz w:val="20"/>
                <w:szCs w:val="20"/>
                <w:color w:val="auto"/>
              </w:rPr>
            </w:pPr>
          </w:p>
        </w:tc>
        <w:tc>
          <w:tcPr>
            <w:tcW w:w="640" w:type="dxa"/>
            <w:vAlign w:val="bottom"/>
            <w:tcBorders>
              <w:top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54</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220" w:type="dxa"/>
            <w:vAlign w:val="bottom"/>
            <w:tcBorders>
              <w:right w:val="single" w:sz="8" w:color="E5E5E5"/>
            </w:tcBorders>
            <w:gridSpan w:val="2"/>
            <w:shd w:val="clear" w:color="auto" w:fill="E5E5E5"/>
          </w:tcPr>
          <w:p>
            <w:pPr>
              <w:spacing w:after="0" w:line="20" w:lineRule="exact"/>
              <w:rPr>
                <w:sz w:val="1"/>
                <w:szCs w:val="1"/>
                <w:color w:val="auto"/>
              </w:rPr>
            </w:pPr>
          </w:p>
        </w:tc>
        <w:tc>
          <w:tcPr>
            <w:tcW w:w="240" w:type="dxa"/>
            <w:vAlign w:val="bottom"/>
            <w:tcBorders>
              <w:right w:val="single" w:sz="8" w:color="E5E5E5"/>
            </w:tcBorders>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40" w:type="dxa"/>
            <w:vAlign w:val="bottom"/>
            <w:gridSpan w:val="2"/>
            <w:shd w:val="clear" w:color="auto" w:fill="E5E5E5"/>
          </w:tcPr>
          <w:p>
            <w:pPr>
              <w:spacing w:after="0" w:line="20" w:lineRule="exact"/>
              <w:rPr>
                <w:sz w:val="1"/>
                <w:szCs w:val="1"/>
                <w:color w:val="auto"/>
              </w:rPr>
            </w:pPr>
          </w:p>
        </w:tc>
        <w:tc>
          <w:tcPr>
            <w:tcW w:w="180" w:type="dxa"/>
            <w:vAlign w:val="bottom"/>
            <w:tcBorders>
              <w:right w:val="single" w:sz="8" w:color="E5E5E5"/>
            </w:tcBorders>
            <w:gridSpan w:val="2"/>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80" w:type="dxa"/>
            <w:vAlign w:val="bottom"/>
            <w:shd w:val="clear" w:color="auto" w:fill="E5E5E5"/>
          </w:tcPr>
          <w:p>
            <w:pPr>
              <w:spacing w:after="0" w:line="20" w:lineRule="exact"/>
              <w:rPr>
                <w:sz w:val="1"/>
                <w:szCs w:val="1"/>
                <w:color w:val="auto"/>
              </w:rPr>
            </w:pPr>
          </w:p>
        </w:tc>
        <w:tc>
          <w:tcPr>
            <w:tcW w:w="80" w:type="dxa"/>
            <w:vAlign w:val="bottom"/>
            <w:gridSpan w:val="2"/>
            <w:shd w:val="clear" w:color="auto" w:fill="E5E5E5"/>
          </w:tcPr>
          <w:p>
            <w:pPr>
              <w:spacing w:after="0" w:line="20" w:lineRule="exact"/>
              <w:rPr>
                <w:sz w:val="1"/>
                <w:szCs w:val="1"/>
                <w:color w:val="auto"/>
              </w:rPr>
            </w:pPr>
          </w:p>
        </w:tc>
        <w:tc>
          <w:tcPr>
            <w:tcW w:w="320" w:type="dxa"/>
            <w:vAlign w:val="bottom"/>
            <w:gridSpan w:val="2"/>
            <w:shd w:val="clear" w:color="auto" w:fill="E5E5E5"/>
          </w:tcPr>
          <w:p>
            <w:pPr>
              <w:spacing w:after="0" w:line="20" w:lineRule="exact"/>
              <w:rPr>
                <w:sz w:val="1"/>
                <w:szCs w:val="1"/>
                <w:color w:val="auto"/>
              </w:rPr>
            </w:pPr>
          </w:p>
        </w:tc>
        <w:tc>
          <w:tcPr>
            <w:tcW w:w="3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20" w:type="dxa"/>
            <w:vAlign w:val="bottom"/>
            <w:gridSpan w:val="2"/>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2023 Annual Incentive Compensation Program</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3F3F3F"/>
              </w:rPr>
              <w:t>54</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E5E5E5"/>
          </w:tcPr>
          <w:p>
            <w:pPr>
              <w:spacing w:after="0" w:line="20" w:lineRule="exact"/>
              <w:rPr>
                <w:sz w:val="1"/>
                <w:szCs w:val="1"/>
                <w:color w:val="auto"/>
              </w:rPr>
            </w:pPr>
          </w:p>
        </w:tc>
        <w:tc>
          <w:tcPr>
            <w:tcW w:w="320" w:type="dxa"/>
            <w:vAlign w:val="bottom"/>
            <w:gridSpan w:val="2"/>
            <w:shd w:val="clear" w:color="auto" w:fill="E5E5E5"/>
          </w:tcPr>
          <w:p>
            <w:pPr>
              <w:spacing w:after="0" w:line="20" w:lineRule="exact"/>
              <w:rPr>
                <w:sz w:val="1"/>
                <w:szCs w:val="1"/>
                <w:color w:val="auto"/>
              </w:rPr>
            </w:pPr>
          </w:p>
        </w:tc>
        <w:tc>
          <w:tcPr>
            <w:tcW w:w="32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20" w:type="dxa"/>
            <w:vAlign w:val="bottom"/>
            <w:gridSpan w:val="2"/>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4120" w:type="dxa"/>
            <w:vAlign w:val="bottom"/>
            <w:tcBorders>
              <w:bottom w:val="single" w:sz="8" w:color="0000EE"/>
            </w:tcBorders>
            <w:gridSpan w:val="20"/>
            <w:shd w:val="clear" w:color="auto" w:fill="E5E5E5"/>
          </w:tcPr>
          <w:p>
            <w:pPr>
              <w:spacing w:after="0"/>
              <w:rPr>
                <w:sz w:val="20"/>
                <w:szCs w:val="20"/>
                <w:color w:val="auto"/>
              </w:rPr>
            </w:pPr>
            <w:r>
              <w:rPr>
                <w:rFonts w:ascii="Arial" w:cs="Arial" w:eastAsia="Arial" w:hAnsi="Arial"/>
                <w:sz w:val="18"/>
                <w:szCs w:val="18"/>
                <w:color w:val="0000EE"/>
                <w:w w:val="98"/>
              </w:rPr>
              <w:t>2023 Long-Term Incentive Compensation Programs</w:t>
            </w:r>
          </w:p>
        </w:tc>
        <w:tc>
          <w:tcPr>
            <w:tcW w:w="1340" w:type="dxa"/>
            <w:vAlign w:val="bottom"/>
            <w:tcBorders>
              <w:bottom w:val="single" w:sz="8" w:color="E5E5E5"/>
            </w:tcBorders>
            <w:gridSpan w:val="7"/>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56</w:t>
            </w:r>
          </w:p>
        </w:tc>
        <w:tc>
          <w:tcPr>
            <w:tcW w:w="0" w:type="dxa"/>
            <w:vAlign w:val="bottom"/>
          </w:tcPr>
          <w:p>
            <w:pPr>
              <w:spacing w:after="0"/>
              <w:rPr>
                <w:sz w:val="1"/>
                <w:szCs w:val="1"/>
                <w:color w:val="auto"/>
              </w:rPr>
            </w:pPr>
          </w:p>
        </w:tc>
      </w:tr>
      <w:tr>
        <w:trPr>
          <w:trHeight w:val="237"/>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Governance and Other Considerations Impacting Viatris</w:t>
            </w:r>
          </w:p>
        </w:tc>
        <w:tc>
          <w:tcPr>
            <w:tcW w:w="640" w:type="dxa"/>
            <w:vAlign w:val="bottom"/>
            <w:vMerge w:val="restart"/>
            <w:shd w:val="clear" w:color="auto" w:fill="E5E5E5"/>
          </w:tcPr>
          <w:p>
            <w:pPr>
              <w:jc w:val="right"/>
              <w:ind w:right="110"/>
              <w:spacing w:after="0"/>
              <w:rPr>
                <w:sz w:val="20"/>
                <w:szCs w:val="20"/>
                <w:color w:val="auto"/>
              </w:rPr>
            </w:pPr>
            <w:r>
              <w:rPr>
                <w:rFonts w:ascii="Arial" w:cs="Arial" w:eastAsia="Arial" w:hAnsi="Arial"/>
                <w:sz w:val="18"/>
                <w:szCs w:val="18"/>
                <w:color w:val="3F3F3F"/>
              </w:rPr>
              <w:t>58</w:t>
            </w:r>
          </w:p>
        </w:tc>
        <w:tc>
          <w:tcPr>
            <w:tcW w:w="0" w:type="dxa"/>
            <w:vAlign w:val="bottom"/>
          </w:tcPr>
          <w:p>
            <w:pPr>
              <w:spacing w:after="0"/>
              <w:rPr>
                <w:sz w:val="1"/>
                <w:szCs w:val="1"/>
                <w:color w:val="auto"/>
              </w:rPr>
            </w:pPr>
          </w:p>
        </w:tc>
      </w:tr>
      <w:tr>
        <w:trPr>
          <w:trHeight w:val="183"/>
        </w:trPr>
        <w:tc>
          <w:tcPr>
            <w:tcW w:w="180" w:type="dxa"/>
            <w:vAlign w:val="bottom"/>
            <w:tcBorders>
              <w:top w:val="single" w:sz="8" w:color="E5E5E5"/>
            </w:tcBorders>
            <w:shd w:val="clear" w:color="auto" w:fill="E5E5E5"/>
          </w:tcPr>
          <w:p>
            <w:pPr>
              <w:spacing w:after="0"/>
              <w:rPr>
                <w:sz w:val="15"/>
                <w:szCs w:val="15"/>
                <w:color w:val="auto"/>
              </w:rPr>
            </w:pPr>
          </w:p>
        </w:tc>
        <w:tc>
          <w:tcPr>
            <w:tcW w:w="220" w:type="dxa"/>
            <w:vAlign w:val="bottom"/>
            <w:tcBorders>
              <w:top w:val="single" w:sz="8" w:color="E5E5E5"/>
            </w:tcBorders>
            <w:shd w:val="clear" w:color="auto" w:fill="E5E5E5"/>
          </w:tcPr>
          <w:p>
            <w:pPr>
              <w:spacing w:after="0"/>
              <w:rPr>
                <w:sz w:val="15"/>
                <w:szCs w:val="15"/>
                <w:color w:val="auto"/>
              </w:rPr>
            </w:pPr>
          </w:p>
        </w:tc>
        <w:tc>
          <w:tcPr>
            <w:tcW w:w="4440" w:type="dxa"/>
            <w:vAlign w:val="bottom"/>
            <w:tcBorders>
              <w:top w:val="single" w:sz="8" w:color="0000EE"/>
            </w:tcBorders>
            <w:gridSpan w:val="21"/>
            <w:shd w:val="clear" w:color="auto" w:fill="E5E5E5"/>
          </w:tcPr>
          <w:p>
            <w:pPr>
              <w:spacing w:after="0" w:line="182" w:lineRule="exact"/>
              <w:rPr>
                <w:sz w:val="20"/>
                <w:szCs w:val="20"/>
                <w:color w:val="auto"/>
              </w:rPr>
            </w:pPr>
            <w:r>
              <w:rPr>
                <w:rFonts w:ascii="Arial" w:cs="Arial" w:eastAsia="Arial" w:hAnsi="Arial"/>
                <w:sz w:val="18"/>
                <w:szCs w:val="18"/>
                <w:color w:val="0000EE"/>
              </w:rPr>
              <w:t>Compensation Decisions</w:t>
            </w:r>
          </w:p>
        </w:tc>
        <w:tc>
          <w:tcPr>
            <w:tcW w:w="160" w:type="dxa"/>
            <w:vAlign w:val="bottom"/>
            <w:tcBorders>
              <w:top w:val="single" w:sz="8" w:color="E5E5E5"/>
            </w:tcBorders>
            <w:shd w:val="clear" w:color="auto" w:fill="E5E5E5"/>
          </w:tcPr>
          <w:p>
            <w:pPr>
              <w:spacing w:after="0"/>
              <w:rPr>
                <w:sz w:val="15"/>
                <w:szCs w:val="15"/>
                <w:color w:val="auto"/>
              </w:rPr>
            </w:pPr>
          </w:p>
        </w:tc>
        <w:tc>
          <w:tcPr>
            <w:tcW w:w="40" w:type="dxa"/>
            <w:vAlign w:val="bottom"/>
            <w:tcBorders>
              <w:top w:val="single" w:sz="8" w:color="E5E5E5"/>
            </w:tcBorders>
            <w:shd w:val="clear" w:color="auto" w:fill="E5E5E5"/>
          </w:tcPr>
          <w:p>
            <w:pPr>
              <w:spacing w:after="0"/>
              <w:rPr>
                <w:sz w:val="15"/>
                <w:szCs w:val="15"/>
                <w:color w:val="auto"/>
              </w:rPr>
            </w:pPr>
          </w:p>
        </w:tc>
        <w:tc>
          <w:tcPr>
            <w:tcW w:w="240" w:type="dxa"/>
            <w:vAlign w:val="bottom"/>
            <w:tcBorders>
              <w:top w:val="single" w:sz="8" w:color="E5E5E5"/>
            </w:tcBorders>
            <w:shd w:val="clear" w:color="auto" w:fill="E5E5E5"/>
          </w:tcPr>
          <w:p>
            <w:pPr>
              <w:spacing w:after="0"/>
              <w:rPr>
                <w:sz w:val="15"/>
                <w:szCs w:val="15"/>
                <w:color w:val="auto"/>
              </w:rPr>
            </w:pPr>
          </w:p>
        </w:tc>
        <w:tc>
          <w:tcPr>
            <w:tcW w:w="320" w:type="dxa"/>
            <w:vAlign w:val="bottom"/>
            <w:tcBorders>
              <w:top w:val="single" w:sz="8" w:color="E5E5E5"/>
            </w:tcBorders>
            <w:gridSpan w:val="2"/>
            <w:shd w:val="clear" w:color="auto" w:fill="E5E5E5"/>
          </w:tcPr>
          <w:p>
            <w:pPr>
              <w:spacing w:after="0"/>
              <w:rPr>
                <w:sz w:val="15"/>
                <w:szCs w:val="15"/>
                <w:color w:val="auto"/>
              </w:rPr>
            </w:pPr>
          </w:p>
        </w:tc>
        <w:tc>
          <w:tcPr>
            <w:tcW w:w="260" w:type="dxa"/>
            <w:vAlign w:val="bottom"/>
            <w:tcBorders>
              <w:top w:val="single" w:sz="8" w:color="E5E5E5"/>
            </w:tcBorders>
            <w:shd w:val="clear" w:color="auto" w:fill="E5E5E5"/>
          </w:tcPr>
          <w:p>
            <w:pPr>
              <w:spacing w:after="0"/>
              <w:rPr>
                <w:sz w:val="15"/>
                <w:szCs w:val="15"/>
                <w:color w:val="auto"/>
              </w:rPr>
            </w:pPr>
          </w:p>
        </w:tc>
        <w:tc>
          <w:tcPr>
            <w:tcW w:w="640" w:type="dxa"/>
            <w:vAlign w:val="bottom"/>
            <w:tcBorders>
              <w:top w:val="single" w:sz="8" w:color="E5E5E5"/>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E5E5E5"/>
          </w:tcPr>
          <w:p>
            <w:pPr>
              <w:spacing w:after="0" w:line="20" w:lineRule="exact"/>
              <w:rPr>
                <w:sz w:val="1"/>
                <w:szCs w:val="1"/>
                <w:color w:val="auto"/>
              </w:rPr>
            </w:pPr>
          </w:p>
        </w:tc>
        <w:tc>
          <w:tcPr>
            <w:tcW w:w="180" w:type="dxa"/>
            <w:vAlign w:val="bottom"/>
            <w:tcBorders>
              <w:right w:val="single" w:sz="8" w:color="E5E5E5"/>
            </w:tcBorders>
            <w:gridSpan w:val="2"/>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760" w:type="dxa"/>
            <w:vAlign w:val="bottom"/>
            <w:gridSpan w:val="3"/>
            <w:shd w:val="clear" w:color="auto" w:fill="E5E5E5"/>
          </w:tcPr>
          <w:p>
            <w:pPr>
              <w:spacing w:after="0" w:line="20" w:lineRule="exact"/>
              <w:rPr>
                <w:sz w:val="1"/>
                <w:szCs w:val="1"/>
                <w:color w:val="auto"/>
              </w:rPr>
            </w:pPr>
          </w:p>
        </w:tc>
        <w:tc>
          <w:tcPr>
            <w:tcW w:w="800" w:type="dxa"/>
            <w:vAlign w:val="bottom"/>
            <w:gridSpan w:val="4"/>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20" w:type="dxa"/>
            <w:vAlign w:val="bottom"/>
            <w:gridSpan w:val="2"/>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Commitment to Responsible, Shareholder-Aligned Compensation</w:t>
            </w:r>
          </w:p>
        </w:tc>
        <w:tc>
          <w:tcPr>
            <w:tcW w:w="640" w:type="dxa"/>
            <w:vAlign w:val="bottom"/>
            <w:vMerge w:val="restart"/>
            <w:shd w:val="clear" w:color="auto" w:fill="E5E5E5"/>
          </w:tcPr>
          <w:p>
            <w:pPr>
              <w:jc w:val="right"/>
              <w:ind w:right="110"/>
              <w:spacing w:after="0"/>
              <w:rPr>
                <w:sz w:val="20"/>
                <w:szCs w:val="20"/>
                <w:color w:val="auto"/>
              </w:rPr>
            </w:pPr>
            <w:r>
              <w:rPr>
                <w:rFonts w:ascii="Arial" w:cs="Arial" w:eastAsia="Arial" w:hAnsi="Arial"/>
                <w:sz w:val="18"/>
                <w:szCs w:val="18"/>
                <w:color w:val="3F3F3F"/>
              </w:rPr>
              <w:t>59</w:t>
            </w:r>
          </w:p>
        </w:tc>
        <w:tc>
          <w:tcPr>
            <w:tcW w:w="0" w:type="dxa"/>
            <w:vAlign w:val="bottom"/>
          </w:tcPr>
          <w:p>
            <w:pPr>
              <w:spacing w:after="0"/>
              <w:rPr>
                <w:sz w:val="1"/>
                <w:szCs w:val="1"/>
                <w:color w:val="auto"/>
              </w:rPr>
            </w:pPr>
          </w:p>
        </w:tc>
      </w:tr>
      <w:tr>
        <w:trPr>
          <w:trHeight w:val="183"/>
        </w:trPr>
        <w:tc>
          <w:tcPr>
            <w:tcW w:w="180" w:type="dxa"/>
            <w:vAlign w:val="bottom"/>
            <w:tcBorders>
              <w:top w:val="single" w:sz="8" w:color="E5E5E5"/>
            </w:tcBorders>
            <w:shd w:val="clear" w:color="auto" w:fill="E5E5E5"/>
          </w:tcPr>
          <w:p>
            <w:pPr>
              <w:spacing w:after="0"/>
              <w:rPr>
                <w:sz w:val="15"/>
                <w:szCs w:val="15"/>
                <w:color w:val="auto"/>
              </w:rPr>
            </w:pPr>
          </w:p>
        </w:tc>
        <w:tc>
          <w:tcPr>
            <w:tcW w:w="220" w:type="dxa"/>
            <w:vAlign w:val="bottom"/>
            <w:tcBorders>
              <w:top w:val="single" w:sz="8" w:color="E5E5E5"/>
            </w:tcBorders>
            <w:shd w:val="clear" w:color="auto" w:fill="E5E5E5"/>
          </w:tcPr>
          <w:p>
            <w:pPr>
              <w:spacing w:after="0"/>
              <w:rPr>
                <w:sz w:val="15"/>
                <w:szCs w:val="15"/>
                <w:color w:val="auto"/>
              </w:rPr>
            </w:pPr>
          </w:p>
        </w:tc>
        <w:tc>
          <w:tcPr>
            <w:tcW w:w="5200" w:type="dxa"/>
            <w:vAlign w:val="bottom"/>
            <w:tcBorders>
              <w:top w:val="single" w:sz="8" w:color="0000EE"/>
            </w:tcBorders>
            <w:gridSpan w:val="26"/>
            <w:shd w:val="clear" w:color="auto" w:fill="E5E5E5"/>
          </w:tcPr>
          <w:p>
            <w:pPr>
              <w:spacing w:after="0" w:line="182" w:lineRule="exact"/>
              <w:rPr>
                <w:sz w:val="20"/>
                <w:szCs w:val="20"/>
                <w:color w:val="auto"/>
              </w:rPr>
            </w:pPr>
            <w:r>
              <w:rPr>
                <w:rFonts w:ascii="Arial" w:cs="Arial" w:eastAsia="Arial" w:hAnsi="Arial"/>
                <w:sz w:val="18"/>
                <w:szCs w:val="18"/>
                <w:color w:val="0000EE"/>
              </w:rPr>
              <w:t>Governance Practices</w:t>
            </w:r>
          </w:p>
        </w:tc>
        <w:tc>
          <w:tcPr>
            <w:tcW w:w="260" w:type="dxa"/>
            <w:vAlign w:val="bottom"/>
            <w:tcBorders>
              <w:top w:val="single" w:sz="8" w:color="E5E5E5"/>
            </w:tcBorders>
            <w:shd w:val="clear" w:color="auto" w:fill="E5E5E5"/>
          </w:tcPr>
          <w:p>
            <w:pPr>
              <w:spacing w:after="0"/>
              <w:rPr>
                <w:sz w:val="15"/>
                <w:szCs w:val="15"/>
                <w:color w:val="auto"/>
              </w:rPr>
            </w:pPr>
          </w:p>
        </w:tc>
        <w:tc>
          <w:tcPr>
            <w:tcW w:w="640" w:type="dxa"/>
            <w:vAlign w:val="bottom"/>
            <w:tcBorders>
              <w:top w:val="single" w:sz="8" w:color="E5E5E5"/>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0" w:type="dxa"/>
            <w:vAlign w:val="bottom"/>
            <w:tcBorders>
              <w:top w:val="single" w:sz="8" w:color="E5E5E5"/>
              <w:bottom w:val="single" w:sz="8" w:color="E5E5E5"/>
            </w:tcBorders>
            <w:shd w:val="clear" w:color="auto" w:fill="E5E5E5"/>
          </w:tcPr>
          <w:p>
            <w:pPr>
              <w:spacing w:after="0"/>
              <w:rPr>
                <w:sz w:val="20"/>
                <w:szCs w:val="20"/>
                <w:color w:val="auto"/>
              </w:rPr>
            </w:pPr>
          </w:p>
        </w:tc>
        <w:tc>
          <w:tcPr>
            <w:tcW w:w="220" w:type="dxa"/>
            <w:vAlign w:val="bottom"/>
            <w:tcBorders>
              <w:top w:val="single" w:sz="8" w:color="E5E5E5"/>
              <w:bottom w:val="single" w:sz="8" w:color="E5E5E5"/>
            </w:tcBorders>
            <w:shd w:val="clear" w:color="auto" w:fill="E5E5E5"/>
          </w:tcPr>
          <w:p>
            <w:pPr>
              <w:spacing w:after="0"/>
              <w:rPr>
                <w:sz w:val="20"/>
                <w:szCs w:val="20"/>
                <w:color w:val="auto"/>
              </w:rPr>
            </w:pPr>
          </w:p>
        </w:tc>
        <w:tc>
          <w:tcPr>
            <w:tcW w:w="1520" w:type="dxa"/>
            <w:vAlign w:val="bottom"/>
            <w:tcBorders>
              <w:top w:val="single" w:sz="8" w:color="0000EE"/>
              <w:bottom w:val="single" w:sz="8" w:color="0000EE"/>
              <w:right w:val="single" w:sz="8" w:color="E5E5E5"/>
            </w:tcBorders>
            <w:gridSpan w:val="4"/>
            <w:shd w:val="clear" w:color="auto" w:fill="E5E5E5"/>
          </w:tcPr>
          <w:p>
            <w:pPr>
              <w:spacing w:after="0"/>
              <w:rPr>
                <w:sz w:val="20"/>
                <w:szCs w:val="20"/>
                <w:color w:val="auto"/>
              </w:rPr>
            </w:pPr>
            <w:r>
              <w:rPr>
                <w:rFonts w:ascii="Arial" w:cs="Arial" w:eastAsia="Arial" w:hAnsi="Arial"/>
                <w:sz w:val="18"/>
                <w:szCs w:val="18"/>
                <w:color w:val="0000EE"/>
                <w:w w:val="97"/>
              </w:rPr>
              <w:t>Limited Perquisites</w:t>
            </w:r>
          </w:p>
        </w:tc>
        <w:tc>
          <w:tcPr>
            <w:tcW w:w="240" w:type="dxa"/>
            <w:vAlign w:val="bottom"/>
            <w:tcBorders>
              <w:top w:val="single" w:sz="8" w:color="0000EE"/>
              <w:bottom w:val="single" w:sz="8" w:color="E5E5E5"/>
              <w:right w:val="single" w:sz="8" w:color="E5E5E5"/>
            </w:tcBorders>
            <w:shd w:val="clear" w:color="auto" w:fill="E5E5E5"/>
          </w:tcPr>
          <w:p>
            <w:pPr>
              <w:spacing w:after="0"/>
              <w:rPr>
                <w:sz w:val="20"/>
                <w:szCs w:val="20"/>
                <w:color w:val="auto"/>
              </w:rPr>
            </w:pPr>
          </w:p>
        </w:tc>
        <w:tc>
          <w:tcPr>
            <w:tcW w:w="3700" w:type="dxa"/>
            <w:vAlign w:val="bottom"/>
            <w:tcBorders>
              <w:top w:val="single" w:sz="8" w:color="E5E5E5"/>
              <w:bottom w:val="single" w:sz="8" w:color="E5E5E5"/>
            </w:tcBorders>
            <w:gridSpan w:val="22"/>
            <w:shd w:val="clear" w:color="auto" w:fill="E5E5E5"/>
          </w:tcPr>
          <w:p>
            <w:pPr>
              <w:spacing w:after="0"/>
              <w:rPr>
                <w:sz w:val="20"/>
                <w:szCs w:val="20"/>
                <w:color w:val="auto"/>
              </w:rPr>
            </w:pPr>
          </w:p>
        </w:tc>
        <w:tc>
          <w:tcPr>
            <w:tcW w:w="640" w:type="dxa"/>
            <w:vAlign w:val="bottom"/>
            <w:tcBorders>
              <w:top w:val="single" w:sz="8" w:color="E5E5E5"/>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59</w:t>
            </w:r>
          </w:p>
        </w:tc>
        <w:tc>
          <w:tcPr>
            <w:tcW w:w="0" w:type="dxa"/>
            <w:vAlign w:val="bottom"/>
          </w:tcPr>
          <w:p>
            <w:pPr>
              <w:spacing w:after="0"/>
              <w:rPr>
                <w:sz w:val="1"/>
                <w:szCs w:val="1"/>
                <w:color w:val="auto"/>
              </w:rPr>
            </w:pPr>
          </w:p>
        </w:tc>
      </w:tr>
      <w:tr>
        <w:trPr>
          <w:trHeight w:val="236"/>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401(k) Restoration Plan</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3F3F3F"/>
              </w:rPr>
              <w:t>60</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40" w:type="dxa"/>
            <w:vAlign w:val="bottom"/>
            <w:gridSpan w:val="3"/>
            <w:shd w:val="clear" w:color="auto" w:fill="E5E5E5"/>
          </w:tcPr>
          <w:p>
            <w:pPr>
              <w:spacing w:after="0" w:line="20" w:lineRule="exact"/>
              <w:rPr>
                <w:sz w:val="1"/>
                <w:szCs w:val="1"/>
                <w:color w:val="auto"/>
              </w:rPr>
            </w:pPr>
          </w:p>
        </w:tc>
        <w:tc>
          <w:tcPr>
            <w:tcW w:w="180" w:type="dxa"/>
            <w:vAlign w:val="bottom"/>
            <w:tcBorders>
              <w:right w:val="single" w:sz="8" w:color="E5E5E5"/>
            </w:tcBorders>
            <w:gridSpan w:val="2"/>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760" w:type="dxa"/>
            <w:vAlign w:val="bottom"/>
            <w:gridSpan w:val="3"/>
            <w:shd w:val="clear" w:color="auto" w:fill="E5E5E5"/>
          </w:tcPr>
          <w:p>
            <w:pPr>
              <w:spacing w:after="0" w:line="20" w:lineRule="exact"/>
              <w:rPr>
                <w:sz w:val="1"/>
                <w:szCs w:val="1"/>
                <w:color w:val="auto"/>
              </w:rPr>
            </w:pPr>
          </w:p>
        </w:tc>
        <w:tc>
          <w:tcPr>
            <w:tcW w:w="800" w:type="dxa"/>
            <w:vAlign w:val="bottom"/>
            <w:gridSpan w:val="4"/>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580" w:type="dxa"/>
            <w:vAlign w:val="bottom"/>
            <w:gridSpan w:val="3"/>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3020" w:type="dxa"/>
            <w:vAlign w:val="bottom"/>
            <w:tcBorders>
              <w:bottom w:val="single" w:sz="8" w:color="0000EE"/>
            </w:tcBorders>
            <w:gridSpan w:val="14"/>
            <w:shd w:val="clear" w:color="auto" w:fill="E5E5E5"/>
          </w:tcPr>
          <w:p>
            <w:pPr>
              <w:spacing w:after="0"/>
              <w:rPr>
                <w:sz w:val="20"/>
                <w:szCs w:val="20"/>
                <w:color w:val="auto"/>
              </w:rPr>
            </w:pPr>
            <w:r>
              <w:rPr>
                <w:rFonts w:ascii="Arial" w:cs="Arial" w:eastAsia="Arial" w:hAnsi="Arial"/>
                <w:sz w:val="18"/>
                <w:szCs w:val="18"/>
                <w:color w:val="0000EE"/>
                <w:w w:val="99"/>
              </w:rPr>
              <w:t>2023 Share Ownership Requirements</w:t>
            </w:r>
          </w:p>
        </w:tc>
        <w:tc>
          <w:tcPr>
            <w:tcW w:w="2440" w:type="dxa"/>
            <w:vAlign w:val="bottom"/>
            <w:tcBorders>
              <w:bottom w:val="single" w:sz="8" w:color="E5E5E5"/>
            </w:tcBorders>
            <w:gridSpan w:val="13"/>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60</w:t>
            </w:r>
          </w:p>
        </w:tc>
        <w:tc>
          <w:tcPr>
            <w:tcW w:w="0" w:type="dxa"/>
            <w:vAlign w:val="bottom"/>
          </w:tcPr>
          <w:p>
            <w:pPr>
              <w:spacing w:after="0"/>
              <w:rPr>
                <w:sz w:val="1"/>
                <w:szCs w:val="1"/>
                <w:color w:val="auto"/>
              </w:rPr>
            </w:pPr>
          </w:p>
        </w:tc>
      </w:tr>
      <w:tr>
        <w:trPr>
          <w:trHeight w:val="236"/>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Clawback Policy</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3F3F3F"/>
              </w:rPr>
              <w:t>61</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4"/>
            <w:shd w:val="clear" w:color="auto" w:fill="E5E5E5"/>
          </w:tcPr>
          <w:p>
            <w:pPr>
              <w:spacing w:after="0" w:line="20" w:lineRule="exact"/>
              <w:rPr>
                <w:sz w:val="1"/>
                <w:szCs w:val="1"/>
                <w:color w:val="auto"/>
              </w:rPr>
            </w:pPr>
          </w:p>
        </w:tc>
        <w:tc>
          <w:tcPr>
            <w:tcW w:w="640" w:type="dxa"/>
            <w:vAlign w:val="bottom"/>
            <w:gridSpan w:val="3"/>
            <w:shd w:val="clear" w:color="auto" w:fill="E5E5E5"/>
          </w:tcPr>
          <w:p>
            <w:pPr>
              <w:spacing w:after="0" w:line="20" w:lineRule="exact"/>
              <w:rPr>
                <w:sz w:val="1"/>
                <w:szCs w:val="1"/>
                <w:color w:val="auto"/>
              </w:rPr>
            </w:pPr>
          </w:p>
        </w:tc>
        <w:tc>
          <w:tcPr>
            <w:tcW w:w="180" w:type="dxa"/>
            <w:vAlign w:val="bottom"/>
            <w:tcBorders>
              <w:right w:val="single" w:sz="8" w:color="E5E5E5"/>
            </w:tcBorders>
            <w:gridSpan w:val="2"/>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40" w:type="dxa"/>
            <w:vAlign w:val="bottom"/>
            <w:gridSpan w:val="2"/>
            <w:shd w:val="clear" w:color="auto" w:fill="E5E5E5"/>
          </w:tcPr>
          <w:p>
            <w:pPr>
              <w:spacing w:after="0" w:line="20" w:lineRule="exact"/>
              <w:rPr>
                <w:sz w:val="1"/>
                <w:szCs w:val="1"/>
                <w:color w:val="auto"/>
              </w:rPr>
            </w:pPr>
          </w:p>
        </w:tc>
        <w:tc>
          <w:tcPr>
            <w:tcW w:w="760" w:type="dxa"/>
            <w:vAlign w:val="bottom"/>
            <w:gridSpan w:val="3"/>
            <w:shd w:val="clear" w:color="auto" w:fill="E5E5E5"/>
          </w:tcPr>
          <w:p>
            <w:pPr>
              <w:spacing w:after="0" w:line="20" w:lineRule="exact"/>
              <w:rPr>
                <w:sz w:val="1"/>
                <w:szCs w:val="1"/>
                <w:color w:val="auto"/>
              </w:rPr>
            </w:pPr>
          </w:p>
        </w:tc>
        <w:tc>
          <w:tcPr>
            <w:tcW w:w="800" w:type="dxa"/>
            <w:vAlign w:val="bottom"/>
            <w:gridSpan w:val="4"/>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580" w:type="dxa"/>
            <w:vAlign w:val="bottom"/>
            <w:gridSpan w:val="3"/>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3040" w:type="dxa"/>
            <w:vAlign w:val="bottom"/>
            <w:tcBorders>
              <w:bottom w:val="single" w:sz="8" w:color="0000EE"/>
            </w:tcBorders>
            <w:gridSpan w:val="15"/>
            <w:shd w:val="clear" w:color="auto" w:fill="E5E5E5"/>
          </w:tcPr>
          <w:p>
            <w:pPr>
              <w:spacing w:after="0"/>
              <w:rPr>
                <w:sz w:val="20"/>
                <w:szCs w:val="20"/>
                <w:color w:val="auto"/>
              </w:rPr>
            </w:pPr>
            <w:r>
              <w:rPr>
                <w:rFonts w:ascii="Arial" w:cs="Arial" w:eastAsia="Arial" w:hAnsi="Arial"/>
                <w:sz w:val="18"/>
                <w:szCs w:val="18"/>
                <w:color w:val="0000EE"/>
                <w:w w:val="99"/>
              </w:rPr>
              <w:t>Anti-Hedging and Anti-Pledging Policy</w:t>
            </w:r>
          </w:p>
        </w:tc>
        <w:tc>
          <w:tcPr>
            <w:tcW w:w="2420" w:type="dxa"/>
            <w:vAlign w:val="bottom"/>
            <w:tcBorders>
              <w:bottom w:val="single" w:sz="8" w:color="E5E5E5"/>
            </w:tcBorders>
            <w:gridSpan w:val="12"/>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61</w:t>
            </w:r>
          </w:p>
        </w:tc>
        <w:tc>
          <w:tcPr>
            <w:tcW w:w="0" w:type="dxa"/>
            <w:vAlign w:val="bottom"/>
          </w:tcPr>
          <w:p>
            <w:pPr>
              <w:spacing w:after="0"/>
              <w:rPr>
                <w:sz w:val="1"/>
                <w:szCs w:val="1"/>
                <w:color w:val="auto"/>
              </w:rPr>
            </w:pPr>
          </w:p>
        </w:tc>
      </w:tr>
      <w:tr>
        <w:trPr>
          <w:trHeight w:val="236"/>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4600" w:type="dxa"/>
            <w:vAlign w:val="bottom"/>
            <w:tcBorders>
              <w:bottom w:val="single" w:sz="8" w:color="0000EE"/>
            </w:tcBorders>
            <w:gridSpan w:val="22"/>
            <w:shd w:val="clear" w:color="auto" w:fill="E5E5E5"/>
          </w:tcPr>
          <w:p>
            <w:pPr>
              <w:spacing w:after="0"/>
              <w:rPr>
                <w:sz w:val="20"/>
                <w:szCs w:val="20"/>
                <w:color w:val="auto"/>
              </w:rPr>
            </w:pPr>
            <w:r>
              <w:rPr>
                <w:rFonts w:ascii="Arial" w:cs="Arial" w:eastAsia="Arial" w:hAnsi="Arial"/>
                <w:sz w:val="18"/>
                <w:szCs w:val="18"/>
                <w:color w:val="0000EE"/>
                <w:w w:val="99"/>
              </w:rPr>
              <w:t>Consideration of Risk in Company Compensation Policies</w:t>
            </w:r>
          </w:p>
        </w:tc>
        <w:tc>
          <w:tcPr>
            <w:tcW w:w="860" w:type="dxa"/>
            <w:vAlign w:val="bottom"/>
            <w:tcBorders>
              <w:bottom w:val="single" w:sz="8" w:color="E5E5E5"/>
            </w:tcBorders>
            <w:gridSpan w:val="5"/>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61</w:t>
            </w:r>
          </w:p>
        </w:tc>
        <w:tc>
          <w:tcPr>
            <w:tcW w:w="0" w:type="dxa"/>
            <w:vAlign w:val="bottom"/>
          </w:tcPr>
          <w:p>
            <w:pPr>
              <w:spacing w:after="0"/>
              <w:rPr>
                <w:sz w:val="1"/>
                <w:szCs w:val="1"/>
                <w:color w:val="auto"/>
              </w:rPr>
            </w:pPr>
          </w:p>
        </w:tc>
      </w:tr>
      <w:tr>
        <w:trPr>
          <w:trHeight w:val="237"/>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3000" w:type="dxa"/>
            <w:vAlign w:val="bottom"/>
            <w:tcBorders>
              <w:bottom w:val="single" w:sz="8" w:color="0000EE"/>
            </w:tcBorders>
            <w:gridSpan w:val="13"/>
            <w:shd w:val="clear" w:color="auto" w:fill="E5E5E5"/>
          </w:tcPr>
          <w:p>
            <w:pPr>
              <w:spacing w:after="0"/>
              <w:rPr>
                <w:sz w:val="20"/>
                <w:szCs w:val="20"/>
                <w:color w:val="auto"/>
              </w:rPr>
            </w:pPr>
            <w:r>
              <w:rPr>
                <w:rFonts w:ascii="Arial" w:cs="Arial" w:eastAsia="Arial" w:hAnsi="Arial"/>
                <w:sz w:val="18"/>
                <w:szCs w:val="18"/>
                <w:color w:val="0000EE"/>
                <w:w w:val="99"/>
              </w:rPr>
              <w:t>Role of the Compensation Committee</w:t>
            </w:r>
          </w:p>
        </w:tc>
        <w:tc>
          <w:tcPr>
            <w:tcW w:w="2460" w:type="dxa"/>
            <w:vAlign w:val="bottom"/>
            <w:tcBorders>
              <w:bottom w:val="single" w:sz="8" w:color="E5E5E5"/>
            </w:tcBorders>
            <w:gridSpan w:val="14"/>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62</w:t>
            </w:r>
          </w:p>
        </w:tc>
        <w:tc>
          <w:tcPr>
            <w:tcW w:w="0" w:type="dxa"/>
            <w:vAlign w:val="bottom"/>
          </w:tcPr>
          <w:p>
            <w:pPr>
              <w:spacing w:after="0"/>
              <w:rPr>
                <w:sz w:val="1"/>
                <w:szCs w:val="1"/>
                <w:color w:val="auto"/>
              </w:rPr>
            </w:pPr>
          </w:p>
        </w:tc>
      </w:tr>
      <w:tr>
        <w:trPr>
          <w:trHeight w:val="236"/>
        </w:trPr>
        <w:tc>
          <w:tcPr>
            <w:tcW w:w="1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60" w:type="dxa"/>
            <w:vAlign w:val="bottom"/>
            <w:gridSpan w:val="27"/>
            <w:shd w:val="clear" w:color="auto" w:fill="E5E5E5"/>
          </w:tcPr>
          <w:p>
            <w:pPr>
              <w:spacing w:after="0"/>
              <w:rPr>
                <w:sz w:val="20"/>
                <w:szCs w:val="20"/>
                <w:color w:val="auto"/>
              </w:rPr>
            </w:pPr>
            <w:r>
              <w:rPr>
                <w:rFonts w:ascii="Arial" w:cs="Arial" w:eastAsia="Arial" w:hAnsi="Arial"/>
                <w:sz w:val="18"/>
                <w:szCs w:val="18"/>
                <w:color w:val="0000EE"/>
              </w:rPr>
              <w:t>Tax Deduction Cap on Executive Compensation</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3F3F3F"/>
              </w:rPr>
              <w:t>62</w:t>
            </w:r>
          </w:p>
        </w:tc>
        <w:tc>
          <w:tcPr>
            <w:tcW w:w="0" w:type="dxa"/>
            <w:vAlign w:val="bottom"/>
          </w:tcPr>
          <w:p>
            <w:pPr>
              <w:spacing w:after="0"/>
              <w:rPr>
                <w:sz w:val="1"/>
                <w:szCs w:val="1"/>
                <w:color w:val="auto"/>
              </w:rPr>
            </w:pPr>
          </w:p>
        </w:tc>
      </w:tr>
      <w:tr>
        <w:trPr>
          <w:trHeight w:val="237"/>
        </w:trPr>
        <w:tc>
          <w:tcPr>
            <w:tcW w:w="180" w:type="dxa"/>
            <w:vAlign w:val="bottom"/>
            <w:tcBorders>
              <w:top w:val="single" w:sz="8" w:color="E5E5E5"/>
            </w:tcBorders>
            <w:shd w:val="clear" w:color="auto" w:fill="E5E5E5"/>
          </w:tcPr>
          <w:p>
            <w:pPr>
              <w:spacing w:after="0"/>
              <w:rPr>
                <w:sz w:val="20"/>
                <w:szCs w:val="20"/>
                <w:color w:val="auto"/>
              </w:rPr>
            </w:pPr>
          </w:p>
        </w:tc>
        <w:tc>
          <w:tcPr>
            <w:tcW w:w="220" w:type="dxa"/>
            <w:vAlign w:val="bottom"/>
            <w:tcBorders>
              <w:top w:val="single" w:sz="8" w:color="E5E5E5"/>
            </w:tcBorders>
            <w:shd w:val="clear" w:color="auto" w:fill="E5E5E5"/>
          </w:tcPr>
          <w:p>
            <w:pPr>
              <w:spacing w:after="0"/>
              <w:rPr>
                <w:sz w:val="20"/>
                <w:szCs w:val="20"/>
                <w:color w:val="auto"/>
              </w:rPr>
            </w:pPr>
          </w:p>
        </w:tc>
        <w:tc>
          <w:tcPr>
            <w:tcW w:w="3800" w:type="dxa"/>
            <w:vAlign w:val="bottom"/>
            <w:tcBorders>
              <w:top w:val="single" w:sz="8" w:color="0000EE"/>
            </w:tcBorders>
            <w:gridSpan w:val="18"/>
            <w:shd w:val="clear" w:color="auto" w:fill="E5E5E5"/>
          </w:tcPr>
          <w:p>
            <w:pPr>
              <w:spacing w:after="0"/>
              <w:rPr>
                <w:sz w:val="20"/>
                <w:szCs w:val="20"/>
                <w:color w:val="auto"/>
              </w:rPr>
            </w:pPr>
            <w:r>
              <w:rPr>
                <w:rFonts w:ascii="Arial" w:cs="Arial" w:eastAsia="Arial" w:hAnsi="Arial"/>
                <w:sz w:val="18"/>
                <w:szCs w:val="18"/>
                <w:color w:val="0000EE"/>
              </w:rPr>
              <w:t>Compensation Committee Report</w:t>
            </w:r>
          </w:p>
        </w:tc>
        <w:tc>
          <w:tcPr>
            <w:tcW w:w="1660" w:type="dxa"/>
            <w:vAlign w:val="bottom"/>
            <w:tcBorders>
              <w:top w:val="single" w:sz="8" w:color="E5E5E5"/>
            </w:tcBorders>
            <w:gridSpan w:val="9"/>
            <w:shd w:val="clear" w:color="auto" w:fill="E5E5E5"/>
          </w:tcPr>
          <w:p>
            <w:pPr>
              <w:spacing w:after="0"/>
              <w:rPr>
                <w:sz w:val="20"/>
                <w:szCs w:val="20"/>
                <w:color w:val="auto"/>
              </w:rPr>
            </w:pPr>
          </w:p>
        </w:tc>
        <w:tc>
          <w:tcPr>
            <w:tcW w:w="640" w:type="dxa"/>
            <w:vAlign w:val="bottom"/>
            <w:tcBorders>
              <w:top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63</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E5E5E5"/>
            </w:tcBorders>
            <w:gridSpan w:val="2"/>
            <w:shd w:val="clear" w:color="auto" w:fill="0000EE"/>
          </w:tcPr>
          <w:p>
            <w:pPr>
              <w:spacing w:after="0" w:line="20" w:lineRule="exact"/>
              <w:rPr>
                <w:sz w:val="1"/>
                <w:szCs w:val="1"/>
                <w:color w:val="auto"/>
              </w:rPr>
            </w:pPr>
          </w:p>
        </w:tc>
        <w:tc>
          <w:tcPr>
            <w:tcW w:w="1940" w:type="dxa"/>
            <w:vAlign w:val="bottom"/>
            <w:gridSpan w:val="12"/>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580" w:type="dxa"/>
            <w:vAlign w:val="bottom"/>
            <w:gridSpan w:val="3"/>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E5E5E5"/>
            </w:tcBorders>
            <w:shd w:val="clear" w:color="auto" w:fill="E5E5E5"/>
          </w:tcPr>
          <w:p>
            <w:pPr>
              <w:spacing w:after="0"/>
              <w:rPr>
                <w:sz w:val="20"/>
                <w:szCs w:val="20"/>
                <w:color w:val="auto"/>
              </w:rPr>
            </w:pPr>
          </w:p>
        </w:tc>
        <w:tc>
          <w:tcPr>
            <w:tcW w:w="4880" w:type="dxa"/>
            <w:vAlign w:val="bottom"/>
            <w:tcBorders>
              <w:bottom w:val="single" w:sz="8" w:color="0000EE"/>
            </w:tcBorders>
            <w:gridSpan w:val="24"/>
            <w:shd w:val="clear" w:color="auto" w:fill="E5E5E5"/>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580" w:type="dxa"/>
            <w:vAlign w:val="bottom"/>
            <w:tcBorders>
              <w:bottom w:val="single" w:sz="8" w:color="E5E5E5"/>
            </w:tcBorders>
            <w:gridSpan w:val="3"/>
            <w:shd w:val="clear" w:color="auto" w:fill="E5E5E5"/>
          </w:tcPr>
          <w:p>
            <w:pPr>
              <w:spacing w:after="0"/>
              <w:rPr>
                <w:sz w:val="20"/>
                <w:szCs w:val="20"/>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color w:val="3F3F3F"/>
              </w:rPr>
              <w:t>63</w:t>
            </w:r>
          </w:p>
        </w:tc>
        <w:tc>
          <w:tcPr>
            <w:tcW w:w="0" w:type="dxa"/>
            <w:vAlign w:val="bottom"/>
          </w:tcPr>
          <w:p>
            <w:pPr>
              <w:spacing w:after="0"/>
              <w:rPr>
                <w:sz w:val="1"/>
                <w:szCs w:val="1"/>
                <w:color w:val="auto"/>
              </w:rPr>
            </w:pPr>
          </w:p>
        </w:tc>
      </w:tr>
      <w:tr>
        <w:trPr>
          <w:trHeight w:val="290"/>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Executive Compensation Tables</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64</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E5E5E5"/>
            </w:tcBorders>
            <w:gridSpan w:val="2"/>
            <w:shd w:val="clear" w:color="auto" w:fill="E5E5E5"/>
          </w:tcPr>
          <w:p>
            <w:pPr>
              <w:spacing w:after="0" w:line="20" w:lineRule="exact"/>
              <w:rPr>
                <w:sz w:val="1"/>
                <w:szCs w:val="1"/>
                <w:color w:val="auto"/>
              </w:rPr>
            </w:pPr>
          </w:p>
        </w:tc>
        <w:tc>
          <w:tcPr>
            <w:tcW w:w="1940" w:type="dxa"/>
            <w:vAlign w:val="bottom"/>
            <w:gridSpan w:val="12"/>
            <w:shd w:val="clear" w:color="auto" w:fill="E5E5E5"/>
          </w:tcPr>
          <w:p>
            <w:pPr>
              <w:spacing w:after="0" w:line="20" w:lineRule="exact"/>
              <w:rPr>
                <w:sz w:val="1"/>
                <w:szCs w:val="1"/>
                <w:color w:val="auto"/>
              </w:rPr>
            </w:pPr>
          </w:p>
        </w:tc>
        <w:tc>
          <w:tcPr>
            <w:tcW w:w="820" w:type="dxa"/>
            <w:vAlign w:val="bottom"/>
            <w:gridSpan w:val="4"/>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Estimated Payments In Connection with a Termination of</w:t>
            </w:r>
          </w:p>
        </w:tc>
        <w:tc>
          <w:tcPr>
            <w:tcW w:w="640" w:type="dxa"/>
            <w:vAlign w:val="bottom"/>
            <w:vMerge w:val="restart"/>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72</w:t>
            </w:r>
          </w:p>
        </w:tc>
        <w:tc>
          <w:tcPr>
            <w:tcW w:w="0" w:type="dxa"/>
            <w:vAlign w:val="bottom"/>
          </w:tcPr>
          <w:p>
            <w:pPr>
              <w:spacing w:after="0"/>
              <w:rPr>
                <w:sz w:val="1"/>
                <w:szCs w:val="1"/>
                <w:color w:val="auto"/>
              </w:rPr>
            </w:pPr>
          </w:p>
        </w:tc>
      </w:tr>
      <w:tr>
        <w:trPr>
          <w:trHeight w:val="183"/>
        </w:trPr>
        <w:tc>
          <w:tcPr>
            <w:tcW w:w="180" w:type="dxa"/>
            <w:vAlign w:val="bottom"/>
            <w:tcBorders>
              <w:top w:val="single" w:sz="8" w:color="E5E5E5"/>
              <w:bottom w:val="single" w:sz="8" w:color="E5E5E5"/>
            </w:tcBorders>
            <w:shd w:val="clear" w:color="auto" w:fill="E5E5E5"/>
          </w:tcPr>
          <w:p>
            <w:pPr>
              <w:spacing w:after="0"/>
              <w:rPr>
                <w:sz w:val="15"/>
                <w:szCs w:val="15"/>
                <w:color w:val="auto"/>
              </w:rPr>
            </w:pPr>
          </w:p>
        </w:tc>
        <w:tc>
          <w:tcPr>
            <w:tcW w:w="2920" w:type="dxa"/>
            <w:vAlign w:val="bottom"/>
            <w:tcBorders>
              <w:top w:val="single" w:sz="8" w:color="0000EE"/>
              <w:bottom w:val="single" w:sz="8" w:color="0000EE"/>
              <w:right w:val="single" w:sz="8" w:color="E5E5E5"/>
            </w:tcBorders>
            <w:gridSpan w:val="12"/>
            <w:shd w:val="clear" w:color="auto" w:fill="E5E5E5"/>
          </w:tcPr>
          <w:p>
            <w:pPr>
              <w:spacing w:after="0" w:line="182" w:lineRule="exact"/>
              <w:rPr>
                <w:sz w:val="20"/>
                <w:szCs w:val="20"/>
                <w:color w:val="auto"/>
              </w:rPr>
            </w:pPr>
            <w:r>
              <w:rPr>
                <w:rFonts w:ascii="Arial" w:cs="Arial" w:eastAsia="Arial" w:hAnsi="Arial"/>
                <w:sz w:val="18"/>
                <w:szCs w:val="18"/>
                <w:b w:val="1"/>
                <w:bCs w:val="1"/>
                <w:color w:val="0000EE"/>
                <w:w w:val="98"/>
              </w:rPr>
              <w:t>Employment or Change in Control</w:t>
            </w:r>
          </w:p>
        </w:tc>
        <w:tc>
          <w:tcPr>
            <w:tcW w:w="1940" w:type="dxa"/>
            <w:vAlign w:val="bottom"/>
            <w:tcBorders>
              <w:top w:val="single" w:sz="8" w:color="0000EE"/>
              <w:bottom w:val="single" w:sz="8" w:color="E5E5E5"/>
            </w:tcBorders>
            <w:gridSpan w:val="12"/>
            <w:shd w:val="clear" w:color="auto" w:fill="E5E5E5"/>
          </w:tcPr>
          <w:p>
            <w:pPr>
              <w:spacing w:after="0"/>
              <w:rPr>
                <w:sz w:val="15"/>
                <w:szCs w:val="15"/>
                <w:color w:val="auto"/>
              </w:rPr>
            </w:pPr>
          </w:p>
        </w:tc>
        <w:tc>
          <w:tcPr>
            <w:tcW w:w="820" w:type="dxa"/>
            <w:vAlign w:val="bottom"/>
            <w:tcBorders>
              <w:top w:val="single" w:sz="8" w:color="E5E5E5"/>
              <w:bottom w:val="single" w:sz="8" w:color="E5E5E5"/>
            </w:tcBorders>
            <w:gridSpan w:val="4"/>
            <w:shd w:val="clear" w:color="auto" w:fill="E5E5E5"/>
          </w:tcPr>
          <w:p>
            <w:pPr>
              <w:spacing w:after="0"/>
              <w:rPr>
                <w:sz w:val="15"/>
                <w:szCs w:val="15"/>
                <w:color w:val="auto"/>
              </w:rPr>
            </w:pPr>
          </w:p>
        </w:tc>
        <w:tc>
          <w:tcPr>
            <w:tcW w:w="640" w:type="dxa"/>
            <w:vAlign w:val="bottom"/>
            <w:tcBorders>
              <w:top w:val="single" w:sz="8" w:color="E5E5E5"/>
              <w:bottom w:val="single" w:sz="8" w:color="E5E5E5"/>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80" w:type="dxa"/>
            <w:vAlign w:val="bottom"/>
            <w:tcBorders>
              <w:bottom w:val="single" w:sz="8" w:color="E5E5E5"/>
            </w:tcBorders>
            <w:shd w:val="clear" w:color="auto" w:fill="E5E5E5"/>
          </w:tcPr>
          <w:p>
            <w:pPr>
              <w:spacing w:after="0"/>
              <w:rPr>
                <w:sz w:val="24"/>
                <w:szCs w:val="24"/>
                <w:color w:val="auto"/>
              </w:rPr>
            </w:pPr>
          </w:p>
        </w:tc>
        <w:tc>
          <w:tcPr>
            <w:tcW w:w="1320" w:type="dxa"/>
            <w:vAlign w:val="bottom"/>
            <w:tcBorders>
              <w:bottom w:val="single" w:sz="8" w:color="0000EE"/>
              <w:right w:val="single" w:sz="8" w:color="E5E5E5"/>
            </w:tcBorders>
            <w:gridSpan w:val="2"/>
            <w:shd w:val="clear" w:color="auto" w:fill="E5E5E5"/>
          </w:tcPr>
          <w:p>
            <w:pPr>
              <w:spacing w:after="0"/>
              <w:rPr>
                <w:sz w:val="20"/>
                <w:szCs w:val="20"/>
                <w:color w:val="auto"/>
              </w:rPr>
            </w:pPr>
            <w:r>
              <w:rPr>
                <w:rFonts w:ascii="Arial" w:cs="Arial" w:eastAsia="Arial" w:hAnsi="Arial"/>
                <w:sz w:val="18"/>
                <w:szCs w:val="18"/>
                <w:b w:val="1"/>
                <w:bCs w:val="1"/>
                <w:color w:val="0000EE"/>
              </w:rPr>
              <w:t>CEO Pay Ratio</w:t>
            </w:r>
          </w:p>
        </w:tc>
        <w:tc>
          <w:tcPr>
            <w:tcW w:w="4360" w:type="dxa"/>
            <w:vAlign w:val="bottom"/>
            <w:tcBorders>
              <w:bottom w:val="single" w:sz="8" w:color="E5E5E5"/>
            </w:tcBorders>
            <w:gridSpan w:val="26"/>
            <w:shd w:val="clear" w:color="auto" w:fill="E5E5E5"/>
          </w:tcPr>
          <w:p>
            <w:pPr>
              <w:spacing w:after="0"/>
              <w:rPr>
                <w:sz w:val="24"/>
                <w:szCs w:val="24"/>
                <w:color w:val="auto"/>
              </w:rPr>
            </w:pPr>
          </w:p>
        </w:tc>
        <w:tc>
          <w:tcPr>
            <w:tcW w:w="6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77</w:t>
            </w:r>
          </w:p>
        </w:tc>
        <w:tc>
          <w:tcPr>
            <w:tcW w:w="0" w:type="dxa"/>
            <w:vAlign w:val="bottom"/>
          </w:tcPr>
          <w:p>
            <w:pPr>
              <w:spacing w:after="0"/>
              <w:rPr>
                <w:sz w:val="1"/>
                <w:szCs w:val="1"/>
                <w:color w:val="auto"/>
              </w:rPr>
            </w:pPr>
          </w:p>
        </w:tc>
      </w:tr>
      <w:tr>
        <w:trPr>
          <w:trHeight w:val="290"/>
        </w:trPr>
        <w:tc>
          <w:tcPr>
            <w:tcW w:w="180" w:type="dxa"/>
            <w:vAlign w:val="bottom"/>
            <w:shd w:val="clear" w:color="auto" w:fill="E5E5E5"/>
          </w:tcPr>
          <w:p>
            <w:pPr>
              <w:spacing w:after="0"/>
              <w:rPr>
                <w:sz w:val="24"/>
                <w:szCs w:val="24"/>
                <w:color w:val="auto"/>
              </w:rPr>
            </w:pPr>
          </w:p>
        </w:tc>
        <w:tc>
          <w:tcPr>
            <w:tcW w:w="5680" w:type="dxa"/>
            <w:vAlign w:val="bottom"/>
            <w:gridSpan w:val="28"/>
            <w:shd w:val="clear" w:color="auto" w:fill="E5E5E5"/>
          </w:tcPr>
          <w:p>
            <w:pPr>
              <w:spacing w:after="0"/>
              <w:rPr>
                <w:sz w:val="20"/>
                <w:szCs w:val="20"/>
                <w:color w:val="auto"/>
              </w:rPr>
            </w:pPr>
            <w:r>
              <w:rPr>
                <w:rFonts w:ascii="Arial" w:cs="Arial" w:eastAsia="Arial" w:hAnsi="Arial"/>
                <w:sz w:val="18"/>
                <w:szCs w:val="18"/>
                <w:b w:val="1"/>
                <w:bCs w:val="1"/>
                <w:color w:val="0000EE"/>
              </w:rPr>
              <w:t>Pay Versus Performance</w:t>
            </w:r>
          </w:p>
        </w:tc>
        <w:tc>
          <w:tcPr>
            <w:tcW w:w="6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231161"/>
              </w:rPr>
              <w:t>78</w:t>
            </w:r>
          </w:p>
        </w:tc>
        <w:tc>
          <w:tcPr>
            <w:tcW w:w="0" w:type="dxa"/>
            <w:vAlign w:val="bottom"/>
          </w:tcPr>
          <w:p>
            <w:pPr>
              <w:spacing w:after="0"/>
              <w:rPr>
                <w:sz w:val="1"/>
                <w:szCs w:val="1"/>
                <w:color w:val="auto"/>
              </w:rPr>
            </w:pPr>
          </w:p>
        </w:tc>
      </w:tr>
      <w:tr>
        <w:trPr>
          <w:trHeight w:val="102"/>
        </w:trPr>
        <w:tc>
          <w:tcPr>
            <w:tcW w:w="180" w:type="dxa"/>
            <w:vAlign w:val="bottom"/>
            <w:tcBorders>
              <w:top w:val="single" w:sz="8" w:color="E5E5E5"/>
            </w:tcBorders>
            <w:shd w:val="clear" w:color="auto" w:fill="E5E5E5"/>
          </w:tcPr>
          <w:p>
            <w:pPr>
              <w:spacing w:after="0"/>
              <w:rPr>
                <w:sz w:val="8"/>
                <w:szCs w:val="8"/>
                <w:color w:val="auto"/>
              </w:rPr>
            </w:pPr>
          </w:p>
        </w:tc>
        <w:tc>
          <w:tcPr>
            <w:tcW w:w="220" w:type="dxa"/>
            <w:vAlign w:val="bottom"/>
            <w:tcBorders>
              <w:top w:val="single" w:sz="8" w:color="0000EE"/>
            </w:tcBorders>
            <w:shd w:val="clear" w:color="auto" w:fill="E5E5E5"/>
          </w:tcPr>
          <w:p>
            <w:pPr>
              <w:spacing w:after="0"/>
              <w:rPr>
                <w:sz w:val="8"/>
                <w:szCs w:val="8"/>
                <w:color w:val="auto"/>
              </w:rPr>
            </w:pPr>
          </w:p>
        </w:tc>
        <w:tc>
          <w:tcPr>
            <w:tcW w:w="1100" w:type="dxa"/>
            <w:vAlign w:val="bottom"/>
            <w:tcBorders>
              <w:top w:val="single" w:sz="8" w:color="0000EE"/>
              <w:right w:val="single" w:sz="8" w:color="E5E5E5"/>
            </w:tcBorders>
            <w:shd w:val="clear" w:color="auto" w:fill="E5E5E5"/>
          </w:tcPr>
          <w:p>
            <w:pPr>
              <w:spacing w:after="0"/>
              <w:rPr>
                <w:sz w:val="8"/>
                <w:szCs w:val="8"/>
                <w:color w:val="auto"/>
              </w:rPr>
            </w:pPr>
          </w:p>
        </w:tc>
        <w:tc>
          <w:tcPr>
            <w:tcW w:w="200" w:type="dxa"/>
            <w:vAlign w:val="bottom"/>
            <w:tcBorders>
              <w:top w:val="single" w:sz="8" w:color="0000EE"/>
            </w:tcBorders>
            <w:shd w:val="clear" w:color="auto" w:fill="E5E5E5"/>
          </w:tcPr>
          <w:p>
            <w:pPr>
              <w:spacing w:after="0"/>
              <w:rPr>
                <w:sz w:val="8"/>
                <w:szCs w:val="8"/>
                <w:color w:val="auto"/>
              </w:rPr>
            </w:pPr>
          </w:p>
        </w:tc>
        <w:tc>
          <w:tcPr>
            <w:tcW w:w="80" w:type="dxa"/>
            <w:vAlign w:val="bottom"/>
            <w:tcBorders>
              <w:top w:val="single" w:sz="8" w:color="0000EE"/>
            </w:tcBorders>
            <w:shd w:val="clear" w:color="auto" w:fill="E5E5E5"/>
          </w:tcPr>
          <w:p>
            <w:pPr>
              <w:spacing w:after="0"/>
              <w:rPr>
                <w:sz w:val="8"/>
                <w:szCs w:val="8"/>
                <w:color w:val="auto"/>
              </w:rPr>
            </w:pPr>
          </w:p>
        </w:tc>
        <w:tc>
          <w:tcPr>
            <w:tcW w:w="140" w:type="dxa"/>
            <w:vAlign w:val="bottom"/>
            <w:tcBorders>
              <w:top w:val="single" w:sz="8" w:color="0000EE"/>
              <w:right w:val="single" w:sz="8" w:color="E5E5E5"/>
            </w:tcBorders>
            <w:shd w:val="clear" w:color="auto" w:fill="E5E5E5"/>
          </w:tcPr>
          <w:p>
            <w:pPr>
              <w:spacing w:after="0"/>
              <w:rPr>
                <w:sz w:val="8"/>
                <w:szCs w:val="8"/>
                <w:color w:val="auto"/>
              </w:rPr>
            </w:pPr>
          </w:p>
        </w:tc>
        <w:tc>
          <w:tcPr>
            <w:tcW w:w="240" w:type="dxa"/>
            <w:vAlign w:val="bottom"/>
            <w:tcBorders>
              <w:top w:val="single" w:sz="8" w:color="0000EE"/>
              <w:right w:val="single" w:sz="8" w:color="E5E5E5"/>
            </w:tcBorders>
            <w:shd w:val="clear" w:color="auto" w:fill="E5E5E5"/>
          </w:tcPr>
          <w:p>
            <w:pPr>
              <w:spacing w:after="0"/>
              <w:rPr>
                <w:sz w:val="8"/>
                <w:szCs w:val="8"/>
                <w:color w:val="auto"/>
              </w:rPr>
            </w:pPr>
          </w:p>
        </w:tc>
        <w:tc>
          <w:tcPr>
            <w:tcW w:w="120" w:type="dxa"/>
            <w:vAlign w:val="bottom"/>
            <w:tcBorders>
              <w:top w:val="single" w:sz="8" w:color="0000EE"/>
            </w:tcBorders>
            <w:shd w:val="clear" w:color="auto" w:fill="E5E5E5"/>
          </w:tcPr>
          <w:p>
            <w:pPr>
              <w:spacing w:after="0"/>
              <w:rPr>
                <w:sz w:val="8"/>
                <w:szCs w:val="8"/>
                <w:color w:val="auto"/>
              </w:rPr>
            </w:pPr>
          </w:p>
        </w:tc>
        <w:tc>
          <w:tcPr>
            <w:tcW w:w="10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520" w:type="dxa"/>
            <w:vAlign w:val="bottom"/>
            <w:tcBorders>
              <w:top w:val="single" w:sz="8" w:color="E5E5E5"/>
            </w:tcBorders>
            <w:shd w:val="clear" w:color="auto" w:fill="E5E5E5"/>
          </w:tcPr>
          <w:p>
            <w:pPr>
              <w:spacing w:after="0"/>
              <w:rPr>
                <w:sz w:val="8"/>
                <w:szCs w:val="8"/>
                <w:color w:val="auto"/>
              </w:rPr>
            </w:pPr>
          </w:p>
        </w:tc>
        <w:tc>
          <w:tcPr>
            <w:tcW w:w="60" w:type="dxa"/>
            <w:vAlign w:val="bottom"/>
            <w:tcBorders>
              <w:top w:val="single" w:sz="8" w:color="E5E5E5"/>
              <w:right w:val="single" w:sz="8" w:color="E5E5E5"/>
            </w:tcBorders>
            <w:shd w:val="clear" w:color="auto" w:fill="E5E5E5"/>
          </w:tcPr>
          <w:p>
            <w:pPr>
              <w:spacing w:after="0"/>
              <w:rPr>
                <w:sz w:val="8"/>
                <w:szCs w:val="8"/>
                <w:color w:val="auto"/>
              </w:rPr>
            </w:pPr>
          </w:p>
        </w:tc>
        <w:tc>
          <w:tcPr>
            <w:tcW w:w="120" w:type="dxa"/>
            <w:vAlign w:val="bottom"/>
            <w:tcBorders>
              <w:top w:val="single" w:sz="8" w:color="E5E5E5"/>
              <w:right w:val="single" w:sz="8" w:color="E5E5E5"/>
            </w:tcBorders>
            <w:shd w:val="clear" w:color="auto" w:fill="E5E5E5"/>
          </w:tcPr>
          <w:p>
            <w:pPr>
              <w:spacing w:after="0"/>
              <w:rPr>
                <w:sz w:val="8"/>
                <w:szCs w:val="8"/>
                <w:color w:val="auto"/>
              </w:rPr>
            </w:pPr>
          </w:p>
        </w:tc>
        <w:tc>
          <w:tcPr>
            <w:tcW w:w="240" w:type="dxa"/>
            <w:vAlign w:val="bottom"/>
            <w:tcBorders>
              <w:top w:val="single" w:sz="8" w:color="E5E5E5"/>
            </w:tcBorders>
            <w:shd w:val="clear" w:color="auto" w:fill="E5E5E5"/>
          </w:tcPr>
          <w:p>
            <w:pPr>
              <w:spacing w:after="0"/>
              <w:rPr>
                <w:sz w:val="8"/>
                <w:szCs w:val="8"/>
                <w:color w:val="auto"/>
              </w:rPr>
            </w:pPr>
          </w:p>
        </w:tc>
        <w:tc>
          <w:tcPr>
            <w:tcW w:w="6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68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60" w:type="dxa"/>
            <w:vAlign w:val="bottom"/>
            <w:tcBorders>
              <w:top w:val="single" w:sz="8" w:color="E5E5E5"/>
            </w:tcBorders>
            <w:shd w:val="clear" w:color="auto" w:fill="E5E5E5"/>
          </w:tcPr>
          <w:p>
            <w:pPr>
              <w:spacing w:after="0"/>
              <w:rPr>
                <w:sz w:val="8"/>
                <w:szCs w:val="8"/>
                <w:color w:val="auto"/>
              </w:rPr>
            </w:pPr>
          </w:p>
        </w:tc>
        <w:tc>
          <w:tcPr>
            <w:tcW w:w="220" w:type="dxa"/>
            <w:vAlign w:val="bottom"/>
            <w:tcBorders>
              <w:top w:val="single" w:sz="8" w:color="E5E5E5"/>
            </w:tcBorders>
            <w:shd w:val="clear" w:color="auto" w:fill="E5E5E5"/>
          </w:tcPr>
          <w:p>
            <w:pPr>
              <w:spacing w:after="0"/>
              <w:rPr>
                <w:sz w:val="8"/>
                <w:szCs w:val="8"/>
                <w:color w:val="auto"/>
              </w:rPr>
            </w:pPr>
          </w:p>
        </w:tc>
        <w:tc>
          <w:tcPr>
            <w:tcW w:w="100" w:type="dxa"/>
            <w:vAlign w:val="bottom"/>
            <w:tcBorders>
              <w:top w:val="single" w:sz="8" w:color="E5E5E5"/>
            </w:tcBorders>
            <w:shd w:val="clear" w:color="auto" w:fill="E5E5E5"/>
          </w:tcPr>
          <w:p>
            <w:pPr>
              <w:spacing w:after="0"/>
              <w:rPr>
                <w:sz w:val="8"/>
                <w:szCs w:val="8"/>
                <w:color w:val="auto"/>
              </w:rPr>
            </w:pPr>
          </w:p>
        </w:tc>
        <w:tc>
          <w:tcPr>
            <w:tcW w:w="320" w:type="dxa"/>
            <w:vAlign w:val="bottom"/>
            <w:tcBorders>
              <w:top w:val="single" w:sz="8" w:color="E5E5E5"/>
            </w:tcBorders>
            <w:shd w:val="clear" w:color="auto" w:fill="E5E5E5"/>
          </w:tcPr>
          <w:p>
            <w:pPr>
              <w:spacing w:after="0"/>
              <w:rPr>
                <w:sz w:val="8"/>
                <w:szCs w:val="8"/>
                <w:color w:val="auto"/>
              </w:rPr>
            </w:pPr>
          </w:p>
        </w:tc>
        <w:tc>
          <w:tcPr>
            <w:tcW w:w="160" w:type="dxa"/>
            <w:vAlign w:val="bottom"/>
            <w:tcBorders>
              <w:top w:val="single" w:sz="8" w:color="E5E5E5"/>
            </w:tcBorders>
            <w:shd w:val="clear" w:color="auto" w:fill="E5E5E5"/>
          </w:tcPr>
          <w:p>
            <w:pPr>
              <w:spacing w:after="0"/>
              <w:rPr>
                <w:sz w:val="8"/>
                <w:szCs w:val="8"/>
                <w:color w:val="auto"/>
              </w:rPr>
            </w:pPr>
          </w:p>
        </w:tc>
        <w:tc>
          <w:tcPr>
            <w:tcW w:w="40" w:type="dxa"/>
            <w:vAlign w:val="bottom"/>
            <w:tcBorders>
              <w:top w:val="single" w:sz="8" w:color="E5E5E5"/>
            </w:tcBorders>
            <w:shd w:val="clear" w:color="auto" w:fill="E5E5E5"/>
          </w:tcPr>
          <w:p>
            <w:pPr>
              <w:spacing w:after="0"/>
              <w:rPr>
                <w:sz w:val="8"/>
                <w:szCs w:val="8"/>
                <w:color w:val="auto"/>
              </w:rPr>
            </w:pPr>
          </w:p>
        </w:tc>
        <w:tc>
          <w:tcPr>
            <w:tcW w:w="24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300" w:type="dxa"/>
            <w:vAlign w:val="bottom"/>
            <w:tcBorders>
              <w:top w:val="single" w:sz="8" w:color="E5E5E5"/>
            </w:tcBorders>
            <w:shd w:val="clear" w:color="auto" w:fill="E5E5E5"/>
          </w:tcPr>
          <w:p>
            <w:pPr>
              <w:spacing w:after="0"/>
              <w:rPr>
                <w:sz w:val="8"/>
                <w:szCs w:val="8"/>
                <w:color w:val="auto"/>
              </w:rPr>
            </w:pPr>
          </w:p>
        </w:tc>
        <w:tc>
          <w:tcPr>
            <w:tcW w:w="260" w:type="dxa"/>
            <w:vAlign w:val="bottom"/>
            <w:tcBorders>
              <w:top w:val="single" w:sz="8" w:color="E5E5E5"/>
            </w:tcBorders>
            <w:shd w:val="clear" w:color="auto" w:fill="E5E5E5"/>
          </w:tcPr>
          <w:p>
            <w:pPr>
              <w:spacing w:after="0"/>
              <w:rPr>
                <w:sz w:val="8"/>
                <w:szCs w:val="8"/>
                <w:color w:val="auto"/>
              </w:rPr>
            </w:pPr>
          </w:p>
        </w:tc>
        <w:tc>
          <w:tcPr>
            <w:tcW w:w="640" w:type="dxa"/>
            <w:vAlign w:val="bottom"/>
            <w:tcBorders>
              <w:top w:val="single" w:sz="8" w:color="E5E5E5"/>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840105</wp:posOffset>
            </wp:positionV>
            <wp:extent cx="7029450" cy="68580"/>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-8255</wp:posOffset>
            </wp:positionV>
            <wp:extent cx="4123055" cy="8890"/>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817" w:lineRule="exact"/>
        <w:rPr>
          <w:sz w:val="20"/>
          <w:szCs w:val="20"/>
          <w:color w:val="auto"/>
        </w:rPr>
      </w:pPr>
    </w:p>
    <w:p>
      <w:pPr>
        <w:sectPr>
          <w:pgSz w:w="11900" w:h="16838" w:orient="portrait"/>
          <w:cols w:equalWidth="0" w:num="2">
            <w:col w:w="3920" w:space="720"/>
            <w:col w:w="65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Summary</w:t>
      </w:r>
    </w:p>
    <w:p>
      <w:pPr>
        <w:spacing w:after="0" w:line="135"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3F3F3F"/>
        </w:rPr>
        <w:t>We were pleased to have received 86% approval for our shareholder advisory vote regarding NEO compensation at our 2023 Annual Meeting, which we believe validates our performance-based compensation philosophy, the then-announced transition of our leadership structure and the phasing out of legacy compensation arrangements that we inherited from Pfizer and Mylan.</w:t>
      </w:r>
    </w:p>
    <w:p>
      <w:pPr>
        <w:spacing w:after="0" w:line="10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3F3F3F"/>
        </w:rPr>
        <w:t>In our discussions with shareholders, they expressed strong support for our simplified and performance-based compensation program going forward. </w:t>
      </w:r>
    </w:p>
    <w:p>
      <w:pPr>
        <w:spacing w:after="0" w:line="7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 xml:space="preserve">Following the conclusion of our very successful legacy management transitions that took place this year, </w:t>
      </w:r>
      <w:r>
        <w:rPr>
          <w:rFonts w:ascii="Arial" w:cs="Arial" w:eastAsia="Arial" w:hAnsi="Arial"/>
          <w:sz w:val="18"/>
          <w:szCs w:val="18"/>
          <w:i w:val="1"/>
          <w:iCs w:val="1"/>
          <w:color w:val="3F3F3F"/>
        </w:rPr>
        <w:t>our compensation program no</w:t>
      </w:r>
      <w:r>
        <w:rPr>
          <w:rFonts w:ascii="Arial" w:cs="Arial" w:eastAsia="Arial" w:hAnsi="Arial"/>
          <w:sz w:val="18"/>
          <w:szCs w:val="18"/>
          <w:color w:val="3F3F3F"/>
        </w:rPr>
        <w:t xml:space="preserve"> </w:t>
      </w:r>
      <w:r>
        <w:rPr>
          <w:rFonts w:ascii="Arial" w:cs="Arial" w:eastAsia="Arial" w:hAnsi="Arial"/>
          <w:sz w:val="18"/>
          <w:szCs w:val="18"/>
          <w:i w:val="1"/>
          <w:iCs w:val="1"/>
          <w:color w:val="3F3F3F"/>
        </w:rPr>
        <w:t>longer has any significant outstanding legacy arrangements</w:t>
      </w:r>
      <w:r>
        <w:rPr>
          <w:rFonts w:ascii="Arial" w:cs="Arial" w:eastAsia="Arial" w:hAnsi="Arial"/>
          <w:sz w:val="18"/>
          <w:szCs w:val="18"/>
          <w:color w:val="3F3F3F"/>
        </w:rPr>
        <w:t>. Although certain of these legacy arrangements are reflected in our 2023</w:t>
      </w:r>
      <w:r>
        <w:rPr>
          <w:rFonts w:ascii="Arial" w:cs="Arial" w:eastAsia="Arial" w:hAnsi="Arial"/>
          <w:sz w:val="18"/>
          <w:szCs w:val="18"/>
          <w:i w:val="1"/>
          <w:iCs w:val="1"/>
          <w:color w:val="3F3F3F"/>
        </w:rPr>
        <w:t xml:space="preserve"> </w:t>
      </w:r>
      <w:r>
        <w:rPr>
          <w:rFonts w:ascii="Arial" w:cs="Arial" w:eastAsia="Arial" w:hAnsi="Arial"/>
          <w:sz w:val="18"/>
          <w:szCs w:val="18"/>
          <w:color w:val="3F3F3F"/>
        </w:rPr>
        <w:t>Summary Compensation Table, each matter was previously disclosed and discussed in advance with our shareholders, which we believe led to shareholder support for our prior shareholder advisory votes (including the strong 86% support last year). Importantly, our transitional arrangements with Messrs. Coury and Malik simply reflect the Company honoring past contractual and economic commitments without additional cash or equity compensation. Moreover, in response to our discussions with shareholders in recent years, we also increased the percentage of performance-based equity awards from 60% to 65%; eliminated legacy excise tax gross-ups; eliminated modified single-trigger severance arrangements; committed to no new fixed-term NEO employment agreements; discontinued tax equalization benefits; and committed to no longer provide strictly time-based cash retention awards (except in extraordinary situations and in connection with new hires) or supplemental retirement benefit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Our Compensation Structure is Approximately Two-Thirds Performance Based and Does Not Include Special Incentives</w:t>
      </w:r>
    </w:p>
    <w:p>
      <w:pPr>
        <w:spacing w:after="0" w:line="144"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3F3F3F"/>
        </w:rPr>
        <w:t>Our Compensation Committee has implemented a simple and performance-focused compensation program for NEOs which, excluding arrangements which may be necessary in connection with recruiting new hires, is limited to base salary, a performance-based short-term incentive award and long-term incentive awards consisting of performance-based restricted stock units (“PRSUs”) and RSUs. For fiscal year 2023, 62% of NEO total target compensation was performance-based and 70% of NEO total target compensation was delivered as long-term equity.</w:t>
      </w:r>
    </w:p>
    <w:p>
      <w:pPr>
        <w:spacing w:after="0" w:line="176" w:lineRule="exact"/>
        <w:rPr>
          <w:sz w:val="20"/>
          <w:szCs w:val="20"/>
          <w:color w:val="auto"/>
        </w:rPr>
      </w:pPr>
    </w:p>
    <w:p>
      <w:pPr>
        <w:ind w:left="120" w:right="460"/>
        <w:spacing w:after="0" w:line="247" w:lineRule="auto"/>
        <w:rPr>
          <w:sz w:val="20"/>
          <w:szCs w:val="20"/>
          <w:color w:val="auto"/>
        </w:rPr>
      </w:pPr>
      <w:r>
        <w:rPr>
          <w:rFonts w:ascii="Arial" w:cs="Arial" w:eastAsia="Arial" w:hAnsi="Arial"/>
          <w:sz w:val="18"/>
          <w:szCs w:val="18"/>
          <w:color w:val="3F3F3F"/>
        </w:rPr>
        <w:t>In addition, our PRSUs are subject to a total shareholder return (“TSR”) performance modifier assessed over a three-year time frame relative to the S&amp;P 500 Pharmaceutical Index. Our first long-term PRSUs (awarded in 2021) that vested in 2024 were automatically reduced by 30% consistent with the design of the TSR modifier and reflects alignment of our compensation structure with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139700</wp:posOffset>
            </wp:positionV>
            <wp:extent cx="1859915" cy="145732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1859915" cy="145732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139700</wp:posOffset>
            </wp:positionV>
            <wp:extent cx="1877695" cy="145732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18776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80"/>
        <w:spacing w:after="0"/>
        <w:rPr>
          <w:sz w:val="20"/>
          <w:szCs w:val="20"/>
          <w:color w:val="auto"/>
        </w:rPr>
      </w:pPr>
      <w:r>
        <w:rPr>
          <w:rFonts w:ascii="Arial" w:cs="Arial" w:eastAsia="Arial" w:hAnsi="Arial"/>
          <w:sz w:val="16"/>
          <w:szCs w:val="16"/>
          <w:color w:val="3F3F3F"/>
        </w:rPr>
        <w:t xml:space="preserve">*Excludes Mr. Goettler 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123825</wp:posOffset>
            </wp:positionV>
            <wp:extent cx="5760720" cy="43180"/>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5760720" cy="43180"/>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49 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Leadership Transitions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Executive Chairman Transition</w:t>
      </w:r>
    </w:p>
    <w:p>
      <w:pPr>
        <w:spacing w:after="0" w:line="108" w:lineRule="exact"/>
        <w:rPr>
          <w:sz w:val="20"/>
          <w:szCs w:val="20"/>
          <w:color w:val="auto"/>
        </w:rPr>
      </w:pPr>
    </w:p>
    <w:p>
      <w:pPr>
        <w:ind w:left="120" w:right="260"/>
        <w:spacing w:after="0" w:line="253" w:lineRule="auto"/>
        <w:rPr>
          <w:sz w:val="20"/>
          <w:szCs w:val="20"/>
          <w:color w:val="auto"/>
        </w:rPr>
      </w:pPr>
      <w:r>
        <w:rPr>
          <w:rFonts w:ascii="Arial" w:cs="Arial" w:eastAsia="Arial" w:hAnsi="Arial"/>
          <w:sz w:val="17"/>
          <w:szCs w:val="17"/>
          <w:color w:val="3F3F3F"/>
        </w:rPr>
        <w:t>In light of the leadership and oversight of the Former Executive Chairman in developing our comprehensive strategies for growth while streamlining the Company, the substantial success and progress on and overall performance with respect to the Company’s Phase 1 objectives, and in preparation for the Company’s move into the next phase of our strategic plan, the independent members of the Board believed it was an appropriate time to consider a transition to a more conventional Board leadership structure, which we had previously informed shareholders we would do at the appropriate time for the Company. In 2023, the Board approached Robert J. Coury, and</w:t>
      </w:r>
    </w:p>
    <w:p>
      <w:pPr>
        <w:jc w:val="both"/>
        <w:ind w:left="120" w:right="120"/>
        <w:spacing w:after="0" w:line="242" w:lineRule="auto"/>
        <w:rPr>
          <w:sz w:val="20"/>
          <w:szCs w:val="20"/>
          <w:color w:val="auto"/>
        </w:rPr>
      </w:pPr>
      <w:r>
        <w:rPr>
          <w:rFonts w:ascii="Arial" w:cs="Arial" w:eastAsia="Arial" w:hAnsi="Arial"/>
          <w:sz w:val="18"/>
          <w:szCs w:val="18"/>
          <w:color w:val="3F3F3F"/>
        </w:rPr>
        <w:t>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w:t>
      </w:r>
    </w:p>
    <w:p>
      <w:pPr>
        <w:spacing w:after="0" w:line="98"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color w:val="3F3F3F"/>
        </w:rPr>
        <w:t>In connection with this transition, Mr. Coury was treated as separating from employment for Good Reason for severance benefit purposes (as defined in, and pursuant to, his Executive Employment Agreement). Importantly, our transitional arrangement with Mr. Coury involved the Company honoring past contractual and economic commitments while he remains available to provide strategic guidance without any additional grants of cash or equity compensation beyond what was already committed under prior agreements.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Other Executive Transitions</w:t>
      </w:r>
    </w:p>
    <w:p>
      <w:pPr>
        <w:spacing w:after="0" w:line="108" w:lineRule="exact"/>
        <w:rPr>
          <w:sz w:val="20"/>
          <w:szCs w:val="20"/>
          <w:color w:val="auto"/>
        </w:rPr>
      </w:pPr>
    </w:p>
    <w:p>
      <w:pPr>
        <w:ind w:left="120" w:right="220"/>
        <w:spacing w:after="0"/>
        <w:rPr>
          <w:sz w:val="20"/>
          <w:szCs w:val="20"/>
          <w:color w:val="auto"/>
        </w:rPr>
      </w:pPr>
      <w:r>
        <w:rPr>
          <w:rFonts w:ascii="Arial" w:cs="Arial" w:eastAsia="Arial" w:hAnsi="Arial"/>
          <w:sz w:val="18"/>
          <w:szCs w:val="18"/>
          <w:color w:val="3F3F3F"/>
        </w:rPr>
        <w:t>Rajiv Malik, Former President, retired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the Company’s senior management team, the Board requested and Mr. Malik agreed to consult with the Company on operational matters. Mr. Malik also agreed to remain a member of the Board. Mr. Malik will receive a pro rata bonus for 2024 reflecting his period of executive service and his currently outstanding equity awards will continue vesting during his service (or earlier upon certain qualifying terminations of Board or consulting services). Mr. Malik was not granted any additional awards or other compensation for his consulting services.</w:t>
      </w:r>
    </w:p>
    <w:p>
      <w:pPr>
        <w:spacing w:after="0" w:line="117"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3F3F3F"/>
        </w:rPr>
        <w:t>Anthony Mauro, Former President, Developed Markets, departed from the Company effective as of April 1, 2024 as a result of an elimination of his position in connection with a realignment of the Company’s commercial function. Mr. Mauro received severance benefits equal to two times his base salary and target bonus, subject to a release of claims and other customary conditions. Mr. Mauro will receive a pro rata bonus for 2024 reflecting his period of executive service. Unvested equity awards that Mr. Mauro held as of his separation were forfeited, unless otherwise provided in the applicable award agreements.</w:t>
      </w:r>
    </w:p>
    <w:p>
      <w:pPr>
        <w:spacing w:after="0" w:line="1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Sanjeev Narula, Former Chief Financial Officer, departed from the Company effective March 5, 2024. Mr. Narula received severance benefits based on a termination without cause equal to two times his base salary and target bonus. Mr. Narula will receive a pro rata bonus for 2024 reflecting his period of executive service and is eligible to receive a pro rata portion of his PRSUs granted in 2022 and 2023 based on actual performance at the end of the applicable performance period. Other unvested equity awards that Mr. Narula held as of his separation were forfeited.</w:t>
      </w:r>
    </w:p>
    <w:p>
      <w:pPr>
        <w:spacing w:after="0" w:line="9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3F3F3F"/>
        </w:rPr>
        <w:t>Michael Goettler, Former Chief Executive Officer, departed from the Company effective April 1, 2023. Mr. Goettler received a pro rata bonus for 2023 reflecting his period of executive service and severance benefits based on a termination without cause equal to two and a half times his base salary and target bonus. Unvested equity awards that Mr. Goettler held as of his separation were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Selected Highlights and Recent Developments</w:t>
      </w:r>
    </w:p>
    <w:p>
      <w:pPr>
        <w:spacing w:after="0" w:line="131"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3F3F3F"/>
        </w:rPr>
        <w:t>Viatris’ management continues to execute on the strategic priorities previously outlined to shareholders and again achieved several notable accomplishments in 2023, furthering the Company’s strategic plan.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Financial and Operational Performance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In 2023, Viatris delivered another four quarters of consistent, solid operational performance across all segments. We:</w:t>
      </w:r>
    </w:p>
    <w:p>
      <w:pPr>
        <w:spacing w:after="0" w:line="117" w:lineRule="exact"/>
        <w:rPr>
          <w:sz w:val="20"/>
          <w:szCs w:val="20"/>
          <w:color w:val="auto"/>
        </w:rPr>
      </w:pPr>
    </w:p>
    <w:p>
      <w:pPr>
        <w:ind w:left="340" w:hanging="224"/>
        <w:spacing w:after="0" w:line="271" w:lineRule="auto"/>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Reported total revenues of $15.4 billion; U.S. GAAP net earnings of $54.7 million; adjusted EBITDA of $5.1 billion; U.S. GAAP net cash provided by operating activities of $2.8 billion and free cash flow of $2.4 billion.</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Paid down approximately $1.25 billion of debt.</w:t>
      </w:r>
    </w:p>
    <w:p>
      <w:pPr>
        <w:spacing w:after="0" w:line="157" w:lineRule="exact"/>
        <w:rPr>
          <w:rFonts w:ascii="Arial" w:cs="Arial" w:eastAsia="Arial" w:hAnsi="Arial"/>
          <w:sz w:val="18"/>
          <w:szCs w:val="18"/>
          <w:color w:val="3F3F3F"/>
        </w:rPr>
      </w:pPr>
    </w:p>
    <w:p>
      <w:pPr>
        <w:ind w:left="340" w:hanging="224"/>
        <w:spacing w:after="0"/>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Generated new product revenues</w:t>
      </w:r>
      <w:r>
        <w:rPr>
          <w:rFonts w:ascii="Arial" w:cs="Arial" w:eastAsia="Arial" w:hAnsi="Arial"/>
          <w:sz w:val="26"/>
          <w:szCs w:val="26"/>
          <w:color w:val="3F3F3F"/>
          <w:vertAlign w:val="superscript"/>
        </w:rPr>
        <w:t>4</w:t>
      </w:r>
      <w:r>
        <w:rPr>
          <w:rFonts w:ascii="Arial" w:cs="Arial" w:eastAsia="Arial" w:hAnsi="Arial"/>
          <w:sz w:val="18"/>
          <w:szCs w:val="18"/>
          <w:color w:val="3F3F3F"/>
        </w:rPr>
        <w:t xml:space="preserve"> of approximately $450 million.</w:t>
      </w:r>
    </w:p>
    <w:p>
      <w:pPr>
        <w:spacing w:after="0" w:line="66" w:lineRule="exact"/>
        <w:rPr>
          <w:rFonts w:ascii="Arial" w:cs="Arial" w:eastAsia="Arial" w:hAnsi="Arial"/>
          <w:sz w:val="18"/>
          <w:szCs w:val="18"/>
          <w:color w:val="3F3F3F"/>
        </w:rPr>
      </w:pPr>
    </w:p>
    <w:p>
      <w:pPr>
        <w:ind w:left="340" w:hanging="224"/>
        <w:spacing w:after="0"/>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Maintained the quarterly dividend payment of $0.12 per share.</w:t>
      </w:r>
    </w:p>
    <w:p>
      <w:pPr>
        <w:spacing w:after="0" w:line="115" w:lineRule="exact"/>
        <w:rPr>
          <w:rFonts w:ascii="Arial" w:cs="Arial" w:eastAsia="Arial" w:hAnsi="Arial"/>
          <w:sz w:val="18"/>
          <w:szCs w:val="18"/>
          <w:color w:val="3F3F3F"/>
        </w:rPr>
      </w:pPr>
    </w:p>
    <w:p>
      <w:pPr>
        <w:ind w:left="340" w:right="320" w:hanging="224"/>
        <w:spacing w:after="0" w:line="271" w:lineRule="auto"/>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Returned capital to shareholders in the form of $576 million in dividends and $250 million in share buybacks, totaling approximately $830 million.</w:t>
      </w:r>
    </w:p>
    <w:p>
      <w:pPr>
        <w:spacing w:after="0" w:line="99" w:lineRule="exact"/>
        <w:rPr>
          <w:rFonts w:ascii="Arial" w:cs="Arial" w:eastAsia="Arial" w:hAnsi="Arial"/>
          <w:sz w:val="18"/>
          <w:szCs w:val="18"/>
          <w:color w:val="3F3F3F"/>
        </w:rPr>
      </w:pPr>
    </w:p>
    <w:p>
      <w:pPr>
        <w:ind w:left="340" w:hanging="224"/>
        <w:spacing w:after="0"/>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Supplied high-quality medicines to approximately 1 billion patients around the world.</w:t>
      </w:r>
      <w:r>
        <w:rPr>
          <w:rFonts w:ascii="Arial" w:cs="Arial" w:eastAsia="Arial" w:hAnsi="Arial"/>
          <w:sz w:val="26"/>
          <w:szCs w:val="26"/>
          <w:color w:val="3F3F3F"/>
          <w:vertAlign w:val="superscript"/>
        </w:rPr>
        <w:t>1</w:t>
      </w:r>
    </w:p>
    <w:p>
      <w:pPr>
        <w:spacing w:after="0" w:line="66" w:lineRule="exact"/>
        <w:rPr>
          <w:rFonts w:ascii="Arial" w:cs="Arial" w:eastAsia="Arial" w:hAnsi="Arial"/>
          <w:sz w:val="18"/>
          <w:szCs w:val="18"/>
          <w:color w:val="3F3F3F"/>
        </w:rPr>
      </w:pPr>
    </w:p>
    <w:p>
      <w:pPr>
        <w:ind w:left="340" w:hanging="224"/>
        <w:spacing w:after="0"/>
        <w:tabs>
          <w:tab w:leader="none" w:pos="340" w:val="left"/>
        </w:tabs>
        <w:numPr>
          <w:ilvl w:val="0"/>
          <w:numId w:val="34"/>
        </w:numPr>
        <w:rPr>
          <w:rFonts w:ascii="Arial" w:cs="Arial" w:eastAsia="Arial" w:hAnsi="Arial"/>
          <w:sz w:val="18"/>
          <w:szCs w:val="18"/>
          <w:color w:val="3F3F3F"/>
        </w:rPr>
      </w:pPr>
      <w:r>
        <w:rPr>
          <w:rFonts w:ascii="Arial" w:cs="Arial" w:eastAsia="Arial" w:hAnsi="Arial"/>
          <w:sz w:val="18"/>
          <w:szCs w:val="18"/>
          <w:color w:val="3F3F3F"/>
        </w:rPr>
        <w:t>Executed on the previously announced key divestitures.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Science and Regulatory Achievements</w:t>
      </w:r>
    </w:p>
    <w:p>
      <w:pPr>
        <w:spacing w:after="0" w:line="149" w:lineRule="exact"/>
        <w:rPr>
          <w:sz w:val="20"/>
          <w:szCs w:val="20"/>
          <w:color w:val="auto"/>
        </w:rPr>
      </w:pPr>
    </w:p>
    <w:p>
      <w:pPr>
        <w:ind w:left="120" w:right="360"/>
        <w:spacing w:after="0" w:line="259" w:lineRule="auto"/>
        <w:rPr>
          <w:sz w:val="20"/>
          <w:szCs w:val="20"/>
          <w:color w:val="auto"/>
        </w:rPr>
      </w:pPr>
      <w:r>
        <w:rPr>
          <w:rFonts w:ascii="Arial" w:cs="Arial" w:eastAsia="Arial" w:hAnsi="Arial"/>
          <w:sz w:val="17"/>
          <w:szCs w:val="17"/>
          <w:color w:val="3F3F3F"/>
        </w:rPr>
        <w:t>Viatris has products across more than 10 therapeutic areas and has more than 250 medicines on the WHO’s EML. We have industry-leading science, development, regulatory and manufacturing capabilities complemented by a strong commitment to quality and an unparalleled geographic footprint to deliver high-quality medicines. In 2023, this included more than 3,000 scientists and medical professionals working across 11 development centers globally in multiple technology platforms and therapeutic areas, coupled with in-country regulatory expertise in 55 markets. During 2023, we continued to advance key development programs across complex injectables, novel products, complex generics, as well as progressed our efforts to establish a Phase III-ready eye care pipeline. We:</w:t>
      </w:r>
    </w:p>
    <w:p>
      <w:pPr>
        <w:spacing w:after="0" w:line="111"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3F3F3F"/>
        </w:rPr>
      </w:pPr>
      <w:r>
        <w:rPr>
          <w:rFonts w:ascii="Arial" w:cs="Arial" w:eastAsia="Arial" w:hAnsi="Arial"/>
          <w:sz w:val="18"/>
          <w:szCs w:val="18"/>
          <w:color w:val="3F3F3F"/>
        </w:rPr>
        <w:t>Launched Breyna</w:t>
      </w:r>
      <w:r>
        <w:rPr>
          <w:rFonts w:ascii="Arial" w:cs="Arial" w:eastAsia="Arial" w:hAnsi="Arial"/>
          <w:sz w:val="26"/>
          <w:szCs w:val="26"/>
          <w:color w:val="3F3F3F"/>
          <w:vertAlign w:val="superscript"/>
        </w:rPr>
        <w:t>™</w:t>
      </w:r>
      <w:r>
        <w:rPr>
          <w:rFonts w:ascii="Arial" w:cs="Arial" w:eastAsia="Arial" w:hAnsi="Arial"/>
          <w:sz w:val="18"/>
          <w:szCs w:val="18"/>
          <w:color w:val="3F3F3F"/>
        </w:rPr>
        <w:t>, the first U.S. Food and Drug Administration (“FDA”)-approved generic version of Symbicort</w:t>
      </w:r>
      <w:r>
        <w:rPr>
          <w:rFonts w:ascii="Arial" w:cs="Arial" w:eastAsia="Arial" w:hAnsi="Arial"/>
          <w:sz w:val="26"/>
          <w:szCs w:val="26"/>
          <w:color w:val="3F3F3F"/>
          <w:vertAlign w:val="superscript"/>
        </w:rPr>
        <w:t>®</w:t>
      </w:r>
      <w:r>
        <w:rPr>
          <w:rFonts w:ascii="Arial" w:cs="Arial" w:eastAsia="Arial" w:hAnsi="Arial"/>
          <w:sz w:val="18"/>
          <w:szCs w:val="18"/>
          <w:color w:val="3F3F3F"/>
        </w:rPr>
        <w:t>.</w:t>
      </w:r>
    </w:p>
    <w:p>
      <w:pPr>
        <w:spacing w:after="0" w:line="133" w:lineRule="exact"/>
        <w:rPr>
          <w:rFonts w:ascii="Arial" w:cs="Arial" w:eastAsia="Arial" w:hAnsi="Arial"/>
          <w:sz w:val="18"/>
          <w:szCs w:val="18"/>
          <w:color w:val="3F3F3F"/>
        </w:rPr>
      </w:pPr>
    </w:p>
    <w:p>
      <w:pPr>
        <w:ind w:left="340" w:hanging="224"/>
        <w:spacing w:after="0"/>
        <w:tabs>
          <w:tab w:leader="none" w:pos="340" w:val="left"/>
        </w:tabs>
        <w:numPr>
          <w:ilvl w:val="0"/>
          <w:numId w:val="35"/>
        </w:numPr>
        <w:rPr>
          <w:rFonts w:ascii="Arial" w:cs="Arial" w:eastAsia="Arial" w:hAnsi="Arial"/>
          <w:sz w:val="18"/>
          <w:szCs w:val="18"/>
          <w:color w:val="3F3F3F"/>
        </w:rPr>
      </w:pPr>
      <w:r>
        <w:rPr>
          <w:rFonts w:ascii="Arial" w:cs="Arial" w:eastAsia="Arial" w:hAnsi="Arial"/>
          <w:sz w:val="18"/>
          <w:szCs w:val="18"/>
          <w:color w:val="3F3F3F"/>
        </w:rPr>
        <w:t>Positive top-line results for Yupelri</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(revefenacin) Phase III trial in China.</w:t>
      </w:r>
    </w:p>
    <w:p>
      <w:pPr>
        <w:spacing w:after="0" w:line="133" w:lineRule="exact"/>
        <w:rPr>
          <w:rFonts w:ascii="Arial" w:cs="Arial" w:eastAsia="Arial" w:hAnsi="Arial"/>
          <w:sz w:val="18"/>
          <w:szCs w:val="18"/>
          <w:color w:val="3F3F3F"/>
        </w:rPr>
      </w:pPr>
    </w:p>
    <w:p>
      <w:pPr>
        <w:ind w:left="340" w:hanging="224"/>
        <w:spacing w:after="0"/>
        <w:tabs>
          <w:tab w:leader="none" w:pos="340" w:val="left"/>
        </w:tabs>
        <w:numPr>
          <w:ilvl w:val="0"/>
          <w:numId w:val="35"/>
        </w:numPr>
        <w:rPr>
          <w:rFonts w:ascii="Arial" w:cs="Arial" w:eastAsia="Arial" w:hAnsi="Arial"/>
          <w:sz w:val="18"/>
          <w:szCs w:val="18"/>
          <w:color w:val="3F3F3F"/>
        </w:rPr>
      </w:pPr>
      <w:r>
        <w:rPr>
          <w:rFonts w:ascii="Arial" w:cs="Arial" w:eastAsia="Arial" w:hAnsi="Arial"/>
          <w:sz w:val="18"/>
          <w:szCs w:val="18"/>
          <w:color w:val="3F3F3F"/>
        </w:rPr>
        <w:t>FDA approval of RYZUMVI</w:t>
      </w:r>
      <w:r>
        <w:rPr>
          <w:rFonts w:ascii="Arial" w:cs="Arial" w:eastAsia="Arial" w:hAnsi="Arial"/>
          <w:sz w:val="26"/>
          <w:szCs w:val="26"/>
          <w:color w:val="3F3F3F"/>
          <w:vertAlign w:val="superscript"/>
        </w:rPr>
        <w:t>™</w:t>
      </w:r>
      <w:r>
        <w:rPr>
          <w:rFonts w:ascii="Arial" w:cs="Arial" w:eastAsia="Arial" w:hAnsi="Arial"/>
          <w:sz w:val="18"/>
          <w:szCs w:val="18"/>
          <w:color w:val="3F3F3F"/>
        </w:rPr>
        <w:t xml:space="preserve"> 0.75% eye drops for the treatment of pharmacologically-induced mydriasis.</w:t>
      </w:r>
    </w:p>
    <w:p>
      <w:pPr>
        <w:spacing w:after="0" w:line="92" w:lineRule="exact"/>
        <w:rPr>
          <w:rFonts w:ascii="Arial" w:cs="Arial" w:eastAsia="Arial" w:hAnsi="Arial"/>
          <w:sz w:val="18"/>
          <w:szCs w:val="18"/>
          <w:color w:val="3F3F3F"/>
        </w:rPr>
      </w:pPr>
    </w:p>
    <w:p>
      <w:pPr>
        <w:ind w:left="340" w:hanging="224"/>
        <w:spacing w:after="0"/>
        <w:tabs>
          <w:tab w:leader="none" w:pos="340" w:val="left"/>
        </w:tabs>
        <w:numPr>
          <w:ilvl w:val="0"/>
          <w:numId w:val="35"/>
        </w:numPr>
        <w:rPr>
          <w:rFonts w:ascii="Arial" w:cs="Arial" w:eastAsia="Arial" w:hAnsi="Arial"/>
          <w:sz w:val="18"/>
          <w:szCs w:val="18"/>
          <w:color w:val="3F3F3F"/>
        </w:rPr>
      </w:pPr>
      <w:r>
        <w:rPr>
          <w:rFonts w:ascii="Arial" w:cs="Arial" w:eastAsia="Arial" w:hAnsi="Arial"/>
          <w:sz w:val="18"/>
          <w:szCs w:val="18"/>
          <w:color w:val="3F3F3F"/>
        </w:rPr>
        <w:t>Executed successful transition of global biosimilars business to Biocon Biologics Limited.</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35"/>
        </w:numPr>
        <w:rPr>
          <w:rFonts w:ascii="Arial" w:cs="Arial" w:eastAsia="Arial" w:hAnsi="Arial"/>
          <w:sz w:val="18"/>
          <w:szCs w:val="18"/>
          <w:color w:val="3F3F3F"/>
        </w:rPr>
      </w:pPr>
      <w:r>
        <w:rPr>
          <w:rFonts w:ascii="Arial" w:cs="Arial" w:eastAsia="Arial" w:hAnsi="Arial"/>
          <w:sz w:val="18"/>
          <w:szCs w:val="18"/>
          <w:color w:val="3F3F3F"/>
        </w:rPr>
        <w:t>Integrated Oyster Point and Famy Life Sciences acquisitions and successfully created the Viatris Eye Care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5" w:lineRule="exact"/>
        <w:rPr>
          <w:sz w:val="20"/>
          <w:szCs w:val="20"/>
          <w:color w:val="auto"/>
        </w:rPr>
      </w:pPr>
    </w:p>
    <w:p>
      <w:pPr>
        <w:ind w:left="340" w:right="320" w:hanging="224"/>
        <w:spacing w:after="0" w:line="245" w:lineRule="auto"/>
        <w:tabs>
          <w:tab w:leader="none" w:pos="340" w:val="left"/>
        </w:tabs>
        <w:numPr>
          <w:ilvl w:val="0"/>
          <w:numId w:val="36"/>
        </w:numPr>
        <w:rPr>
          <w:rFonts w:ascii="Arial" w:cs="Arial" w:eastAsia="Arial" w:hAnsi="Arial"/>
          <w:sz w:val="27"/>
          <w:szCs w:val="27"/>
          <w:color w:val="3F3F3F"/>
          <w:vertAlign w:val="superscript"/>
        </w:rPr>
      </w:pPr>
      <w:r>
        <w:rPr>
          <w:rFonts w:ascii="Arial" w:cs="Arial" w:eastAsia="Arial" w:hAnsi="Arial"/>
          <w:sz w:val="18"/>
          <w:szCs w:val="18"/>
          <w:color w:val="3F3F3F"/>
        </w:rPr>
        <w:t>Refers to revenue from new products launched in 2023 and the carryover impact of new products, including business development, launched within the last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7029450" cy="68580"/>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51 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81" w:lineRule="auto"/>
        <w:rPr>
          <w:sz w:val="20"/>
          <w:szCs w:val="20"/>
          <w:color w:val="auto"/>
        </w:rPr>
      </w:pPr>
      <w:r>
        <w:rPr>
          <w:rFonts w:ascii="Arial" w:cs="Arial" w:eastAsia="Arial" w:hAnsi="Arial"/>
          <w:sz w:val="18"/>
          <w:szCs w:val="18"/>
          <w:b w:val="1"/>
          <w:bCs w:val="1"/>
          <w:color w:val="231161"/>
        </w:rPr>
        <w:t>Our 2023 Annual Incentive Plan Payouts Aligned with Strong Financial and Operational Results and PRSUs Earned in 2024 Were Reduced Based on Our Relative Total Shareholder Return, Further Aligning Pay with Shareholder Outcomes</w:t>
      </w:r>
    </w:p>
    <w:p>
      <w:pPr>
        <w:spacing w:after="0" w:line="55" w:lineRule="exact"/>
        <w:rPr>
          <w:sz w:val="20"/>
          <w:szCs w:val="20"/>
          <w:color w:val="auto"/>
        </w:rPr>
      </w:pPr>
    </w:p>
    <w:p>
      <w:pPr>
        <w:jc w:val="both"/>
        <w:ind w:left="120" w:right="320"/>
        <w:spacing w:after="0" w:line="247" w:lineRule="auto"/>
        <w:rPr>
          <w:sz w:val="20"/>
          <w:szCs w:val="20"/>
          <w:color w:val="auto"/>
        </w:rPr>
      </w:pPr>
      <w:r>
        <w:rPr>
          <w:rFonts w:ascii="Arial" w:cs="Arial" w:eastAsia="Arial" w:hAnsi="Arial"/>
          <w:sz w:val="18"/>
          <w:szCs w:val="18"/>
          <w:b w:val="1"/>
          <w:bCs w:val="1"/>
          <w:color w:val="3F3F3F"/>
        </w:rPr>
        <w:t xml:space="preserve">Short-term incentive compensation. </w:t>
      </w:r>
      <w:r>
        <w:rPr>
          <w:rFonts w:ascii="Arial" w:cs="Arial" w:eastAsia="Arial" w:hAnsi="Arial"/>
          <w:sz w:val="18"/>
          <w:szCs w:val="18"/>
          <w:color w:val="3F3F3F"/>
        </w:rPr>
        <w:t>Comprised approximately 17% of 2023 NEO target total compensation (excluding Mr. Goettler).</w:t>
      </w:r>
      <w:r>
        <w:rPr>
          <w:rFonts w:ascii="Arial" w:cs="Arial" w:eastAsia="Arial" w:hAnsi="Arial"/>
          <w:sz w:val="18"/>
          <w:szCs w:val="18"/>
          <w:b w:val="1"/>
          <w:bCs w:val="1"/>
          <w:color w:val="3F3F3F"/>
        </w:rPr>
        <w:t xml:space="preserve"> </w:t>
      </w:r>
      <w:r>
        <w:rPr>
          <w:rFonts w:ascii="Arial" w:cs="Arial" w:eastAsia="Arial" w:hAnsi="Arial"/>
          <w:sz w:val="18"/>
          <w:szCs w:val="18"/>
          <w:color w:val="3F3F3F"/>
        </w:rPr>
        <w:t>While we believe that Viatris stock continues to be significantly undervalued, our management team’s operational execution resulted in strong performance results and corresponding above-target payouts under the 2023 short-term incentive program. Drivers of our 2023 short-term incentive results included:</w:t>
      </w:r>
    </w:p>
    <w:p>
      <w:pPr>
        <w:spacing w:after="0" w:line="79" w:lineRule="exact"/>
        <w:rPr>
          <w:sz w:val="20"/>
          <w:szCs w:val="20"/>
          <w:color w:val="auto"/>
        </w:rPr>
      </w:pPr>
    </w:p>
    <w:p>
      <w:pPr>
        <w:ind w:left="340" w:right="100" w:hanging="224"/>
        <w:spacing w:after="0" w:line="244" w:lineRule="auto"/>
        <w:tabs>
          <w:tab w:leader="none" w:pos="340" w:val="left"/>
        </w:tabs>
        <w:numPr>
          <w:ilvl w:val="0"/>
          <w:numId w:val="37"/>
        </w:numPr>
        <w:rPr>
          <w:rFonts w:ascii="Arial" w:cs="Arial" w:eastAsia="Arial" w:hAnsi="Arial"/>
          <w:sz w:val="18"/>
          <w:szCs w:val="18"/>
          <w:color w:val="3F3F3F"/>
        </w:rPr>
      </w:pPr>
      <w:r>
        <w:rPr>
          <w:rFonts w:ascii="Arial" w:cs="Arial" w:eastAsia="Arial" w:hAnsi="Arial"/>
          <w:sz w:val="18"/>
          <w:szCs w:val="18"/>
          <w:color w:val="3F3F3F"/>
        </w:rPr>
        <w:t>Above-target adjusted EBITDA and free cash flow for short-term incentive compensation purposes, driven by the focus and efforts of the Company’s management and the success of the Company’s cash optimization efforts. For more information on and the differences between how adjusted EBITDA and free cash flow are calculated for purposes of the Company’s 2023 short-term incentive compensation and public reporting purposes, see “Elements of 2023 Compensation – 2023 Annual Incentive Compensation Program – Annual Incentive Compensation Awards for 2023” on page 54.</w:t>
      </w:r>
    </w:p>
    <w:p>
      <w:pPr>
        <w:spacing w:after="0" w:line="81" w:lineRule="exact"/>
        <w:rPr>
          <w:rFonts w:ascii="Arial" w:cs="Arial" w:eastAsia="Arial" w:hAnsi="Arial"/>
          <w:sz w:val="18"/>
          <w:szCs w:val="18"/>
          <w:color w:val="3F3F3F"/>
        </w:rPr>
      </w:pPr>
    </w:p>
    <w:p>
      <w:pPr>
        <w:ind w:left="340" w:right="120" w:hanging="224"/>
        <w:spacing w:after="0" w:line="271" w:lineRule="auto"/>
        <w:tabs>
          <w:tab w:leader="none" w:pos="340" w:val="left"/>
        </w:tabs>
        <w:numPr>
          <w:ilvl w:val="0"/>
          <w:numId w:val="37"/>
        </w:numPr>
        <w:rPr>
          <w:rFonts w:ascii="Arial" w:cs="Arial" w:eastAsia="Arial" w:hAnsi="Arial"/>
          <w:sz w:val="18"/>
          <w:szCs w:val="18"/>
          <w:color w:val="3F3F3F"/>
        </w:rPr>
      </w:pPr>
      <w:r>
        <w:rPr>
          <w:rFonts w:ascii="Arial" w:cs="Arial" w:eastAsia="Arial" w:hAnsi="Arial"/>
          <w:sz w:val="18"/>
          <w:szCs w:val="18"/>
          <w:color w:val="3F3F3F"/>
        </w:rPr>
        <w:t>Above-target global product submissions, across broad and therapeutic-area agnostic product categories, driven by the strength of the Company’s development programs and successful acceleration of certain additional submissions.</w:t>
      </w:r>
    </w:p>
    <w:p>
      <w:pPr>
        <w:spacing w:after="0" w:line="8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3F3F3F"/>
        </w:rPr>
        <w:t>The setting of the annual incentive performance metric targets was established to reflect higher expectations regarding incremental R&amp;D expense, incremental cost inflation and expectations regarding foreign exchange rates.</w:t>
      </w:r>
    </w:p>
    <w:p>
      <w:pPr>
        <w:spacing w:after="0" w:line="15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b w:val="1"/>
          <w:bCs w:val="1"/>
          <w:color w:val="3F3F3F"/>
        </w:rPr>
        <w:t xml:space="preserve">Long-term incentive compensation. </w:t>
      </w:r>
      <w:r>
        <w:rPr>
          <w:rFonts w:ascii="Arial" w:cs="Arial" w:eastAsia="Arial" w:hAnsi="Arial"/>
          <w:sz w:val="18"/>
          <w:szCs w:val="18"/>
          <w:color w:val="3F3F3F"/>
        </w:rPr>
        <w:t>PRSUs that vested in 2024 were subject to a free cash flow metric, a leverage metric and relative</w:t>
      </w:r>
      <w:r>
        <w:rPr>
          <w:rFonts w:ascii="Arial" w:cs="Arial" w:eastAsia="Arial" w:hAnsi="Arial"/>
          <w:sz w:val="18"/>
          <w:szCs w:val="18"/>
          <w:b w:val="1"/>
          <w:bCs w:val="1"/>
          <w:color w:val="3F3F3F"/>
        </w:rPr>
        <w:t xml:space="preserve"> </w:t>
      </w:r>
      <w:r>
        <w:rPr>
          <w:rFonts w:ascii="Arial" w:cs="Arial" w:eastAsia="Arial" w:hAnsi="Arial"/>
          <w:sz w:val="18"/>
          <w:szCs w:val="18"/>
          <w:color w:val="3F3F3F"/>
        </w:rPr>
        <w:t>market performance metric (i.e., relative TSR using the S&amp;P 500 Pharmaceutical Index, which is used as a modifier to determine the final payout percentage) over a three-year time period. These awards were automatically reduced by 30% at vesting due to our stock price, which we believe is significantly undervalued. For more information on and the differences between how free cash flow and leverage ratio are calculated for purposes of long-term incentive compensation and public reporting purposes, see page 57 and Appendix B. This result demonstrates alignment of our compensation structure with shareholder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488315" cy="8890"/>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86995</wp:posOffset>
            </wp:positionV>
            <wp:extent cx="6998970" cy="236156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6998970" cy="2361565"/>
                    </a:xfrm>
                    <a:prstGeom prst="rect">
                      <a:avLst/>
                    </a:prstGeom>
                    <a:noFill/>
                  </pic:spPr>
                </pic:pic>
              </a:graphicData>
            </a:graphic>
          </wp:anchor>
        </w:drawing>
      </w:r>
    </w:p>
    <w:p>
      <w:pPr>
        <w:spacing w:after="0" w:line="142" w:lineRule="exact"/>
        <w:rPr>
          <w:sz w:val="20"/>
          <w:szCs w:val="20"/>
          <w:color w:val="auto"/>
        </w:rPr>
      </w:pPr>
    </w:p>
    <w:p>
      <w:pPr>
        <w:ind w:left="240" w:right="540"/>
        <w:spacing w:after="0" w:line="247" w:lineRule="auto"/>
        <w:rPr>
          <w:sz w:val="20"/>
          <w:szCs w:val="20"/>
          <w:color w:val="auto"/>
        </w:rPr>
      </w:pPr>
      <w:r>
        <w:rPr>
          <w:rFonts w:ascii="Arial" w:cs="Arial" w:eastAsia="Arial" w:hAnsi="Arial"/>
          <w:sz w:val="18"/>
          <w:szCs w:val="18"/>
          <w:color w:val="3F3F3F"/>
        </w:rPr>
        <w:t>The Compensation Committee and Board’s compensation philosophy for 2023 reflects the Company’s continued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w:t>
      </w:r>
    </w:p>
    <w:p>
      <w:pPr>
        <w:spacing w:after="0" w:line="79" w:lineRule="exact"/>
        <w:rPr>
          <w:sz w:val="20"/>
          <w:szCs w:val="20"/>
          <w:color w:val="auto"/>
        </w:rPr>
      </w:pPr>
    </w:p>
    <w:p>
      <w:pPr>
        <w:ind w:left="560" w:right="160" w:hanging="215"/>
        <w:spacing w:after="0" w:line="244" w:lineRule="auto"/>
        <w:tabs>
          <w:tab w:leader="none" w:pos="560" w:val="left"/>
        </w:tabs>
        <w:numPr>
          <w:ilvl w:val="0"/>
          <w:numId w:val="38"/>
        </w:numPr>
        <w:rPr>
          <w:rFonts w:ascii="Arial" w:cs="Arial" w:eastAsia="Arial" w:hAnsi="Arial"/>
          <w:sz w:val="18"/>
          <w:szCs w:val="18"/>
          <w:color w:val="3F3F3F"/>
        </w:rPr>
      </w:pPr>
      <w:r>
        <w:rPr>
          <w:rFonts w:ascii="Arial" w:cs="Arial" w:eastAsia="Arial" w:hAnsi="Arial"/>
          <w:sz w:val="18"/>
          <w:szCs w:val="18"/>
          <w:b w:val="1"/>
          <w:bCs w:val="1"/>
          <w:color w:val="9659A1"/>
        </w:rPr>
        <w:t xml:space="preserve">Attract, Motivate and Retain Highly-Skilled Executives. </w:t>
      </w:r>
      <w:r>
        <w:rPr>
          <w:rFonts w:ascii="Arial" w:cs="Arial" w:eastAsia="Arial" w:hAnsi="Arial"/>
          <w:sz w:val="18"/>
          <w:szCs w:val="18"/>
          <w:color w:val="3F3F3F"/>
        </w:rPr>
        <w:t>To attract and retain the leaders needed to drive execution of our</w:t>
      </w:r>
      <w:r>
        <w:rPr>
          <w:rFonts w:ascii="Arial" w:cs="Arial" w:eastAsia="Arial" w:hAnsi="Arial"/>
          <w:sz w:val="18"/>
          <w:szCs w:val="18"/>
          <w:b w:val="1"/>
          <w:bCs w:val="1"/>
          <w:color w:val="9659A1"/>
        </w:rPr>
        <w:t xml:space="preserve"> </w:t>
      </w:r>
      <w:r>
        <w:rPr>
          <w:rFonts w:ascii="Arial" w:cs="Arial" w:eastAsia="Arial" w:hAnsi="Arial"/>
          <w:sz w:val="18"/>
          <w:szCs w:val="18"/>
          <w:color w:val="3F3F3F"/>
        </w:rPr>
        <w:t>ambitious goals, 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w:t>
      </w:r>
    </w:p>
    <w:p>
      <w:pPr>
        <w:spacing w:after="0" w:line="81" w:lineRule="exact"/>
        <w:rPr>
          <w:rFonts w:ascii="Arial" w:cs="Arial" w:eastAsia="Arial" w:hAnsi="Arial"/>
          <w:sz w:val="18"/>
          <w:szCs w:val="18"/>
          <w:color w:val="3F3F3F"/>
        </w:rPr>
      </w:pPr>
    </w:p>
    <w:p>
      <w:pPr>
        <w:ind w:left="560" w:right="140" w:hanging="215"/>
        <w:spacing w:after="0" w:line="247" w:lineRule="auto"/>
        <w:tabs>
          <w:tab w:leader="none" w:pos="560" w:val="left"/>
        </w:tabs>
        <w:numPr>
          <w:ilvl w:val="0"/>
          <w:numId w:val="38"/>
        </w:numPr>
        <w:rPr>
          <w:rFonts w:ascii="Arial" w:cs="Arial" w:eastAsia="Arial" w:hAnsi="Arial"/>
          <w:sz w:val="18"/>
          <w:szCs w:val="18"/>
          <w:color w:val="3F3F3F"/>
        </w:rPr>
      </w:pPr>
      <w:r>
        <w:rPr>
          <w:rFonts w:ascii="Arial" w:cs="Arial" w:eastAsia="Arial" w:hAnsi="Arial"/>
          <w:sz w:val="18"/>
          <w:szCs w:val="18"/>
          <w:b w:val="1"/>
          <w:bCs w:val="1"/>
          <w:color w:val="9659A1"/>
        </w:rPr>
        <w:t xml:space="preserve">Align with Shareholder Interests. </w:t>
      </w:r>
      <w:r>
        <w:rPr>
          <w:rFonts w:ascii="Arial" w:cs="Arial" w:eastAsia="Arial" w:hAnsi="Arial"/>
          <w:sz w:val="18"/>
          <w:szCs w:val="18"/>
          <w:color w:val="3F3F3F"/>
        </w:rPr>
        <w:t>We aligned executive compensation with shareholder interests by linking pay to the Company’s</w:t>
      </w:r>
      <w:r>
        <w:rPr>
          <w:rFonts w:ascii="Arial" w:cs="Arial" w:eastAsia="Arial" w:hAnsi="Arial"/>
          <w:sz w:val="18"/>
          <w:szCs w:val="18"/>
          <w:b w:val="1"/>
          <w:bCs w:val="1"/>
          <w:color w:val="9659A1"/>
        </w:rPr>
        <w:t xml:space="preserve"> </w:t>
      </w:r>
      <w:r>
        <w:rPr>
          <w:rFonts w:ascii="Arial" w:cs="Arial" w:eastAsia="Arial" w:hAnsi="Arial"/>
          <w:sz w:val="18"/>
          <w:szCs w:val="18"/>
          <w:color w:val="3F3F3F"/>
        </w:rPr>
        <w:t>stated strategic priorities, long-term performance, and share price appreciation, including through the use of a relative TSR modifier for PRSUs in our long-term incentive plan and robust share ownership requirements. We believe this linkage helps drive long-term performance and encourages decision making to foster share price appreciation.</w:t>
      </w:r>
    </w:p>
    <w:p>
      <w:pPr>
        <w:spacing w:after="0" w:line="79" w:lineRule="exact"/>
        <w:rPr>
          <w:rFonts w:ascii="Arial" w:cs="Arial" w:eastAsia="Arial" w:hAnsi="Arial"/>
          <w:sz w:val="18"/>
          <w:szCs w:val="18"/>
          <w:color w:val="3F3F3F"/>
        </w:rPr>
      </w:pPr>
    </w:p>
    <w:p>
      <w:pPr>
        <w:ind w:left="560" w:right="360" w:hanging="215"/>
        <w:spacing w:after="0" w:line="253" w:lineRule="auto"/>
        <w:tabs>
          <w:tab w:leader="none" w:pos="560" w:val="left"/>
        </w:tabs>
        <w:numPr>
          <w:ilvl w:val="0"/>
          <w:numId w:val="38"/>
        </w:numPr>
        <w:rPr>
          <w:rFonts w:ascii="Arial" w:cs="Arial" w:eastAsia="Arial" w:hAnsi="Arial"/>
          <w:sz w:val="18"/>
          <w:szCs w:val="18"/>
          <w:color w:val="3F3F3F"/>
        </w:rPr>
      </w:pPr>
      <w:r>
        <w:rPr>
          <w:rFonts w:ascii="Arial" w:cs="Arial" w:eastAsia="Arial" w:hAnsi="Arial"/>
          <w:sz w:val="18"/>
          <w:szCs w:val="18"/>
          <w:b w:val="1"/>
          <w:bCs w:val="1"/>
          <w:color w:val="9659A1"/>
        </w:rPr>
        <w:t xml:space="preserve">Drive Company Performance. </w:t>
      </w:r>
      <w:r>
        <w:rPr>
          <w:rFonts w:ascii="Arial" w:cs="Arial" w:eastAsia="Arial" w:hAnsi="Arial"/>
          <w:sz w:val="18"/>
          <w:szCs w:val="18"/>
          <w:color w:val="3F3F3F"/>
        </w:rPr>
        <w:t>As described in more detail on pages 49 and 53 to 58, our 2023 compensation program was</w:t>
      </w:r>
      <w:r>
        <w:rPr>
          <w:rFonts w:ascii="Arial" w:cs="Arial" w:eastAsia="Arial" w:hAnsi="Arial"/>
          <w:sz w:val="18"/>
          <w:szCs w:val="18"/>
          <w:b w:val="1"/>
          <w:bCs w:val="1"/>
          <w:color w:val="9659A1"/>
        </w:rPr>
        <w:t xml:space="preserve"> </w:t>
      </w:r>
      <w:r>
        <w:rPr>
          <w:rFonts w:ascii="Arial" w:cs="Arial" w:eastAsia="Arial" w:hAnsi="Arial"/>
          <w:sz w:val="18"/>
          <w:szCs w:val="18"/>
          <w:color w:val="3F3F3F"/>
        </w:rPr>
        <w:t>designed with metrics carefully linked to our business strategies and financial goals. If the Company does not meet its short- and long-term objectives, executive pay is meaningfully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7029450" cy="68580"/>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2023 Performance-Based Compensation Program</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2023 Total Target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chart below shows the target total direct compensation opportunity for each of our NEOs in 2023.</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6100" w:type="dxa"/>
            <w:vAlign w:val="bottom"/>
            <w:shd w:val="clear" w:color="auto" w:fill="732282"/>
          </w:tcPr>
          <w:p>
            <w:pPr>
              <w:spacing w:after="0"/>
              <w:rPr>
                <w:sz w:val="19"/>
                <w:szCs w:val="19"/>
                <w:color w:val="auto"/>
              </w:rPr>
            </w:pPr>
          </w:p>
        </w:tc>
        <w:tc>
          <w:tcPr>
            <w:tcW w:w="1200" w:type="dxa"/>
            <w:vAlign w:val="bottom"/>
            <w:shd w:val="clear" w:color="auto" w:fill="732282"/>
          </w:tcPr>
          <w:p>
            <w:pPr>
              <w:spacing w:after="0"/>
              <w:rPr>
                <w:sz w:val="19"/>
                <w:szCs w:val="19"/>
                <w:color w:val="auto"/>
              </w:rPr>
            </w:pPr>
          </w:p>
        </w:tc>
        <w:tc>
          <w:tcPr>
            <w:tcW w:w="1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2023 Total</w:t>
            </w:r>
          </w:p>
        </w:tc>
      </w:tr>
      <w:tr>
        <w:trPr>
          <w:trHeight w:val="216"/>
        </w:trPr>
        <w:tc>
          <w:tcPr>
            <w:tcW w:w="6100" w:type="dxa"/>
            <w:vAlign w:val="bottom"/>
            <w:shd w:val="clear" w:color="auto" w:fill="732282"/>
          </w:tcPr>
          <w:p>
            <w:pPr>
              <w:spacing w:after="0"/>
              <w:rPr>
                <w:sz w:val="18"/>
                <w:szCs w:val="18"/>
                <w:color w:val="auto"/>
              </w:rPr>
            </w:pPr>
          </w:p>
        </w:tc>
        <w:tc>
          <w:tcPr>
            <w:tcW w:w="1200" w:type="dxa"/>
            <w:vAlign w:val="bottom"/>
            <w:shd w:val="clear" w:color="auto" w:fill="732282"/>
          </w:tcPr>
          <w:p>
            <w:pPr>
              <w:jc w:val="right"/>
              <w:ind w:right="319"/>
              <w:spacing w:after="0"/>
              <w:rPr>
                <w:sz w:val="20"/>
                <w:szCs w:val="20"/>
                <w:color w:val="auto"/>
              </w:rPr>
            </w:pPr>
            <w:r>
              <w:rPr>
                <w:rFonts w:ascii="Arial" w:cs="Arial" w:eastAsia="Arial" w:hAnsi="Arial"/>
                <w:sz w:val="16"/>
                <w:szCs w:val="16"/>
                <w:b w:val="1"/>
                <w:bCs w:val="1"/>
                <w:color w:val="FFFFFF"/>
              </w:rPr>
              <w:t>Base</w:t>
            </w:r>
          </w:p>
        </w:tc>
        <w:tc>
          <w:tcPr>
            <w:tcW w:w="1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Annual</w:t>
            </w: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Long-Term</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r>
      <w:tr>
        <w:trPr>
          <w:trHeight w:val="284"/>
        </w:trPr>
        <w:tc>
          <w:tcPr>
            <w:tcW w:w="61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20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Salary</w:t>
            </w:r>
          </w:p>
        </w:tc>
        <w:tc>
          <w:tcPr>
            <w:tcW w:w="10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Incentive</w:t>
            </w: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Incentive</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Compensation</w:t>
            </w:r>
            <w:r>
              <w:rPr>
                <w:rFonts w:ascii="Arial" w:cs="Arial" w:eastAsia="Arial" w:hAnsi="Arial"/>
                <w:sz w:val="24"/>
                <w:szCs w:val="24"/>
                <w:b w:val="1"/>
                <w:bCs w:val="1"/>
                <w:color w:val="FFFFFF"/>
                <w:w w:val="97"/>
                <w:vertAlign w:val="superscript"/>
              </w:rPr>
              <w:t>(1)</w:t>
            </w:r>
          </w:p>
        </w:tc>
      </w:tr>
      <w:tr>
        <w:trPr>
          <w:trHeight w:val="351"/>
        </w:trPr>
        <w:tc>
          <w:tcPr>
            <w:tcW w:w="6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r>
              <w:rPr>
                <w:rFonts w:ascii="Arial" w:cs="Arial" w:eastAsia="Arial" w:hAnsi="Arial"/>
                <w:sz w:val="24"/>
                <w:szCs w:val="24"/>
                <w:b w:val="1"/>
                <w:bCs w:val="1"/>
                <w:color w:val="auto"/>
                <w:vertAlign w:val="superscript"/>
              </w:rPr>
              <w:t>(2)</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$1,400,000</w:t>
            </w:r>
          </w:p>
        </w:tc>
        <w:tc>
          <w:tcPr>
            <w:tcW w:w="10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$2,100,000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$11,200,000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$14,700,000</w:t>
            </w:r>
          </w:p>
        </w:tc>
      </w:tr>
      <w:tr>
        <w:trPr>
          <w:trHeight w:val="280"/>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$1,300,000</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$1,625,000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$7,800,000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$10,725,000</w:t>
            </w:r>
          </w:p>
        </w:tc>
      </w:tr>
      <w:tr>
        <w:trPr>
          <w:trHeight w:val="287"/>
        </w:trPr>
        <w:tc>
          <w:tcPr>
            <w:tcW w:w="6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$925,000</w:t>
            </w:r>
          </w:p>
        </w:tc>
        <w:tc>
          <w:tcPr>
            <w:tcW w:w="10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$925,000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$3,700,000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$5,550,000</w:t>
            </w:r>
          </w:p>
        </w:tc>
      </w:tr>
      <w:tr>
        <w:trPr>
          <w:trHeight w:val="280"/>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$860,000</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$989,000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$3,440,000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$5,289,000</w:t>
            </w:r>
          </w:p>
        </w:tc>
      </w:tr>
      <w:tr>
        <w:trPr>
          <w:trHeight w:val="287"/>
        </w:trPr>
        <w:tc>
          <w:tcPr>
            <w:tcW w:w="61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$800,000</w:t>
            </w:r>
          </w:p>
        </w:tc>
        <w:tc>
          <w:tcPr>
            <w:tcW w:w="10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$800,000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$1,600,000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$3,200,000</w:t>
            </w:r>
          </w:p>
        </w:tc>
      </w:tr>
      <w:tr>
        <w:trPr>
          <w:trHeight w:val="351"/>
        </w:trPr>
        <w:tc>
          <w:tcPr>
            <w:tcW w:w="6100" w:type="dxa"/>
            <w:vAlign w:val="bottom"/>
          </w:tcPr>
          <w:p>
            <w:pPr>
              <w:ind w:left="60"/>
              <w:spacing w:after="0"/>
              <w:rPr>
                <w:sz w:val="20"/>
                <w:szCs w:val="20"/>
                <w:color w:val="auto"/>
              </w:rPr>
            </w:pPr>
            <w:r>
              <w:rPr>
                <w:rFonts w:ascii="Arial" w:cs="Arial" w:eastAsia="Arial" w:hAnsi="Arial"/>
                <w:sz w:val="16"/>
                <w:szCs w:val="16"/>
                <w:b w:val="1"/>
                <w:bCs w:val="1"/>
                <w:color w:val="auto"/>
              </w:rPr>
              <w:t>Michael Goettler</w:t>
            </w:r>
            <w:r>
              <w:rPr>
                <w:rFonts w:ascii="Arial" w:cs="Arial" w:eastAsia="Arial" w:hAnsi="Arial"/>
                <w:sz w:val="24"/>
                <w:szCs w:val="24"/>
                <w:b w:val="1"/>
                <w:bCs w:val="1"/>
                <w:color w:val="auto"/>
                <w:vertAlign w:val="superscript"/>
              </w:rPr>
              <w:t>(2)</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$1,300,000</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$1,950,000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$3,250,000</w:t>
            </w:r>
          </w:p>
        </w:tc>
      </w:tr>
      <w:tr>
        <w:trPr>
          <w:trHeight w:val="351"/>
        </w:trPr>
        <w:tc>
          <w:tcPr>
            <w:tcW w:w="61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r>
              <w:rPr>
                <w:rFonts w:ascii="Arial" w:cs="Arial" w:eastAsia="Arial" w:hAnsi="Arial"/>
                <w:sz w:val="24"/>
                <w:szCs w:val="24"/>
                <w:b w:val="1"/>
                <w:bCs w:val="1"/>
                <w:color w:val="auto"/>
                <w:vertAlign w:val="superscript"/>
              </w:rPr>
              <w:t>(2)</w:t>
            </w:r>
          </w:p>
        </w:tc>
        <w:tc>
          <w:tcPr>
            <w:tcW w:w="1200" w:type="dxa"/>
            <w:vAlign w:val="bottom"/>
            <w:tcBorders>
              <w:bottom w:val="single" w:sz="8" w:color="auto"/>
            </w:tcBorders>
            <w:shd w:val="clear" w:color="auto" w:fill="E5E5E5"/>
          </w:tcPr>
          <w:p>
            <w:pPr>
              <w:jc w:val="right"/>
              <w:ind w:right="59"/>
              <w:spacing w:after="0"/>
              <w:rPr>
                <w:sz w:val="20"/>
                <w:szCs w:val="20"/>
                <w:color w:val="auto"/>
              </w:rPr>
            </w:pPr>
            <w:r>
              <w:rPr>
                <w:rFonts w:ascii="Arial" w:cs="Arial" w:eastAsia="Arial" w:hAnsi="Arial"/>
                <w:sz w:val="16"/>
                <w:szCs w:val="16"/>
                <w:color w:val="auto"/>
              </w:rPr>
              <w:t>$1,950,000</w:t>
            </w:r>
          </w:p>
        </w:tc>
        <w:tc>
          <w:tcPr>
            <w:tcW w:w="106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$2,925,000</w:t>
            </w:r>
          </w:p>
        </w:tc>
        <w:tc>
          <w:tcPr>
            <w:tcW w:w="1140" w:type="dxa"/>
            <w:vAlign w:val="bottom"/>
            <w:tcBorders>
              <w:bottom w:val="single" w:sz="8" w:color="auto"/>
            </w:tcBorders>
            <w:shd w:val="clear" w:color="auto" w:fill="E5E5E5"/>
          </w:tcPr>
          <w:p>
            <w:pPr>
              <w:jc w:val="right"/>
              <w:ind w:right="59"/>
              <w:spacing w:after="0"/>
              <w:rPr>
                <w:sz w:val="20"/>
                <w:szCs w:val="20"/>
                <w:color w:val="auto"/>
              </w:rPr>
            </w:pPr>
            <w:r>
              <w:rPr>
                <w:rFonts w:ascii="Arial" w:cs="Arial" w:eastAsia="Arial" w:hAnsi="Arial"/>
                <w:sz w:val="16"/>
                <w:szCs w:val="16"/>
                <w:color w:val="auto"/>
              </w:rPr>
              <w:t>$11,700,000</w:t>
            </w:r>
          </w:p>
        </w:tc>
        <w:tc>
          <w:tcPr>
            <w:tcW w:w="152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rPr>
              <w:t>$16,575,000</w:t>
            </w:r>
          </w:p>
        </w:tc>
      </w:tr>
    </w:tbl>
    <w:p>
      <w:pPr>
        <w:spacing w:after="0" w:line="107"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2023 Total Target Compensation equals the sum of base salary, target annual incentive, and target long-term incentive.</w:t>
      </w:r>
    </w:p>
    <w:p>
      <w:pPr>
        <w:spacing w:after="0" w:line="21" w:lineRule="exact"/>
        <w:rPr>
          <w:rFonts w:ascii="Arial" w:cs="Arial" w:eastAsia="Arial" w:hAnsi="Arial"/>
          <w:sz w:val="16"/>
          <w:szCs w:val="16"/>
          <w:color w:val="3F3F3F"/>
        </w:rPr>
      </w:pPr>
    </w:p>
    <w:p>
      <w:pPr>
        <w:ind w:left="540" w:right="40" w:hanging="424"/>
        <w:spacing w:after="0" w:line="251" w:lineRule="auto"/>
        <w:tabs>
          <w:tab w:leader="none" w:pos="540" w:val="left"/>
        </w:tabs>
        <w:numPr>
          <w:ilvl w:val="0"/>
          <w:numId w:val="39"/>
        </w:numPr>
        <w:rPr>
          <w:rFonts w:ascii="Arial" w:cs="Arial" w:eastAsia="Arial" w:hAnsi="Arial"/>
          <w:sz w:val="16"/>
          <w:szCs w:val="16"/>
          <w:color w:val="3F3F3F"/>
        </w:rPr>
      </w:pPr>
      <w:r>
        <w:rPr>
          <w:rFonts w:ascii="Arial" w:cs="Arial" w:eastAsia="Arial" w:hAnsi="Arial"/>
          <w:sz w:val="16"/>
          <w:szCs w:val="16"/>
          <w:color w:val="3F3F3F"/>
        </w:rPr>
        <w:t>Scott A. Smith became CEO of the Company effective April 1, 2023. Mr. Goettler ceased to serve as CEO and on the Board, in each case, effective as of April 1, 2023. Mr. Coury ceased to serve as Executive Chairman and on the Board, in each case, effective as of December 15, 2023. The full year target annual incentive amounts listed above for Messrs. Smith, Goettler and Coury were prorated to reflect the number of days each respectively served as an active employee during 2023 in determination of the payout of the 2023 cash incentive and were based on actual Company performance levels. Mr. Goettler did not receive a 2023 long-term incentive award.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Considerations for Setting 2023 Incentive Performance Goals</w:t>
      </w:r>
    </w:p>
    <w:p>
      <w:pPr>
        <w:spacing w:after="0" w:line="10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3F3F3F"/>
        </w:rPr>
        <w:t>In setting annual and long-term incentive performance goals, the Compensation Committee considered a broad variety of data, including potential divestitures, industry forecasts, internal projections, demographic data, advice from outside advisors, benchmarking data against the peer company medians, and the Company’s annual operating plan and strategies. The Compensation Committee also considered the variability and cyclicality of the business, noting that targets may increase or decrease from year to 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while motivating the executive team and aligning with long-term sustainable business development and shareholder value creation.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2023 Peer Group</w:t>
      </w:r>
    </w:p>
    <w:p>
      <w:pPr>
        <w:spacing w:after="0" w:line="108"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3F3F3F"/>
        </w:rPr>
        <w:t>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Compensation Committee does not target the compensation of NEOs within a specific percentile of any set of peer companies and considers peer group and industry data along with many other factors when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53 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3F3F3F"/>
        </w:rPr>
        <w:t>Below is the peer group selected by the Compensation Committee for 2023, with the advice of the Compensation Committee’s independent compensation consultant. The Committee takes a number of considerations into account when choosing the peer group, including those companies that compete with the Company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3860" w:type="dxa"/>
            <w:vAlign w:val="bottom"/>
            <w:tcBorders>
              <w:right w:val="single" w:sz="8" w:color="732282"/>
            </w:tcBorders>
            <w:shd w:val="clear" w:color="auto" w:fill="E5E5E5"/>
          </w:tcPr>
          <w:p>
            <w:pPr>
              <w:spacing w:after="0" w:line="20" w:lineRule="exact"/>
              <w:rPr>
                <w:sz w:val="1"/>
                <w:szCs w:val="1"/>
                <w:color w:val="auto"/>
              </w:rPr>
            </w:pPr>
          </w:p>
        </w:tc>
        <w:tc>
          <w:tcPr>
            <w:tcW w:w="140" w:type="dxa"/>
            <w:vAlign w:val="bottom"/>
            <w:shd w:val="clear" w:color="auto" w:fill="732282"/>
          </w:tcPr>
          <w:p>
            <w:pPr>
              <w:spacing w:after="0" w:line="20" w:lineRule="exact"/>
              <w:rPr>
                <w:sz w:val="1"/>
                <w:szCs w:val="1"/>
                <w:color w:val="auto"/>
              </w:rPr>
            </w:pPr>
          </w:p>
        </w:tc>
        <w:tc>
          <w:tcPr>
            <w:tcW w:w="3040" w:type="dxa"/>
            <w:vAlign w:val="bottom"/>
            <w:shd w:val="clear" w:color="auto" w:fill="E5E5E5"/>
          </w:tcPr>
          <w:p>
            <w:pPr>
              <w:spacing w:after="0" w:line="20" w:lineRule="exact"/>
              <w:rPr>
                <w:sz w:val="1"/>
                <w:szCs w:val="1"/>
                <w:color w:val="auto"/>
              </w:rPr>
            </w:pPr>
          </w:p>
        </w:tc>
        <w:tc>
          <w:tcPr>
            <w:tcW w:w="3980" w:type="dxa"/>
            <w:vAlign w:val="bottom"/>
            <w:shd w:val="clear" w:color="auto" w:fill="E5E5E5"/>
          </w:tcPr>
          <w:p>
            <w:pPr>
              <w:spacing w:after="0" w:line="20" w:lineRule="exact"/>
              <w:rPr>
                <w:sz w:val="1"/>
                <w:szCs w:val="1"/>
                <w:color w:val="auto"/>
              </w:rPr>
            </w:pPr>
          </w:p>
        </w:tc>
      </w:tr>
      <w:tr>
        <w:trPr>
          <w:trHeight w:val="277"/>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Abbott Laboratories</w:t>
            </w:r>
          </w:p>
        </w:tc>
        <w:tc>
          <w:tcPr>
            <w:tcW w:w="3180" w:type="dxa"/>
            <w:vAlign w:val="bottom"/>
            <w:gridSpan w:val="2"/>
            <w:shd w:val="clear" w:color="auto" w:fill="E5E5E5"/>
          </w:tcPr>
          <w:p>
            <w:pPr>
              <w:ind w:left="120"/>
              <w:spacing w:after="0"/>
              <w:rPr>
                <w:sz w:val="20"/>
                <w:szCs w:val="20"/>
                <w:color w:val="auto"/>
              </w:rPr>
            </w:pPr>
            <w:r>
              <w:rPr>
                <w:rFonts w:ascii="Arial" w:cs="Arial" w:eastAsia="Arial" w:hAnsi="Arial"/>
                <w:sz w:val="18"/>
                <w:szCs w:val="18"/>
                <w:color w:val="auto"/>
              </w:rPr>
              <w:t>Bristol-Myers Squibb Company</w:t>
            </w:r>
          </w:p>
        </w:tc>
        <w:tc>
          <w:tcPr>
            <w:tcW w:w="39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Pfizer Inc.</w:t>
            </w:r>
          </w:p>
        </w:tc>
      </w:tr>
      <w:tr>
        <w:trPr>
          <w:trHeight w:val="292"/>
        </w:trPr>
        <w:tc>
          <w:tcPr>
            <w:tcW w:w="3860" w:type="dxa"/>
            <w:vAlign w:val="bottom"/>
          </w:tcPr>
          <w:p>
            <w:pPr>
              <w:ind w:left="60"/>
              <w:spacing w:after="0"/>
              <w:rPr>
                <w:sz w:val="20"/>
                <w:szCs w:val="20"/>
                <w:color w:val="auto"/>
              </w:rPr>
            </w:pPr>
            <w:r>
              <w:rPr>
                <w:rFonts w:ascii="Arial" w:cs="Arial" w:eastAsia="Arial" w:hAnsi="Arial"/>
                <w:sz w:val="18"/>
                <w:szCs w:val="18"/>
                <w:color w:val="auto"/>
              </w:rPr>
              <w:t>Amgen Inc.</w:t>
            </w: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Eli Lilly and Company</w:t>
            </w:r>
          </w:p>
        </w:tc>
        <w:tc>
          <w:tcPr>
            <w:tcW w:w="3980" w:type="dxa"/>
            <w:vAlign w:val="bottom"/>
          </w:tcPr>
          <w:p>
            <w:pPr>
              <w:ind w:left="580"/>
              <w:spacing w:after="0"/>
              <w:rPr>
                <w:sz w:val="20"/>
                <w:szCs w:val="20"/>
                <w:color w:val="auto"/>
              </w:rPr>
            </w:pPr>
            <w:r>
              <w:rPr>
                <w:rFonts w:ascii="Arial" w:cs="Arial" w:eastAsia="Arial" w:hAnsi="Arial"/>
                <w:sz w:val="18"/>
                <w:szCs w:val="18"/>
                <w:color w:val="auto"/>
              </w:rPr>
              <w:t>Regeneron Pharmaceuticals, Inc.</w:t>
            </w:r>
          </w:p>
        </w:tc>
      </w:tr>
      <w:tr>
        <w:trPr>
          <w:trHeight w:val="302"/>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Bausch Health Companies Inc.</w:t>
            </w:r>
          </w:p>
        </w:tc>
        <w:tc>
          <w:tcPr>
            <w:tcW w:w="3180" w:type="dxa"/>
            <w:vAlign w:val="bottom"/>
            <w:gridSpan w:val="2"/>
            <w:shd w:val="clear" w:color="auto" w:fill="E5E5E5"/>
          </w:tcPr>
          <w:p>
            <w:pPr>
              <w:ind w:left="120"/>
              <w:spacing w:after="0"/>
              <w:rPr>
                <w:sz w:val="20"/>
                <w:szCs w:val="20"/>
                <w:color w:val="auto"/>
              </w:rPr>
            </w:pPr>
            <w:r>
              <w:rPr>
                <w:rFonts w:ascii="Arial" w:cs="Arial" w:eastAsia="Arial" w:hAnsi="Arial"/>
                <w:sz w:val="18"/>
                <w:szCs w:val="18"/>
                <w:color w:val="auto"/>
              </w:rPr>
              <w:t>Gilead Sciences, Inc.</w:t>
            </w:r>
          </w:p>
        </w:tc>
        <w:tc>
          <w:tcPr>
            <w:tcW w:w="39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Sanofi S.A.</w:t>
            </w:r>
          </w:p>
        </w:tc>
      </w:tr>
      <w:tr>
        <w:trPr>
          <w:trHeight w:val="292"/>
        </w:trPr>
        <w:tc>
          <w:tcPr>
            <w:tcW w:w="3860" w:type="dxa"/>
            <w:vAlign w:val="bottom"/>
          </w:tcPr>
          <w:p>
            <w:pPr>
              <w:ind w:left="60"/>
              <w:spacing w:after="0"/>
              <w:rPr>
                <w:sz w:val="20"/>
                <w:szCs w:val="20"/>
                <w:color w:val="auto"/>
              </w:rPr>
            </w:pPr>
            <w:r>
              <w:rPr>
                <w:rFonts w:ascii="Arial" w:cs="Arial" w:eastAsia="Arial" w:hAnsi="Arial"/>
                <w:sz w:val="18"/>
                <w:szCs w:val="18"/>
                <w:color w:val="auto"/>
              </w:rPr>
              <w:t>Baxter International Inc.</w:t>
            </w: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Novartis AG</w:t>
            </w:r>
          </w:p>
        </w:tc>
        <w:tc>
          <w:tcPr>
            <w:tcW w:w="3980" w:type="dxa"/>
            <w:vAlign w:val="bottom"/>
          </w:tcPr>
          <w:p>
            <w:pPr>
              <w:ind w:left="580"/>
              <w:spacing w:after="0"/>
              <w:rPr>
                <w:sz w:val="20"/>
                <w:szCs w:val="20"/>
                <w:color w:val="auto"/>
              </w:rPr>
            </w:pPr>
            <w:r>
              <w:rPr>
                <w:rFonts w:ascii="Arial" w:cs="Arial" w:eastAsia="Arial" w:hAnsi="Arial"/>
                <w:sz w:val="18"/>
                <w:szCs w:val="18"/>
                <w:color w:val="auto"/>
              </w:rPr>
              <w:t>Teva Pharmaceutical Limited</w:t>
            </w:r>
          </w:p>
        </w:tc>
      </w:tr>
      <w:tr>
        <w:trPr>
          <w:trHeight w:val="302"/>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Biogen Inc.</w:t>
            </w:r>
          </w:p>
        </w:tc>
        <w:tc>
          <w:tcPr>
            <w:tcW w:w="3180" w:type="dxa"/>
            <w:vAlign w:val="bottom"/>
            <w:gridSpan w:val="2"/>
            <w:shd w:val="clear" w:color="auto" w:fill="E5E5E5"/>
          </w:tcPr>
          <w:p>
            <w:pPr>
              <w:ind w:left="120"/>
              <w:spacing w:after="0"/>
              <w:rPr>
                <w:sz w:val="20"/>
                <w:szCs w:val="20"/>
                <w:color w:val="auto"/>
              </w:rPr>
            </w:pPr>
            <w:r>
              <w:rPr>
                <w:rFonts w:ascii="Arial" w:cs="Arial" w:eastAsia="Arial" w:hAnsi="Arial"/>
                <w:sz w:val="18"/>
                <w:szCs w:val="18"/>
                <w:color w:val="auto"/>
              </w:rPr>
              <w:t>Organon &amp; Co.</w:t>
            </w:r>
          </w:p>
        </w:tc>
        <w:tc>
          <w:tcPr>
            <w:tcW w:w="39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Zoetis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248920</wp:posOffset>
            </wp:positionV>
            <wp:extent cx="488315"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Elements of 2023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Base Salaries</w:t>
      </w:r>
    </w:p>
    <w:p>
      <w:pPr>
        <w:spacing w:after="0" w:line="10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3F3F3F"/>
        </w:rPr>
        <w:t>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w:t>
      </w:r>
    </w:p>
    <w:p>
      <w:pPr>
        <w:spacing w:after="0" w:line="68"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3F3F3F"/>
        </w:rPr>
        <w:t>As reflected in the table below, in 2023, there were adjustments made to base salaries to reflect changes in market data and expanded responsibilities.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900" w:type="dxa"/>
            <w:vAlign w:val="bottom"/>
            <w:shd w:val="clear" w:color="auto" w:fill="732282"/>
          </w:tcPr>
          <w:p>
            <w:pPr>
              <w:spacing w:after="0"/>
              <w:rPr>
                <w:sz w:val="19"/>
                <w:szCs w:val="19"/>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2022 Base</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2023 Base</w:t>
            </w:r>
          </w:p>
        </w:tc>
      </w:tr>
      <w:tr>
        <w:trPr>
          <w:trHeight w:val="230"/>
        </w:trPr>
        <w:tc>
          <w:tcPr>
            <w:tcW w:w="89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Salary</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Salary</w:t>
            </w:r>
          </w:p>
        </w:tc>
      </w:tr>
      <w:tr>
        <w:trPr>
          <w:trHeight w:val="351"/>
        </w:trPr>
        <w:tc>
          <w:tcPr>
            <w:tcW w:w="89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r>
              <w:rPr>
                <w:rFonts w:ascii="Arial" w:cs="Arial" w:eastAsia="Arial" w:hAnsi="Arial"/>
                <w:sz w:val="24"/>
                <w:szCs w:val="24"/>
                <w:b w:val="1"/>
                <w:bCs w:val="1"/>
                <w:color w:val="auto"/>
                <w:vertAlign w:val="superscript"/>
              </w:rPr>
              <w:t>(1)</w:t>
            </w:r>
          </w:p>
        </w:tc>
        <w:tc>
          <w:tcPr>
            <w:tcW w:w="1080" w:type="dxa"/>
            <w:vAlign w:val="bottom"/>
            <w:shd w:val="clear" w:color="auto" w:fill="E5E5E5"/>
          </w:tcPr>
          <w:p>
            <w:pPr>
              <w:ind w:left="70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$1,400,000</w:t>
            </w:r>
          </w:p>
        </w:tc>
      </w:tr>
    </w:tbl>
    <w:p>
      <w:pPr>
        <w:spacing w:after="0" w:line="53"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80"/>
        <w:spacing w:after="0"/>
        <w:rPr>
          <w:sz w:val="20"/>
          <w:szCs w:val="20"/>
          <w:color w:val="auto"/>
        </w:rPr>
      </w:pPr>
      <w:r>
        <w:rPr>
          <w:rFonts w:ascii="Arial" w:cs="Arial" w:eastAsia="Arial" w:hAnsi="Arial"/>
          <w:sz w:val="16"/>
          <w:szCs w:val="16"/>
          <w:b w:val="1"/>
          <w:bCs w:val="1"/>
          <w:color w:val="auto"/>
        </w:rPr>
        <w:t>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5648960" cy="180340"/>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5648960" cy="18034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Sanjeev Narula</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5648960" cy="17970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564896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Brian Roman</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Michael Goettler</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5648960" cy="22288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Robert J. Coury</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Arial" w:cs="Arial" w:eastAsia="Arial" w:hAnsi="Arial"/>
          <w:sz w:val="16"/>
          <w:szCs w:val="16"/>
          <w:color w:val="auto"/>
        </w:rPr>
        <w:t>$1,200,000</w:t>
      </w:r>
      <w:r>
        <w:rPr>
          <w:sz w:val="20"/>
          <w:szCs w:val="20"/>
          <w:color w:val="auto"/>
        </w:rPr>
        <w:tab/>
      </w:r>
      <w:r>
        <w:rPr>
          <w:rFonts w:ascii="Arial" w:cs="Arial" w:eastAsia="Arial" w:hAnsi="Arial"/>
          <w:sz w:val="15"/>
          <w:szCs w:val="15"/>
          <w:color w:val="auto"/>
        </w:rPr>
        <w:t>$1,300,000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29210</wp:posOffset>
            </wp:positionV>
            <wp:extent cx="1345565" cy="43180"/>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1345565" cy="43180"/>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6"/>
          <w:szCs w:val="16"/>
          <w:color w:val="auto"/>
        </w:rPr>
        <w:t>$850,000</w:t>
      </w:r>
      <w:r>
        <w:rPr>
          <w:sz w:val="20"/>
          <w:szCs w:val="20"/>
          <w:color w:val="auto"/>
        </w:rPr>
        <w:tab/>
      </w:r>
      <w:r>
        <w:rPr>
          <w:rFonts w:ascii="Arial" w:cs="Arial" w:eastAsia="Arial" w:hAnsi="Arial"/>
          <w:sz w:val="16"/>
          <w:szCs w:val="16"/>
          <w:color w:val="auto"/>
        </w:rPr>
        <w:t>$925,000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1345565" cy="137160"/>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1345565" cy="137160"/>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6"/>
          <w:szCs w:val="16"/>
          <w:color w:val="auto"/>
        </w:rPr>
        <w:t>$800,000</w:t>
      </w:r>
      <w:r>
        <w:rPr>
          <w:sz w:val="20"/>
          <w:szCs w:val="20"/>
          <w:color w:val="auto"/>
        </w:rPr>
        <w:tab/>
      </w:r>
      <w:r>
        <w:rPr>
          <w:rFonts w:ascii="Arial" w:cs="Arial" w:eastAsia="Arial" w:hAnsi="Arial"/>
          <w:sz w:val="16"/>
          <w:szCs w:val="16"/>
          <w:color w:val="auto"/>
        </w:rPr>
        <w:t>$860,000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29210</wp:posOffset>
            </wp:positionV>
            <wp:extent cx="1345565" cy="43180"/>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1345565" cy="43180"/>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6"/>
          <w:szCs w:val="16"/>
          <w:color w:val="auto"/>
        </w:rPr>
        <w:t>$750,000</w:t>
      </w:r>
      <w:r>
        <w:rPr>
          <w:sz w:val="20"/>
          <w:szCs w:val="20"/>
          <w:color w:val="auto"/>
        </w:rPr>
        <w:tab/>
      </w:r>
      <w:r>
        <w:rPr>
          <w:rFonts w:ascii="Arial" w:cs="Arial" w:eastAsia="Arial" w:hAnsi="Arial"/>
          <w:sz w:val="16"/>
          <w:szCs w:val="16"/>
          <w:color w:val="auto"/>
        </w:rPr>
        <w:t>$800,000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1345565" cy="137160"/>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1345565" cy="137160"/>
                    </a:xfrm>
                    <a:prstGeom prst="rect">
                      <a:avLst/>
                    </a:prstGeom>
                    <a:noFill/>
                  </pic:spPr>
                </pic:pic>
              </a:graphicData>
            </a:graphic>
          </wp:anchor>
        </w:drawing>
      </w:r>
    </w:p>
    <w:p>
      <w:pPr>
        <w:spacing w:after="0" w:line="107"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$1,300,000</w:t>
      </w:r>
      <w:r>
        <w:rPr>
          <w:sz w:val="20"/>
          <w:szCs w:val="20"/>
          <w:color w:val="auto"/>
        </w:rPr>
        <w:tab/>
      </w:r>
      <w:r>
        <w:rPr>
          <w:rFonts w:ascii="Arial" w:cs="Arial" w:eastAsia="Arial" w:hAnsi="Arial"/>
          <w:sz w:val="15"/>
          <w:szCs w:val="15"/>
          <w:color w:val="auto"/>
        </w:rPr>
        <w:t>$1,300,000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55245</wp:posOffset>
            </wp:positionV>
            <wp:extent cx="1345565" cy="22288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1345565" cy="222885"/>
                    </a:xfrm>
                    <a:prstGeom prst="rect">
                      <a:avLst/>
                    </a:prstGeom>
                    <a:noFill/>
                  </pic:spPr>
                </pic:pic>
              </a:graphicData>
            </a:graphic>
          </wp:anchor>
        </w:drawing>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$1,800,000</w:t>
      </w:r>
      <w:r>
        <w:rPr>
          <w:sz w:val="20"/>
          <w:szCs w:val="20"/>
          <w:color w:val="auto"/>
        </w:rPr>
        <w:tab/>
      </w:r>
      <w:r>
        <w:rPr>
          <w:rFonts w:ascii="Arial" w:cs="Arial" w:eastAsia="Arial" w:hAnsi="Arial"/>
          <w:sz w:val="15"/>
          <w:szCs w:val="15"/>
          <w:color w:val="auto"/>
        </w:rPr>
        <w:t>$1,950,000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55245</wp:posOffset>
            </wp:positionV>
            <wp:extent cx="6995160" cy="8890"/>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8460" w:space="720"/>
            <w:col w:w="1960"/>
          </w:cols>
          <w:pgMar w:left="320" w:top="482" w:right="439" w:bottom="1440" w:gutter="0" w:footer="0" w:header="0"/>
          <w:type w:val="continuous"/>
        </w:sectPr>
      </w:pPr>
    </w:p>
    <w:p>
      <w:pPr>
        <w:ind w:left="540" w:right="40" w:hanging="424"/>
        <w:spacing w:after="0" w:line="259" w:lineRule="auto"/>
        <w:tabs>
          <w:tab w:leader="none" w:pos="540" w:val="left"/>
        </w:tabs>
        <w:numPr>
          <w:ilvl w:val="0"/>
          <w:numId w:val="40"/>
        </w:numPr>
        <w:rPr>
          <w:rFonts w:ascii="Arial" w:cs="Arial" w:eastAsia="Arial" w:hAnsi="Arial"/>
          <w:sz w:val="16"/>
          <w:szCs w:val="16"/>
          <w:color w:val="3F3F3F"/>
        </w:rPr>
      </w:pPr>
      <w:r>
        <w:rPr>
          <w:rFonts w:ascii="Arial" w:cs="Arial" w:eastAsia="Arial" w:hAnsi="Arial"/>
          <w:sz w:val="16"/>
          <w:szCs w:val="16"/>
          <w:color w:val="3F3F3F"/>
        </w:rPr>
        <w:t>Scott A. Smith became CEO of the Company effective April 1, 2023. Mr. Goettler ceased to serve as CEO and on the Board, in each case, effective as of April 1, 2023. Mr. Coury ceased to serve as Executive Chairman and on the Board, in each case, effective as of December 15, 2023. The base salary amounts listed above for Messrs. Smith, Goettler, and Coury reflect full year amounts but were only paid out on a prorated basis to reflect the number of days as an active employee during 2023.</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2023 Annual Incentive Compensation Program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Awards for 2023</w:t>
      </w:r>
    </w:p>
    <w:p>
      <w:pPr>
        <w:spacing w:after="0" w:line="10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3F3F3F"/>
        </w:rPr>
        <w:t>The Compensation Committee identified the following metrics as important measures of Company performance relating to its stated strategy:</w:t>
      </w:r>
    </w:p>
    <w:p>
      <w:pPr>
        <w:spacing w:after="0" w:line="59" w:lineRule="exact"/>
        <w:rPr>
          <w:sz w:val="20"/>
          <w:szCs w:val="20"/>
          <w:color w:val="auto"/>
        </w:rPr>
      </w:pPr>
    </w:p>
    <w:p>
      <w:pPr>
        <w:jc w:val="both"/>
        <w:ind w:left="340" w:right="420" w:hanging="224"/>
        <w:spacing w:after="0" w:line="253" w:lineRule="auto"/>
        <w:tabs>
          <w:tab w:leader="none" w:pos="340" w:val="left"/>
        </w:tabs>
        <w:numPr>
          <w:ilvl w:val="0"/>
          <w:numId w:val="41"/>
        </w:numPr>
        <w:rPr>
          <w:rFonts w:ascii="Arial" w:cs="Arial" w:eastAsia="Arial" w:hAnsi="Arial"/>
          <w:sz w:val="18"/>
          <w:szCs w:val="18"/>
          <w:color w:val="3F3F3F"/>
        </w:rPr>
      </w:pPr>
      <w:r>
        <w:rPr>
          <w:rFonts w:ascii="Arial" w:cs="Arial" w:eastAsia="Arial" w:hAnsi="Arial"/>
          <w:sz w:val="18"/>
          <w:szCs w:val="18"/>
          <w:b w:val="1"/>
          <w:bCs w:val="1"/>
          <w:color w:val="9659A1"/>
        </w:rPr>
        <w:t xml:space="preserve">Adjusted EBITDA (40% Weighting): </w:t>
      </w:r>
      <w:r>
        <w:rPr>
          <w:rFonts w:ascii="Arial" w:cs="Arial" w:eastAsia="Arial" w:hAnsi="Arial"/>
          <w:sz w:val="18"/>
          <w:szCs w:val="18"/>
          <w:color w:val="3F3F3F"/>
        </w:rPr>
        <w:t>Measures the Company’s profitability and motivates the organization to focus on commercial</w:t>
      </w:r>
      <w:r>
        <w:rPr>
          <w:rFonts w:ascii="Arial" w:cs="Arial" w:eastAsia="Arial" w:hAnsi="Arial"/>
          <w:sz w:val="18"/>
          <w:szCs w:val="18"/>
          <w:b w:val="1"/>
          <w:bCs w:val="1"/>
          <w:color w:val="9659A1"/>
        </w:rPr>
        <w:t xml:space="preserve"> </w:t>
      </w:r>
      <w:r>
        <w:rPr>
          <w:rFonts w:ascii="Arial" w:cs="Arial" w:eastAsia="Arial" w:hAnsi="Arial"/>
          <w:sz w:val="18"/>
          <w:szCs w:val="18"/>
          <w:color w:val="3F3F3F"/>
        </w:rPr>
        <w:t>execution and driving new product revenue, maintaining efficiency of our operations, capturing synergies, and disciplined expense management.</w:t>
      </w:r>
    </w:p>
    <w:p>
      <w:pPr>
        <w:spacing w:after="0" w:line="74" w:lineRule="exact"/>
        <w:rPr>
          <w:rFonts w:ascii="Arial" w:cs="Arial" w:eastAsia="Arial" w:hAnsi="Arial"/>
          <w:sz w:val="18"/>
          <w:szCs w:val="18"/>
          <w:color w:val="3F3F3F"/>
        </w:rPr>
      </w:pPr>
    </w:p>
    <w:p>
      <w:pPr>
        <w:ind w:left="340" w:right="580" w:hanging="224"/>
        <w:spacing w:after="0" w:line="271" w:lineRule="auto"/>
        <w:tabs>
          <w:tab w:leader="none" w:pos="340" w:val="left"/>
        </w:tabs>
        <w:numPr>
          <w:ilvl w:val="0"/>
          <w:numId w:val="41"/>
        </w:numPr>
        <w:rPr>
          <w:rFonts w:ascii="Arial" w:cs="Arial" w:eastAsia="Arial" w:hAnsi="Arial"/>
          <w:sz w:val="18"/>
          <w:szCs w:val="18"/>
          <w:color w:val="3F3F3F"/>
        </w:rPr>
      </w:pPr>
      <w:r>
        <w:rPr>
          <w:rFonts w:ascii="Arial" w:cs="Arial" w:eastAsia="Arial" w:hAnsi="Arial"/>
          <w:sz w:val="18"/>
          <w:szCs w:val="18"/>
          <w:b w:val="1"/>
          <w:bCs w:val="1"/>
          <w:color w:val="9659A1"/>
        </w:rPr>
        <w:t xml:space="preserve">Free Cash Flow (40% Weighting): </w:t>
      </w:r>
      <w:r>
        <w:rPr>
          <w:rFonts w:ascii="Arial" w:cs="Arial" w:eastAsia="Arial" w:hAnsi="Arial"/>
          <w:sz w:val="18"/>
          <w:szCs w:val="18"/>
          <w:color w:val="3F3F3F"/>
        </w:rPr>
        <w:t>Creates organizational emphasis and focus on cash through improved cash flow conversion,</w:t>
      </w:r>
      <w:r>
        <w:rPr>
          <w:rFonts w:ascii="Arial" w:cs="Arial" w:eastAsia="Arial" w:hAnsi="Arial"/>
          <w:sz w:val="18"/>
          <w:szCs w:val="18"/>
          <w:b w:val="1"/>
          <w:bCs w:val="1"/>
          <w:color w:val="9659A1"/>
        </w:rPr>
        <w:t xml:space="preserve"> </w:t>
      </w:r>
      <w:r>
        <w:rPr>
          <w:rFonts w:ascii="Arial" w:cs="Arial" w:eastAsia="Arial" w:hAnsi="Arial"/>
          <w:sz w:val="18"/>
          <w:szCs w:val="18"/>
          <w:color w:val="3F3F3F"/>
        </w:rPr>
        <w:t>optimized working capital, and overall cash generation which can increase the return to shareholders.</w:t>
      </w:r>
    </w:p>
    <w:p>
      <w:pPr>
        <w:spacing w:after="0" w:line="59" w:lineRule="exact"/>
        <w:rPr>
          <w:rFonts w:ascii="Arial" w:cs="Arial" w:eastAsia="Arial" w:hAnsi="Arial"/>
          <w:sz w:val="18"/>
          <w:szCs w:val="18"/>
          <w:color w:val="3F3F3F"/>
        </w:rPr>
      </w:pPr>
    </w:p>
    <w:p>
      <w:pPr>
        <w:jc w:val="both"/>
        <w:ind w:left="340" w:right="380" w:hanging="224"/>
        <w:spacing w:after="0" w:line="275" w:lineRule="auto"/>
        <w:tabs>
          <w:tab w:leader="none" w:pos="340" w:val="left"/>
        </w:tabs>
        <w:numPr>
          <w:ilvl w:val="0"/>
          <w:numId w:val="41"/>
        </w:numPr>
        <w:rPr>
          <w:rFonts w:ascii="Arial" w:cs="Arial" w:eastAsia="Arial" w:hAnsi="Arial"/>
          <w:sz w:val="17"/>
          <w:szCs w:val="17"/>
          <w:color w:val="3F3F3F"/>
        </w:rPr>
      </w:pPr>
      <w:r>
        <w:rPr>
          <w:rFonts w:ascii="Arial" w:cs="Arial" w:eastAsia="Arial" w:hAnsi="Arial"/>
          <w:sz w:val="17"/>
          <w:szCs w:val="17"/>
          <w:b w:val="1"/>
          <w:bCs w:val="1"/>
          <w:color w:val="9659A1"/>
        </w:rPr>
        <w:t xml:space="preserve">Global Regulatory Submissions (20% Weighting): </w:t>
      </w:r>
      <w:r>
        <w:rPr>
          <w:rFonts w:ascii="Arial" w:cs="Arial" w:eastAsia="Arial" w:hAnsi="Arial"/>
          <w:sz w:val="17"/>
          <w:szCs w:val="17"/>
          <w:color w:val="3F3F3F"/>
        </w:rPr>
        <w:t>Emphasizes the importance of developing a robust pipeline of molecules that</w:t>
      </w:r>
      <w:r>
        <w:rPr>
          <w:rFonts w:ascii="Arial" w:cs="Arial" w:eastAsia="Arial" w:hAnsi="Arial"/>
          <w:sz w:val="17"/>
          <w:szCs w:val="17"/>
          <w:b w:val="1"/>
          <w:bCs w:val="1"/>
          <w:color w:val="9659A1"/>
        </w:rPr>
        <w:t xml:space="preserve"> </w:t>
      </w:r>
      <w:r>
        <w:rPr>
          <w:rFonts w:ascii="Arial" w:cs="Arial" w:eastAsia="Arial" w:hAnsi="Arial"/>
          <w:sz w:val="17"/>
          <w:szCs w:val="17"/>
          <w:color w:val="3F3F3F"/>
        </w:rPr>
        <w:t>Viatris could manufacture and sell over subsequent years. A robust product pipeline can help Viatris move its products up the value chain and also supports sustainability while serving Viatris’ mission of providing access to high quality, affordable medications.</w:t>
      </w:r>
    </w:p>
    <w:p>
      <w:pPr>
        <w:spacing w:after="0" w:line="44"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color w:val="3F3F3F"/>
        </w:rPr>
        <w:t>Individual annual incentive payout targets were established for each NEO, expressed as a percentage of base salary, as noted in the table below. Actual payouts could range from 0% to 200% of each NEO’s annual incentive target based on achievement of performance goals.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7200" w:type="dxa"/>
            <w:vAlign w:val="bottom"/>
            <w:shd w:val="clear" w:color="auto" w:fill="732282"/>
          </w:tcPr>
          <w:p>
            <w:pPr>
              <w:spacing w:after="0"/>
              <w:rPr>
                <w:sz w:val="19"/>
                <w:szCs w:val="19"/>
                <w:color w:val="auto"/>
              </w:rPr>
            </w:pPr>
          </w:p>
        </w:tc>
        <w:tc>
          <w:tcPr>
            <w:tcW w:w="2280" w:type="dxa"/>
            <w:vAlign w:val="bottom"/>
            <w:shd w:val="clear" w:color="auto" w:fill="732282"/>
          </w:tcPr>
          <w:p>
            <w:pPr>
              <w:jc w:val="right"/>
              <w:ind w:right="719"/>
              <w:spacing w:after="0"/>
              <w:rPr>
                <w:sz w:val="20"/>
                <w:szCs w:val="20"/>
                <w:color w:val="auto"/>
              </w:rPr>
            </w:pPr>
            <w:r>
              <w:rPr>
                <w:rFonts w:ascii="Arial" w:cs="Arial" w:eastAsia="Arial" w:hAnsi="Arial"/>
                <w:sz w:val="16"/>
                <w:szCs w:val="16"/>
                <w:b w:val="1"/>
                <w:bCs w:val="1"/>
                <w:color w:val="FFFFFF"/>
              </w:rPr>
              <w:t>Target</w:t>
            </w:r>
          </w:p>
        </w:tc>
        <w:tc>
          <w:tcPr>
            <w:tcW w:w="1540" w:type="dxa"/>
            <w:vAlign w:val="bottom"/>
            <w:shd w:val="clear" w:color="auto" w:fill="732282"/>
          </w:tcPr>
          <w:p>
            <w:pPr>
              <w:jc w:val="right"/>
              <w:ind w:right="359"/>
              <w:spacing w:after="0"/>
              <w:rPr>
                <w:sz w:val="20"/>
                <w:szCs w:val="20"/>
                <w:color w:val="auto"/>
              </w:rPr>
            </w:pPr>
            <w:r>
              <w:rPr>
                <w:rFonts w:ascii="Arial" w:cs="Arial" w:eastAsia="Arial" w:hAnsi="Arial"/>
                <w:sz w:val="16"/>
                <w:szCs w:val="16"/>
                <w:b w:val="1"/>
                <w:bCs w:val="1"/>
                <w:color w:val="FFFFFF"/>
              </w:rPr>
              <w:t>Annual</w:t>
            </w:r>
          </w:p>
        </w:tc>
      </w:tr>
      <w:tr>
        <w:trPr>
          <w:trHeight w:val="230"/>
        </w:trPr>
        <w:tc>
          <w:tcPr>
            <w:tcW w:w="72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2280" w:type="dxa"/>
            <w:vAlign w:val="bottom"/>
            <w:shd w:val="clear" w:color="auto" w:fill="732282"/>
          </w:tcPr>
          <w:p>
            <w:pPr>
              <w:jc w:val="right"/>
              <w:ind w:right="139"/>
              <w:spacing w:after="0"/>
              <w:rPr>
                <w:sz w:val="20"/>
                <w:szCs w:val="20"/>
                <w:color w:val="auto"/>
              </w:rPr>
            </w:pPr>
            <w:r>
              <w:rPr>
                <w:rFonts w:ascii="Arial" w:cs="Arial" w:eastAsia="Arial" w:hAnsi="Arial"/>
                <w:sz w:val="16"/>
                <w:szCs w:val="16"/>
                <w:b w:val="1"/>
                <w:bCs w:val="1"/>
                <w:color w:val="FFFFFF"/>
              </w:rPr>
              <w:t>(as % of Base Salary)</w:t>
            </w:r>
          </w:p>
        </w:tc>
        <w:tc>
          <w:tcPr>
            <w:tcW w:w="154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Incentive Target</w:t>
            </w:r>
          </w:p>
        </w:tc>
      </w:tr>
      <w:tr>
        <w:trPr>
          <w:trHeight w:val="351"/>
        </w:trPr>
        <w:tc>
          <w:tcPr>
            <w:tcW w:w="7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r>
              <w:rPr>
                <w:rFonts w:ascii="Arial" w:cs="Arial" w:eastAsia="Arial" w:hAnsi="Arial"/>
                <w:sz w:val="24"/>
                <w:szCs w:val="24"/>
                <w:b w:val="1"/>
                <w:bCs w:val="1"/>
                <w:color w:val="auto"/>
                <w:vertAlign w:val="superscript"/>
              </w:rPr>
              <w:t>(1)</w:t>
            </w:r>
          </w:p>
        </w:tc>
        <w:tc>
          <w:tcPr>
            <w:tcW w:w="2280" w:type="dxa"/>
            <w:vAlign w:val="bottom"/>
            <w:shd w:val="clear" w:color="auto" w:fill="E5E5E5"/>
          </w:tcPr>
          <w:p>
            <w:pPr>
              <w:jc w:val="right"/>
              <w:ind w:right="559"/>
              <w:spacing w:after="0"/>
              <w:rPr>
                <w:sz w:val="20"/>
                <w:szCs w:val="20"/>
                <w:color w:val="auto"/>
              </w:rPr>
            </w:pPr>
            <w:r>
              <w:rPr>
                <w:rFonts w:ascii="Arial" w:cs="Arial" w:eastAsia="Arial" w:hAnsi="Arial"/>
                <w:sz w:val="16"/>
                <w:szCs w:val="16"/>
                <w:color w:val="auto"/>
              </w:rPr>
              <w:t>150%</w:t>
            </w: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$2,100,000</w:t>
            </w:r>
          </w:p>
        </w:tc>
      </w:tr>
      <w:tr>
        <w:trPr>
          <w:trHeight w:val="280"/>
        </w:trPr>
        <w:tc>
          <w:tcPr>
            <w:tcW w:w="720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2280" w:type="dxa"/>
            <w:vAlign w:val="bottom"/>
          </w:tcPr>
          <w:p>
            <w:pPr>
              <w:jc w:val="right"/>
              <w:ind w:right="559"/>
              <w:spacing w:after="0"/>
              <w:rPr>
                <w:sz w:val="20"/>
                <w:szCs w:val="20"/>
                <w:color w:val="auto"/>
              </w:rPr>
            </w:pPr>
            <w:r>
              <w:rPr>
                <w:rFonts w:ascii="Arial" w:cs="Arial" w:eastAsia="Arial" w:hAnsi="Arial"/>
                <w:sz w:val="16"/>
                <w:szCs w:val="16"/>
                <w:color w:val="auto"/>
              </w:rPr>
              <w:t>125%</w:t>
            </w:r>
          </w:p>
        </w:tc>
        <w:tc>
          <w:tcPr>
            <w:tcW w:w="1540" w:type="dxa"/>
            <w:vAlign w:val="bottom"/>
          </w:tcPr>
          <w:p>
            <w:pPr>
              <w:jc w:val="right"/>
              <w:spacing w:after="0"/>
              <w:rPr>
                <w:sz w:val="20"/>
                <w:szCs w:val="20"/>
                <w:color w:val="auto"/>
              </w:rPr>
            </w:pPr>
            <w:r>
              <w:rPr>
                <w:rFonts w:ascii="Arial" w:cs="Arial" w:eastAsia="Arial" w:hAnsi="Arial"/>
                <w:sz w:val="16"/>
                <w:szCs w:val="16"/>
                <w:color w:val="auto"/>
              </w:rPr>
              <w:t>$1,625,000</w:t>
            </w:r>
          </w:p>
        </w:tc>
      </w:tr>
      <w:tr>
        <w:trPr>
          <w:trHeight w:val="287"/>
        </w:trPr>
        <w:tc>
          <w:tcPr>
            <w:tcW w:w="7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2280" w:type="dxa"/>
            <w:vAlign w:val="bottom"/>
            <w:shd w:val="clear" w:color="auto" w:fill="E5E5E5"/>
          </w:tcPr>
          <w:p>
            <w:pPr>
              <w:jc w:val="right"/>
              <w:ind w:right="559"/>
              <w:spacing w:after="0"/>
              <w:rPr>
                <w:sz w:val="20"/>
                <w:szCs w:val="20"/>
                <w:color w:val="auto"/>
              </w:rPr>
            </w:pPr>
            <w:r>
              <w:rPr>
                <w:rFonts w:ascii="Arial" w:cs="Arial" w:eastAsia="Arial" w:hAnsi="Arial"/>
                <w:sz w:val="16"/>
                <w:szCs w:val="16"/>
                <w:color w:val="auto"/>
              </w:rPr>
              <w:t>100%</w:t>
            </w: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$925,000</w:t>
            </w:r>
          </w:p>
        </w:tc>
      </w:tr>
      <w:tr>
        <w:trPr>
          <w:trHeight w:val="280"/>
        </w:trPr>
        <w:tc>
          <w:tcPr>
            <w:tcW w:w="72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2280" w:type="dxa"/>
            <w:vAlign w:val="bottom"/>
          </w:tcPr>
          <w:p>
            <w:pPr>
              <w:jc w:val="right"/>
              <w:ind w:right="559"/>
              <w:spacing w:after="0"/>
              <w:rPr>
                <w:sz w:val="20"/>
                <w:szCs w:val="20"/>
                <w:color w:val="auto"/>
              </w:rPr>
            </w:pPr>
            <w:r>
              <w:rPr>
                <w:rFonts w:ascii="Arial" w:cs="Arial" w:eastAsia="Arial" w:hAnsi="Arial"/>
                <w:sz w:val="16"/>
                <w:szCs w:val="16"/>
                <w:color w:val="auto"/>
              </w:rPr>
              <w:t>115%</w:t>
            </w:r>
          </w:p>
        </w:tc>
        <w:tc>
          <w:tcPr>
            <w:tcW w:w="1540" w:type="dxa"/>
            <w:vAlign w:val="bottom"/>
          </w:tcPr>
          <w:p>
            <w:pPr>
              <w:jc w:val="right"/>
              <w:spacing w:after="0"/>
              <w:rPr>
                <w:sz w:val="20"/>
                <w:szCs w:val="20"/>
                <w:color w:val="auto"/>
              </w:rPr>
            </w:pPr>
            <w:r>
              <w:rPr>
                <w:rFonts w:ascii="Arial" w:cs="Arial" w:eastAsia="Arial" w:hAnsi="Arial"/>
                <w:sz w:val="16"/>
                <w:szCs w:val="16"/>
                <w:color w:val="auto"/>
              </w:rPr>
              <w:t>$989,000</w:t>
            </w:r>
          </w:p>
        </w:tc>
      </w:tr>
      <w:tr>
        <w:trPr>
          <w:trHeight w:val="287"/>
        </w:trPr>
        <w:tc>
          <w:tcPr>
            <w:tcW w:w="7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2280" w:type="dxa"/>
            <w:vAlign w:val="bottom"/>
            <w:shd w:val="clear" w:color="auto" w:fill="E5E5E5"/>
          </w:tcPr>
          <w:p>
            <w:pPr>
              <w:jc w:val="right"/>
              <w:ind w:right="559"/>
              <w:spacing w:after="0"/>
              <w:rPr>
                <w:sz w:val="20"/>
                <w:szCs w:val="20"/>
                <w:color w:val="auto"/>
              </w:rPr>
            </w:pPr>
            <w:r>
              <w:rPr>
                <w:rFonts w:ascii="Arial" w:cs="Arial" w:eastAsia="Arial" w:hAnsi="Arial"/>
                <w:sz w:val="16"/>
                <w:szCs w:val="16"/>
                <w:color w:val="auto"/>
              </w:rPr>
              <w:t>100%</w:t>
            </w:r>
          </w:p>
        </w:tc>
        <w:tc>
          <w:tcPr>
            <w:tcW w:w="15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$800,000</w:t>
            </w:r>
          </w:p>
        </w:tc>
      </w:tr>
      <w:tr>
        <w:trPr>
          <w:trHeight w:val="351"/>
        </w:trPr>
        <w:tc>
          <w:tcPr>
            <w:tcW w:w="7200" w:type="dxa"/>
            <w:vAlign w:val="bottom"/>
          </w:tcPr>
          <w:p>
            <w:pPr>
              <w:ind w:left="60"/>
              <w:spacing w:after="0"/>
              <w:rPr>
                <w:sz w:val="20"/>
                <w:szCs w:val="20"/>
                <w:color w:val="auto"/>
              </w:rPr>
            </w:pPr>
            <w:r>
              <w:rPr>
                <w:rFonts w:ascii="Arial" w:cs="Arial" w:eastAsia="Arial" w:hAnsi="Arial"/>
                <w:sz w:val="16"/>
                <w:szCs w:val="16"/>
                <w:b w:val="1"/>
                <w:bCs w:val="1"/>
                <w:color w:val="auto"/>
              </w:rPr>
              <w:t>Michael Goettler</w:t>
            </w:r>
            <w:r>
              <w:rPr>
                <w:rFonts w:ascii="Arial" w:cs="Arial" w:eastAsia="Arial" w:hAnsi="Arial"/>
                <w:sz w:val="24"/>
                <w:szCs w:val="24"/>
                <w:b w:val="1"/>
                <w:bCs w:val="1"/>
                <w:color w:val="auto"/>
                <w:vertAlign w:val="superscript"/>
              </w:rPr>
              <w:t>(1)</w:t>
            </w:r>
          </w:p>
        </w:tc>
        <w:tc>
          <w:tcPr>
            <w:tcW w:w="2280" w:type="dxa"/>
            <w:vAlign w:val="bottom"/>
          </w:tcPr>
          <w:p>
            <w:pPr>
              <w:jc w:val="right"/>
              <w:ind w:right="559"/>
              <w:spacing w:after="0"/>
              <w:rPr>
                <w:sz w:val="20"/>
                <w:szCs w:val="20"/>
                <w:color w:val="auto"/>
              </w:rPr>
            </w:pPr>
            <w:r>
              <w:rPr>
                <w:rFonts w:ascii="Arial" w:cs="Arial" w:eastAsia="Arial" w:hAnsi="Arial"/>
                <w:sz w:val="16"/>
                <w:szCs w:val="16"/>
                <w:color w:val="auto"/>
              </w:rPr>
              <w:t>150%</w:t>
            </w:r>
          </w:p>
        </w:tc>
        <w:tc>
          <w:tcPr>
            <w:tcW w:w="1540" w:type="dxa"/>
            <w:vAlign w:val="bottom"/>
          </w:tcPr>
          <w:p>
            <w:pPr>
              <w:jc w:val="right"/>
              <w:spacing w:after="0"/>
              <w:rPr>
                <w:sz w:val="20"/>
                <w:szCs w:val="20"/>
                <w:color w:val="auto"/>
              </w:rPr>
            </w:pPr>
            <w:r>
              <w:rPr>
                <w:rFonts w:ascii="Arial" w:cs="Arial" w:eastAsia="Arial" w:hAnsi="Arial"/>
                <w:sz w:val="16"/>
                <w:szCs w:val="16"/>
                <w:color w:val="auto"/>
              </w:rPr>
              <w:t>$1,950,000</w:t>
            </w:r>
          </w:p>
        </w:tc>
      </w:tr>
      <w:tr>
        <w:trPr>
          <w:trHeight w:val="351"/>
        </w:trPr>
        <w:tc>
          <w:tcPr>
            <w:tcW w:w="72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r>
              <w:rPr>
                <w:rFonts w:ascii="Arial" w:cs="Arial" w:eastAsia="Arial" w:hAnsi="Arial"/>
                <w:sz w:val="24"/>
                <w:szCs w:val="24"/>
                <w:b w:val="1"/>
                <w:bCs w:val="1"/>
                <w:color w:val="auto"/>
                <w:vertAlign w:val="superscript"/>
              </w:rPr>
              <w:t>(1)</w:t>
            </w:r>
          </w:p>
        </w:tc>
        <w:tc>
          <w:tcPr>
            <w:tcW w:w="2280" w:type="dxa"/>
            <w:vAlign w:val="bottom"/>
            <w:tcBorders>
              <w:bottom w:val="single" w:sz="8" w:color="732282"/>
            </w:tcBorders>
            <w:shd w:val="clear" w:color="auto" w:fill="E5E5E5"/>
          </w:tcPr>
          <w:p>
            <w:pPr>
              <w:jc w:val="right"/>
              <w:ind w:right="559"/>
              <w:spacing w:after="0"/>
              <w:rPr>
                <w:sz w:val="20"/>
                <w:szCs w:val="20"/>
                <w:color w:val="auto"/>
              </w:rPr>
            </w:pPr>
            <w:r>
              <w:rPr>
                <w:rFonts w:ascii="Arial" w:cs="Arial" w:eastAsia="Arial" w:hAnsi="Arial"/>
                <w:sz w:val="16"/>
                <w:szCs w:val="16"/>
                <w:color w:val="auto"/>
              </w:rPr>
              <w:t>150%</w:t>
            </w:r>
          </w:p>
        </w:tc>
        <w:tc>
          <w:tcPr>
            <w:tcW w:w="154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$2,925,000</w:t>
            </w:r>
          </w:p>
        </w:tc>
      </w:tr>
    </w:tbl>
    <w:p>
      <w:pPr>
        <w:spacing w:after="0" w:line="107" w:lineRule="exact"/>
        <w:rPr>
          <w:sz w:val="20"/>
          <w:szCs w:val="20"/>
          <w:color w:val="auto"/>
        </w:rPr>
      </w:pPr>
    </w:p>
    <w:p>
      <w:pPr>
        <w:ind w:left="540" w:right="640" w:hanging="424"/>
        <w:spacing w:after="0" w:line="266" w:lineRule="auto"/>
        <w:tabs>
          <w:tab w:leader="none" w:pos="540" w:val="left"/>
        </w:tabs>
        <w:numPr>
          <w:ilvl w:val="0"/>
          <w:numId w:val="42"/>
        </w:numPr>
        <w:rPr>
          <w:rFonts w:ascii="Arial" w:cs="Arial" w:eastAsia="Arial" w:hAnsi="Arial"/>
          <w:sz w:val="16"/>
          <w:szCs w:val="16"/>
          <w:color w:val="3F3F3F"/>
        </w:rPr>
      </w:pPr>
      <w:r>
        <w:rPr>
          <w:rFonts w:ascii="Arial" w:cs="Arial" w:eastAsia="Arial" w:hAnsi="Arial"/>
          <w:sz w:val="16"/>
          <w:szCs w:val="16"/>
          <w:color w:val="3F3F3F"/>
        </w:rPr>
        <w:t>The annual incentive target amounts listed above for Messrs. Smith, Goettler, and Coury were prorated to reflect the number of days each respectively served as an active employee during 2023 in determination of the payout of the 2023 cash incentive and were based on actual Company performance.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Payouts for 2023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In 2023, Viatris achieved the following performance against the Compensation Committee-approved performance goals: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4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2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Weighting</w:t>
            </w:r>
          </w:p>
        </w:tc>
        <w:tc>
          <w:tcPr>
            <w:tcW w:w="138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Threshold</w:t>
            </w:r>
          </w:p>
        </w:tc>
        <w:tc>
          <w:tcPr>
            <w:tcW w:w="1400" w:type="dxa"/>
            <w:vAlign w:val="bottom"/>
            <w:shd w:val="clear" w:color="auto" w:fill="732282"/>
          </w:tcPr>
          <w:p>
            <w:pPr>
              <w:jc w:val="right"/>
              <w:ind w:right="379"/>
              <w:spacing w:after="0"/>
              <w:rPr>
                <w:sz w:val="20"/>
                <w:szCs w:val="20"/>
                <w:color w:val="auto"/>
              </w:rPr>
            </w:pPr>
            <w:r>
              <w:rPr>
                <w:rFonts w:ascii="Arial" w:cs="Arial" w:eastAsia="Arial" w:hAnsi="Arial"/>
                <w:sz w:val="16"/>
                <w:szCs w:val="16"/>
                <w:b w:val="1"/>
                <w:bCs w:val="1"/>
                <w:color w:val="FFFFFF"/>
              </w:rPr>
              <w:t>Target</w:t>
            </w:r>
          </w:p>
        </w:tc>
        <w:tc>
          <w:tcPr>
            <w:tcW w:w="134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Maximum</w:t>
            </w:r>
          </w:p>
        </w:tc>
        <w:tc>
          <w:tcPr>
            <w:tcW w:w="126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Results</w:t>
            </w:r>
          </w:p>
        </w:tc>
      </w:tr>
      <w:tr>
        <w:trPr>
          <w:trHeight w:val="351"/>
        </w:trPr>
        <w:tc>
          <w:tcPr>
            <w:tcW w:w="4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Adjusted EBITDA</w:t>
            </w:r>
            <w:r>
              <w:rPr>
                <w:rFonts w:ascii="Arial" w:cs="Arial" w:eastAsia="Arial" w:hAnsi="Arial"/>
                <w:sz w:val="24"/>
                <w:szCs w:val="24"/>
                <w:color w:val="auto"/>
                <w:vertAlign w:val="superscript"/>
              </w:rPr>
              <w:t>(1)</w:t>
            </w:r>
          </w:p>
        </w:tc>
        <w:tc>
          <w:tcPr>
            <w:tcW w:w="1240" w:type="dxa"/>
            <w:vAlign w:val="bottom"/>
            <w:shd w:val="clear" w:color="auto" w:fill="E5E5E5"/>
          </w:tcPr>
          <w:p>
            <w:pPr>
              <w:jc w:val="center"/>
              <w:ind w:left="79"/>
              <w:spacing w:after="0"/>
              <w:rPr>
                <w:sz w:val="20"/>
                <w:szCs w:val="20"/>
                <w:color w:val="auto"/>
              </w:rPr>
            </w:pPr>
            <w:r>
              <w:rPr>
                <w:rFonts w:ascii="Arial" w:cs="Arial" w:eastAsia="Arial" w:hAnsi="Arial"/>
                <w:sz w:val="16"/>
                <w:szCs w:val="16"/>
                <w:color w:val="auto"/>
                <w:w w:val="99"/>
              </w:rPr>
              <w:t>40%</w:t>
            </w:r>
          </w:p>
        </w:tc>
        <w:tc>
          <w:tcPr>
            <w:tcW w:w="1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$4,900 million</w:t>
            </w:r>
          </w:p>
        </w:tc>
        <w:tc>
          <w:tcPr>
            <w:tcW w:w="140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$5,200 million</w:t>
            </w:r>
          </w:p>
        </w:tc>
        <w:tc>
          <w:tcPr>
            <w:tcW w:w="13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$5,500 million</w:t>
            </w:r>
          </w:p>
        </w:tc>
        <w:tc>
          <w:tcPr>
            <w:tcW w:w="12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$5,367 million</w:t>
            </w:r>
          </w:p>
        </w:tc>
      </w:tr>
      <w:tr>
        <w:trPr>
          <w:trHeight w:val="351"/>
        </w:trPr>
        <w:tc>
          <w:tcPr>
            <w:tcW w:w="4400" w:type="dxa"/>
            <w:vAlign w:val="bottom"/>
          </w:tcPr>
          <w:p>
            <w:pPr>
              <w:ind w:left="6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(2)</w:t>
            </w: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40%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$2,200 million</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$2,500 million</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$2,800 million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$2,916 million</w:t>
            </w:r>
          </w:p>
        </w:tc>
      </w:tr>
      <w:tr>
        <w:trPr>
          <w:trHeight w:val="277"/>
        </w:trPr>
        <w:tc>
          <w:tcPr>
            <w:tcW w:w="44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Global Regulatory Submissions</w:t>
            </w:r>
          </w:p>
        </w:tc>
        <w:tc>
          <w:tcPr>
            <w:tcW w:w="1240" w:type="dxa"/>
            <w:vAlign w:val="bottom"/>
            <w:tcBorders>
              <w:bottom w:val="single" w:sz="8" w:color="732282"/>
            </w:tcBorders>
            <w:shd w:val="clear" w:color="auto" w:fill="E5E5E5"/>
          </w:tcPr>
          <w:p>
            <w:pPr>
              <w:jc w:val="center"/>
              <w:ind w:left="79"/>
              <w:spacing w:after="0"/>
              <w:rPr>
                <w:sz w:val="20"/>
                <w:szCs w:val="20"/>
                <w:color w:val="auto"/>
              </w:rPr>
            </w:pPr>
            <w:r>
              <w:rPr>
                <w:rFonts w:ascii="Arial" w:cs="Arial" w:eastAsia="Arial" w:hAnsi="Arial"/>
                <w:sz w:val="16"/>
                <w:szCs w:val="16"/>
                <w:color w:val="auto"/>
                <w:w w:val="99"/>
              </w:rPr>
              <w:t>20%</w:t>
            </w:r>
          </w:p>
        </w:tc>
        <w:tc>
          <w:tcPr>
            <w:tcW w:w="1380" w:type="dxa"/>
            <w:vAlign w:val="bottom"/>
            <w:tcBorders>
              <w:bottom w:val="single" w:sz="8" w:color="732282"/>
            </w:tcBorders>
            <w:shd w:val="clear" w:color="auto" w:fill="E5E5E5"/>
          </w:tcPr>
          <w:p>
            <w:pPr>
              <w:jc w:val="right"/>
              <w:ind w:right="119"/>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732282"/>
            </w:tcBorders>
            <w:shd w:val="clear" w:color="auto" w:fill="E5E5E5"/>
          </w:tcPr>
          <w:p>
            <w:pPr>
              <w:jc w:val="right"/>
              <w:ind w:right="99"/>
              <w:spacing w:after="0"/>
              <w:rPr>
                <w:sz w:val="20"/>
                <w:szCs w:val="20"/>
                <w:color w:val="auto"/>
              </w:rPr>
            </w:pPr>
            <w:r>
              <w:rPr>
                <w:rFonts w:ascii="Arial" w:cs="Arial" w:eastAsia="Arial" w:hAnsi="Arial"/>
                <w:sz w:val="16"/>
                <w:szCs w:val="16"/>
                <w:color w:val="auto"/>
              </w:rPr>
              <w:t>120</w:t>
            </w:r>
          </w:p>
        </w:tc>
        <w:tc>
          <w:tcPr>
            <w:tcW w:w="134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140</w:t>
            </w:r>
          </w:p>
        </w:tc>
        <w:tc>
          <w:tcPr>
            <w:tcW w:w="126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148</w:t>
            </w:r>
          </w:p>
        </w:tc>
      </w:tr>
    </w:tbl>
    <w:p>
      <w:pPr>
        <w:spacing w:after="0" w:line="107" w:lineRule="exact"/>
        <w:rPr>
          <w:sz w:val="20"/>
          <w:szCs w:val="20"/>
          <w:color w:val="auto"/>
        </w:rPr>
      </w:pPr>
    </w:p>
    <w:p>
      <w:pPr>
        <w:ind w:left="540" w:right="20" w:hanging="424"/>
        <w:spacing w:after="0" w:line="251" w:lineRule="auto"/>
        <w:tabs>
          <w:tab w:leader="none" w:pos="540" w:val="left"/>
        </w:tabs>
        <w:numPr>
          <w:ilvl w:val="0"/>
          <w:numId w:val="43"/>
        </w:numPr>
        <w:rPr>
          <w:rFonts w:ascii="Arial" w:cs="Arial" w:eastAsia="Arial" w:hAnsi="Arial"/>
          <w:sz w:val="16"/>
          <w:szCs w:val="16"/>
          <w:color w:val="3F3F3F"/>
        </w:rPr>
      </w:pPr>
      <w:r>
        <w:rPr>
          <w:rFonts w:ascii="Arial" w:cs="Arial" w:eastAsia="Arial" w:hAnsi="Arial"/>
          <w:sz w:val="16"/>
          <w:szCs w:val="16"/>
          <w:color w:val="3F3F3F"/>
        </w:rPr>
        <w:t>Adjusted EBITDA is derived from Viatris’ financial statements in the same manner as Viatris’ publicly reported adjusted EBITDA for 2023, except that the calculation for the 2023 annual incentive program utilized 2023 budgeted foreign exchange rates and further adjusts for acquired in-process research and development (“IPR&amp;D”) costs and the impact of divestitures. Viatris’ adjusted EBITDA as reported for the twelve months ended December 31, 2023 is reconciled to the most directly comparable U.S. GAAP measure in Appendix B.</w:t>
      </w:r>
    </w:p>
    <w:p>
      <w:pPr>
        <w:spacing w:after="0" w:line="2" w:lineRule="exact"/>
        <w:rPr>
          <w:rFonts w:ascii="Arial" w:cs="Arial" w:eastAsia="Arial" w:hAnsi="Arial"/>
          <w:sz w:val="16"/>
          <w:szCs w:val="16"/>
          <w:color w:val="3F3F3F"/>
        </w:rPr>
      </w:pPr>
    </w:p>
    <w:p>
      <w:pPr>
        <w:ind w:left="540" w:right="20" w:hanging="424"/>
        <w:spacing w:after="0" w:line="250" w:lineRule="auto"/>
        <w:tabs>
          <w:tab w:leader="none" w:pos="540" w:val="left"/>
        </w:tabs>
        <w:numPr>
          <w:ilvl w:val="0"/>
          <w:numId w:val="43"/>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Viatris’ publicly reported free cash flow for 2023, except that the calculation for the 2023 annual incentive program utilized 2023 budgeted foreign exchange rates and further adjusts for transaction costs and taxes related to the acquisitions of Oyster Point and Famy Life Sciences as well as any incremental transaction costs and taxes related to other select assets sales or reshaping initiatives and other impacts of divestitures, acquired IPR&amp;D costs, and proceeds from the sale of property, plant and equipment. Viatris’ free cash flow as reported for the twelve months ended December 31, 2023 is reconciled to the most directly comparable U.S. GAAP measure in Appendix B</w:t>
      </w:r>
      <w:r>
        <w:rPr>
          <w:rFonts w:ascii="Arial" w:cs="Arial" w:eastAsia="Arial" w:hAnsi="Arial"/>
          <w:sz w:val="16"/>
          <w:szCs w:val="16"/>
          <w:i w:val="1"/>
          <w:iCs w:val="1"/>
          <w:color w:val="3F3F3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29450" cy="6858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55 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3F3F3F"/>
        </w:rPr>
        <w:t>The following table shows the 2023 actual incentive payout for each NEO reflecting Company performance at 182.31%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29146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086475" cy="22288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6086475" cy="222885"/>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Scott A. Smith</w:t>
      </w:r>
      <w:r>
        <w:rPr>
          <w:rFonts w:ascii="Arial" w:cs="Arial" w:eastAsia="Arial" w:hAnsi="Arial"/>
          <w:sz w:val="24"/>
          <w:szCs w:val="24"/>
          <w:b w:val="1"/>
          <w:bCs w:val="1"/>
          <w:color w:val="auto"/>
          <w:vertAlign w:val="superscript"/>
        </w:rPr>
        <w:t>(1)</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086475" cy="17970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6086475" cy="179705"/>
                    </a:xfrm>
                    <a:prstGeom prst="rect">
                      <a:avLst/>
                    </a:prstGeom>
                    <a:noFill/>
                  </pic:spPr>
                </pic:pic>
              </a:graphicData>
            </a:graphic>
          </wp:anchor>
        </w:drawing>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Sanjeev Narula</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086475" cy="17970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6086475"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Brian Roman</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Michael Goettler</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6086475" cy="22288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6086475" cy="222885"/>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Robert J. Coury</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95160"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Actual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-107315</wp:posOffset>
            </wp:positionV>
            <wp:extent cx="908685" cy="25717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Incentive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26670</wp:posOffset>
            </wp:positionV>
            <wp:extent cx="908685" cy="22288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$2,884,494</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$2,962,538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29210</wp:posOffset>
            </wp:positionV>
            <wp:extent cx="908685" cy="43180"/>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908685" cy="4318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$1,686,368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-107315</wp:posOffset>
            </wp:positionV>
            <wp:extent cx="908685" cy="137160"/>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908685" cy="13716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$1,803,046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29210</wp:posOffset>
            </wp:positionV>
            <wp:extent cx="908685" cy="43180"/>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908685" cy="4318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$1,458,480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-107315</wp:posOffset>
            </wp:positionV>
            <wp:extent cx="908685" cy="137160"/>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908685" cy="137160"/>
                    </a:xfrm>
                    <a:prstGeom prst="rect">
                      <a:avLst/>
                    </a:prstGeom>
                    <a:noFill/>
                  </pic:spPr>
                </pic:pic>
              </a:graphicData>
            </a:graphic>
          </wp:anchor>
        </w:drawing>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$886,326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55245</wp:posOffset>
            </wp:positionV>
            <wp:extent cx="908685" cy="22288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147"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$5,098,811</w:t>
      </w:r>
    </w:p>
    <w:p>
      <w:pPr>
        <w:spacing w:after="0" w:line="207" w:lineRule="exact"/>
        <w:rPr>
          <w:sz w:val="20"/>
          <w:szCs w:val="20"/>
          <w:color w:val="auto"/>
        </w:rPr>
      </w:pPr>
    </w:p>
    <w:p>
      <w:pPr>
        <w:sectPr>
          <w:pgSz w:w="11900" w:h="16838" w:orient="portrait"/>
          <w:cols w:equalWidth="0" w:num="2">
            <w:col w:w="9100" w:space="720"/>
            <w:col w:w="1320"/>
          </w:cols>
          <w:pgMar w:left="320" w:top="482" w:right="439" w:bottom="1440" w:gutter="0" w:footer="0" w:header="0"/>
          <w:type w:val="continuous"/>
        </w:sectPr>
      </w:pPr>
    </w:p>
    <w:p>
      <w:pPr>
        <w:ind w:left="540" w:right="200" w:hanging="424"/>
        <w:spacing w:after="0" w:line="286" w:lineRule="auto"/>
        <w:tabs>
          <w:tab w:leader="none" w:pos="540" w:val="left"/>
        </w:tabs>
        <w:numPr>
          <w:ilvl w:val="0"/>
          <w:numId w:val="44"/>
        </w:numPr>
        <w:rPr>
          <w:rFonts w:ascii="Arial" w:cs="Arial" w:eastAsia="Arial" w:hAnsi="Arial"/>
          <w:sz w:val="16"/>
          <w:szCs w:val="16"/>
          <w:color w:val="3F3F3F"/>
        </w:rPr>
      </w:pPr>
      <w:r>
        <w:rPr>
          <w:rFonts w:ascii="Arial" w:cs="Arial" w:eastAsia="Arial" w:hAnsi="Arial"/>
          <w:sz w:val="16"/>
          <w:szCs w:val="16"/>
          <w:color w:val="3F3F3F"/>
        </w:rPr>
        <w:t>For Messrs. Smith, Goettler, and Coury, payouts represent a prorated amount to reflect the number of days each respectively served as an active employee during 2023 and were based on actual Company performance</w:t>
      </w:r>
      <w:r>
        <w:rPr>
          <w:rFonts w:ascii="Arial" w:cs="Arial" w:eastAsia="Arial" w:hAnsi="Arial"/>
          <w:sz w:val="16"/>
          <w:szCs w:val="16"/>
          <w:i w:val="1"/>
          <w:iCs w:val="1"/>
          <w:color w:val="3F3F3F"/>
        </w:rPr>
        <w:t>.</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2023 Long-Term Incentive Compensation Programs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Long-Term Incentive Compensation Grants for 2023</w:t>
      </w:r>
    </w:p>
    <w:p>
      <w:pPr>
        <w:spacing w:after="0" w:line="10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3F3F3F"/>
        </w:rPr>
        <w:t>The Compensation Committee believes that the value of long-term incentives should be directly related to the performance of Viatris’ common stock over several years, as well as other measures associated with the growth, success, and long-term sustainability of Viatris. The Compensation Committee approved annual long-term incentive (“LTI”) award grants in the first quarter of 2023.</w:t>
      </w:r>
    </w:p>
    <w:p>
      <w:pPr>
        <w:spacing w:after="0" w:line="6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In 2022, we increased the percentage of performance-based awards (which are subject to a TSR modifier) from 60% to 65%, with 65% of each NEO’s award in the form of PRSUs and 35% in the form of RSUs, and we continued this practice in 2023. This increase in the allocation to PRSUs reflects a further reinforcement of our pay-for-performance philosophy and our robust shareholder engagement. RSUs vest ratably over a three-year period following the grant date, and PRSUs vest as described below. This mix of LTI awards provides NEOs with a combination of incentives and aligns them with the interests of shareholders.</w:t>
      </w:r>
    </w:p>
    <w:p>
      <w:pPr>
        <w:spacing w:after="0" w:line="68"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color w:val="3F3F3F"/>
        </w:rPr>
        <w:t>Each NEO’s 2023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For 2023, the Compensation Committee approved the following annual LTI award values for our NEOs: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90"/>
        </w:trPr>
        <w:tc>
          <w:tcPr>
            <w:tcW w:w="7580" w:type="dxa"/>
            <w:vAlign w:val="bottom"/>
            <w:shd w:val="clear" w:color="auto" w:fill="732282"/>
          </w:tcPr>
          <w:p>
            <w:pPr>
              <w:spacing w:after="0"/>
              <w:rPr>
                <w:sz w:val="24"/>
                <w:szCs w:val="24"/>
                <w:color w:val="auto"/>
              </w:rPr>
            </w:pPr>
          </w:p>
        </w:tc>
        <w:tc>
          <w:tcPr>
            <w:tcW w:w="1160" w:type="dxa"/>
            <w:vAlign w:val="bottom"/>
            <w:shd w:val="clear" w:color="auto" w:fill="732282"/>
          </w:tcPr>
          <w:p>
            <w:pPr>
              <w:spacing w:after="0"/>
              <w:rPr>
                <w:sz w:val="24"/>
                <w:szCs w:val="24"/>
                <w:color w:val="auto"/>
              </w:rPr>
            </w:pPr>
          </w:p>
        </w:tc>
        <w:tc>
          <w:tcPr>
            <w:tcW w:w="1120" w:type="dxa"/>
            <w:vAlign w:val="bottom"/>
            <w:shd w:val="clear" w:color="auto" w:fill="732282"/>
          </w:tcPr>
          <w:p>
            <w:pPr>
              <w:spacing w:after="0"/>
              <w:rPr>
                <w:sz w:val="24"/>
                <w:szCs w:val="24"/>
                <w:color w:val="auto"/>
              </w:rPr>
            </w:pPr>
          </w:p>
        </w:tc>
        <w:tc>
          <w:tcPr>
            <w:tcW w:w="116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Total LTI</w:t>
            </w:r>
          </w:p>
        </w:tc>
      </w:tr>
      <w:tr>
        <w:trPr>
          <w:trHeight w:val="291"/>
        </w:trPr>
        <w:tc>
          <w:tcPr>
            <w:tcW w:w="7580" w:type="dxa"/>
            <w:vAlign w:val="bottom"/>
            <w:shd w:val="clear" w:color="auto" w:fill="732282"/>
          </w:tcPr>
          <w:p>
            <w:pPr>
              <w:ind w:left="60"/>
              <w:spacing w:after="0" w:line="290" w:lineRule="exact"/>
              <w:rPr>
                <w:sz w:val="20"/>
                <w:szCs w:val="20"/>
                <w:color w:val="auto"/>
              </w:rPr>
            </w:pPr>
            <w:r>
              <w:rPr>
                <w:rFonts w:ascii="Arial" w:cs="Arial" w:eastAsia="Arial" w:hAnsi="Arial"/>
                <w:sz w:val="32"/>
                <w:szCs w:val="32"/>
                <w:b w:val="1"/>
                <w:bCs w:val="1"/>
                <w:color w:val="FFFFFF"/>
                <w:vertAlign w:val="subscript"/>
              </w:rPr>
              <w:t>NEO</w:t>
            </w:r>
            <w:r>
              <w:rPr>
                <w:rFonts w:ascii="Arial" w:cs="Arial" w:eastAsia="Arial" w:hAnsi="Arial"/>
                <w:sz w:val="12"/>
                <w:szCs w:val="12"/>
                <w:b w:val="1"/>
                <w:bCs w:val="1"/>
                <w:color w:val="FFFFFF"/>
              </w:rPr>
              <w:t>(1)</w:t>
            </w:r>
          </w:p>
        </w:tc>
        <w:tc>
          <w:tcPr>
            <w:tcW w:w="1160" w:type="dxa"/>
            <w:vAlign w:val="bottom"/>
            <w:shd w:val="clear" w:color="auto" w:fill="732282"/>
          </w:tcPr>
          <w:p>
            <w:pPr>
              <w:ind w:left="280"/>
              <w:spacing w:after="0"/>
              <w:rPr>
                <w:sz w:val="20"/>
                <w:szCs w:val="20"/>
                <w:color w:val="auto"/>
              </w:rPr>
            </w:pPr>
            <w:r>
              <w:rPr>
                <w:rFonts w:ascii="Arial" w:cs="Arial" w:eastAsia="Arial" w:hAnsi="Arial"/>
                <w:sz w:val="16"/>
                <w:szCs w:val="16"/>
                <w:b w:val="1"/>
                <w:bCs w:val="1"/>
                <w:color w:val="FFFFFF"/>
              </w:rPr>
              <w:t>PRSUs </w:t>
            </w:r>
          </w:p>
        </w:tc>
        <w:tc>
          <w:tcPr>
            <w:tcW w:w="112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RSUs </w:t>
            </w:r>
          </w:p>
        </w:tc>
        <w:tc>
          <w:tcPr>
            <w:tcW w:w="116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Award </w:t>
            </w:r>
          </w:p>
        </w:tc>
      </w:tr>
      <w:tr>
        <w:trPr>
          <w:trHeight w:val="283"/>
        </w:trPr>
        <w:tc>
          <w:tcPr>
            <w:tcW w:w="75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p>
        </w:tc>
        <w:tc>
          <w:tcPr>
            <w:tcW w:w="1160" w:type="dxa"/>
            <w:vAlign w:val="bottom"/>
            <w:shd w:val="clear" w:color="auto" w:fill="E5E5E5"/>
          </w:tcPr>
          <w:p>
            <w:pPr>
              <w:ind w:left="180"/>
              <w:spacing w:after="0"/>
              <w:rPr>
                <w:sz w:val="20"/>
                <w:szCs w:val="20"/>
                <w:color w:val="auto"/>
              </w:rPr>
            </w:pPr>
            <w:r>
              <w:rPr>
                <w:rFonts w:ascii="Arial" w:cs="Arial" w:eastAsia="Arial" w:hAnsi="Arial"/>
                <w:sz w:val="16"/>
                <w:szCs w:val="16"/>
                <w:color w:val="auto"/>
              </w:rPr>
              <w:t>$7,280,000 </w:t>
            </w:r>
          </w:p>
        </w:tc>
        <w:tc>
          <w:tcPr>
            <w:tcW w:w="11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$3,920,000 </w:t>
            </w:r>
          </w:p>
        </w:tc>
        <w:tc>
          <w:tcPr>
            <w:tcW w:w="11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$11,200,000 </w:t>
            </w:r>
          </w:p>
        </w:tc>
      </w:tr>
      <w:tr>
        <w:trPr>
          <w:trHeight w:val="280"/>
        </w:trPr>
        <w:tc>
          <w:tcPr>
            <w:tcW w:w="758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160" w:type="dxa"/>
            <w:vAlign w:val="bottom"/>
          </w:tcPr>
          <w:p>
            <w:pPr>
              <w:ind w:left="180"/>
              <w:spacing w:after="0"/>
              <w:rPr>
                <w:sz w:val="20"/>
                <w:szCs w:val="20"/>
                <w:color w:val="auto"/>
              </w:rPr>
            </w:pPr>
            <w:r>
              <w:rPr>
                <w:rFonts w:ascii="Arial" w:cs="Arial" w:eastAsia="Arial" w:hAnsi="Arial"/>
                <w:sz w:val="16"/>
                <w:szCs w:val="16"/>
                <w:color w:val="auto"/>
              </w:rPr>
              <w:t>$5,070,000 </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$2,730,000 </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$7,800,000 </w:t>
            </w:r>
          </w:p>
        </w:tc>
      </w:tr>
      <w:tr>
        <w:trPr>
          <w:trHeight w:val="287"/>
        </w:trPr>
        <w:tc>
          <w:tcPr>
            <w:tcW w:w="75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160" w:type="dxa"/>
            <w:vAlign w:val="bottom"/>
            <w:shd w:val="clear" w:color="auto" w:fill="E5E5E5"/>
          </w:tcPr>
          <w:p>
            <w:pPr>
              <w:ind w:left="180"/>
              <w:spacing w:after="0"/>
              <w:rPr>
                <w:sz w:val="20"/>
                <w:szCs w:val="20"/>
                <w:color w:val="auto"/>
              </w:rPr>
            </w:pPr>
            <w:r>
              <w:rPr>
                <w:rFonts w:ascii="Arial" w:cs="Arial" w:eastAsia="Arial" w:hAnsi="Arial"/>
                <w:sz w:val="16"/>
                <w:szCs w:val="16"/>
                <w:color w:val="auto"/>
              </w:rPr>
              <w:t>$2,405,000 </w:t>
            </w:r>
          </w:p>
        </w:tc>
        <w:tc>
          <w:tcPr>
            <w:tcW w:w="11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$1,295,000 </w:t>
            </w:r>
          </w:p>
        </w:tc>
        <w:tc>
          <w:tcPr>
            <w:tcW w:w="11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$3,700,000 </w:t>
            </w:r>
          </w:p>
        </w:tc>
      </w:tr>
      <w:tr>
        <w:trPr>
          <w:trHeight w:val="280"/>
        </w:trPr>
        <w:tc>
          <w:tcPr>
            <w:tcW w:w="758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60" w:type="dxa"/>
            <w:vAlign w:val="bottom"/>
          </w:tcPr>
          <w:p>
            <w:pPr>
              <w:ind w:left="180"/>
              <w:spacing w:after="0"/>
              <w:rPr>
                <w:sz w:val="20"/>
                <w:szCs w:val="20"/>
                <w:color w:val="auto"/>
              </w:rPr>
            </w:pPr>
            <w:r>
              <w:rPr>
                <w:rFonts w:ascii="Arial" w:cs="Arial" w:eastAsia="Arial" w:hAnsi="Arial"/>
                <w:sz w:val="16"/>
                <w:szCs w:val="16"/>
                <w:color w:val="auto"/>
              </w:rPr>
              <w:t>$2,236,000 </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$1,204,000 </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$3,440,000 </w:t>
            </w:r>
          </w:p>
        </w:tc>
      </w:tr>
      <w:tr>
        <w:trPr>
          <w:trHeight w:val="287"/>
        </w:trPr>
        <w:tc>
          <w:tcPr>
            <w:tcW w:w="75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1160" w:type="dxa"/>
            <w:vAlign w:val="bottom"/>
            <w:shd w:val="clear" w:color="auto" w:fill="E5E5E5"/>
          </w:tcPr>
          <w:p>
            <w:pPr>
              <w:ind w:left="180"/>
              <w:spacing w:after="0"/>
              <w:rPr>
                <w:sz w:val="20"/>
                <w:szCs w:val="20"/>
                <w:color w:val="auto"/>
              </w:rPr>
            </w:pPr>
            <w:r>
              <w:rPr>
                <w:rFonts w:ascii="Arial" w:cs="Arial" w:eastAsia="Arial" w:hAnsi="Arial"/>
                <w:sz w:val="16"/>
                <w:szCs w:val="16"/>
                <w:color w:val="auto"/>
              </w:rPr>
              <w:t>$1,040,000 </w:t>
            </w:r>
          </w:p>
        </w:tc>
        <w:tc>
          <w:tcPr>
            <w:tcW w:w="11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$560,000 </w:t>
            </w:r>
          </w:p>
        </w:tc>
        <w:tc>
          <w:tcPr>
            <w:tcW w:w="11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$1,600,000 </w:t>
            </w:r>
          </w:p>
        </w:tc>
      </w:tr>
      <w:tr>
        <w:trPr>
          <w:trHeight w:val="280"/>
        </w:trPr>
        <w:tc>
          <w:tcPr>
            <w:tcW w:w="7580" w:type="dxa"/>
            <w:vAlign w:val="bottom"/>
            <w:tcBorders>
              <w:bottom w:val="single" w:sz="8" w:color="732282"/>
            </w:tcBorders>
          </w:tcPr>
          <w:p>
            <w:pPr>
              <w:ind w:left="60"/>
              <w:spacing w:after="0"/>
              <w:rPr>
                <w:sz w:val="20"/>
                <w:szCs w:val="20"/>
                <w:color w:val="auto"/>
              </w:rPr>
            </w:pPr>
            <w:r>
              <w:rPr>
                <w:rFonts w:ascii="Arial" w:cs="Arial" w:eastAsia="Arial" w:hAnsi="Arial"/>
                <w:sz w:val="16"/>
                <w:szCs w:val="16"/>
                <w:b w:val="1"/>
                <w:bCs w:val="1"/>
                <w:color w:val="auto"/>
              </w:rPr>
              <w:t>Robert J. Coury</w:t>
            </w:r>
          </w:p>
        </w:tc>
        <w:tc>
          <w:tcPr>
            <w:tcW w:w="1160" w:type="dxa"/>
            <w:vAlign w:val="bottom"/>
            <w:tcBorders>
              <w:bottom w:val="single" w:sz="8" w:color="732282"/>
            </w:tcBorders>
          </w:tcPr>
          <w:p>
            <w:pPr>
              <w:ind w:left="180"/>
              <w:spacing w:after="0"/>
              <w:rPr>
                <w:sz w:val="20"/>
                <w:szCs w:val="20"/>
                <w:color w:val="auto"/>
              </w:rPr>
            </w:pPr>
            <w:r>
              <w:rPr>
                <w:rFonts w:ascii="Arial" w:cs="Arial" w:eastAsia="Arial" w:hAnsi="Arial"/>
                <w:sz w:val="16"/>
                <w:szCs w:val="16"/>
                <w:color w:val="auto"/>
              </w:rPr>
              <w:t>$7,605,000 </w:t>
            </w:r>
          </w:p>
        </w:tc>
        <w:tc>
          <w:tcPr>
            <w:tcW w:w="1120" w:type="dxa"/>
            <w:vAlign w:val="bottom"/>
            <w:tcBorders>
              <w:bottom w:val="single" w:sz="8" w:color="732282"/>
            </w:tcBorders>
          </w:tcPr>
          <w:p>
            <w:pPr>
              <w:jc w:val="right"/>
              <w:ind w:right="39"/>
              <w:spacing w:after="0"/>
              <w:rPr>
                <w:sz w:val="20"/>
                <w:szCs w:val="20"/>
                <w:color w:val="auto"/>
              </w:rPr>
            </w:pPr>
            <w:r>
              <w:rPr>
                <w:rFonts w:ascii="Arial" w:cs="Arial" w:eastAsia="Arial" w:hAnsi="Arial"/>
                <w:sz w:val="16"/>
                <w:szCs w:val="16"/>
                <w:color w:val="auto"/>
              </w:rPr>
              <w:t>$4,095,000 </w:t>
            </w:r>
          </w:p>
        </w:tc>
        <w:tc>
          <w:tcPr>
            <w:tcW w:w="1160" w:type="dxa"/>
            <w:vAlign w:val="bottom"/>
            <w:tcBorders>
              <w:bottom w:val="single" w:sz="8" w:color="732282"/>
            </w:tcBorders>
          </w:tcPr>
          <w:p>
            <w:pPr>
              <w:jc w:val="right"/>
              <w:ind w:right="19"/>
              <w:spacing w:after="0"/>
              <w:rPr>
                <w:sz w:val="20"/>
                <w:szCs w:val="20"/>
                <w:color w:val="auto"/>
              </w:rPr>
            </w:pPr>
            <w:r>
              <w:rPr>
                <w:rFonts w:ascii="Arial" w:cs="Arial" w:eastAsia="Arial" w:hAnsi="Arial"/>
                <w:sz w:val="16"/>
                <w:szCs w:val="16"/>
                <w:color w:val="auto"/>
              </w:rPr>
              <w:t>$11,700,000 </w:t>
            </w:r>
          </w:p>
        </w:tc>
      </w:tr>
    </w:tbl>
    <w:p>
      <w:pPr>
        <w:spacing w:after="0" w:line="107"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6"/>
          <w:szCs w:val="16"/>
          <w:color w:val="3F3F3F"/>
        </w:rPr>
      </w:pPr>
      <w:r>
        <w:rPr>
          <w:rFonts w:ascii="Arial" w:cs="Arial" w:eastAsia="Arial" w:hAnsi="Arial"/>
          <w:sz w:val="16"/>
          <w:szCs w:val="16"/>
          <w:color w:val="3F3F3F"/>
        </w:rPr>
        <w:t>Mr. Goettler did not receive a long-term incentive award in 2023.</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2023 Three-Year PRSU Performance Metrics</w:t>
      </w:r>
    </w:p>
    <w:p>
      <w:pPr>
        <w:spacing w:after="0" w:line="108"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3F3F3F"/>
        </w:rPr>
        <w:t>The 2023 grant of PRSUs is subject to free cash flow and relative market performance metrics (i.e., relative TSR using the S&amp;P 500 Pharmaceutical Index), which is used as a modifier to determine the final payout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3F3F3F"/>
        </w:rPr>
        <w:t>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w:t>
      </w:r>
    </w:p>
    <w:p>
      <w:pPr>
        <w:spacing w:after="0" w:line="61" w:lineRule="exact"/>
        <w:rPr>
          <w:sz w:val="20"/>
          <w:szCs w:val="20"/>
          <w:color w:val="auto"/>
        </w:rPr>
      </w:pPr>
    </w:p>
    <w:p>
      <w:pPr>
        <w:ind w:left="120" w:right="100"/>
        <w:spacing w:after="0"/>
        <w:rPr>
          <w:sz w:val="20"/>
          <w:szCs w:val="20"/>
          <w:color w:val="auto"/>
        </w:rPr>
      </w:pPr>
      <w:r>
        <w:rPr>
          <w:rFonts w:ascii="Arial" w:cs="Arial" w:eastAsia="Arial" w:hAnsi="Arial"/>
          <w:sz w:val="18"/>
          <w:szCs w:val="18"/>
          <w:color w:val="3F3F3F"/>
        </w:rPr>
        <w:t>As shown in the table below, payouts under the 2023 PRSUs will be determined in two steps. First, in the first quarter of 2026, the outcome of the free cash flow metric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percentage. The reduction in amounts in setting the free cash flow metric reflects the Company’s expectations regarding the negative impact on free cash flows resulting from previously announced divestitures.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562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Weighting</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Threshold</w:t>
            </w:r>
          </w:p>
        </w:tc>
        <w:tc>
          <w:tcPr>
            <w:tcW w:w="16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Maximum</w:t>
            </w:r>
          </w:p>
        </w:tc>
      </w:tr>
      <w:tr>
        <w:trPr>
          <w:trHeight w:val="351"/>
        </w:trPr>
        <w:tc>
          <w:tcPr>
            <w:tcW w:w="562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w:t>
            </w:r>
          </w:p>
        </w:tc>
        <w:tc>
          <w:tcPr>
            <w:tcW w:w="10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$6,000 million</w:t>
            </w:r>
          </w:p>
        </w:tc>
        <w:tc>
          <w:tcPr>
            <w:tcW w:w="1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$7,000 million</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$8,000 million</w:t>
            </w:r>
          </w:p>
        </w:tc>
      </w:tr>
      <w:tr>
        <w:trPr>
          <w:trHeight w:val="323"/>
        </w:trPr>
        <w:tc>
          <w:tcPr>
            <w:tcW w:w="5620" w:type="dxa"/>
            <w:vAlign w:val="bottom"/>
          </w:tcPr>
          <w:p>
            <w:pPr>
              <w:ind w:left="60"/>
              <w:spacing w:after="0"/>
              <w:rPr>
                <w:sz w:val="20"/>
                <w:szCs w:val="20"/>
                <w:color w:val="auto"/>
              </w:rPr>
            </w:pPr>
            <w:r>
              <w:rPr>
                <w:rFonts w:ascii="Arial" w:cs="Arial" w:eastAsia="Arial" w:hAnsi="Arial"/>
                <w:sz w:val="16"/>
                <w:szCs w:val="16"/>
                <w:color w:val="auto"/>
              </w:rPr>
              <w:t>Relative TSR of Peer Group</w:t>
            </w:r>
            <w:r>
              <w:rPr>
                <w:rFonts w:ascii="Arial" w:cs="Arial" w:eastAsia="Arial" w:hAnsi="Arial"/>
                <w:sz w:val="24"/>
                <w:szCs w:val="24"/>
                <w:color w:val="auto"/>
                <w:vertAlign w:val="superscript"/>
              </w:rPr>
              <w:t>(2)</w:t>
            </w:r>
          </w:p>
        </w:tc>
        <w:tc>
          <w:tcPr>
            <w:tcW w:w="1080" w:type="dxa"/>
            <w:vAlign w:val="bottom"/>
          </w:tcPr>
          <w:p>
            <w:pPr>
              <w:jc w:val="center"/>
              <w:spacing w:after="0"/>
              <w:rPr>
                <w:sz w:val="20"/>
                <w:szCs w:val="20"/>
                <w:color w:val="auto"/>
              </w:rPr>
            </w:pPr>
            <w:r>
              <w:rPr>
                <w:rFonts w:ascii="Arial" w:cs="Arial" w:eastAsia="Arial" w:hAnsi="Arial"/>
                <w:sz w:val="16"/>
                <w:szCs w:val="16"/>
                <w:color w:val="auto"/>
              </w:rPr>
              <w:t>Multiplier</w:t>
            </w:r>
          </w:p>
        </w:tc>
        <w:tc>
          <w:tcPr>
            <w:tcW w:w="1360" w:type="dxa"/>
            <w:vAlign w:val="bottom"/>
          </w:tcPr>
          <w:p>
            <w:pPr>
              <w:jc w:val="center"/>
              <w:spacing w:after="0"/>
              <w:rPr>
                <w:sz w:val="20"/>
                <w:szCs w:val="20"/>
                <w:color w:val="auto"/>
              </w:rPr>
            </w:pPr>
            <w:r>
              <w:rPr>
                <w:rFonts w:ascii="Arial" w:cs="Arial" w:eastAsia="Arial" w:hAnsi="Arial"/>
                <w:sz w:val="16"/>
                <w:szCs w:val="16"/>
                <w:color w:val="auto"/>
              </w:rPr>
              <w:t>At or Below</w:t>
            </w:r>
          </w:p>
        </w:tc>
        <w:tc>
          <w:tcPr>
            <w:tcW w:w="1620" w:type="dxa"/>
            <w:vAlign w:val="bottom"/>
          </w:tcPr>
          <w:p>
            <w:pPr>
              <w:jc w:val="center"/>
              <w:spacing w:after="0"/>
              <w:rPr>
                <w:sz w:val="20"/>
                <w:szCs w:val="20"/>
                <w:color w:val="auto"/>
              </w:rPr>
            </w:pPr>
            <w:r>
              <w:rPr>
                <w:rFonts w:ascii="Arial" w:cs="Arial" w:eastAsia="Arial" w:hAnsi="Arial"/>
                <w:sz w:val="16"/>
                <w:szCs w:val="16"/>
                <w:color w:val="auto"/>
              </w:rPr>
              <w:t>Between 25th and</w:t>
            </w:r>
          </w:p>
        </w:tc>
        <w:tc>
          <w:tcPr>
            <w:tcW w:w="1340" w:type="dxa"/>
            <w:vAlign w:val="bottom"/>
          </w:tcPr>
          <w:p>
            <w:pPr>
              <w:jc w:val="center"/>
              <w:spacing w:after="0"/>
              <w:rPr>
                <w:sz w:val="20"/>
                <w:szCs w:val="20"/>
                <w:color w:val="auto"/>
              </w:rPr>
            </w:pPr>
            <w:r>
              <w:rPr>
                <w:rFonts w:ascii="Arial" w:cs="Arial" w:eastAsia="Arial" w:hAnsi="Arial"/>
                <w:sz w:val="16"/>
                <w:szCs w:val="16"/>
                <w:color w:val="auto"/>
              </w:rPr>
              <w:t>At or Above</w:t>
            </w:r>
          </w:p>
        </w:tc>
      </w:tr>
      <w:tr>
        <w:trPr>
          <w:trHeight w:val="215"/>
        </w:trPr>
        <w:tc>
          <w:tcPr>
            <w:tcW w:w="5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25th Percentile</w:t>
            </w:r>
          </w:p>
        </w:tc>
        <w:tc>
          <w:tcPr>
            <w:tcW w:w="1620" w:type="dxa"/>
            <w:vAlign w:val="bottom"/>
          </w:tcPr>
          <w:p>
            <w:pPr>
              <w:jc w:val="center"/>
              <w:spacing w:after="0"/>
              <w:rPr>
                <w:sz w:val="20"/>
                <w:szCs w:val="20"/>
                <w:color w:val="auto"/>
              </w:rPr>
            </w:pPr>
            <w:r>
              <w:rPr>
                <w:rFonts w:ascii="Arial" w:cs="Arial" w:eastAsia="Arial" w:hAnsi="Arial"/>
                <w:sz w:val="16"/>
                <w:szCs w:val="16"/>
                <w:color w:val="auto"/>
              </w:rPr>
              <w:t>75th Percentiles</w:t>
            </w:r>
          </w:p>
        </w:tc>
        <w:tc>
          <w:tcPr>
            <w:tcW w:w="1340" w:type="dxa"/>
            <w:vAlign w:val="bottom"/>
          </w:tcPr>
          <w:p>
            <w:pPr>
              <w:jc w:val="center"/>
              <w:spacing w:after="0"/>
              <w:rPr>
                <w:sz w:val="20"/>
                <w:szCs w:val="20"/>
                <w:color w:val="auto"/>
              </w:rPr>
            </w:pPr>
            <w:r>
              <w:rPr>
                <w:rFonts w:ascii="Arial" w:cs="Arial" w:eastAsia="Arial" w:hAnsi="Arial"/>
                <w:sz w:val="16"/>
                <w:szCs w:val="16"/>
                <w:color w:val="auto"/>
              </w:rPr>
              <w:t>75th Percentile</w:t>
            </w:r>
          </w:p>
        </w:tc>
      </w:tr>
      <w:tr>
        <w:trPr>
          <w:trHeight w:val="257"/>
        </w:trPr>
        <w:tc>
          <w:tcPr>
            <w:tcW w:w="5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of Peer Group</w:t>
            </w:r>
          </w:p>
        </w:tc>
        <w:tc>
          <w:tcPr>
            <w:tcW w:w="1620" w:type="dxa"/>
            <w:vAlign w:val="bottom"/>
          </w:tcPr>
          <w:p>
            <w:pPr>
              <w:jc w:val="center"/>
              <w:spacing w:after="0"/>
              <w:rPr>
                <w:sz w:val="20"/>
                <w:szCs w:val="20"/>
                <w:color w:val="auto"/>
              </w:rPr>
            </w:pPr>
            <w:r>
              <w:rPr>
                <w:rFonts w:ascii="Arial" w:cs="Arial" w:eastAsia="Arial" w:hAnsi="Arial"/>
                <w:sz w:val="16"/>
                <w:szCs w:val="16"/>
                <w:color w:val="auto"/>
              </w:rPr>
              <w:t>of Peer Group</w:t>
            </w:r>
          </w:p>
        </w:tc>
        <w:tc>
          <w:tcPr>
            <w:tcW w:w="1340" w:type="dxa"/>
            <w:vAlign w:val="bottom"/>
          </w:tcPr>
          <w:p>
            <w:pPr>
              <w:jc w:val="center"/>
              <w:spacing w:after="0"/>
              <w:rPr>
                <w:sz w:val="20"/>
                <w:szCs w:val="20"/>
                <w:color w:val="auto"/>
              </w:rPr>
            </w:pPr>
            <w:r>
              <w:rPr>
                <w:rFonts w:ascii="Arial" w:cs="Arial" w:eastAsia="Arial" w:hAnsi="Arial"/>
                <w:sz w:val="16"/>
                <w:szCs w:val="16"/>
                <w:color w:val="auto"/>
              </w:rPr>
              <w:t>of Peer Group</w:t>
            </w:r>
          </w:p>
        </w:tc>
      </w:tr>
      <w:tr>
        <w:trPr>
          <w:trHeight w:val="56"/>
        </w:trPr>
        <w:tc>
          <w:tcPr>
            <w:tcW w:w="56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77"/>
        </w:trPr>
        <w:tc>
          <w:tcPr>
            <w:tcW w:w="56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Payout Opportunity (as % of Target)</w:t>
            </w:r>
          </w:p>
        </w:tc>
        <w:tc>
          <w:tcPr>
            <w:tcW w:w="1080" w:type="dxa"/>
            <w:vAlign w:val="bottom"/>
            <w:tcBorders>
              <w:bottom w:val="single" w:sz="8" w:color="E5E5E5"/>
            </w:tcBorders>
            <w:shd w:val="clear" w:color="auto" w:fill="E5E5E5"/>
          </w:tcPr>
          <w:p>
            <w:pPr>
              <w:spacing w:after="0"/>
              <w:rPr>
                <w:sz w:val="24"/>
                <w:szCs w:val="24"/>
                <w:color w:val="auto"/>
              </w:rPr>
            </w:pPr>
          </w:p>
        </w:tc>
        <w:tc>
          <w:tcPr>
            <w:tcW w:w="13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w w:val="99"/>
              </w:rPr>
              <w:t>35%</w:t>
            </w:r>
          </w:p>
        </w:tc>
        <w:tc>
          <w:tcPr>
            <w:tcW w:w="16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13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195%</w:t>
            </w:r>
          </w:p>
        </w:tc>
      </w:tr>
      <w:tr>
        <w:trPr>
          <w:trHeight w:val="20"/>
        </w:trPr>
        <w:tc>
          <w:tcPr>
            <w:tcW w:w="562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620" w:type="dxa"/>
            <w:vAlign w:val="bottom"/>
            <w:shd w:val="clear" w:color="auto" w:fill="732282"/>
          </w:tcPr>
          <w:p>
            <w:pPr>
              <w:spacing w:after="0" w:line="20" w:lineRule="exact"/>
              <w:rPr>
                <w:sz w:val="1"/>
                <w:szCs w:val="1"/>
                <w:color w:val="auto"/>
              </w:rPr>
            </w:pPr>
          </w:p>
        </w:tc>
        <w:tc>
          <w:tcPr>
            <w:tcW w:w="1340" w:type="dxa"/>
            <w:vAlign w:val="bottom"/>
            <w:shd w:val="clear" w:color="auto" w:fill="732282"/>
          </w:tcPr>
          <w:p>
            <w:pPr>
              <w:spacing w:after="0" w:line="20" w:lineRule="exact"/>
              <w:rPr>
                <w:sz w:val="1"/>
                <w:szCs w:val="1"/>
                <w:color w:val="auto"/>
              </w:rPr>
            </w:pPr>
          </w:p>
        </w:tc>
      </w:tr>
    </w:tbl>
    <w:p>
      <w:pPr>
        <w:spacing w:after="0" w:line="107" w:lineRule="exact"/>
        <w:rPr>
          <w:sz w:val="20"/>
          <w:szCs w:val="20"/>
          <w:color w:val="auto"/>
        </w:rPr>
      </w:pPr>
    </w:p>
    <w:p>
      <w:pPr>
        <w:ind w:left="540" w:right="20" w:hanging="424"/>
        <w:spacing w:after="0" w:line="249" w:lineRule="auto"/>
        <w:tabs>
          <w:tab w:leader="none" w:pos="540" w:val="left"/>
        </w:tabs>
        <w:numPr>
          <w:ilvl w:val="0"/>
          <w:numId w:val="46"/>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the calculation for Viatris’ 2023 annual incentive program, except that the calculation for the 2023 PRSUs further adjusts for any of the following, as applicable: transaction costs and taxes related to certain acquisitions and divestitures as well as any incremental transaction costs and taxes related to other select asset sales or reshaping initiatives and other impacts of divestitures, unbudgeted restructuring costs, unbudgeted R&amp;D expense, material unplanned litigation gains or losses equal to or greater than $25 million in the aggregate, changes in tax laws, and all impacts of material acquisition activities. Free cash flow for the 2023 PRSUs will be the sum of such free cash flow measure for each of the years ended December 31, 2023, 2024 and 2025 and will utilize budgeted foreign exchange rates for the relevant year. Viatris’ free cash flow as reported for the twelve months ended December 31, 2023 is reconciled to the most directly comparable U.S. GAAP measure in Appendix B.</w:t>
      </w:r>
    </w:p>
    <w:p>
      <w:pPr>
        <w:ind w:left="540" w:right="220" w:hanging="424"/>
        <w:spacing w:after="0" w:line="256" w:lineRule="auto"/>
        <w:tabs>
          <w:tab w:leader="none" w:pos="540" w:val="left"/>
        </w:tabs>
        <w:numPr>
          <w:ilvl w:val="0"/>
          <w:numId w:val="46"/>
        </w:numPr>
        <w:rPr>
          <w:rFonts w:ascii="Arial" w:cs="Arial" w:eastAsia="Arial" w:hAnsi="Arial"/>
          <w:sz w:val="16"/>
          <w:szCs w:val="16"/>
          <w:color w:val="3F3F3F"/>
        </w:rPr>
      </w:pPr>
      <w:r>
        <w:rPr>
          <w:rFonts w:ascii="Arial" w:cs="Arial" w:eastAsia="Arial" w:hAnsi="Arial"/>
          <w:sz w:val="16"/>
          <w:szCs w:val="16"/>
          <w:color w:val="3F3F3F"/>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p>
      <w:pPr>
        <w:spacing w:after="0" w:line="65"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3F3F3F"/>
        </w:rPr>
        <w:t>Payouts with respect to PRSUs granted in 2023 will be determined in early 2026 following the conclusion of the three-year performance cycle.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2021-2023 Three-Year PRSU Performance Metric Results</w:t>
      </w:r>
    </w:p>
    <w:p>
      <w:pPr>
        <w:spacing w:after="0" w:line="10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3F3F3F"/>
        </w:rPr>
        <w:t>During the three-year period of 2021 to 2023, Viatris achieved the following performance against the Compensation Committee-approved performance goals: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2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Weighting</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Threshold</w:t>
            </w:r>
          </w:p>
        </w:tc>
        <w:tc>
          <w:tcPr>
            <w:tcW w:w="16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Target</w:t>
            </w: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Maximum</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Results</w:t>
            </w:r>
          </w:p>
        </w:tc>
      </w:tr>
      <w:tr>
        <w:trPr>
          <w:trHeight w:val="351"/>
        </w:trPr>
        <w:tc>
          <w:tcPr>
            <w:tcW w:w="4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$6,500 million</w:t>
            </w:r>
          </w:p>
        </w:tc>
        <w:tc>
          <w:tcPr>
            <w:tcW w:w="1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$7,500 million</w:t>
            </w:r>
          </w:p>
        </w:tc>
        <w:tc>
          <w:tcPr>
            <w:tcW w:w="14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$8,500 million</w:t>
            </w:r>
          </w:p>
        </w:tc>
        <w:tc>
          <w:tcPr>
            <w:tcW w:w="12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$9,500 million</w:t>
            </w:r>
          </w:p>
        </w:tc>
      </w:tr>
      <w:tr>
        <w:trPr>
          <w:trHeight w:val="351"/>
        </w:trPr>
        <w:tc>
          <w:tcPr>
            <w:tcW w:w="4280" w:type="dxa"/>
            <w:vAlign w:val="bottom"/>
          </w:tcPr>
          <w:p>
            <w:pPr>
              <w:ind w:left="60"/>
              <w:spacing w:after="0"/>
              <w:rPr>
                <w:sz w:val="20"/>
                <w:szCs w:val="20"/>
                <w:color w:val="auto"/>
              </w:rPr>
            </w:pPr>
            <w:r>
              <w:rPr>
                <w:rFonts w:ascii="Arial" w:cs="Arial" w:eastAsia="Arial" w:hAnsi="Arial"/>
                <w:sz w:val="16"/>
                <w:szCs w:val="16"/>
                <w:color w:val="auto"/>
              </w:rPr>
              <w:t>Gross Leverage Ratio</w:t>
            </w:r>
            <w:r>
              <w:rPr>
                <w:rFonts w:ascii="Arial" w:cs="Arial" w:eastAsia="Arial" w:hAnsi="Arial"/>
                <w:sz w:val="24"/>
                <w:szCs w:val="24"/>
                <w:color w:val="auto"/>
                <w:vertAlign w:val="superscript"/>
              </w:rPr>
              <w:t>(2)</w:t>
            </w:r>
          </w:p>
        </w:tc>
        <w:tc>
          <w:tcPr>
            <w:tcW w:w="1100" w:type="dxa"/>
            <w:vAlign w:val="bottom"/>
          </w:tcPr>
          <w:p>
            <w:pPr>
              <w:jc w:val="center"/>
              <w:spacing w:after="0"/>
              <w:rPr>
                <w:sz w:val="20"/>
                <w:szCs w:val="20"/>
                <w:color w:val="auto"/>
              </w:rPr>
            </w:pPr>
            <w:r>
              <w:rPr>
                <w:rFonts w:ascii="Arial" w:cs="Arial" w:eastAsia="Arial" w:hAnsi="Arial"/>
                <w:sz w:val="16"/>
                <w:szCs w:val="16"/>
                <w:color w:val="auto"/>
              </w:rPr>
              <w:t>40%</w:t>
            </w:r>
          </w:p>
        </w:tc>
        <w:tc>
          <w:tcPr>
            <w:tcW w:w="1360" w:type="dxa"/>
            <w:vAlign w:val="bottom"/>
          </w:tcPr>
          <w:p>
            <w:pPr>
              <w:jc w:val="center"/>
              <w:spacing w:after="0"/>
              <w:rPr>
                <w:sz w:val="20"/>
                <w:szCs w:val="20"/>
                <w:color w:val="auto"/>
              </w:rPr>
            </w:pPr>
            <w:r>
              <w:rPr>
                <w:rFonts w:ascii="Arial" w:cs="Arial" w:eastAsia="Arial" w:hAnsi="Arial"/>
                <w:sz w:val="16"/>
                <w:szCs w:val="16"/>
                <w:color w:val="auto"/>
              </w:rPr>
              <w:t>3.14x</w:t>
            </w:r>
          </w:p>
        </w:tc>
        <w:tc>
          <w:tcPr>
            <w:tcW w:w="1620" w:type="dxa"/>
            <w:vAlign w:val="bottom"/>
          </w:tcPr>
          <w:p>
            <w:pPr>
              <w:jc w:val="center"/>
              <w:spacing w:after="0"/>
              <w:rPr>
                <w:sz w:val="20"/>
                <w:szCs w:val="20"/>
                <w:color w:val="auto"/>
              </w:rPr>
            </w:pPr>
            <w:r>
              <w:rPr>
                <w:rFonts w:ascii="Arial" w:cs="Arial" w:eastAsia="Arial" w:hAnsi="Arial"/>
                <w:sz w:val="16"/>
                <w:szCs w:val="16"/>
                <w:color w:val="auto"/>
                <w:w w:val="96"/>
              </w:rPr>
              <w:t>2.99x</w:t>
            </w:r>
          </w:p>
        </w:tc>
        <w:tc>
          <w:tcPr>
            <w:tcW w:w="1400" w:type="dxa"/>
            <w:vAlign w:val="bottom"/>
          </w:tcPr>
          <w:p>
            <w:pPr>
              <w:jc w:val="center"/>
              <w:spacing w:after="0"/>
              <w:rPr>
                <w:sz w:val="20"/>
                <w:szCs w:val="20"/>
                <w:color w:val="auto"/>
              </w:rPr>
            </w:pPr>
            <w:r>
              <w:rPr>
                <w:rFonts w:ascii="Arial" w:cs="Arial" w:eastAsia="Arial" w:hAnsi="Arial"/>
                <w:sz w:val="16"/>
                <w:szCs w:val="16"/>
                <w:color w:val="auto"/>
              </w:rPr>
              <w:t>2.84x</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2.84x</w:t>
            </w:r>
          </w:p>
        </w:tc>
      </w:tr>
      <w:tr>
        <w:trPr>
          <w:trHeight w:val="323"/>
        </w:trPr>
        <w:tc>
          <w:tcPr>
            <w:tcW w:w="4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Relative TSR of Peer Group</w:t>
            </w:r>
            <w:r>
              <w:rPr>
                <w:rFonts w:ascii="Arial" w:cs="Arial" w:eastAsia="Arial" w:hAnsi="Arial"/>
                <w:sz w:val="24"/>
                <w:szCs w:val="24"/>
                <w:color w:val="auto"/>
                <w:vertAlign w:val="superscript"/>
              </w:rPr>
              <w:t>(3)</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Multiplier</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At or Below</w:t>
            </w:r>
          </w:p>
        </w:tc>
        <w:tc>
          <w:tcPr>
            <w:tcW w:w="1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Between 25th and</w:t>
            </w:r>
          </w:p>
        </w:tc>
        <w:tc>
          <w:tcPr>
            <w:tcW w:w="14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At or Above</w:t>
            </w:r>
          </w:p>
        </w:tc>
        <w:tc>
          <w:tcPr>
            <w:tcW w:w="12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21st</w:t>
            </w:r>
          </w:p>
        </w:tc>
      </w:tr>
      <w:tr>
        <w:trPr>
          <w:trHeight w:val="215"/>
        </w:trPr>
        <w:tc>
          <w:tcPr>
            <w:tcW w:w="42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25th Percentile</w:t>
            </w:r>
          </w:p>
        </w:tc>
        <w:tc>
          <w:tcPr>
            <w:tcW w:w="16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75th Percentiles</w:t>
            </w:r>
          </w:p>
        </w:tc>
        <w:tc>
          <w:tcPr>
            <w:tcW w:w="14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75th Percentile</w:t>
            </w:r>
          </w:p>
        </w:tc>
        <w:tc>
          <w:tcPr>
            <w:tcW w:w="12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Percentile</w:t>
            </w:r>
          </w:p>
        </w:tc>
      </w:tr>
      <w:tr>
        <w:trPr>
          <w:trHeight w:val="293"/>
        </w:trPr>
        <w:tc>
          <w:tcPr>
            <w:tcW w:w="4280" w:type="dxa"/>
            <w:vAlign w:val="bottom"/>
            <w:tcBorders>
              <w:bottom w:val="single" w:sz="8" w:color="E5E5E5"/>
            </w:tcBorders>
            <w:shd w:val="clear" w:color="auto" w:fill="E5E5E5"/>
          </w:tcPr>
          <w:p>
            <w:pPr>
              <w:spacing w:after="0"/>
              <w:rPr>
                <w:sz w:val="24"/>
                <w:szCs w:val="24"/>
                <w:color w:val="auto"/>
              </w:rPr>
            </w:pPr>
          </w:p>
        </w:tc>
        <w:tc>
          <w:tcPr>
            <w:tcW w:w="1100" w:type="dxa"/>
            <w:vAlign w:val="bottom"/>
            <w:tcBorders>
              <w:bottom w:val="single" w:sz="8" w:color="E5E5E5"/>
            </w:tcBorders>
            <w:shd w:val="clear" w:color="auto" w:fill="E5E5E5"/>
          </w:tcPr>
          <w:p>
            <w:pPr>
              <w:spacing w:after="0"/>
              <w:rPr>
                <w:sz w:val="24"/>
                <w:szCs w:val="24"/>
                <w:color w:val="auto"/>
              </w:rPr>
            </w:pPr>
          </w:p>
        </w:tc>
        <w:tc>
          <w:tcPr>
            <w:tcW w:w="13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of Peer Group</w:t>
            </w:r>
          </w:p>
        </w:tc>
        <w:tc>
          <w:tcPr>
            <w:tcW w:w="162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of Peer Group</w:t>
            </w:r>
          </w:p>
        </w:tc>
        <w:tc>
          <w:tcPr>
            <w:tcW w:w="14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color w:val="auto"/>
              </w:rPr>
              <w:t>of Peer Group</w:t>
            </w:r>
          </w:p>
        </w:tc>
        <w:tc>
          <w:tcPr>
            <w:tcW w:w="1260" w:type="dxa"/>
            <w:vAlign w:val="bottom"/>
            <w:tcBorders>
              <w:bottom w:val="single" w:sz="8" w:color="E5E5E5"/>
            </w:tcBorders>
            <w:shd w:val="clear" w:color="auto" w:fill="E5E5E5"/>
          </w:tcPr>
          <w:p>
            <w:pPr>
              <w:spacing w:after="0"/>
              <w:rPr>
                <w:sz w:val="24"/>
                <w:szCs w:val="24"/>
                <w:color w:val="auto"/>
              </w:rPr>
            </w:pPr>
          </w:p>
        </w:tc>
      </w:tr>
      <w:tr>
        <w:trPr>
          <w:trHeight w:val="268"/>
        </w:trPr>
        <w:tc>
          <w:tcPr>
            <w:tcW w:w="4280" w:type="dxa"/>
            <w:vAlign w:val="bottom"/>
          </w:tcPr>
          <w:p>
            <w:pPr>
              <w:ind w:left="60"/>
              <w:spacing w:after="0"/>
              <w:rPr>
                <w:sz w:val="20"/>
                <w:szCs w:val="20"/>
                <w:color w:val="auto"/>
              </w:rPr>
            </w:pPr>
            <w:r>
              <w:rPr>
                <w:rFonts w:ascii="Arial" w:cs="Arial" w:eastAsia="Arial" w:hAnsi="Arial"/>
                <w:sz w:val="16"/>
                <w:szCs w:val="16"/>
                <w:color w:val="auto"/>
              </w:rPr>
              <w:t>Payout Opportunity (as % of Target)</w:t>
            </w:r>
          </w:p>
        </w:tc>
        <w:tc>
          <w:tcPr>
            <w:tcW w:w="1100" w:type="dxa"/>
            <w:vAlign w:val="bottom"/>
          </w:tcPr>
          <w:p>
            <w:pPr>
              <w:spacing w:after="0"/>
              <w:rPr>
                <w:sz w:val="23"/>
                <w:szCs w:val="23"/>
                <w:color w:val="auto"/>
              </w:rPr>
            </w:pP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35%</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100%</w:t>
            </w:r>
          </w:p>
        </w:tc>
        <w:tc>
          <w:tcPr>
            <w:tcW w:w="1400" w:type="dxa"/>
            <w:vAlign w:val="bottom"/>
          </w:tcPr>
          <w:p>
            <w:pPr>
              <w:jc w:val="right"/>
              <w:ind w:right="419"/>
              <w:spacing w:after="0"/>
              <w:rPr>
                <w:sz w:val="20"/>
                <w:szCs w:val="20"/>
                <w:color w:val="auto"/>
              </w:rPr>
            </w:pPr>
            <w:r>
              <w:rPr>
                <w:rFonts w:ascii="Arial" w:cs="Arial" w:eastAsia="Arial" w:hAnsi="Arial"/>
                <w:sz w:val="16"/>
                <w:szCs w:val="16"/>
                <w:color w:val="auto"/>
              </w:rPr>
              <w:t>195%</w:t>
            </w:r>
          </w:p>
        </w:tc>
        <w:tc>
          <w:tcPr>
            <w:tcW w:w="1260" w:type="dxa"/>
            <w:vAlign w:val="bottom"/>
          </w:tcPr>
          <w:p>
            <w:pPr>
              <w:spacing w:after="0"/>
              <w:rPr>
                <w:sz w:val="23"/>
                <w:szCs w:val="23"/>
                <w:color w:val="auto"/>
              </w:rPr>
            </w:pPr>
          </w:p>
        </w:tc>
      </w:tr>
      <w:tr>
        <w:trPr>
          <w:trHeight w:val="29"/>
        </w:trPr>
        <w:tc>
          <w:tcPr>
            <w:tcW w:w="4280" w:type="dxa"/>
            <w:vAlign w:val="bottom"/>
            <w:tcBorders>
              <w:bottom w:val="single" w:sz="8" w:color="732282"/>
            </w:tcBorders>
          </w:tcPr>
          <w:p>
            <w:pPr>
              <w:spacing w:after="0"/>
              <w:rPr>
                <w:sz w:val="2"/>
                <w:szCs w:val="2"/>
                <w:color w:val="auto"/>
              </w:rPr>
            </w:pPr>
          </w:p>
        </w:tc>
        <w:tc>
          <w:tcPr>
            <w:tcW w:w="1100" w:type="dxa"/>
            <w:vAlign w:val="bottom"/>
            <w:tcBorders>
              <w:bottom w:val="single" w:sz="8" w:color="732282"/>
            </w:tcBorders>
          </w:tcPr>
          <w:p>
            <w:pPr>
              <w:spacing w:after="0"/>
              <w:rPr>
                <w:sz w:val="2"/>
                <w:szCs w:val="2"/>
                <w:color w:val="auto"/>
              </w:rPr>
            </w:pPr>
          </w:p>
        </w:tc>
        <w:tc>
          <w:tcPr>
            <w:tcW w:w="1360" w:type="dxa"/>
            <w:vAlign w:val="bottom"/>
            <w:tcBorders>
              <w:bottom w:val="single" w:sz="8" w:color="732282"/>
            </w:tcBorders>
          </w:tcPr>
          <w:p>
            <w:pPr>
              <w:spacing w:after="0"/>
              <w:rPr>
                <w:sz w:val="2"/>
                <w:szCs w:val="2"/>
                <w:color w:val="auto"/>
              </w:rPr>
            </w:pPr>
          </w:p>
        </w:tc>
        <w:tc>
          <w:tcPr>
            <w:tcW w:w="1620" w:type="dxa"/>
            <w:vAlign w:val="bottom"/>
            <w:tcBorders>
              <w:bottom w:val="single" w:sz="8" w:color="732282"/>
            </w:tcBorders>
          </w:tcPr>
          <w:p>
            <w:pPr>
              <w:spacing w:after="0"/>
              <w:rPr>
                <w:sz w:val="2"/>
                <w:szCs w:val="2"/>
                <w:color w:val="auto"/>
              </w:rPr>
            </w:pPr>
          </w:p>
        </w:tc>
        <w:tc>
          <w:tcPr>
            <w:tcW w:w="1400" w:type="dxa"/>
            <w:vAlign w:val="bottom"/>
            <w:tcBorders>
              <w:bottom w:val="single" w:sz="8" w:color="732282"/>
            </w:tcBorders>
          </w:tcPr>
          <w:p>
            <w:pPr>
              <w:spacing w:after="0"/>
              <w:rPr>
                <w:sz w:val="2"/>
                <w:szCs w:val="2"/>
                <w:color w:val="auto"/>
              </w:rPr>
            </w:pPr>
          </w:p>
        </w:tc>
        <w:tc>
          <w:tcPr>
            <w:tcW w:w="1260" w:type="dxa"/>
            <w:vAlign w:val="bottom"/>
            <w:tcBorders>
              <w:bottom w:val="single" w:sz="8" w:color="732282"/>
            </w:tcBorders>
          </w:tcPr>
          <w:p>
            <w:pPr>
              <w:spacing w:after="0"/>
              <w:rPr>
                <w:sz w:val="2"/>
                <w:szCs w:val="2"/>
                <w:color w:val="auto"/>
              </w:rPr>
            </w:pPr>
          </w:p>
        </w:tc>
      </w:tr>
    </w:tbl>
    <w:p>
      <w:pPr>
        <w:spacing w:after="0" w:line="107" w:lineRule="exact"/>
        <w:rPr>
          <w:sz w:val="20"/>
          <w:szCs w:val="20"/>
          <w:color w:val="auto"/>
        </w:rPr>
      </w:pPr>
    </w:p>
    <w:p>
      <w:pPr>
        <w:ind w:left="540" w:right="460" w:hanging="424"/>
        <w:spacing w:after="0" w:line="286" w:lineRule="auto"/>
        <w:tabs>
          <w:tab w:leader="none" w:pos="540" w:val="left"/>
        </w:tabs>
        <w:numPr>
          <w:ilvl w:val="0"/>
          <w:numId w:val="47"/>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Viatris’ free cash flow (as reported), except that the calculation for the 2021-2023 three-year PRSUs utilized budgeted foreign exchange rates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57 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540" w:right="60"/>
        <w:spacing w:after="0" w:line="250" w:lineRule="auto"/>
        <w:rPr>
          <w:sz w:val="20"/>
          <w:szCs w:val="20"/>
          <w:color w:val="auto"/>
        </w:rPr>
      </w:pPr>
      <w:r>
        <w:rPr>
          <w:rFonts w:ascii="Arial" w:cs="Arial" w:eastAsia="Arial" w:hAnsi="Arial"/>
          <w:sz w:val="16"/>
          <w:szCs w:val="16"/>
          <w:color w:val="3F3F3F"/>
        </w:rPr>
        <w:t>the relevant year and further adjusts for the following, as applicable: transaction costs and taxes related to the acquisitions of Oyster Point and Famy Life Sciences as well as any incremental transaction costs and taxes related to other select assets sales or reshaping initiatives and other impact of divestitures, acquired IPR&amp;D costs, proceeds from the sale of property, plant and equipment, material unplanned litigation gains or losses equal to or greater than $25 million in the aggregate, all impacts of the transaction between Viatris and Biocon Biologics Limited pursuant to which Viatris contributed its biosimilars portfolio, composed of the Biocon collaboration programs, biosimilars to Humira</w:t>
      </w:r>
      <w:r>
        <w:rPr>
          <w:rFonts w:ascii="Arial" w:cs="Arial" w:eastAsia="Arial" w:hAnsi="Arial"/>
          <w:sz w:val="12"/>
          <w:szCs w:val="12"/>
          <w:color w:val="3F3F3F"/>
        </w:rPr>
        <w:t>®</w:t>
      </w:r>
      <w:r>
        <w:rPr>
          <w:rFonts w:ascii="Arial" w:cs="Arial" w:eastAsia="Arial" w:hAnsi="Arial"/>
          <w:sz w:val="16"/>
          <w:szCs w:val="16"/>
          <w:color w:val="3F3F3F"/>
        </w:rPr>
        <w:t>, Enbrel</w:t>
      </w:r>
      <w:r>
        <w:rPr>
          <w:rFonts w:ascii="Arial" w:cs="Arial" w:eastAsia="Arial" w:hAnsi="Arial"/>
          <w:sz w:val="12"/>
          <w:szCs w:val="12"/>
          <w:color w:val="3F3F3F"/>
        </w:rPr>
        <w:t>®</w:t>
      </w:r>
      <w:r>
        <w:rPr>
          <w:rFonts w:ascii="Arial" w:cs="Arial" w:eastAsia="Arial" w:hAnsi="Arial"/>
          <w:sz w:val="16"/>
          <w:szCs w:val="16"/>
          <w:color w:val="3F3F3F"/>
        </w:rPr>
        <w:t>, and Eylea</w:t>
      </w:r>
      <w:r>
        <w:rPr>
          <w:rFonts w:ascii="Arial" w:cs="Arial" w:eastAsia="Arial" w:hAnsi="Arial"/>
          <w:sz w:val="12"/>
          <w:szCs w:val="12"/>
          <w:color w:val="3F3F3F"/>
        </w:rPr>
        <w:t>®</w:t>
      </w:r>
      <w:r>
        <w:rPr>
          <w:rFonts w:ascii="Arial" w:cs="Arial" w:eastAsia="Arial" w:hAnsi="Arial"/>
          <w:sz w:val="16"/>
          <w:szCs w:val="16"/>
          <w:color w:val="3F3F3F"/>
        </w:rPr>
        <w:t>, as well as related assets and liabilities to Biocon Biologics Limited (the “Biocon Biologics Transaction”) following its consummation including results after closing and transaction-related costs, and sales of intellectual property up to $750 million annually in the aggregate. Free cash flow for the 2021-2023 three-year PRSUs is the sum of such free cash flow measure for each of the years ended December 31, 2021, 2022, and 2023. Viatris’ free cash flow as reported for each of the three years ended December 31, 2021, 2022, and 2023 is reconciled to the most directly comparable U.S. GAAP measure in Appendix B.</w:t>
      </w:r>
    </w:p>
    <w:p>
      <w:pPr>
        <w:spacing w:after="0" w:line="3" w:lineRule="exact"/>
        <w:rPr>
          <w:sz w:val="20"/>
          <w:szCs w:val="20"/>
          <w:color w:val="auto"/>
        </w:rPr>
      </w:pPr>
    </w:p>
    <w:p>
      <w:pPr>
        <w:ind w:left="540" w:right="80" w:hanging="424"/>
        <w:spacing w:after="0" w:line="246" w:lineRule="auto"/>
        <w:tabs>
          <w:tab w:leader="none" w:pos="540" w:val="left"/>
        </w:tabs>
        <w:numPr>
          <w:ilvl w:val="0"/>
          <w:numId w:val="48"/>
        </w:numPr>
        <w:rPr>
          <w:rFonts w:ascii="Arial" w:cs="Arial" w:eastAsia="Arial" w:hAnsi="Arial"/>
          <w:sz w:val="16"/>
          <w:szCs w:val="16"/>
          <w:color w:val="3F3F3F"/>
        </w:rPr>
      </w:pPr>
      <w:r>
        <w:rPr>
          <w:rFonts w:ascii="Arial" w:cs="Arial" w:eastAsia="Arial" w:hAnsi="Arial"/>
          <w:sz w:val="16"/>
          <w:szCs w:val="16"/>
          <w:color w:val="3F3F3F"/>
        </w:rPr>
        <w:t>Gross leverage ratio for the 2021-2023 three-year PRSUs is derived from Viatris’ audited financial statements in the manner described in Appendix B.</w:t>
      </w:r>
    </w:p>
    <w:p>
      <w:pPr>
        <w:ind w:left="540" w:right="220" w:hanging="424"/>
        <w:spacing w:after="0" w:line="256" w:lineRule="auto"/>
        <w:tabs>
          <w:tab w:leader="none" w:pos="540" w:val="left"/>
        </w:tabs>
        <w:numPr>
          <w:ilvl w:val="0"/>
          <w:numId w:val="48"/>
        </w:numPr>
        <w:rPr>
          <w:rFonts w:ascii="Arial" w:cs="Arial" w:eastAsia="Arial" w:hAnsi="Arial"/>
          <w:sz w:val="16"/>
          <w:szCs w:val="16"/>
          <w:color w:val="3F3F3F"/>
        </w:rPr>
      </w:pPr>
      <w:r>
        <w:rPr>
          <w:rFonts w:ascii="Arial" w:cs="Arial" w:eastAsia="Arial" w:hAnsi="Arial"/>
          <w:sz w:val="16"/>
          <w:szCs w:val="16"/>
          <w:color w:val="3F3F3F"/>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shows the 2023 PRSU share award payout for each NEO reflecting Company performance at 105% of target.</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90"/>
        </w:trPr>
        <w:tc>
          <w:tcPr>
            <w:tcW w:w="9840" w:type="dxa"/>
            <w:vAlign w:val="bottom"/>
            <w:shd w:val="clear" w:color="auto" w:fill="732282"/>
          </w:tcPr>
          <w:p>
            <w:pPr>
              <w:spacing w:after="0"/>
              <w:rPr>
                <w:sz w:val="24"/>
                <w:szCs w:val="24"/>
                <w:color w:val="auto"/>
              </w:rPr>
            </w:pPr>
          </w:p>
        </w:tc>
        <w:tc>
          <w:tcPr>
            <w:tcW w:w="11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Actual</w:t>
            </w:r>
          </w:p>
        </w:tc>
      </w:tr>
      <w:tr>
        <w:trPr>
          <w:trHeight w:val="243"/>
        </w:trPr>
        <w:tc>
          <w:tcPr>
            <w:tcW w:w="9840" w:type="dxa"/>
            <w:vAlign w:val="bottom"/>
            <w:shd w:val="clear" w:color="auto" w:fill="732282"/>
          </w:tcPr>
          <w:p>
            <w:pPr>
              <w:spacing w:after="0"/>
              <w:rPr>
                <w:sz w:val="21"/>
                <w:szCs w:val="21"/>
                <w:color w:val="auto"/>
              </w:rPr>
            </w:pPr>
          </w:p>
        </w:tc>
        <w:tc>
          <w:tcPr>
            <w:tcW w:w="11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Award</w:t>
            </w:r>
          </w:p>
        </w:tc>
      </w:tr>
      <w:tr>
        <w:trPr>
          <w:trHeight w:val="305"/>
        </w:trPr>
        <w:tc>
          <w:tcPr>
            <w:tcW w:w="98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r>
              <w:rPr>
                <w:rFonts w:ascii="Arial" w:cs="Arial" w:eastAsia="Arial" w:hAnsi="Arial"/>
                <w:sz w:val="24"/>
                <w:szCs w:val="24"/>
                <w:b w:val="1"/>
                <w:bCs w:val="1"/>
                <w:color w:val="FFFFFF"/>
                <w:vertAlign w:val="superscript"/>
              </w:rPr>
              <w:t>(1)</w:t>
            </w:r>
          </w:p>
        </w:tc>
        <w:tc>
          <w:tcPr>
            <w:tcW w:w="11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 of Shares)</w:t>
            </w:r>
          </w:p>
        </w:tc>
      </w:tr>
      <w:tr>
        <w:trPr>
          <w:trHeight w:val="283"/>
        </w:trPr>
        <w:tc>
          <w:tcPr>
            <w:tcW w:w="98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N/A</w:t>
            </w:r>
          </w:p>
        </w:tc>
      </w:tr>
      <w:tr>
        <w:trPr>
          <w:trHeight w:val="280"/>
        </w:trPr>
        <w:tc>
          <w:tcPr>
            <w:tcW w:w="984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180" w:type="dxa"/>
            <w:vAlign w:val="bottom"/>
          </w:tcPr>
          <w:p>
            <w:pPr>
              <w:jc w:val="right"/>
              <w:spacing w:after="0"/>
              <w:rPr>
                <w:sz w:val="20"/>
                <w:szCs w:val="20"/>
                <w:color w:val="auto"/>
              </w:rPr>
            </w:pPr>
            <w:r>
              <w:rPr>
                <w:rFonts w:ascii="Arial" w:cs="Arial" w:eastAsia="Arial" w:hAnsi="Arial"/>
                <w:sz w:val="16"/>
                <w:szCs w:val="16"/>
                <w:color w:val="auto"/>
              </w:rPr>
              <w:t>357,353</w:t>
            </w:r>
          </w:p>
        </w:tc>
      </w:tr>
      <w:tr>
        <w:trPr>
          <w:trHeight w:val="287"/>
        </w:trPr>
        <w:tc>
          <w:tcPr>
            <w:tcW w:w="98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138,971</w:t>
            </w:r>
          </w:p>
        </w:tc>
      </w:tr>
      <w:tr>
        <w:trPr>
          <w:trHeight w:val="280"/>
        </w:trPr>
        <w:tc>
          <w:tcPr>
            <w:tcW w:w="984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80" w:type="dxa"/>
            <w:vAlign w:val="bottom"/>
          </w:tcPr>
          <w:p>
            <w:pPr>
              <w:jc w:val="right"/>
              <w:spacing w:after="0"/>
              <w:rPr>
                <w:sz w:val="20"/>
                <w:szCs w:val="20"/>
                <w:color w:val="auto"/>
              </w:rPr>
            </w:pPr>
            <w:r>
              <w:rPr>
                <w:rFonts w:ascii="Arial" w:cs="Arial" w:eastAsia="Arial" w:hAnsi="Arial"/>
                <w:sz w:val="16"/>
                <w:szCs w:val="16"/>
                <w:color w:val="auto"/>
              </w:rPr>
              <w:t>158,824</w:t>
            </w:r>
          </w:p>
        </w:tc>
      </w:tr>
      <w:tr>
        <w:trPr>
          <w:trHeight w:val="284"/>
        </w:trPr>
        <w:tc>
          <w:tcPr>
            <w:tcW w:w="984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118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69,486</w:t>
            </w:r>
          </w:p>
        </w:tc>
      </w:tr>
    </w:tbl>
    <w:p>
      <w:pPr>
        <w:spacing w:after="0" w:line="107" w:lineRule="exact"/>
        <w:rPr>
          <w:sz w:val="20"/>
          <w:szCs w:val="20"/>
          <w:color w:val="auto"/>
        </w:rPr>
      </w:pPr>
    </w:p>
    <w:p>
      <w:pPr>
        <w:ind w:left="540" w:right="160" w:hanging="424"/>
        <w:spacing w:after="0" w:line="266"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Mr. Goettler did not vest in any portion of the 2021 PRSU grant based on his termination of employment. Mr. Coury vested in his 2021 PRSUs at target performance levels at the time of his separation from employment based on the pre-existing contractual terms of his Executive Employment Agreement relating to a separation from employment for “good reason”.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Compensation Governance and Policies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Governance and Other Considerations Impacting Viatris Compensation Decisions</w:t>
      </w:r>
    </w:p>
    <w:p>
      <w:pPr>
        <w:spacing w:after="0" w:line="108"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3F3F3F"/>
        </w:rPr>
        <w:t>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pay-for-performance;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w:t>
      </w:r>
    </w:p>
    <w:p>
      <w:pPr>
        <w:spacing w:after="0" w:line="75"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3F3F3F"/>
        </w:rPr>
        <w:t>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Commitment to Responsible, Shareholder-Aligned Compensation Governance Practices</w:t>
      </w:r>
    </w:p>
    <w:p>
      <w:pPr>
        <w:spacing w:after="0" w:line="10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The following table summarizes certain specific compensation-related governance practices adopted by the Compensation Committee and Board with respect to 2023 compensation. We note that implementation of many of these practices was responsive to comments from shareholders or otherwise endorsed by shareholders during our robust shareholder engagement program or prior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7003415" cy="2503170"/>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7003415" cy="2503170"/>
                    </a:xfrm>
                    <a:prstGeom prst="rect">
                      <a:avLst/>
                    </a:prstGeom>
                    <a:noFill/>
                  </pic:spPr>
                </pic:pic>
              </a:graphicData>
            </a:graphic>
          </wp:anchor>
        </w:drawing>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 What We Do</w:t>
      </w:r>
    </w:p>
    <w:p>
      <w:pPr>
        <w:spacing w:after="0" w:line="64" w:lineRule="exact"/>
        <w:rPr>
          <w:sz w:val="20"/>
          <w:szCs w:val="20"/>
          <w:color w:val="auto"/>
        </w:rPr>
      </w:pPr>
    </w:p>
    <w:p>
      <w:pPr>
        <w:ind w:left="680" w:right="34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Maintain a significant portion of compensation aligned with shareholder interests and tied to share price or financial and operational business performance.</w:t>
      </w:r>
    </w:p>
    <w:p>
      <w:pPr>
        <w:spacing w:after="0" w:line="34" w:lineRule="exact"/>
        <w:rPr>
          <w:sz w:val="20"/>
          <w:szCs w:val="20"/>
          <w:color w:val="auto"/>
        </w:rPr>
      </w:pPr>
    </w:p>
    <w:p>
      <w:pPr>
        <w:ind w:left="680" w:right="58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Employ metrics for annual and long-term incentives that support both short- and long-term strategies and align with shareholder interests, including a non-financial metric in the annual program tied to important product development initiatives.</w:t>
      </w:r>
    </w:p>
    <w:p>
      <w:pPr>
        <w:spacing w:after="0" w:line="34"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Base long-term incentives heavily on performance-based metrics and short-term incentives entirely on performance-based metrics.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Set rigorous and measurable performance goals and periodically review and discuss our executives’ performance.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Use double-trigger vesting for annual long-term incentive awards upon a change in control.</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Retain independent compensation consultants that report directly to the Compensation Committee.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Maintain strong share ownership guidelines.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Maintain a robust clawback policy.</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Engage with shareholders on compensation and governance matters.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Consider peer groups and market data in determining compensation.</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7003415" cy="1748790"/>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7003415" cy="1748790"/>
                    </a:xfrm>
                    <a:prstGeom prst="rect">
                      <a:avLst/>
                    </a:prstGeom>
                    <a:noFill/>
                  </pic:spPr>
                </pic:pic>
              </a:graphicData>
            </a:graphic>
          </wp:anchor>
        </w:drawing>
      </w:r>
    </w:p>
    <w:p>
      <w:pPr>
        <w:spacing w:after="0" w:line="38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 What We Don’t Do</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New fixed-term NEO employment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Excise tax gross-ups.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Modified single-trigger severance arrangements.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Supplemental retirement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Exercise positive discretion in determining annual incentive compensation or LTI payouts.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Re-pricing of stock options without shareholder approval.</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 Hedging or pledging of shares.</w:t>
      </w:r>
    </w:p>
    <w:p>
      <w:pPr>
        <w:spacing w:after="0" w:line="100" w:lineRule="exact"/>
        <w:rPr>
          <w:sz w:val="20"/>
          <w:szCs w:val="20"/>
          <w:color w:val="auto"/>
        </w:rPr>
      </w:pPr>
    </w:p>
    <w:p>
      <w:pPr>
        <w:ind w:left="680" w:right="160" w:hanging="323"/>
        <w:spacing w:after="0" w:line="286" w:lineRule="auto"/>
        <w:rPr>
          <w:sz w:val="20"/>
          <w:szCs w:val="20"/>
          <w:color w:val="auto"/>
        </w:rPr>
      </w:pPr>
      <w:r>
        <w:rPr>
          <w:rFonts w:ascii="Arial" w:cs="Arial" w:eastAsia="Arial" w:hAnsi="Arial"/>
          <w:sz w:val="16"/>
          <w:szCs w:val="16"/>
          <w:i w:val="1"/>
          <w:iCs w:val="1"/>
          <w:color w:val="3F3F3F"/>
        </w:rPr>
        <w:t>X</w:t>
      </w:r>
      <w:r>
        <w:rPr>
          <w:rFonts w:ascii="Arial" w:cs="Arial" w:eastAsia="Arial" w:hAnsi="Arial"/>
          <w:sz w:val="16"/>
          <w:szCs w:val="16"/>
          <w:color w:val="3F3F3F"/>
        </w:rPr>
        <w:t xml:space="preserve">    New cash-based retention awards for NEOs without performance vesting conditions except in extraordinary situations or in connection with new</w:t>
      </w:r>
      <w:r>
        <w:rPr>
          <w:rFonts w:ascii="Arial" w:cs="Arial" w:eastAsia="Arial" w:hAnsi="Arial"/>
          <w:sz w:val="16"/>
          <w:szCs w:val="16"/>
          <w:i w:val="1"/>
          <w:iCs w:val="1"/>
          <w:color w:val="3F3F3F"/>
        </w:rPr>
        <w:t xml:space="preserve"> </w:t>
      </w:r>
      <w:r>
        <w:rPr>
          <w:rFonts w:ascii="Arial" w:cs="Arial" w:eastAsia="Arial" w:hAnsi="Arial"/>
          <w:sz w:val="16"/>
          <w:szCs w:val="16"/>
          <w:color w:val="3F3F3F"/>
        </w:rPr>
        <w:t>hires.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Limited Perquisites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We provide certain limited perquisites to our NEOs, including the following:</w:t>
      </w:r>
    </w:p>
    <w:p>
      <w:pPr>
        <w:spacing w:after="0" w:line="117" w:lineRule="exact"/>
        <w:rPr>
          <w:sz w:val="20"/>
          <w:szCs w:val="20"/>
          <w:color w:val="auto"/>
        </w:rPr>
      </w:pPr>
    </w:p>
    <w:p>
      <w:pPr>
        <w:ind w:left="340" w:right="840" w:hanging="224"/>
        <w:spacing w:after="0" w:line="271" w:lineRule="auto"/>
        <w:tabs>
          <w:tab w:leader="none" w:pos="340" w:val="left"/>
        </w:tabs>
        <w:numPr>
          <w:ilvl w:val="0"/>
          <w:numId w:val="50"/>
        </w:numPr>
        <w:rPr>
          <w:rFonts w:ascii="Arial" w:cs="Arial" w:eastAsia="Arial" w:hAnsi="Arial"/>
          <w:sz w:val="18"/>
          <w:szCs w:val="18"/>
          <w:color w:val="3F3F3F"/>
        </w:rPr>
      </w:pPr>
      <w:r>
        <w:rPr>
          <w:rFonts w:ascii="Arial" w:cs="Arial" w:eastAsia="Arial" w:hAnsi="Arial"/>
          <w:sz w:val="18"/>
          <w:szCs w:val="18"/>
          <w:color w:val="3F3F3F"/>
        </w:rPr>
        <w:t>Each NEO receives a car allowance or the use of a leased vehicle and payment of certain ancillary expenses. The NEOs are responsible for paying any taxes incurred relating to this perquisite.</w:t>
      </w:r>
    </w:p>
    <w:p>
      <w:pPr>
        <w:spacing w:after="0" w:line="59" w:lineRule="exact"/>
        <w:rPr>
          <w:rFonts w:ascii="Arial" w:cs="Arial" w:eastAsia="Arial" w:hAnsi="Arial"/>
          <w:sz w:val="18"/>
          <w:szCs w:val="18"/>
          <w:color w:val="3F3F3F"/>
        </w:rPr>
      </w:pPr>
    </w:p>
    <w:p>
      <w:pPr>
        <w:ind w:left="340" w:right="200" w:hanging="224"/>
        <w:spacing w:after="0" w:line="271" w:lineRule="auto"/>
        <w:tabs>
          <w:tab w:leader="none" w:pos="340" w:val="left"/>
        </w:tabs>
        <w:numPr>
          <w:ilvl w:val="0"/>
          <w:numId w:val="50"/>
        </w:numPr>
        <w:rPr>
          <w:rFonts w:ascii="Arial" w:cs="Arial" w:eastAsia="Arial" w:hAnsi="Arial"/>
          <w:sz w:val="18"/>
          <w:szCs w:val="18"/>
          <w:color w:val="3F3F3F"/>
        </w:rPr>
      </w:pPr>
      <w:r>
        <w:rPr>
          <w:rFonts w:ascii="Arial" w:cs="Arial" w:eastAsia="Arial" w:hAnsi="Arial"/>
          <w:sz w:val="18"/>
          <w:szCs w:val="18"/>
          <w:color w:val="3F3F3F"/>
        </w:rPr>
        <w:t>Our NEOs take an extraordinarily active approach to overseeing and managing Viatris’ global operations, which necessitates and will continue to necessitate a significant amount of U.S. domestic and international travel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59 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340" w:right="140"/>
        <w:spacing w:after="0"/>
        <w:rPr>
          <w:sz w:val="20"/>
          <w:szCs w:val="20"/>
          <w:color w:val="auto"/>
        </w:rPr>
      </w:pPr>
      <w:r>
        <w:rPr>
          <w:rFonts w:ascii="Arial" w:cs="Arial" w:eastAsia="Arial" w:hAnsi="Arial"/>
          <w:sz w:val="18"/>
          <w:szCs w:val="18"/>
          <w:color w:val="3F3F3F"/>
        </w:rPr>
        <w:t>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 to time require certain executives to use corporate aircraft for business and personal purposes.</w:t>
      </w:r>
    </w:p>
    <w:p>
      <w:pPr>
        <w:spacing w:after="0" w:line="90"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3F3F3F"/>
        </w:rPr>
        <w:t>•</w:t>
      </w:r>
      <w:r>
        <w:rPr>
          <w:sz w:val="20"/>
          <w:szCs w:val="20"/>
          <w:color w:val="auto"/>
        </w:rPr>
        <w:tab/>
      </w:r>
      <w:r>
        <w:rPr>
          <w:rFonts w:ascii="Arial" w:cs="Arial" w:eastAsia="Arial" w:hAnsi="Arial"/>
          <w:sz w:val="17"/>
          <w:szCs w:val="17"/>
          <w:color w:val="3F3F3F"/>
        </w:rPr>
        <w:t>Because of continued security-related concerns, we may from time-to-time provide certain NEOs with personal security.</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401(k) Restoration Plan</w:t>
      </w:r>
    </w:p>
    <w:p>
      <w:pPr>
        <w:spacing w:after="0" w:line="10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The 401(k) Restoration Plan (the “Restoration Plan”) permits employees (including NEOs) who earn compensation in excess of the limits imposed by Section 401(a)(17) of the Internal Revenue Code of 1986, as amended (the “Code”) to (i) defer a portion of base salary and bonus compensation, (ii) be (for employees other than the NEOs with a Retirement Benefit Agreement)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their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2023 Share Ownership Requirements</w:t>
      </w:r>
    </w:p>
    <w:p>
      <w:pPr>
        <w:spacing w:after="0" w:line="108"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3F3F3F"/>
        </w:rPr>
        <w:t>Viatris maintains robust share ownership requirements for our NEOs. The requirement is expressed as a multiple of base salary and shown in the table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8600" w:type="dxa"/>
            <w:vAlign w:val="bottom"/>
            <w:shd w:val="clear" w:color="auto" w:fill="732282"/>
          </w:tcPr>
          <w:p>
            <w:pPr>
              <w:spacing w:after="0"/>
              <w:rPr>
                <w:sz w:val="16"/>
                <w:szCs w:val="16"/>
                <w:color w:val="auto"/>
              </w:rPr>
            </w:pPr>
          </w:p>
        </w:tc>
        <w:tc>
          <w:tcPr>
            <w:tcW w:w="2420" w:type="dxa"/>
            <w:vAlign w:val="bottom"/>
            <w:shd w:val="clear" w:color="auto" w:fill="732282"/>
          </w:tcPr>
          <w:p>
            <w:pPr>
              <w:ind w:left="1300"/>
              <w:spacing w:after="0"/>
              <w:rPr>
                <w:sz w:val="20"/>
                <w:szCs w:val="20"/>
                <w:color w:val="auto"/>
              </w:rPr>
            </w:pPr>
            <w:r>
              <w:rPr>
                <w:rFonts w:ascii="Arial" w:cs="Arial" w:eastAsia="Arial" w:hAnsi="Arial"/>
                <w:sz w:val="16"/>
                <w:szCs w:val="16"/>
                <w:b w:val="1"/>
                <w:bCs w:val="1"/>
                <w:color w:val="FFFFFF"/>
              </w:rPr>
              <w:t>Ownership</w:t>
            </w:r>
          </w:p>
        </w:tc>
      </w:tr>
      <w:tr>
        <w:trPr>
          <w:trHeight w:val="203"/>
        </w:trPr>
        <w:tc>
          <w:tcPr>
            <w:tcW w:w="86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Position</w:t>
            </w:r>
          </w:p>
        </w:tc>
        <w:tc>
          <w:tcPr>
            <w:tcW w:w="2420" w:type="dxa"/>
            <w:vAlign w:val="bottom"/>
            <w:shd w:val="clear" w:color="auto" w:fill="732282"/>
          </w:tcPr>
          <w:p>
            <w:pPr>
              <w:ind w:left="1220"/>
              <w:spacing w:after="0"/>
              <w:rPr>
                <w:sz w:val="20"/>
                <w:szCs w:val="20"/>
                <w:color w:val="auto"/>
              </w:rPr>
            </w:pPr>
            <w:r>
              <w:rPr>
                <w:rFonts w:ascii="Arial" w:cs="Arial" w:eastAsia="Arial" w:hAnsi="Arial"/>
                <w:sz w:val="16"/>
                <w:szCs w:val="16"/>
                <w:b w:val="1"/>
                <w:bCs w:val="1"/>
                <w:color w:val="FFFFFF"/>
              </w:rPr>
              <w:t>Requirement</w:t>
            </w:r>
          </w:p>
        </w:tc>
      </w:tr>
      <w:tr>
        <w:trPr>
          <w:trHeight w:val="264"/>
        </w:trPr>
        <w:tc>
          <w:tcPr>
            <w:tcW w:w="8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Chairman</w:t>
            </w:r>
          </w:p>
        </w:tc>
        <w:tc>
          <w:tcPr>
            <w:tcW w:w="2420" w:type="dxa"/>
            <w:vAlign w:val="bottom"/>
            <w:tcBorders>
              <w:bottom w:val="single" w:sz="8" w:color="E5E5E5"/>
            </w:tcBorders>
            <w:shd w:val="clear" w:color="auto" w:fill="E5E5E5"/>
          </w:tcPr>
          <w:p>
            <w:pPr>
              <w:ind w:left="1660"/>
              <w:spacing w:after="0"/>
              <w:rPr>
                <w:sz w:val="20"/>
                <w:szCs w:val="20"/>
                <w:color w:val="auto"/>
              </w:rPr>
            </w:pPr>
            <w:r>
              <w:rPr>
                <w:rFonts w:ascii="Arial" w:cs="Arial" w:eastAsia="Arial" w:hAnsi="Arial"/>
                <w:sz w:val="16"/>
                <w:szCs w:val="16"/>
                <w:color w:val="auto"/>
              </w:rPr>
              <w:t>6x</w:t>
            </w:r>
          </w:p>
        </w:tc>
      </w:tr>
      <w:tr>
        <w:trPr>
          <w:trHeight w:val="228"/>
        </w:trPr>
        <w:tc>
          <w:tcPr>
            <w:tcW w:w="860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2420" w:type="dxa"/>
            <w:vAlign w:val="bottom"/>
          </w:tcPr>
          <w:p>
            <w:pPr>
              <w:ind w:left="1660"/>
              <w:spacing w:after="0"/>
              <w:rPr>
                <w:sz w:val="20"/>
                <w:szCs w:val="20"/>
                <w:color w:val="auto"/>
              </w:rPr>
            </w:pPr>
            <w:r>
              <w:rPr>
                <w:rFonts w:ascii="Arial" w:cs="Arial" w:eastAsia="Arial" w:hAnsi="Arial"/>
                <w:sz w:val="16"/>
                <w:szCs w:val="16"/>
                <w:color w:val="auto"/>
              </w:rPr>
              <w:t>6x</w:t>
            </w:r>
          </w:p>
        </w:tc>
      </w:tr>
      <w:tr>
        <w:trPr>
          <w:trHeight w:val="56"/>
        </w:trPr>
        <w:tc>
          <w:tcPr>
            <w:tcW w:w="86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263"/>
        </w:trPr>
        <w:tc>
          <w:tcPr>
            <w:tcW w:w="86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President</w:t>
            </w:r>
          </w:p>
        </w:tc>
        <w:tc>
          <w:tcPr>
            <w:tcW w:w="2420" w:type="dxa"/>
            <w:vAlign w:val="bottom"/>
            <w:tcBorders>
              <w:bottom w:val="single" w:sz="8" w:color="E5E5E5"/>
            </w:tcBorders>
            <w:shd w:val="clear" w:color="auto" w:fill="E5E5E5"/>
          </w:tcPr>
          <w:p>
            <w:pPr>
              <w:ind w:left="1660"/>
              <w:spacing w:after="0"/>
              <w:rPr>
                <w:sz w:val="20"/>
                <w:szCs w:val="20"/>
                <w:color w:val="auto"/>
              </w:rPr>
            </w:pPr>
            <w:r>
              <w:rPr>
                <w:rFonts w:ascii="Arial" w:cs="Arial" w:eastAsia="Arial" w:hAnsi="Arial"/>
                <w:sz w:val="16"/>
                <w:szCs w:val="16"/>
                <w:color w:val="auto"/>
              </w:rPr>
              <w:t>4x</w:t>
            </w:r>
          </w:p>
        </w:tc>
      </w:tr>
      <w:tr>
        <w:trPr>
          <w:trHeight w:val="228"/>
        </w:trPr>
        <w:tc>
          <w:tcPr>
            <w:tcW w:w="8600" w:type="dxa"/>
            <w:vAlign w:val="bottom"/>
          </w:tcPr>
          <w:p>
            <w:pPr>
              <w:ind w:left="60"/>
              <w:spacing w:after="0"/>
              <w:rPr>
                <w:sz w:val="20"/>
                <w:szCs w:val="20"/>
                <w:color w:val="auto"/>
              </w:rPr>
            </w:pPr>
            <w:r>
              <w:rPr>
                <w:rFonts w:ascii="Arial" w:cs="Arial" w:eastAsia="Arial" w:hAnsi="Arial"/>
                <w:sz w:val="16"/>
                <w:szCs w:val="16"/>
                <w:color w:val="auto"/>
              </w:rPr>
              <w:t>Other NEOs</w:t>
            </w:r>
          </w:p>
        </w:tc>
        <w:tc>
          <w:tcPr>
            <w:tcW w:w="2420" w:type="dxa"/>
            <w:vAlign w:val="bottom"/>
          </w:tcPr>
          <w:p>
            <w:pPr>
              <w:ind w:left="1660"/>
              <w:spacing w:after="0"/>
              <w:rPr>
                <w:sz w:val="20"/>
                <w:szCs w:val="20"/>
                <w:color w:val="auto"/>
              </w:rPr>
            </w:pPr>
            <w:r>
              <w:rPr>
                <w:rFonts w:ascii="Arial" w:cs="Arial" w:eastAsia="Arial" w:hAnsi="Arial"/>
                <w:sz w:val="16"/>
                <w:szCs w:val="16"/>
                <w:color w:val="auto"/>
              </w:rPr>
              <w:t>3x</w:t>
            </w:r>
          </w:p>
        </w:tc>
      </w:tr>
      <w:tr>
        <w:trPr>
          <w:trHeight w:val="56"/>
        </w:trPr>
        <w:tc>
          <w:tcPr>
            <w:tcW w:w="8600" w:type="dxa"/>
            <w:vAlign w:val="bottom"/>
            <w:tcBorders>
              <w:bottom w:val="single" w:sz="8" w:color="732282"/>
            </w:tcBorders>
          </w:tcPr>
          <w:p>
            <w:pPr>
              <w:spacing w:after="0"/>
              <w:rPr>
                <w:sz w:val="4"/>
                <w:szCs w:val="4"/>
                <w:color w:val="auto"/>
              </w:rPr>
            </w:pPr>
          </w:p>
        </w:tc>
        <w:tc>
          <w:tcPr>
            <w:tcW w:w="2420" w:type="dxa"/>
            <w:vAlign w:val="bottom"/>
            <w:tcBorders>
              <w:bottom w:val="single" w:sz="8" w:color="732282"/>
            </w:tcBorders>
          </w:tcPr>
          <w:p>
            <w:pPr>
              <w:spacing w:after="0"/>
              <w:rPr>
                <w:sz w:val="4"/>
                <w:szCs w:val="4"/>
                <w:color w:val="auto"/>
              </w:rPr>
            </w:pPr>
          </w:p>
        </w:tc>
      </w:tr>
    </w:tbl>
    <w:p>
      <w:pPr>
        <w:spacing w:after="0" w:line="89" w:lineRule="exact"/>
        <w:rPr>
          <w:sz w:val="20"/>
          <w:szCs w:val="20"/>
          <w:color w:val="auto"/>
        </w:rPr>
      </w:pPr>
    </w:p>
    <w:p>
      <w:pPr>
        <w:ind w:left="120" w:right="180"/>
        <w:spacing w:after="0"/>
        <w:rPr>
          <w:sz w:val="20"/>
          <w:szCs w:val="20"/>
          <w:color w:val="auto"/>
        </w:rPr>
      </w:pPr>
      <w:r>
        <w:rPr>
          <w:rFonts w:ascii="Arial" w:cs="Arial" w:eastAsia="Arial" w:hAnsi="Arial"/>
          <w:sz w:val="18"/>
          <w:szCs w:val="18"/>
          <w:color w:val="3F3F3F"/>
        </w:rPr>
        <w:t>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DEUs) count toward compliance with these requirements. The Company believes that this approach is appropriate given the robust requirements set and the fact that the realized value of vested awards has been less than grant date values in the past. All NEOs meet these share ownership requirements or are expected to meet them by the applicable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Clawback Policy</w:t>
      </w:r>
    </w:p>
    <w:p>
      <w:pPr>
        <w:spacing w:after="0" w:line="10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3F3F3F"/>
        </w:rPr>
        <w:t>The Board has approved a clawback policy relating to incentive compensation programs. The policy provides that Viatris may take action to recoup annual incentive compensation and equity-based incentive compensation gains resulting from specified misconduct.</w:t>
      </w:r>
    </w:p>
    <w:p>
      <w:pPr>
        <w:spacing w:after="0" w:line="46"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3F3F3F"/>
        </w:rPr>
        <w:t>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68"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3F3F3F"/>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 response to any breach of duties or ethics. The Board considers additional updates to the clawback policy from time to time.</w:t>
      </w:r>
    </w:p>
    <w:p>
      <w:pPr>
        <w:spacing w:after="0" w:line="6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3F3F3F"/>
        </w:rPr>
        <w:t>In the fourth quarter of 2023, we also timely adopted a clawback policy as required by the final Dodd-Frank rules and exchange listing standards. Our policy requires recoupment of excess compensation paid to our executive officers if amounts are based on material noncompliance with any financial reporting requirement that causes an accounting restatement, without regard to any fault or misconduct.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Anti-Hedging and Anti-Pledging Policy</w:t>
      </w:r>
    </w:p>
    <w:p>
      <w:pPr>
        <w:spacing w:after="0" w:line="108"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the Company, such as options and forward contracts.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Risk in Company Compensation Policies</w:t>
      </w:r>
    </w:p>
    <w:p>
      <w:pPr>
        <w:spacing w:after="0" w:line="108"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3F3F3F"/>
        </w:rPr>
        <w:t>The Compensation Committee has considered risk management in determining compensation policies and believes that our programs are designed appropriately to encourage outstanding, consistent, sustainable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61 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3F3F3F"/>
        </w:rPr>
        <w:t>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w:t>
      </w:r>
    </w:p>
    <w:p>
      <w:pPr>
        <w:spacing w:after="0" w:line="75"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color w:val="3F3F3F"/>
        </w:rPr>
        <w:t>The Compensation Committee believes that our compensation policies and practices do not encourage excessive risk and are not reasonably likely to have a material adverse effect on the Company.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Role of the Compensation Committee</w:t>
      </w:r>
    </w:p>
    <w:p>
      <w:pPr>
        <w:spacing w:after="0" w:line="108"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former Executive Chairman and our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77"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3F3F3F"/>
        </w:rPr>
        <w:t>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Compensation Committee also receives advice from outside counsel including, but not limited to, Cravath, Swaine &amp; Moore LLP.</w:t>
      </w:r>
    </w:p>
    <w:p>
      <w:pPr>
        <w:spacing w:after="0" w:line="104"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3F3F3F"/>
        </w:rPr>
        <w:t>The Compensation Committee performs an annual review of the independence of its outside advisors, consistent with NASDAQ requirements and the Compensation Committee charter.</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Tax Deduction Cap on Executive Compensation</w:t>
      </w:r>
    </w:p>
    <w:p>
      <w:pPr>
        <w:spacing w:after="0" w:line="108" w:lineRule="exact"/>
        <w:rPr>
          <w:sz w:val="20"/>
          <w:szCs w:val="20"/>
          <w:color w:val="auto"/>
        </w:rPr>
      </w:pPr>
    </w:p>
    <w:p>
      <w:pPr>
        <w:ind w:left="120" w:right="200"/>
        <w:spacing w:after="0"/>
        <w:rPr>
          <w:sz w:val="20"/>
          <w:szCs w:val="20"/>
          <w:color w:val="auto"/>
        </w:rPr>
      </w:pPr>
      <w:r>
        <w:rPr>
          <w:rFonts w:ascii="Arial" w:cs="Arial" w:eastAsia="Arial" w:hAnsi="Arial"/>
          <w:sz w:val="18"/>
          <w:szCs w:val="18"/>
          <w:color w:val="3F3F3F"/>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Report</w:t>
      </w:r>
    </w:p>
    <w:p>
      <w:pPr>
        <w:spacing w:after="0" w:line="10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3F3F3F"/>
        </w:rPr>
        <w:t>We have reviewed and discussed the CD&amp;A with management. Based on such review and discussions, we recommended to the Board that the CD&amp;A be included in this Proxy Statement.</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color w:val="3F3F3F"/>
        </w:rPr>
        <w:t>Respectfully submitted,</w:t>
      </w:r>
    </w:p>
    <w:p>
      <w:pPr>
        <w:spacing w:after="0" w:line="104" w:lineRule="exact"/>
        <w:rPr>
          <w:sz w:val="20"/>
          <w:szCs w:val="20"/>
          <w:color w:val="auto"/>
        </w:rPr>
      </w:pPr>
    </w:p>
    <w:p>
      <w:pPr>
        <w:ind w:left="6080"/>
        <w:spacing w:after="0"/>
        <w:rPr>
          <w:sz w:val="20"/>
          <w:szCs w:val="20"/>
          <w:color w:val="auto"/>
        </w:rPr>
      </w:pPr>
      <w:r>
        <w:rPr>
          <w:rFonts w:ascii="Arial" w:cs="Arial" w:eastAsia="Arial" w:hAnsi="Arial"/>
          <w:sz w:val="18"/>
          <w:szCs w:val="18"/>
          <w:color w:val="3F3F3F"/>
        </w:rPr>
        <w:t>Harry Korman, Chair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3F3F3F"/>
        </w:rPr>
        <w:t>JoEllen Lyons Dillon</w:t>
      </w:r>
    </w:p>
    <w:p>
      <w:pPr>
        <w:ind w:left="6080"/>
        <w:spacing w:after="0"/>
        <w:rPr>
          <w:sz w:val="20"/>
          <w:szCs w:val="20"/>
          <w:color w:val="auto"/>
        </w:rPr>
      </w:pPr>
      <w:r>
        <w:rPr>
          <w:rFonts w:ascii="Arial" w:cs="Arial" w:eastAsia="Arial" w:hAnsi="Arial"/>
          <w:sz w:val="18"/>
          <w:szCs w:val="18"/>
          <w:color w:val="3F3F3F"/>
        </w:rPr>
        <w:t>James M. Kilts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Interlocks and Insider Participation</w:t>
      </w:r>
    </w:p>
    <w:p>
      <w:pPr>
        <w:spacing w:after="0" w:line="10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3F3F3F"/>
        </w:rPr>
        <w:t>None of the members of the Compensation Committee during 2023 was an officer or employee of Viatris, was formerly an officer of Viatris, or had any relationship requiring disclosure by Viatris under Item 404 of Regulation S-K. During 2023, no executive officer of Viatris served on the compensation committee or board of another entity, one of whose executive officers served on the Compensation Committee or the Board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63 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488315"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2023 Summary Compensation Table</w:t>
      </w:r>
    </w:p>
    <w:p>
      <w:pPr>
        <w:spacing w:after="0" w:line="216"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3F3F3F"/>
        </w:rPr>
        <w:t>The following summary compensation table sets forth the cash and non-cash compensation paid or granted to or earned by the NEOs for 2023, 2022, and 2021.</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1400" w:type="dxa"/>
            <w:vAlign w:val="bottom"/>
            <w:shd w:val="clear" w:color="auto" w:fill="732282"/>
          </w:tcPr>
          <w:p>
            <w:pPr>
              <w:spacing w:after="0"/>
              <w:rPr>
                <w:sz w:val="14"/>
                <w:szCs w:val="14"/>
                <w:color w:val="auto"/>
              </w:rPr>
            </w:pPr>
          </w:p>
        </w:tc>
        <w:tc>
          <w:tcPr>
            <w:tcW w:w="240" w:type="dxa"/>
            <w:vAlign w:val="bottom"/>
            <w:shd w:val="clear" w:color="auto" w:fill="732282"/>
          </w:tcPr>
          <w:p>
            <w:pPr>
              <w:spacing w:after="0"/>
              <w:rPr>
                <w:sz w:val="14"/>
                <w:szCs w:val="14"/>
                <w:color w:val="auto"/>
              </w:rPr>
            </w:pPr>
          </w:p>
        </w:tc>
        <w:tc>
          <w:tcPr>
            <w:tcW w:w="54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86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Change in</w:t>
            </w:r>
          </w:p>
        </w:tc>
        <w:tc>
          <w:tcPr>
            <w:tcW w:w="154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732282"/>
          </w:tcPr>
          <w:p>
            <w:pPr>
              <w:spacing w:after="0"/>
              <w:rPr>
                <w:sz w:val="14"/>
                <w:szCs w:val="14"/>
                <w:color w:val="auto"/>
              </w:rPr>
            </w:pPr>
          </w:p>
        </w:tc>
        <w:tc>
          <w:tcPr>
            <w:tcW w:w="240" w:type="dxa"/>
            <w:vAlign w:val="bottom"/>
            <w:shd w:val="clear" w:color="auto" w:fill="732282"/>
          </w:tcPr>
          <w:p>
            <w:pPr>
              <w:spacing w:after="0"/>
              <w:rPr>
                <w:sz w:val="14"/>
                <w:szCs w:val="14"/>
                <w:color w:val="auto"/>
              </w:rPr>
            </w:pPr>
          </w:p>
        </w:tc>
        <w:tc>
          <w:tcPr>
            <w:tcW w:w="54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86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Pension Value</w:t>
            </w:r>
          </w:p>
        </w:tc>
        <w:tc>
          <w:tcPr>
            <w:tcW w:w="154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732282"/>
          </w:tcPr>
          <w:p>
            <w:pPr>
              <w:spacing w:after="0"/>
              <w:rPr>
                <w:sz w:val="14"/>
                <w:szCs w:val="14"/>
                <w:color w:val="auto"/>
              </w:rPr>
            </w:pPr>
          </w:p>
        </w:tc>
        <w:tc>
          <w:tcPr>
            <w:tcW w:w="240" w:type="dxa"/>
            <w:vAlign w:val="bottom"/>
            <w:shd w:val="clear" w:color="auto" w:fill="732282"/>
          </w:tcPr>
          <w:p>
            <w:pPr>
              <w:spacing w:after="0"/>
              <w:rPr>
                <w:sz w:val="14"/>
                <w:szCs w:val="14"/>
                <w:color w:val="auto"/>
              </w:rPr>
            </w:pPr>
          </w:p>
        </w:tc>
        <w:tc>
          <w:tcPr>
            <w:tcW w:w="54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86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and</w:t>
            </w:r>
          </w:p>
        </w:tc>
        <w:tc>
          <w:tcPr>
            <w:tcW w:w="154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732282"/>
          </w:tcPr>
          <w:p>
            <w:pPr>
              <w:spacing w:after="0"/>
              <w:rPr>
                <w:sz w:val="14"/>
                <w:szCs w:val="14"/>
                <w:color w:val="auto"/>
              </w:rPr>
            </w:pPr>
          </w:p>
        </w:tc>
        <w:tc>
          <w:tcPr>
            <w:tcW w:w="240" w:type="dxa"/>
            <w:vAlign w:val="bottom"/>
            <w:shd w:val="clear" w:color="auto" w:fill="732282"/>
          </w:tcPr>
          <w:p>
            <w:pPr>
              <w:spacing w:after="0"/>
              <w:rPr>
                <w:sz w:val="14"/>
                <w:szCs w:val="14"/>
                <w:color w:val="auto"/>
              </w:rPr>
            </w:pPr>
          </w:p>
        </w:tc>
        <w:tc>
          <w:tcPr>
            <w:tcW w:w="54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86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Non-qualified</w:t>
            </w:r>
          </w:p>
        </w:tc>
        <w:tc>
          <w:tcPr>
            <w:tcW w:w="154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732282"/>
          </w:tcPr>
          <w:p>
            <w:pPr>
              <w:spacing w:after="0"/>
              <w:rPr>
                <w:sz w:val="14"/>
                <w:szCs w:val="14"/>
                <w:color w:val="auto"/>
              </w:rPr>
            </w:pPr>
          </w:p>
        </w:tc>
        <w:tc>
          <w:tcPr>
            <w:tcW w:w="240" w:type="dxa"/>
            <w:vAlign w:val="bottom"/>
            <w:shd w:val="clear" w:color="auto" w:fill="732282"/>
          </w:tcPr>
          <w:p>
            <w:pPr>
              <w:spacing w:after="0"/>
              <w:rPr>
                <w:sz w:val="14"/>
                <w:szCs w:val="14"/>
                <w:color w:val="auto"/>
              </w:rPr>
            </w:pPr>
          </w:p>
        </w:tc>
        <w:tc>
          <w:tcPr>
            <w:tcW w:w="54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86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Non-Equity</w:t>
            </w: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Deferred</w:t>
            </w:r>
          </w:p>
        </w:tc>
        <w:tc>
          <w:tcPr>
            <w:tcW w:w="154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 and</w:t>
            </w:r>
          </w:p>
        </w:tc>
        <w:tc>
          <w:tcPr>
            <w:tcW w:w="240" w:type="dxa"/>
            <w:vAlign w:val="bottom"/>
            <w:shd w:val="clear" w:color="auto" w:fill="732282"/>
          </w:tcPr>
          <w:p>
            <w:pPr>
              <w:spacing w:after="0"/>
              <w:rPr>
                <w:sz w:val="14"/>
                <w:szCs w:val="14"/>
                <w:color w:val="auto"/>
              </w:rPr>
            </w:pPr>
          </w:p>
        </w:tc>
        <w:tc>
          <w:tcPr>
            <w:tcW w:w="54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860" w:type="dxa"/>
            <w:vAlign w:val="bottom"/>
            <w:shd w:val="clear" w:color="auto" w:fill="732282"/>
          </w:tcPr>
          <w:p>
            <w:pPr>
              <w:spacing w:after="0"/>
              <w:rPr>
                <w:sz w:val="14"/>
                <w:szCs w:val="14"/>
                <w:color w:val="auto"/>
              </w:rPr>
            </w:pP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Stock</w:t>
            </w:r>
          </w:p>
        </w:tc>
        <w:tc>
          <w:tcPr>
            <w:tcW w:w="740" w:type="dxa"/>
            <w:vAlign w:val="bottom"/>
            <w:shd w:val="clear" w:color="auto" w:fill="732282"/>
          </w:tcPr>
          <w:p>
            <w:pPr>
              <w:jc w:val="center"/>
              <w:ind w:right="88"/>
              <w:spacing w:after="0"/>
              <w:rPr>
                <w:sz w:val="20"/>
                <w:szCs w:val="20"/>
                <w:color w:val="auto"/>
              </w:rPr>
            </w:pPr>
            <w:r>
              <w:rPr>
                <w:rFonts w:ascii="Arial" w:cs="Arial" w:eastAsia="Arial" w:hAnsi="Arial"/>
                <w:sz w:val="14"/>
                <w:szCs w:val="14"/>
                <w:b w:val="1"/>
                <w:bCs w:val="1"/>
                <w:color w:val="FFFFFF"/>
              </w:rPr>
              <w:t>Option</w:t>
            </w: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5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Principal</w:t>
            </w:r>
          </w:p>
        </w:tc>
        <w:tc>
          <w:tcPr>
            <w:tcW w:w="780" w:type="dxa"/>
            <w:vAlign w:val="bottom"/>
            <w:gridSpan w:val="2"/>
            <w:shd w:val="clear" w:color="auto" w:fill="732282"/>
          </w:tcPr>
          <w:p>
            <w:pPr>
              <w:ind w:left="220"/>
              <w:spacing w:after="0"/>
              <w:rPr>
                <w:sz w:val="20"/>
                <w:szCs w:val="20"/>
                <w:color w:val="auto"/>
              </w:rPr>
            </w:pPr>
            <w:r>
              <w:rPr>
                <w:rFonts w:ascii="Arial" w:cs="Arial" w:eastAsia="Arial" w:hAnsi="Arial"/>
                <w:sz w:val="14"/>
                <w:szCs w:val="14"/>
                <w:b w:val="1"/>
                <w:bCs w:val="1"/>
                <w:color w:val="FFFFFF"/>
              </w:rPr>
              <w:t>Fiscal</w:t>
            </w:r>
          </w:p>
        </w:tc>
        <w:tc>
          <w:tcPr>
            <w:tcW w:w="880" w:type="dxa"/>
            <w:vAlign w:val="bottom"/>
            <w:shd w:val="clear" w:color="auto" w:fill="732282"/>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860" w:type="dxa"/>
            <w:vAlign w:val="bottom"/>
            <w:shd w:val="clear" w:color="auto" w:fill="732282"/>
          </w:tcPr>
          <w:p>
            <w:pPr>
              <w:jc w:val="right"/>
              <w:ind w:right="188"/>
              <w:spacing w:after="0"/>
              <w:rPr>
                <w:sz w:val="20"/>
                <w:szCs w:val="20"/>
                <w:color w:val="auto"/>
              </w:rPr>
            </w:pPr>
            <w:r>
              <w:rPr>
                <w:rFonts w:ascii="Arial" w:cs="Arial" w:eastAsia="Arial" w:hAnsi="Arial"/>
                <w:sz w:val="14"/>
                <w:szCs w:val="14"/>
                <w:b w:val="1"/>
                <w:bCs w:val="1"/>
                <w:color w:val="FFFFFF"/>
              </w:rPr>
              <w:t>Bonus</w:t>
            </w: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Awards</w:t>
            </w:r>
          </w:p>
        </w:tc>
        <w:tc>
          <w:tcPr>
            <w:tcW w:w="740" w:type="dxa"/>
            <w:vAlign w:val="bottom"/>
            <w:shd w:val="clear" w:color="auto" w:fill="732282"/>
          </w:tcPr>
          <w:p>
            <w:pPr>
              <w:jc w:val="center"/>
              <w:ind w:right="108"/>
              <w:spacing w:after="0"/>
              <w:rPr>
                <w:sz w:val="20"/>
                <w:szCs w:val="20"/>
                <w:color w:val="auto"/>
              </w:rPr>
            </w:pPr>
            <w:r>
              <w:rPr>
                <w:rFonts w:ascii="Arial" w:cs="Arial" w:eastAsia="Arial" w:hAnsi="Arial"/>
                <w:sz w:val="14"/>
                <w:szCs w:val="14"/>
                <w:b w:val="1"/>
                <w:bCs w:val="1"/>
                <w:color w:val="FFFFFF"/>
              </w:rPr>
              <w:t>Awards</w:t>
            </w: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5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Earnings</w:t>
            </w:r>
          </w:p>
        </w:tc>
        <w:tc>
          <w:tcPr>
            <w:tcW w:w="15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732282"/>
          </w:tcPr>
          <w:p>
            <w:pPr>
              <w:jc w:val="right"/>
              <w:ind w:right="1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14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Position</w:t>
            </w:r>
          </w:p>
        </w:tc>
        <w:tc>
          <w:tcPr>
            <w:tcW w:w="240" w:type="dxa"/>
            <w:vAlign w:val="bottom"/>
            <w:shd w:val="clear" w:color="auto" w:fill="732282"/>
          </w:tcPr>
          <w:p>
            <w:pPr>
              <w:spacing w:after="0"/>
              <w:rPr>
                <w:sz w:val="19"/>
                <w:szCs w:val="19"/>
                <w:color w:val="auto"/>
              </w:rPr>
            </w:pPr>
          </w:p>
        </w:tc>
        <w:tc>
          <w:tcPr>
            <w:tcW w:w="540" w:type="dxa"/>
            <w:vAlign w:val="bottom"/>
            <w:shd w:val="clear" w:color="auto" w:fill="732282"/>
          </w:tcPr>
          <w:p>
            <w:pPr>
              <w:ind w:left="40"/>
              <w:spacing w:after="0"/>
              <w:rPr>
                <w:sz w:val="20"/>
                <w:szCs w:val="20"/>
                <w:color w:val="auto"/>
              </w:rPr>
            </w:pPr>
            <w:r>
              <w:rPr>
                <w:rFonts w:ascii="Arial" w:cs="Arial" w:eastAsia="Arial" w:hAnsi="Arial"/>
                <w:sz w:val="14"/>
                <w:szCs w:val="14"/>
                <w:b w:val="1"/>
                <w:bCs w:val="1"/>
                <w:color w:val="FFFFFF"/>
              </w:rPr>
              <w:t>Year</w:t>
            </w:r>
          </w:p>
        </w:tc>
        <w:tc>
          <w:tcPr>
            <w:tcW w:w="880" w:type="dxa"/>
            <w:vAlign w:val="bottom"/>
            <w:shd w:val="clear" w:color="auto" w:fill="732282"/>
          </w:tcPr>
          <w:p>
            <w:pPr>
              <w:jc w:val="right"/>
              <w:ind w:right="228"/>
              <w:spacing w:after="0" w:line="22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(1)</w:t>
            </w:r>
          </w:p>
        </w:tc>
        <w:tc>
          <w:tcPr>
            <w:tcW w:w="860" w:type="dxa"/>
            <w:vAlign w:val="bottom"/>
            <w:shd w:val="clear" w:color="auto" w:fill="732282"/>
          </w:tcPr>
          <w:p>
            <w:pPr>
              <w:jc w:val="right"/>
              <w:ind w:right="248"/>
              <w:spacing w:after="0" w:line="22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(2)</w:t>
            </w:r>
          </w:p>
        </w:tc>
        <w:tc>
          <w:tcPr>
            <w:tcW w:w="820" w:type="dxa"/>
            <w:vAlign w:val="bottom"/>
            <w:shd w:val="clear" w:color="auto" w:fill="732282"/>
          </w:tcPr>
          <w:p>
            <w:pPr>
              <w:jc w:val="center"/>
              <w:spacing w:after="0" w:line="229" w:lineRule="exact"/>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(3)</w:t>
            </w:r>
          </w:p>
        </w:tc>
        <w:tc>
          <w:tcPr>
            <w:tcW w:w="740" w:type="dxa"/>
            <w:vAlign w:val="bottom"/>
            <w:shd w:val="clear" w:color="auto" w:fill="732282"/>
          </w:tcPr>
          <w:p>
            <w:pPr>
              <w:jc w:val="center"/>
              <w:ind w:right="88"/>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732282"/>
          </w:tcPr>
          <w:p>
            <w:pPr>
              <w:jc w:val="center"/>
              <w:spacing w:after="0" w:line="22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(4)</w:t>
            </w:r>
          </w:p>
        </w:tc>
        <w:tc>
          <w:tcPr>
            <w:tcW w:w="1500" w:type="dxa"/>
            <w:vAlign w:val="bottom"/>
            <w:shd w:val="clear" w:color="auto" w:fill="732282"/>
          </w:tcPr>
          <w:p>
            <w:pPr>
              <w:jc w:val="right"/>
              <w:ind w:right="608"/>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732282"/>
          </w:tcPr>
          <w:p>
            <w:pPr>
              <w:jc w:val="center"/>
              <w:spacing w:after="0" w:line="22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(5)</w:t>
            </w:r>
          </w:p>
        </w:tc>
        <w:tc>
          <w:tcPr>
            <w:tcW w:w="1040" w:type="dxa"/>
            <w:vAlign w:val="bottom"/>
            <w:shd w:val="clear" w:color="auto" w:fill="732282"/>
          </w:tcPr>
          <w:p>
            <w:pPr>
              <w:jc w:val="right"/>
              <w:ind w:right="2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9"/>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Scott A. Smith</w:t>
            </w:r>
          </w:p>
        </w:tc>
        <w:tc>
          <w:tcPr>
            <w:tcW w:w="780" w:type="dxa"/>
            <w:vAlign w:val="bottom"/>
            <w:gridSpan w:val="2"/>
            <w:shd w:val="clear" w:color="auto" w:fill="E5E5E5"/>
          </w:tcPr>
          <w:p>
            <w:pPr>
              <w:ind w:left="28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1,023,077</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11,200,008</w:t>
            </w:r>
          </w:p>
        </w:tc>
        <w:tc>
          <w:tcPr>
            <w:tcW w:w="74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2,884,494</w:t>
            </w:r>
          </w:p>
        </w:tc>
        <w:tc>
          <w:tcPr>
            <w:tcW w:w="150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822,830</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15,930,409</w:t>
            </w:r>
          </w:p>
        </w:tc>
        <w:tc>
          <w:tcPr>
            <w:tcW w:w="0" w:type="dxa"/>
            <w:vAlign w:val="bottom"/>
          </w:tcPr>
          <w:p>
            <w:pPr>
              <w:spacing w:after="0"/>
              <w:rPr>
                <w:sz w:val="1"/>
                <w:szCs w:val="1"/>
                <w:color w:val="auto"/>
              </w:rPr>
            </w:pPr>
          </w:p>
        </w:tc>
      </w:tr>
      <w:tr>
        <w:trPr>
          <w:trHeight w:val="162"/>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Chief Executive</w:t>
            </w:r>
          </w:p>
        </w:tc>
        <w:tc>
          <w:tcPr>
            <w:tcW w:w="24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46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15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4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i w:val="1"/>
                <w:iCs w:val="1"/>
                <w:color w:val="auto"/>
              </w:rPr>
              <w:t>Officer</w:t>
            </w:r>
          </w:p>
        </w:tc>
        <w:tc>
          <w:tcPr>
            <w:tcW w:w="24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spacing w:after="0"/>
              <w:rPr>
                <w:sz w:val="18"/>
                <w:szCs w:val="18"/>
                <w:color w:val="auto"/>
              </w:rPr>
            </w:pPr>
          </w:p>
        </w:tc>
        <w:tc>
          <w:tcPr>
            <w:tcW w:w="880" w:type="dxa"/>
            <w:vAlign w:val="bottom"/>
            <w:tcBorders>
              <w:bottom w:val="single" w:sz="8" w:color="E5E5E5"/>
            </w:tcBorders>
            <w:shd w:val="clear" w:color="auto" w:fill="E5E5E5"/>
          </w:tcPr>
          <w:p>
            <w:pPr>
              <w:spacing w:after="0"/>
              <w:rPr>
                <w:sz w:val="18"/>
                <w:szCs w:val="18"/>
                <w:color w:val="auto"/>
              </w:rPr>
            </w:pPr>
          </w:p>
        </w:tc>
        <w:tc>
          <w:tcPr>
            <w:tcW w:w="860" w:type="dxa"/>
            <w:vAlign w:val="bottom"/>
            <w:tcBorders>
              <w:bottom w:val="single" w:sz="8" w:color="E5E5E5"/>
            </w:tcBorders>
            <w:shd w:val="clear" w:color="auto" w:fill="E5E5E5"/>
          </w:tcPr>
          <w:p>
            <w:pPr>
              <w:spacing w:after="0"/>
              <w:rPr>
                <w:sz w:val="18"/>
                <w:szCs w:val="18"/>
                <w:color w:val="auto"/>
              </w:rPr>
            </w:pPr>
          </w:p>
        </w:tc>
        <w:tc>
          <w:tcPr>
            <w:tcW w:w="82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spacing w:after="0"/>
              <w:rPr>
                <w:sz w:val="18"/>
                <w:szCs w:val="18"/>
                <w:color w:val="auto"/>
              </w:rPr>
            </w:pPr>
          </w:p>
        </w:tc>
        <w:tc>
          <w:tcPr>
            <w:tcW w:w="1460" w:type="dxa"/>
            <w:vAlign w:val="bottom"/>
            <w:tcBorders>
              <w:bottom w:val="single" w:sz="8" w:color="E5E5E5"/>
            </w:tcBorders>
            <w:shd w:val="clear" w:color="auto" w:fill="E5E5E5"/>
          </w:tcPr>
          <w:p>
            <w:pPr>
              <w:spacing w:after="0"/>
              <w:rPr>
                <w:sz w:val="18"/>
                <w:szCs w:val="18"/>
                <w:color w:val="auto"/>
              </w:rPr>
            </w:pPr>
          </w:p>
        </w:tc>
        <w:tc>
          <w:tcPr>
            <w:tcW w:w="1500" w:type="dxa"/>
            <w:vAlign w:val="bottom"/>
            <w:tcBorders>
              <w:bottom w:val="single" w:sz="8" w:color="E5E5E5"/>
            </w:tcBorders>
            <w:shd w:val="clear" w:color="auto" w:fill="E5E5E5"/>
          </w:tcPr>
          <w:p>
            <w:pPr>
              <w:spacing w:after="0"/>
              <w:rPr>
                <w:sz w:val="18"/>
                <w:szCs w:val="18"/>
                <w:color w:val="auto"/>
              </w:rPr>
            </w:pPr>
          </w:p>
        </w:tc>
        <w:tc>
          <w:tcPr>
            <w:tcW w:w="154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Pr>
          <w:p>
            <w:pPr>
              <w:ind w:left="60"/>
              <w:spacing w:after="0"/>
              <w:rPr>
                <w:sz w:val="20"/>
                <w:szCs w:val="20"/>
                <w:color w:val="auto"/>
              </w:rPr>
            </w:pPr>
            <w:r>
              <w:rPr>
                <w:rFonts w:ascii="Arial" w:cs="Arial" w:eastAsia="Arial" w:hAnsi="Arial"/>
                <w:sz w:val="14"/>
                <w:szCs w:val="14"/>
                <w:b w:val="1"/>
                <w:bCs w:val="1"/>
                <w:color w:val="auto"/>
              </w:rPr>
              <w:t>Sanjeev Narula</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2023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923,558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3,700,013</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1,686,368</w:t>
            </w:r>
          </w:p>
        </w:tc>
        <w:tc>
          <w:tcPr>
            <w:tcW w:w="15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470,303</w:t>
            </w:r>
          </w:p>
        </w:tc>
        <w:tc>
          <w:tcPr>
            <w:tcW w:w="1040" w:type="dxa"/>
            <w:vAlign w:val="bottom"/>
          </w:tcPr>
          <w:p>
            <w:pPr>
              <w:jc w:val="right"/>
              <w:spacing w:after="0"/>
              <w:rPr>
                <w:sz w:val="20"/>
                <w:szCs w:val="20"/>
                <w:color w:val="auto"/>
              </w:rPr>
            </w:pPr>
            <w:r>
              <w:rPr>
                <w:rFonts w:ascii="Arial" w:cs="Arial" w:eastAsia="Arial" w:hAnsi="Arial"/>
                <w:sz w:val="14"/>
                <w:szCs w:val="14"/>
                <w:color w:val="auto"/>
              </w:rPr>
              <w:t>6,780,242</w:t>
            </w:r>
          </w:p>
        </w:tc>
        <w:tc>
          <w:tcPr>
            <w:tcW w:w="0" w:type="dxa"/>
            <w:vAlign w:val="bottom"/>
          </w:tcPr>
          <w:p>
            <w:pPr>
              <w:spacing w:after="0"/>
              <w:rPr>
                <w:sz w:val="1"/>
                <w:szCs w:val="1"/>
                <w:color w:val="auto"/>
              </w:rPr>
            </w:pPr>
          </w:p>
        </w:tc>
      </w:tr>
      <w:tr>
        <w:trPr>
          <w:trHeight w:val="162"/>
        </w:trPr>
        <w:tc>
          <w:tcPr>
            <w:tcW w:w="1400" w:type="dxa"/>
            <w:vAlign w:val="bottom"/>
          </w:tcPr>
          <w:p>
            <w:pPr>
              <w:ind w:left="60"/>
              <w:spacing w:after="0"/>
              <w:rPr>
                <w:sz w:val="20"/>
                <w:szCs w:val="20"/>
                <w:color w:val="auto"/>
              </w:rPr>
            </w:pPr>
            <w:r>
              <w:rPr>
                <w:rFonts w:ascii="Arial" w:cs="Arial" w:eastAsia="Arial" w:hAnsi="Arial"/>
                <w:sz w:val="14"/>
                <w:szCs w:val="14"/>
                <w:i w:val="1"/>
                <w:iCs w:val="1"/>
                <w:color w:val="auto"/>
              </w:rPr>
              <w:t>Former Chief</w:t>
            </w: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840,385</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3,400,006</w:t>
            </w:r>
          </w:p>
        </w:tc>
        <w:tc>
          <w:tcPr>
            <w:tcW w:w="7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1,586,355</w:t>
            </w:r>
          </w:p>
        </w:tc>
        <w:tc>
          <w:tcPr>
            <w:tcW w:w="15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308"/>
              <w:spacing w:after="0"/>
              <w:rPr>
                <w:sz w:val="20"/>
                <w:szCs w:val="20"/>
                <w:color w:val="auto"/>
              </w:rPr>
            </w:pPr>
            <w:r>
              <w:rPr>
                <w:rFonts w:ascii="Arial" w:cs="Arial" w:eastAsia="Arial" w:hAnsi="Arial"/>
                <w:sz w:val="14"/>
                <w:szCs w:val="14"/>
                <w:color w:val="auto"/>
              </w:rPr>
              <w:t>281,660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6,108,406</w:t>
            </w:r>
          </w:p>
        </w:tc>
        <w:tc>
          <w:tcPr>
            <w:tcW w:w="0" w:type="dxa"/>
            <w:vAlign w:val="bottom"/>
          </w:tcPr>
          <w:p>
            <w:pPr>
              <w:spacing w:after="0"/>
              <w:rPr>
                <w:sz w:val="1"/>
                <w:szCs w:val="1"/>
                <w:color w:val="auto"/>
              </w:rPr>
            </w:pPr>
          </w:p>
        </w:tc>
      </w:tr>
      <w:tr>
        <w:trPr>
          <w:trHeight w:val="80"/>
        </w:trPr>
        <w:tc>
          <w:tcPr>
            <w:tcW w:w="14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Financial Officer</w:t>
            </w:r>
          </w:p>
        </w:tc>
        <w:tc>
          <w:tcPr>
            <w:tcW w:w="78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2021</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800,000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2,800,011</w:t>
            </w:r>
          </w:p>
        </w:tc>
        <w:tc>
          <w:tcPr>
            <w:tcW w:w="7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1,524,560</w:t>
            </w:r>
          </w:p>
        </w:tc>
        <w:tc>
          <w:tcPr>
            <w:tcW w:w="15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308"/>
              <w:spacing w:after="0"/>
              <w:rPr>
                <w:sz w:val="20"/>
                <w:szCs w:val="20"/>
                <w:color w:val="auto"/>
              </w:rPr>
            </w:pPr>
            <w:r>
              <w:rPr>
                <w:rFonts w:ascii="Arial" w:cs="Arial" w:eastAsia="Arial" w:hAnsi="Arial"/>
                <w:sz w:val="14"/>
                <w:szCs w:val="14"/>
                <w:color w:val="auto"/>
              </w:rPr>
              <w:t>526,114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5,650,685</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Rajiv Malik</w:t>
            </w:r>
          </w:p>
        </w:tc>
        <w:tc>
          <w:tcPr>
            <w:tcW w:w="780" w:type="dxa"/>
            <w:vAlign w:val="bottom"/>
            <w:gridSpan w:val="2"/>
            <w:shd w:val="clear" w:color="auto" w:fill="E5E5E5"/>
          </w:tcPr>
          <w:p>
            <w:pPr>
              <w:ind w:left="28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1,298,077</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7,800,015</w:t>
            </w:r>
          </w:p>
        </w:tc>
        <w:tc>
          <w:tcPr>
            <w:tcW w:w="74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2,962,538</w:t>
            </w:r>
          </w:p>
        </w:tc>
        <w:tc>
          <w:tcPr>
            <w:tcW w:w="150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423,045</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12,483,675</w:t>
            </w:r>
          </w:p>
        </w:tc>
        <w:tc>
          <w:tcPr>
            <w:tcW w:w="0" w:type="dxa"/>
            <w:vAlign w:val="bottom"/>
          </w:tcPr>
          <w:p>
            <w:pPr>
              <w:spacing w:after="0"/>
              <w:rPr>
                <w:sz w:val="1"/>
                <w:szCs w:val="1"/>
                <w:color w:val="auto"/>
              </w:rPr>
            </w:pPr>
          </w:p>
        </w:tc>
      </w:tr>
      <w:tr>
        <w:trPr>
          <w:trHeight w:val="188"/>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Former President</w:t>
            </w:r>
          </w:p>
        </w:tc>
        <w:tc>
          <w:tcPr>
            <w:tcW w:w="240" w:type="dxa"/>
            <w:vAlign w:val="bottom"/>
            <w:shd w:val="clear" w:color="auto" w:fill="E5E5E5"/>
          </w:tcPr>
          <w:p>
            <w:pPr>
              <w:spacing w:after="0"/>
              <w:rPr>
                <w:sz w:val="16"/>
                <w:szCs w:val="16"/>
                <w:color w:val="auto"/>
              </w:rPr>
            </w:pPr>
          </w:p>
        </w:tc>
        <w:tc>
          <w:tcPr>
            <w:tcW w:w="54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2022</w:t>
            </w:r>
          </w:p>
        </w:tc>
        <w:tc>
          <w:tcPr>
            <w:tcW w:w="8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1,200,000</w:t>
            </w:r>
          </w:p>
        </w:tc>
        <w:tc>
          <w:tcPr>
            <w:tcW w:w="8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10,950,000</w:t>
            </w:r>
          </w:p>
        </w:tc>
        <w:tc>
          <w:tcPr>
            <w:tcW w:w="8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7,200,007</w:t>
            </w:r>
          </w:p>
        </w:tc>
        <w:tc>
          <w:tcPr>
            <w:tcW w:w="740" w:type="dxa"/>
            <w:vAlign w:val="bottom"/>
            <w:vMerge w:val="restart"/>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E5E5E5"/>
          </w:tcPr>
          <w:p>
            <w:pPr>
              <w:jc w:val="right"/>
              <w:ind w:right="328"/>
              <w:spacing w:after="0"/>
              <w:rPr>
                <w:sz w:val="20"/>
                <w:szCs w:val="20"/>
                <w:color w:val="auto"/>
              </w:rPr>
            </w:pPr>
            <w:r>
              <w:rPr>
                <w:rFonts w:ascii="Arial" w:cs="Arial" w:eastAsia="Arial" w:hAnsi="Arial"/>
                <w:sz w:val="14"/>
                <w:szCs w:val="14"/>
                <w:color w:val="auto"/>
              </w:rPr>
              <w:t>2,799,450</w:t>
            </w:r>
          </w:p>
        </w:tc>
        <w:tc>
          <w:tcPr>
            <w:tcW w:w="1500" w:type="dxa"/>
            <w:vAlign w:val="bottom"/>
            <w:vMerge w:val="restart"/>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E5E5E5"/>
          </w:tcPr>
          <w:p>
            <w:pPr>
              <w:jc w:val="right"/>
              <w:ind w:right="308"/>
              <w:spacing w:after="0"/>
              <w:rPr>
                <w:sz w:val="20"/>
                <w:szCs w:val="20"/>
                <w:color w:val="auto"/>
              </w:rPr>
            </w:pPr>
            <w:r>
              <w:rPr>
                <w:rFonts w:ascii="Arial" w:cs="Arial" w:eastAsia="Arial" w:hAnsi="Arial"/>
                <w:sz w:val="14"/>
                <w:szCs w:val="14"/>
                <w:color w:val="auto"/>
              </w:rPr>
              <w:t>405,434</w:t>
            </w:r>
          </w:p>
        </w:tc>
        <w:tc>
          <w:tcPr>
            <w:tcW w:w="10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22,554,891</w:t>
            </w:r>
          </w:p>
        </w:tc>
        <w:tc>
          <w:tcPr>
            <w:tcW w:w="0" w:type="dxa"/>
            <w:vAlign w:val="bottom"/>
          </w:tcPr>
          <w:p>
            <w:pPr>
              <w:spacing w:after="0"/>
              <w:rPr>
                <w:sz w:val="1"/>
                <w:szCs w:val="1"/>
                <w:color w:val="auto"/>
              </w:rPr>
            </w:pPr>
          </w:p>
        </w:tc>
      </w:tr>
      <w:tr>
        <w:trPr>
          <w:trHeight w:val="54"/>
        </w:trPr>
        <w:tc>
          <w:tcPr>
            <w:tcW w:w="1400" w:type="dxa"/>
            <w:vAlign w:val="bottom"/>
            <w:shd w:val="clear" w:color="auto" w:fill="E5E5E5"/>
          </w:tcPr>
          <w:p>
            <w:pPr>
              <w:spacing w:after="0"/>
              <w:rPr>
                <w:sz w:val="4"/>
                <w:szCs w:val="4"/>
                <w:color w:val="auto"/>
              </w:rPr>
            </w:pPr>
          </w:p>
        </w:tc>
        <w:tc>
          <w:tcPr>
            <w:tcW w:w="240" w:type="dxa"/>
            <w:vAlign w:val="bottom"/>
            <w:shd w:val="clear" w:color="auto" w:fill="E5E5E5"/>
          </w:tcPr>
          <w:p>
            <w:pPr>
              <w:spacing w:after="0"/>
              <w:rPr>
                <w:sz w:val="4"/>
                <w:szCs w:val="4"/>
                <w:color w:val="auto"/>
              </w:rPr>
            </w:pPr>
          </w:p>
        </w:tc>
        <w:tc>
          <w:tcPr>
            <w:tcW w:w="540" w:type="dxa"/>
            <w:vAlign w:val="bottom"/>
            <w:vMerge w:val="continue"/>
            <w:shd w:val="clear" w:color="auto" w:fill="E5E5E5"/>
          </w:tcPr>
          <w:p>
            <w:pPr>
              <w:spacing w:after="0"/>
              <w:rPr>
                <w:sz w:val="4"/>
                <w:szCs w:val="4"/>
                <w:color w:val="auto"/>
              </w:rPr>
            </w:pPr>
          </w:p>
        </w:tc>
        <w:tc>
          <w:tcPr>
            <w:tcW w:w="880" w:type="dxa"/>
            <w:vAlign w:val="bottom"/>
            <w:vMerge w:val="continue"/>
            <w:shd w:val="clear" w:color="auto" w:fill="E5E5E5"/>
          </w:tcPr>
          <w:p>
            <w:pPr>
              <w:spacing w:after="0"/>
              <w:rPr>
                <w:sz w:val="4"/>
                <w:szCs w:val="4"/>
                <w:color w:val="auto"/>
              </w:rPr>
            </w:pPr>
          </w:p>
        </w:tc>
        <w:tc>
          <w:tcPr>
            <w:tcW w:w="860" w:type="dxa"/>
            <w:vAlign w:val="bottom"/>
            <w:vMerge w:val="continue"/>
            <w:shd w:val="clear" w:color="auto" w:fill="E5E5E5"/>
          </w:tcPr>
          <w:p>
            <w:pPr>
              <w:spacing w:after="0"/>
              <w:rPr>
                <w:sz w:val="4"/>
                <w:szCs w:val="4"/>
                <w:color w:val="auto"/>
              </w:rPr>
            </w:pPr>
          </w:p>
        </w:tc>
        <w:tc>
          <w:tcPr>
            <w:tcW w:w="820" w:type="dxa"/>
            <w:vAlign w:val="bottom"/>
            <w:vMerge w:val="continue"/>
            <w:shd w:val="clear" w:color="auto" w:fill="E5E5E5"/>
          </w:tcPr>
          <w:p>
            <w:pPr>
              <w:spacing w:after="0"/>
              <w:rPr>
                <w:sz w:val="4"/>
                <w:szCs w:val="4"/>
                <w:color w:val="auto"/>
              </w:rPr>
            </w:pPr>
          </w:p>
        </w:tc>
        <w:tc>
          <w:tcPr>
            <w:tcW w:w="740" w:type="dxa"/>
            <w:vAlign w:val="bottom"/>
            <w:vMerge w:val="continue"/>
            <w:shd w:val="clear" w:color="auto" w:fill="E5E5E5"/>
          </w:tcPr>
          <w:p>
            <w:pPr>
              <w:spacing w:after="0"/>
              <w:rPr>
                <w:sz w:val="4"/>
                <w:szCs w:val="4"/>
                <w:color w:val="auto"/>
              </w:rPr>
            </w:pPr>
          </w:p>
        </w:tc>
        <w:tc>
          <w:tcPr>
            <w:tcW w:w="1460" w:type="dxa"/>
            <w:vAlign w:val="bottom"/>
            <w:vMerge w:val="continue"/>
            <w:shd w:val="clear" w:color="auto" w:fill="E5E5E5"/>
          </w:tcPr>
          <w:p>
            <w:pPr>
              <w:spacing w:after="0"/>
              <w:rPr>
                <w:sz w:val="4"/>
                <w:szCs w:val="4"/>
                <w:color w:val="auto"/>
              </w:rPr>
            </w:pPr>
          </w:p>
        </w:tc>
        <w:tc>
          <w:tcPr>
            <w:tcW w:w="1500" w:type="dxa"/>
            <w:vAlign w:val="bottom"/>
            <w:vMerge w:val="continue"/>
            <w:shd w:val="clear" w:color="auto" w:fill="E5E5E5"/>
          </w:tcPr>
          <w:p>
            <w:pPr>
              <w:spacing w:after="0"/>
              <w:rPr>
                <w:sz w:val="4"/>
                <w:szCs w:val="4"/>
                <w:color w:val="auto"/>
              </w:rPr>
            </w:pPr>
          </w:p>
        </w:tc>
        <w:tc>
          <w:tcPr>
            <w:tcW w:w="1540" w:type="dxa"/>
            <w:vAlign w:val="bottom"/>
            <w:vMerge w:val="continue"/>
            <w:shd w:val="clear" w:color="auto" w:fill="E5E5E5"/>
          </w:tcPr>
          <w:p>
            <w:pPr>
              <w:spacing w:after="0"/>
              <w:rPr>
                <w:sz w:val="4"/>
                <w:szCs w:val="4"/>
                <w:color w:val="auto"/>
              </w:rPr>
            </w:pPr>
          </w:p>
        </w:tc>
        <w:tc>
          <w:tcPr>
            <w:tcW w:w="104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00" w:type="dxa"/>
            <w:vAlign w:val="bottom"/>
            <w:tcBorders>
              <w:bottom w:val="single" w:sz="8" w:color="E5E5E5"/>
            </w:tcBorders>
            <w:shd w:val="clear" w:color="auto" w:fill="E5E5E5"/>
          </w:tcPr>
          <w:p>
            <w:pPr>
              <w:spacing w:after="0"/>
              <w:rPr>
                <w:sz w:val="20"/>
                <w:szCs w:val="20"/>
                <w:color w:val="auto"/>
              </w:rPr>
            </w:pPr>
          </w:p>
        </w:tc>
        <w:tc>
          <w:tcPr>
            <w:tcW w:w="240" w:type="dxa"/>
            <w:vAlign w:val="bottom"/>
            <w:tcBorders>
              <w:bottom w:val="single" w:sz="8" w:color="E5E5E5"/>
            </w:tcBorders>
            <w:shd w:val="clear" w:color="auto" w:fill="E5E5E5"/>
          </w:tcPr>
          <w:p>
            <w:pPr>
              <w:spacing w:after="0"/>
              <w:rPr>
                <w:sz w:val="20"/>
                <w:szCs w:val="20"/>
                <w:color w:val="auto"/>
              </w:rPr>
            </w:pPr>
          </w:p>
        </w:tc>
        <w:tc>
          <w:tcPr>
            <w:tcW w:w="54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1,200,000</w:t>
            </w:r>
          </w:p>
        </w:tc>
        <w:tc>
          <w:tcPr>
            <w:tcW w:w="86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7,200,017</w:t>
            </w:r>
          </w:p>
        </w:tc>
        <w:tc>
          <w:tcPr>
            <w:tcW w:w="740" w:type="dxa"/>
            <w:vAlign w:val="bottom"/>
            <w:tcBorders>
              <w:bottom w:val="single" w:sz="8" w:color="E5E5E5"/>
            </w:tcBorders>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tcBorders>
            <w:shd w:val="clear" w:color="auto" w:fill="E5E5E5"/>
          </w:tcPr>
          <w:p>
            <w:pPr>
              <w:jc w:val="right"/>
              <w:ind w:right="328"/>
              <w:spacing w:after="0"/>
              <w:rPr>
                <w:sz w:val="20"/>
                <w:szCs w:val="20"/>
                <w:color w:val="auto"/>
              </w:rPr>
            </w:pPr>
            <w:r>
              <w:rPr>
                <w:rFonts w:ascii="Arial" w:cs="Arial" w:eastAsia="Arial" w:hAnsi="Arial"/>
                <w:sz w:val="14"/>
                <w:szCs w:val="14"/>
                <w:color w:val="auto"/>
              </w:rPr>
              <w:t>2,858,550</w:t>
            </w:r>
          </w:p>
        </w:tc>
        <w:tc>
          <w:tcPr>
            <w:tcW w:w="1500" w:type="dxa"/>
            <w:vAlign w:val="bottom"/>
            <w:tcBorders>
              <w:bottom w:val="single" w:sz="8" w:color="E5E5E5"/>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E5E5E5"/>
            </w:tcBorders>
            <w:shd w:val="clear" w:color="auto" w:fill="E5E5E5"/>
          </w:tcPr>
          <w:p>
            <w:pPr>
              <w:jc w:val="right"/>
              <w:ind w:right="308"/>
              <w:spacing w:after="0"/>
              <w:rPr>
                <w:sz w:val="20"/>
                <w:szCs w:val="20"/>
                <w:color w:val="auto"/>
              </w:rPr>
            </w:pPr>
            <w:r>
              <w:rPr>
                <w:rFonts w:ascii="Arial" w:cs="Arial" w:eastAsia="Arial" w:hAnsi="Arial"/>
                <w:sz w:val="14"/>
                <w:szCs w:val="14"/>
                <w:color w:val="auto"/>
              </w:rPr>
              <w:t>363,683</w:t>
            </w:r>
          </w:p>
        </w:tc>
        <w:tc>
          <w:tcPr>
            <w:tcW w:w="10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11,622,250</w:t>
            </w:r>
          </w:p>
        </w:tc>
        <w:tc>
          <w:tcPr>
            <w:tcW w:w="0" w:type="dxa"/>
            <w:vAlign w:val="bottom"/>
          </w:tcPr>
          <w:p>
            <w:pPr>
              <w:spacing w:after="0"/>
              <w:rPr>
                <w:sz w:val="1"/>
                <w:szCs w:val="1"/>
                <w:color w:val="auto"/>
              </w:rPr>
            </w:pPr>
          </w:p>
        </w:tc>
      </w:tr>
      <w:tr>
        <w:trPr>
          <w:trHeight w:val="209"/>
        </w:trPr>
        <w:tc>
          <w:tcPr>
            <w:tcW w:w="1400" w:type="dxa"/>
            <w:vAlign w:val="bottom"/>
          </w:tcPr>
          <w:p>
            <w:pPr>
              <w:ind w:left="60"/>
              <w:spacing w:after="0"/>
              <w:rPr>
                <w:sz w:val="20"/>
                <w:szCs w:val="20"/>
                <w:color w:val="auto"/>
              </w:rPr>
            </w:pPr>
            <w:r>
              <w:rPr>
                <w:rFonts w:ascii="Arial" w:cs="Arial" w:eastAsia="Arial" w:hAnsi="Arial"/>
                <w:sz w:val="14"/>
                <w:szCs w:val="14"/>
                <w:b w:val="1"/>
                <w:bCs w:val="1"/>
                <w:color w:val="auto"/>
              </w:rPr>
              <w:t>Anthony Mauro</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2023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858,846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3,440,016</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1,803,046</w:t>
            </w:r>
          </w:p>
        </w:tc>
        <w:tc>
          <w:tcPr>
            <w:tcW w:w="15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333,496</w:t>
            </w:r>
          </w:p>
        </w:tc>
        <w:tc>
          <w:tcPr>
            <w:tcW w:w="1040" w:type="dxa"/>
            <w:vAlign w:val="bottom"/>
          </w:tcPr>
          <w:p>
            <w:pPr>
              <w:jc w:val="right"/>
              <w:spacing w:after="0"/>
              <w:rPr>
                <w:sz w:val="20"/>
                <w:szCs w:val="20"/>
                <w:color w:val="auto"/>
              </w:rPr>
            </w:pPr>
            <w:r>
              <w:rPr>
                <w:rFonts w:ascii="Arial" w:cs="Arial" w:eastAsia="Arial" w:hAnsi="Arial"/>
                <w:sz w:val="14"/>
                <w:szCs w:val="14"/>
                <w:color w:val="auto"/>
              </w:rPr>
              <w:t>6,435,404</w:t>
            </w:r>
          </w:p>
        </w:tc>
        <w:tc>
          <w:tcPr>
            <w:tcW w:w="0" w:type="dxa"/>
            <w:vAlign w:val="bottom"/>
          </w:tcPr>
          <w:p>
            <w:pPr>
              <w:spacing w:after="0"/>
              <w:rPr>
                <w:sz w:val="1"/>
                <w:szCs w:val="1"/>
                <w:color w:val="auto"/>
              </w:rPr>
            </w:pPr>
          </w:p>
        </w:tc>
      </w:tr>
      <w:tr>
        <w:trPr>
          <w:trHeight w:val="162"/>
        </w:trPr>
        <w:tc>
          <w:tcPr>
            <w:tcW w:w="1400" w:type="dxa"/>
            <w:vAlign w:val="bottom"/>
          </w:tcPr>
          <w:p>
            <w:pPr>
              <w:ind w:left="60"/>
              <w:spacing w:after="0"/>
              <w:rPr>
                <w:sz w:val="20"/>
                <w:szCs w:val="20"/>
                <w:color w:val="auto"/>
              </w:rPr>
            </w:pPr>
            <w:r>
              <w:rPr>
                <w:rFonts w:ascii="Arial" w:cs="Arial" w:eastAsia="Arial" w:hAnsi="Arial"/>
                <w:sz w:val="14"/>
                <w:szCs w:val="14"/>
                <w:i w:val="1"/>
                <w:iCs w:val="1"/>
                <w:color w:val="auto"/>
              </w:rPr>
              <w:t>Former President,</w:t>
            </w: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800,000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6,553,800</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3,200,005</w:t>
            </w:r>
          </w:p>
        </w:tc>
        <w:tc>
          <w:tcPr>
            <w:tcW w:w="7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1,716,996</w:t>
            </w:r>
          </w:p>
        </w:tc>
        <w:tc>
          <w:tcPr>
            <w:tcW w:w="15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308"/>
              <w:spacing w:after="0"/>
              <w:rPr>
                <w:sz w:val="20"/>
                <w:szCs w:val="20"/>
                <w:color w:val="auto"/>
              </w:rPr>
            </w:pPr>
            <w:r>
              <w:rPr>
                <w:rFonts w:ascii="Arial" w:cs="Arial" w:eastAsia="Arial" w:hAnsi="Arial"/>
                <w:sz w:val="14"/>
                <w:szCs w:val="14"/>
                <w:color w:val="auto"/>
              </w:rPr>
              <w:t>317,968</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12,588,769</w:t>
            </w:r>
          </w:p>
        </w:tc>
        <w:tc>
          <w:tcPr>
            <w:tcW w:w="0" w:type="dxa"/>
            <w:vAlign w:val="bottom"/>
          </w:tcPr>
          <w:p>
            <w:pPr>
              <w:spacing w:after="0"/>
              <w:rPr>
                <w:sz w:val="1"/>
                <w:szCs w:val="1"/>
                <w:color w:val="auto"/>
              </w:rPr>
            </w:pPr>
          </w:p>
        </w:tc>
      </w:tr>
      <w:tr>
        <w:trPr>
          <w:trHeight w:val="80"/>
        </w:trPr>
        <w:tc>
          <w:tcPr>
            <w:tcW w:w="14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Developed Markets</w:t>
            </w:r>
          </w:p>
        </w:tc>
        <w:tc>
          <w:tcPr>
            <w:tcW w:w="78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2021</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800,000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3,200,017</w:t>
            </w:r>
          </w:p>
        </w:tc>
        <w:tc>
          <w:tcPr>
            <w:tcW w:w="7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1,753,244</w:t>
            </w:r>
          </w:p>
        </w:tc>
        <w:tc>
          <w:tcPr>
            <w:tcW w:w="15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308"/>
              <w:spacing w:after="0"/>
              <w:rPr>
                <w:sz w:val="20"/>
                <w:szCs w:val="20"/>
                <w:color w:val="auto"/>
              </w:rPr>
            </w:pPr>
            <w:r>
              <w:rPr>
                <w:rFonts w:ascii="Arial" w:cs="Arial" w:eastAsia="Arial" w:hAnsi="Arial"/>
                <w:sz w:val="14"/>
                <w:szCs w:val="14"/>
                <w:color w:val="auto"/>
              </w:rPr>
              <w:t>296,654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6,049,915</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Brian Roman</w:t>
            </w:r>
          </w:p>
        </w:tc>
        <w:tc>
          <w:tcPr>
            <w:tcW w:w="780" w:type="dxa"/>
            <w:vAlign w:val="bottom"/>
            <w:gridSpan w:val="2"/>
            <w:shd w:val="clear" w:color="auto" w:fill="E5E5E5"/>
          </w:tcPr>
          <w:p>
            <w:pPr>
              <w:ind w:left="28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790,385</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1,600,015</w:t>
            </w:r>
          </w:p>
        </w:tc>
        <w:tc>
          <w:tcPr>
            <w:tcW w:w="74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1,458,480</w:t>
            </w:r>
          </w:p>
        </w:tc>
        <w:tc>
          <w:tcPr>
            <w:tcW w:w="150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263,253</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4,112,133</w:t>
            </w:r>
          </w:p>
        </w:tc>
        <w:tc>
          <w:tcPr>
            <w:tcW w:w="0" w:type="dxa"/>
            <w:vAlign w:val="bottom"/>
          </w:tcPr>
          <w:p>
            <w:pPr>
              <w:spacing w:after="0"/>
              <w:rPr>
                <w:sz w:val="1"/>
                <w:szCs w:val="1"/>
                <w:color w:val="auto"/>
              </w:rPr>
            </w:pPr>
          </w:p>
        </w:tc>
      </w:tr>
      <w:tr>
        <w:trPr>
          <w:trHeight w:val="162"/>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Global General</w:t>
            </w:r>
          </w:p>
        </w:tc>
        <w:tc>
          <w:tcPr>
            <w:tcW w:w="24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46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15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4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i w:val="1"/>
                <w:iCs w:val="1"/>
                <w:color w:val="auto"/>
              </w:rPr>
              <w:t>Counsel</w:t>
            </w:r>
          </w:p>
        </w:tc>
        <w:tc>
          <w:tcPr>
            <w:tcW w:w="24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spacing w:after="0"/>
              <w:rPr>
                <w:sz w:val="18"/>
                <w:szCs w:val="18"/>
                <w:color w:val="auto"/>
              </w:rPr>
            </w:pPr>
          </w:p>
        </w:tc>
        <w:tc>
          <w:tcPr>
            <w:tcW w:w="880" w:type="dxa"/>
            <w:vAlign w:val="bottom"/>
            <w:tcBorders>
              <w:bottom w:val="single" w:sz="8" w:color="E5E5E5"/>
            </w:tcBorders>
            <w:shd w:val="clear" w:color="auto" w:fill="E5E5E5"/>
          </w:tcPr>
          <w:p>
            <w:pPr>
              <w:spacing w:after="0"/>
              <w:rPr>
                <w:sz w:val="18"/>
                <w:szCs w:val="18"/>
                <w:color w:val="auto"/>
              </w:rPr>
            </w:pPr>
          </w:p>
        </w:tc>
        <w:tc>
          <w:tcPr>
            <w:tcW w:w="860" w:type="dxa"/>
            <w:vAlign w:val="bottom"/>
            <w:tcBorders>
              <w:bottom w:val="single" w:sz="8" w:color="E5E5E5"/>
            </w:tcBorders>
            <w:shd w:val="clear" w:color="auto" w:fill="E5E5E5"/>
          </w:tcPr>
          <w:p>
            <w:pPr>
              <w:spacing w:after="0"/>
              <w:rPr>
                <w:sz w:val="18"/>
                <w:szCs w:val="18"/>
                <w:color w:val="auto"/>
              </w:rPr>
            </w:pPr>
          </w:p>
        </w:tc>
        <w:tc>
          <w:tcPr>
            <w:tcW w:w="82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spacing w:after="0"/>
              <w:rPr>
                <w:sz w:val="18"/>
                <w:szCs w:val="18"/>
                <w:color w:val="auto"/>
              </w:rPr>
            </w:pPr>
          </w:p>
        </w:tc>
        <w:tc>
          <w:tcPr>
            <w:tcW w:w="1460" w:type="dxa"/>
            <w:vAlign w:val="bottom"/>
            <w:tcBorders>
              <w:bottom w:val="single" w:sz="8" w:color="E5E5E5"/>
            </w:tcBorders>
            <w:shd w:val="clear" w:color="auto" w:fill="E5E5E5"/>
          </w:tcPr>
          <w:p>
            <w:pPr>
              <w:spacing w:after="0"/>
              <w:rPr>
                <w:sz w:val="18"/>
                <w:szCs w:val="18"/>
                <w:color w:val="auto"/>
              </w:rPr>
            </w:pPr>
          </w:p>
        </w:tc>
        <w:tc>
          <w:tcPr>
            <w:tcW w:w="1500" w:type="dxa"/>
            <w:vAlign w:val="bottom"/>
            <w:tcBorders>
              <w:bottom w:val="single" w:sz="8" w:color="E5E5E5"/>
            </w:tcBorders>
            <w:shd w:val="clear" w:color="auto" w:fill="E5E5E5"/>
          </w:tcPr>
          <w:p>
            <w:pPr>
              <w:spacing w:after="0"/>
              <w:rPr>
                <w:sz w:val="18"/>
                <w:szCs w:val="18"/>
                <w:color w:val="auto"/>
              </w:rPr>
            </w:pPr>
          </w:p>
        </w:tc>
        <w:tc>
          <w:tcPr>
            <w:tcW w:w="154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Pr>
          <w:p>
            <w:pPr>
              <w:ind w:left="60"/>
              <w:spacing w:after="0"/>
              <w:rPr>
                <w:sz w:val="20"/>
                <w:szCs w:val="20"/>
                <w:color w:val="auto"/>
              </w:rPr>
            </w:pPr>
            <w:r>
              <w:rPr>
                <w:rFonts w:ascii="Arial" w:cs="Arial" w:eastAsia="Arial" w:hAnsi="Arial"/>
                <w:sz w:val="14"/>
                <w:szCs w:val="14"/>
                <w:b w:val="1"/>
                <w:bCs w:val="1"/>
                <w:color w:val="auto"/>
              </w:rPr>
              <w:t>Michael Goettler</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2023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350,000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886,326</w:t>
            </w:r>
          </w:p>
        </w:tc>
        <w:tc>
          <w:tcPr>
            <w:tcW w:w="15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8,607,384</w:t>
            </w:r>
          </w:p>
        </w:tc>
        <w:tc>
          <w:tcPr>
            <w:tcW w:w="1040" w:type="dxa"/>
            <w:vAlign w:val="bottom"/>
          </w:tcPr>
          <w:p>
            <w:pPr>
              <w:jc w:val="right"/>
              <w:spacing w:after="0"/>
              <w:rPr>
                <w:sz w:val="20"/>
                <w:szCs w:val="20"/>
                <w:color w:val="auto"/>
              </w:rPr>
            </w:pPr>
            <w:r>
              <w:rPr>
                <w:rFonts w:ascii="Arial" w:cs="Arial" w:eastAsia="Arial" w:hAnsi="Arial"/>
                <w:sz w:val="14"/>
                <w:szCs w:val="14"/>
                <w:color w:val="auto"/>
              </w:rPr>
              <w:t>9,843,710</w:t>
            </w:r>
          </w:p>
        </w:tc>
        <w:tc>
          <w:tcPr>
            <w:tcW w:w="0" w:type="dxa"/>
            <w:vAlign w:val="bottom"/>
          </w:tcPr>
          <w:p>
            <w:pPr>
              <w:spacing w:after="0"/>
              <w:rPr>
                <w:sz w:val="1"/>
                <w:szCs w:val="1"/>
                <w:color w:val="auto"/>
              </w:rPr>
            </w:pPr>
          </w:p>
        </w:tc>
      </w:tr>
      <w:tr>
        <w:trPr>
          <w:trHeight w:val="162"/>
        </w:trPr>
        <w:tc>
          <w:tcPr>
            <w:tcW w:w="1400" w:type="dxa"/>
            <w:vAlign w:val="bottom"/>
          </w:tcPr>
          <w:p>
            <w:pPr>
              <w:ind w:left="60"/>
              <w:spacing w:after="0"/>
              <w:rPr>
                <w:sz w:val="20"/>
                <w:szCs w:val="20"/>
                <w:color w:val="auto"/>
              </w:rPr>
            </w:pPr>
            <w:r>
              <w:rPr>
                <w:rFonts w:ascii="Arial" w:cs="Arial" w:eastAsia="Arial" w:hAnsi="Arial"/>
                <w:sz w:val="14"/>
                <w:szCs w:val="14"/>
                <w:i w:val="1"/>
                <w:iCs w:val="1"/>
                <w:color w:val="auto"/>
              </w:rPr>
              <w:t>Former Chief</w:t>
            </w: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1,300,000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9,100,001</w:t>
            </w:r>
          </w:p>
        </w:tc>
        <w:tc>
          <w:tcPr>
            <w:tcW w:w="7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3,639,285</w:t>
            </w:r>
          </w:p>
        </w:tc>
        <w:tc>
          <w:tcPr>
            <w:tcW w:w="15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308"/>
              <w:spacing w:after="0"/>
              <w:rPr>
                <w:sz w:val="20"/>
                <w:szCs w:val="20"/>
                <w:color w:val="auto"/>
              </w:rPr>
            </w:pPr>
            <w:r>
              <w:rPr>
                <w:rFonts w:ascii="Arial" w:cs="Arial" w:eastAsia="Arial" w:hAnsi="Arial"/>
                <w:sz w:val="14"/>
                <w:szCs w:val="14"/>
                <w:color w:val="auto"/>
              </w:rPr>
              <w:t>731,984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14,771,270</w:t>
            </w:r>
          </w:p>
        </w:tc>
        <w:tc>
          <w:tcPr>
            <w:tcW w:w="0" w:type="dxa"/>
            <w:vAlign w:val="bottom"/>
          </w:tcPr>
          <w:p>
            <w:pPr>
              <w:spacing w:after="0"/>
              <w:rPr>
                <w:sz w:val="1"/>
                <w:szCs w:val="1"/>
                <w:color w:val="auto"/>
              </w:rPr>
            </w:pPr>
          </w:p>
        </w:tc>
      </w:tr>
      <w:tr>
        <w:trPr>
          <w:trHeight w:val="80"/>
        </w:trPr>
        <w:tc>
          <w:tcPr>
            <w:tcW w:w="14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Executive Officer</w:t>
            </w:r>
          </w:p>
        </w:tc>
        <w:tc>
          <w:tcPr>
            <w:tcW w:w="78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2021</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1,300,000</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9,100,015</w:t>
            </w:r>
          </w:p>
        </w:tc>
        <w:tc>
          <w:tcPr>
            <w:tcW w:w="7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3,716,115</w:t>
            </w:r>
          </w:p>
        </w:tc>
        <w:tc>
          <w:tcPr>
            <w:tcW w:w="15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308"/>
              <w:spacing w:after="0"/>
              <w:rPr>
                <w:sz w:val="20"/>
                <w:szCs w:val="20"/>
                <w:color w:val="auto"/>
              </w:rPr>
            </w:pPr>
            <w:r>
              <w:rPr>
                <w:rFonts w:ascii="Arial" w:cs="Arial" w:eastAsia="Arial" w:hAnsi="Arial"/>
                <w:sz w:val="14"/>
                <w:szCs w:val="14"/>
                <w:color w:val="auto"/>
              </w:rPr>
              <w:t>663,440</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14,779,570</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4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Robert J. Coury</w:t>
            </w:r>
          </w:p>
        </w:tc>
        <w:tc>
          <w:tcPr>
            <w:tcW w:w="780" w:type="dxa"/>
            <w:vAlign w:val="bottom"/>
            <w:gridSpan w:val="2"/>
            <w:shd w:val="clear" w:color="auto" w:fill="E5E5E5"/>
          </w:tcPr>
          <w:p>
            <w:pPr>
              <w:ind w:left="280"/>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1,909,615</w:t>
            </w:r>
          </w:p>
        </w:tc>
        <w:tc>
          <w:tcPr>
            <w:tcW w:w="8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11,700,012</w:t>
            </w:r>
          </w:p>
        </w:tc>
        <w:tc>
          <w:tcPr>
            <w:tcW w:w="740" w:type="dxa"/>
            <w:vAlign w:val="bottom"/>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5,098,811</w:t>
            </w:r>
          </w:p>
        </w:tc>
        <w:tc>
          <w:tcPr>
            <w:tcW w:w="150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22,793,308</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41,501,746</w:t>
            </w:r>
          </w:p>
        </w:tc>
        <w:tc>
          <w:tcPr>
            <w:tcW w:w="0" w:type="dxa"/>
            <w:vAlign w:val="bottom"/>
          </w:tcPr>
          <w:p>
            <w:pPr>
              <w:spacing w:after="0"/>
              <w:rPr>
                <w:sz w:val="1"/>
                <w:szCs w:val="1"/>
                <w:color w:val="auto"/>
              </w:rPr>
            </w:pPr>
          </w:p>
        </w:tc>
      </w:tr>
      <w:tr>
        <w:trPr>
          <w:trHeight w:val="162"/>
        </w:trPr>
        <w:tc>
          <w:tcPr>
            <w:tcW w:w="1400" w:type="dxa"/>
            <w:vAlign w:val="bottom"/>
            <w:shd w:val="clear" w:color="auto" w:fill="E5E5E5"/>
          </w:tcPr>
          <w:p>
            <w:pPr>
              <w:ind w:left="60"/>
              <w:spacing w:after="0"/>
              <w:rPr>
                <w:sz w:val="20"/>
                <w:szCs w:val="20"/>
                <w:color w:val="auto"/>
              </w:rPr>
            </w:pPr>
            <w:r>
              <w:rPr>
                <w:rFonts w:ascii="Arial" w:cs="Arial" w:eastAsia="Arial" w:hAnsi="Arial"/>
                <w:sz w:val="14"/>
                <w:szCs w:val="14"/>
                <w:i w:val="1"/>
                <w:iCs w:val="1"/>
                <w:color w:val="auto"/>
              </w:rPr>
              <w:t>Former Executive</w:t>
            </w:r>
          </w:p>
        </w:tc>
        <w:tc>
          <w:tcPr>
            <w:tcW w:w="240" w:type="dxa"/>
            <w:vAlign w:val="bottom"/>
            <w:shd w:val="clear" w:color="auto" w:fill="E5E5E5"/>
          </w:tcPr>
          <w:p>
            <w:pPr>
              <w:spacing w:after="0"/>
              <w:rPr>
                <w:sz w:val="14"/>
                <w:szCs w:val="14"/>
                <w:color w:val="auto"/>
              </w:rPr>
            </w:pPr>
          </w:p>
        </w:tc>
        <w:tc>
          <w:tcPr>
            <w:tcW w:w="54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2022</w:t>
            </w:r>
          </w:p>
        </w:tc>
        <w:tc>
          <w:tcPr>
            <w:tcW w:w="8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1,800,000</w:t>
            </w:r>
          </w:p>
        </w:tc>
        <w:tc>
          <w:tcPr>
            <w:tcW w:w="8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10,800,015</w:t>
            </w:r>
          </w:p>
        </w:tc>
        <w:tc>
          <w:tcPr>
            <w:tcW w:w="740" w:type="dxa"/>
            <w:vAlign w:val="bottom"/>
            <w:vMerge w:val="restart"/>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E5E5E5"/>
          </w:tcPr>
          <w:p>
            <w:pPr>
              <w:jc w:val="right"/>
              <w:ind w:right="328"/>
              <w:spacing w:after="0"/>
              <w:rPr>
                <w:sz w:val="20"/>
                <w:szCs w:val="20"/>
                <w:color w:val="auto"/>
              </w:rPr>
            </w:pPr>
            <w:r>
              <w:rPr>
                <w:rFonts w:ascii="Arial" w:cs="Arial" w:eastAsia="Arial" w:hAnsi="Arial"/>
                <w:sz w:val="14"/>
                <w:szCs w:val="14"/>
                <w:color w:val="auto"/>
              </w:rPr>
              <w:t>5,039,010</w:t>
            </w:r>
          </w:p>
        </w:tc>
        <w:tc>
          <w:tcPr>
            <w:tcW w:w="1500" w:type="dxa"/>
            <w:vAlign w:val="bottom"/>
            <w:vMerge w:val="restart"/>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E5E5E5"/>
          </w:tcPr>
          <w:p>
            <w:pPr>
              <w:jc w:val="right"/>
              <w:ind w:right="308"/>
              <w:spacing w:after="0"/>
              <w:rPr>
                <w:sz w:val="20"/>
                <w:szCs w:val="20"/>
                <w:color w:val="auto"/>
              </w:rPr>
            </w:pPr>
            <w:r>
              <w:rPr>
                <w:rFonts w:ascii="Arial" w:cs="Arial" w:eastAsia="Arial" w:hAnsi="Arial"/>
                <w:sz w:val="14"/>
                <w:szCs w:val="14"/>
                <w:color w:val="auto"/>
              </w:rPr>
              <w:t>859,620</w:t>
            </w:r>
          </w:p>
        </w:tc>
        <w:tc>
          <w:tcPr>
            <w:tcW w:w="10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18,498,645</w:t>
            </w:r>
          </w:p>
        </w:tc>
        <w:tc>
          <w:tcPr>
            <w:tcW w:w="0" w:type="dxa"/>
            <w:vAlign w:val="bottom"/>
          </w:tcPr>
          <w:p>
            <w:pPr>
              <w:spacing w:after="0"/>
              <w:rPr>
                <w:sz w:val="1"/>
                <w:szCs w:val="1"/>
                <w:color w:val="auto"/>
              </w:rPr>
            </w:pPr>
          </w:p>
        </w:tc>
      </w:tr>
      <w:tr>
        <w:trPr>
          <w:trHeight w:val="80"/>
        </w:trPr>
        <w:tc>
          <w:tcPr>
            <w:tcW w:w="1400" w:type="dxa"/>
            <w:vAlign w:val="bottom"/>
            <w:vMerge w:val="restart"/>
            <w:shd w:val="clear" w:color="auto" w:fill="E5E5E5"/>
          </w:tcPr>
          <w:p>
            <w:pPr>
              <w:ind w:left="60"/>
              <w:spacing w:after="0"/>
              <w:rPr>
                <w:sz w:val="20"/>
                <w:szCs w:val="20"/>
                <w:color w:val="auto"/>
              </w:rPr>
            </w:pPr>
            <w:r>
              <w:rPr>
                <w:rFonts w:ascii="Arial" w:cs="Arial" w:eastAsia="Arial" w:hAnsi="Arial"/>
                <w:sz w:val="14"/>
                <w:szCs w:val="14"/>
                <w:i w:val="1"/>
                <w:iCs w:val="1"/>
                <w:color w:val="auto"/>
              </w:rPr>
              <w:t>Chairman</w:t>
            </w:r>
          </w:p>
        </w:tc>
        <w:tc>
          <w:tcPr>
            <w:tcW w:w="240" w:type="dxa"/>
            <w:vAlign w:val="bottom"/>
            <w:shd w:val="clear" w:color="auto" w:fill="E5E5E5"/>
          </w:tcPr>
          <w:p>
            <w:pPr>
              <w:spacing w:after="0"/>
              <w:rPr>
                <w:sz w:val="6"/>
                <w:szCs w:val="6"/>
                <w:color w:val="auto"/>
              </w:rPr>
            </w:pPr>
          </w:p>
        </w:tc>
        <w:tc>
          <w:tcPr>
            <w:tcW w:w="540" w:type="dxa"/>
            <w:vAlign w:val="bottom"/>
            <w:vMerge w:val="continue"/>
            <w:shd w:val="clear" w:color="auto" w:fill="E5E5E5"/>
          </w:tcPr>
          <w:p>
            <w:pPr>
              <w:spacing w:after="0"/>
              <w:rPr>
                <w:sz w:val="6"/>
                <w:szCs w:val="6"/>
                <w:color w:val="auto"/>
              </w:rPr>
            </w:pPr>
          </w:p>
        </w:tc>
        <w:tc>
          <w:tcPr>
            <w:tcW w:w="880" w:type="dxa"/>
            <w:vAlign w:val="bottom"/>
            <w:vMerge w:val="continue"/>
            <w:shd w:val="clear" w:color="auto" w:fill="E5E5E5"/>
          </w:tcPr>
          <w:p>
            <w:pPr>
              <w:spacing w:after="0"/>
              <w:rPr>
                <w:sz w:val="6"/>
                <w:szCs w:val="6"/>
                <w:color w:val="auto"/>
              </w:rPr>
            </w:pPr>
          </w:p>
        </w:tc>
        <w:tc>
          <w:tcPr>
            <w:tcW w:w="860" w:type="dxa"/>
            <w:vAlign w:val="bottom"/>
            <w:vMerge w:val="continue"/>
            <w:shd w:val="clear" w:color="auto" w:fill="E5E5E5"/>
          </w:tcPr>
          <w:p>
            <w:pPr>
              <w:spacing w:after="0"/>
              <w:rPr>
                <w:sz w:val="6"/>
                <w:szCs w:val="6"/>
                <w:color w:val="auto"/>
              </w:rPr>
            </w:pPr>
          </w:p>
        </w:tc>
        <w:tc>
          <w:tcPr>
            <w:tcW w:w="820" w:type="dxa"/>
            <w:vAlign w:val="bottom"/>
            <w:vMerge w:val="continue"/>
            <w:shd w:val="clear" w:color="auto" w:fill="E5E5E5"/>
          </w:tcPr>
          <w:p>
            <w:pPr>
              <w:spacing w:after="0"/>
              <w:rPr>
                <w:sz w:val="6"/>
                <w:szCs w:val="6"/>
                <w:color w:val="auto"/>
              </w:rPr>
            </w:pPr>
          </w:p>
        </w:tc>
        <w:tc>
          <w:tcPr>
            <w:tcW w:w="740" w:type="dxa"/>
            <w:vAlign w:val="bottom"/>
            <w:vMerge w:val="continue"/>
            <w:shd w:val="clear" w:color="auto" w:fill="E5E5E5"/>
          </w:tcPr>
          <w:p>
            <w:pPr>
              <w:spacing w:after="0"/>
              <w:rPr>
                <w:sz w:val="6"/>
                <w:szCs w:val="6"/>
                <w:color w:val="auto"/>
              </w:rPr>
            </w:pPr>
          </w:p>
        </w:tc>
        <w:tc>
          <w:tcPr>
            <w:tcW w:w="1460" w:type="dxa"/>
            <w:vAlign w:val="bottom"/>
            <w:vMerge w:val="continue"/>
            <w:shd w:val="clear" w:color="auto" w:fill="E5E5E5"/>
          </w:tcPr>
          <w:p>
            <w:pPr>
              <w:spacing w:after="0"/>
              <w:rPr>
                <w:sz w:val="6"/>
                <w:szCs w:val="6"/>
                <w:color w:val="auto"/>
              </w:rPr>
            </w:pPr>
          </w:p>
        </w:tc>
        <w:tc>
          <w:tcPr>
            <w:tcW w:w="1500" w:type="dxa"/>
            <w:vAlign w:val="bottom"/>
            <w:vMerge w:val="continue"/>
            <w:shd w:val="clear" w:color="auto" w:fill="E5E5E5"/>
          </w:tcPr>
          <w:p>
            <w:pPr>
              <w:spacing w:after="0"/>
              <w:rPr>
                <w:sz w:val="6"/>
                <w:szCs w:val="6"/>
                <w:color w:val="auto"/>
              </w:rPr>
            </w:pPr>
          </w:p>
        </w:tc>
        <w:tc>
          <w:tcPr>
            <w:tcW w:w="1540" w:type="dxa"/>
            <w:vAlign w:val="bottom"/>
            <w:vMerge w:val="continue"/>
            <w:shd w:val="clear" w:color="auto" w:fill="E5E5E5"/>
          </w:tcPr>
          <w:p>
            <w:pPr>
              <w:spacing w:after="0"/>
              <w:rPr>
                <w:sz w:val="6"/>
                <w:szCs w:val="6"/>
                <w:color w:val="auto"/>
              </w:rPr>
            </w:pPr>
          </w:p>
        </w:tc>
        <w:tc>
          <w:tcPr>
            <w:tcW w:w="104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shd w:val="clear" w:color="auto" w:fill="E5E5E5"/>
          </w:tcPr>
          <w:p>
            <w:pPr>
              <w:spacing w:after="0"/>
              <w:rPr>
                <w:sz w:val="9"/>
                <w:szCs w:val="9"/>
                <w:color w:val="auto"/>
              </w:rPr>
            </w:pPr>
          </w:p>
        </w:tc>
        <w:tc>
          <w:tcPr>
            <w:tcW w:w="240" w:type="dxa"/>
            <w:vAlign w:val="bottom"/>
            <w:shd w:val="clear" w:color="auto" w:fill="E5E5E5"/>
          </w:tcPr>
          <w:p>
            <w:pPr>
              <w:spacing w:after="0"/>
              <w:rPr>
                <w:sz w:val="9"/>
                <w:szCs w:val="9"/>
                <w:color w:val="auto"/>
              </w:rPr>
            </w:pPr>
          </w:p>
        </w:tc>
        <w:tc>
          <w:tcPr>
            <w:tcW w:w="540" w:type="dxa"/>
            <w:vAlign w:val="bottom"/>
            <w:vMerge w:val="restart"/>
            <w:shd w:val="clear" w:color="auto" w:fill="E5E5E5"/>
          </w:tcPr>
          <w:p>
            <w:pPr>
              <w:ind w:left="40"/>
              <w:spacing w:after="0"/>
              <w:rPr>
                <w:sz w:val="20"/>
                <w:szCs w:val="20"/>
                <w:color w:val="auto"/>
              </w:rPr>
            </w:pPr>
            <w:r>
              <w:rPr>
                <w:rFonts w:ascii="Arial" w:cs="Arial" w:eastAsia="Arial" w:hAnsi="Arial"/>
                <w:sz w:val="14"/>
                <w:szCs w:val="14"/>
                <w:color w:val="auto"/>
              </w:rPr>
              <w:t>2021</w:t>
            </w:r>
          </w:p>
        </w:tc>
        <w:tc>
          <w:tcPr>
            <w:tcW w:w="88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1,800,000</w:t>
            </w:r>
          </w:p>
        </w:tc>
        <w:tc>
          <w:tcPr>
            <w:tcW w:w="860" w:type="dxa"/>
            <w:vAlign w:val="bottom"/>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10,800,010</w:t>
            </w:r>
          </w:p>
        </w:tc>
        <w:tc>
          <w:tcPr>
            <w:tcW w:w="740" w:type="dxa"/>
            <w:vAlign w:val="bottom"/>
            <w:vMerge w:val="restart"/>
            <w:shd w:val="clear" w:color="auto" w:fill="E5E5E5"/>
          </w:tcPr>
          <w:p>
            <w:pPr>
              <w:ind w:left="26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E5E5E5"/>
          </w:tcPr>
          <w:p>
            <w:pPr>
              <w:jc w:val="right"/>
              <w:ind w:right="328"/>
              <w:spacing w:after="0"/>
              <w:rPr>
                <w:sz w:val="20"/>
                <w:szCs w:val="20"/>
                <w:color w:val="auto"/>
              </w:rPr>
            </w:pPr>
            <w:r>
              <w:rPr>
                <w:rFonts w:ascii="Arial" w:cs="Arial" w:eastAsia="Arial" w:hAnsi="Arial"/>
                <w:sz w:val="14"/>
                <w:szCs w:val="14"/>
                <w:color w:val="auto"/>
              </w:rPr>
              <w:t>5,145,390</w:t>
            </w:r>
          </w:p>
        </w:tc>
        <w:tc>
          <w:tcPr>
            <w:tcW w:w="1500" w:type="dxa"/>
            <w:vAlign w:val="bottom"/>
            <w:vMerge w:val="restart"/>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E5E5E5"/>
          </w:tcPr>
          <w:p>
            <w:pPr>
              <w:jc w:val="right"/>
              <w:ind w:right="308"/>
              <w:spacing w:after="0"/>
              <w:rPr>
                <w:sz w:val="20"/>
                <w:szCs w:val="20"/>
                <w:color w:val="auto"/>
              </w:rPr>
            </w:pPr>
            <w:r>
              <w:rPr>
                <w:rFonts w:ascii="Arial" w:cs="Arial" w:eastAsia="Arial" w:hAnsi="Arial"/>
                <w:sz w:val="14"/>
                <w:szCs w:val="14"/>
                <w:color w:val="auto"/>
              </w:rPr>
              <w:t>806,678</w:t>
            </w:r>
          </w:p>
        </w:tc>
        <w:tc>
          <w:tcPr>
            <w:tcW w:w="10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18,552,078</w:t>
            </w:r>
          </w:p>
        </w:tc>
        <w:tc>
          <w:tcPr>
            <w:tcW w:w="0" w:type="dxa"/>
            <w:vAlign w:val="bottom"/>
          </w:tcPr>
          <w:p>
            <w:pPr>
              <w:spacing w:after="0"/>
              <w:rPr>
                <w:sz w:val="1"/>
                <w:szCs w:val="1"/>
                <w:color w:val="auto"/>
              </w:rPr>
            </w:pPr>
          </w:p>
        </w:tc>
      </w:tr>
      <w:tr>
        <w:trPr>
          <w:trHeight w:val="123"/>
        </w:trPr>
        <w:tc>
          <w:tcPr>
            <w:tcW w:w="1400" w:type="dxa"/>
            <w:vAlign w:val="bottom"/>
            <w:tcBorders>
              <w:bottom w:val="single" w:sz="8" w:color="E5E5E5"/>
            </w:tcBorders>
            <w:shd w:val="clear" w:color="auto" w:fill="E5E5E5"/>
          </w:tcPr>
          <w:p>
            <w:pPr>
              <w:spacing w:after="0"/>
              <w:rPr>
                <w:sz w:val="10"/>
                <w:szCs w:val="10"/>
                <w:color w:val="auto"/>
              </w:rPr>
            </w:pPr>
          </w:p>
        </w:tc>
        <w:tc>
          <w:tcPr>
            <w:tcW w:w="240" w:type="dxa"/>
            <w:vAlign w:val="bottom"/>
            <w:tcBorders>
              <w:bottom w:val="single" w:sz="8" w:color="E5E5E5"/>
            </w:tcBorders>
            <w:shd w:val="clear" w:color="auto" w:fill="E5E5E5"/>
          </w:tcPr>
          <w:p>
            <w:pPr>
              <w:spacing w:after="0"/>
              <w:rPr>
                <w:sz w:val="10"/>
                <w:szCs w:val="10"/>
                <w:color w:val="auto"/>
              </w:rPr>
            </w:pPr>
          </w:p>
        </w:tc>
        <w:tc>
          <w:tcPr>
            <w:tcW w:w="540" w:type="dxa"/>
            <w:vAlign w:val="bottom"/>
            <w:tcBorders>
              <w:bottom w:val="single" w:sz="8" w:color="E5E5E5"/>
            </w:tcBorders>
            <w:vMerge w:val="continue"/>
            <w:shd w:val="clear" w:color="auto" w:fill="E5E5E5"/>
          </w:tcPr>
          <w:p>
            <w:pPr>
              <w:spacing w:after="0"/>
              <w:rPr>
                <w:sz w:val="10"/>
                <w:szCs w:val="10"/>
                <w:color w:val="auto"/>
              </w:rPr>
            </w:pPr>
          </w:p>
        </w:tc>
        <w:tc>
          <w:tcPr>
            <w:tcW w:w="880" w:type="dxa"/>
            <w:vAlign w:val="bottom"/>
            <w:tcBorders>
              <w:bottom w:val="single" w:sz="8" w:color="E5E5E5"/>
            </w:tcBorders>
            <w:vMerge w:val="continue"/>
            <w:shd w:val="clear" w:color="auto" w:fill="E5E5E5"/>
          </w:tcPr>
          <w:p>
            <w:pPr>
              <w:spacing w:after="0"/>
              <w:rPr>
                <w:sz w:val="10"/>
                <w:szCs w:val="10"/>
                <w:color w:val="auto"/>
              </w:rPr>
            </w:pPr>
          </w:p>
        </w:tc>
        <w:tc>
          <w:tcPr>
            <w:tcW w:w="860" w:type="dxa"/>
            <w:vAlign w:val="bottom"/>
            <w:tcBorders>
              <w:bottom w:val="single" w:sz="8" w:color="E5E5E5"/>
            </w:tcBorders>
            <w:vMerge w:val="continue"/>
            <w:shd w:val="clear" w:color="auto" w:fill="E5E5E5"/>
          </w:tcPr>
          <w:p>
            <w:pPr>
              <w:spacing w:after="0"/>
              <w:rPr>
                <w:sz w:val="10"/>
                <w:szCs w:val="10"/>
                <w:color w:val="auto"/>
              </w:rPr>
            </w:pPr>
          </w:p>
        </w:tc>
        <w:tc>
          <w:tcPr>
            <w:tcW w:w="820" w:type="dxa"/>
            <w:vAlign w:val="bottom"/>
            <w:tcBorders>
              <w:bottom w:val="single" w:sz="8" w:color="E5E5E5"/>
            </w:tcBorders>
            <w:vMerge w:val="continue"/>
            <w:shd w:val="clear" w:color="auto" w:fill="E5E5E5"/>
          </w:tcPr>
          <w:p>
            <w:pPr>
              <w:spacing w:after="0"/>
              <w:rPr>
                <w:sz w:val="10"/>
                <w:szCs w:val="10"/>
                <w:color w:val="auto"/>
              </w:rPr>
            </w:pPr>
          </w:p>
        </w:tc>
        <w:tc>
          <w:tcPr>
            <w:tcW w:w="740" w:type="dxa"/>
            <w:vAlign w:val="bottom"/>
            <w:tcBorders>
              <w:bottom w:val="single" w:sz="8" w:color="E5E5E5"/>
            </w:tcBorders>
            <w:vMerge w:val="continue"/>
            <w:shd w:val="clear" w:color="auto" w:fill="E5E5E5"/>
          </w:tcPr>
          <w:p>
            <w:pPr>
              <w:spacing w:after="0"/>
              <w:rPr>
                <w:sz w:val="10"/>
                <w:szCs w:val="10"/>
                <w:color w:val="auto"/>
              </w:rPr>
            </w:pPr>
          </w:p>
        </w:tc>
        <w:tc>
          <w:tcPr>
            <w:tcW w:w="1460" w:type="dxa"/>
            <w:vAlign w:val="bottom"/>
            <w:tcBorders>
              <w:bottom w:val="single" w:sz="8" w:color="E5E5E5"/>
            </w:tcBorders>
            <w:vMerge w:val="continue"/>
            <w:shd w:val="clear" w:color="auto" w:fill="E5E5E5"/>
          </w:tcPr>
          <w:p>
            <w:pPr>
              <w:spacing w:after="0"/>
              <w:rPr>
                <w:sz w:val="10"/>
                <w:szCs w:val="10"/>
                <w:color w:val="auto"/>
              </w:rPr>
            </w:pPr>
          </w:p>
        </w:tc>
        <w:tc>
          <w:tcPr>
            <w:tcW w:w="1500" w:type="dxa"/>
            <w:vAlign w:val="bottom"/>
            <w:tcBorders>
              <w:bottom w:val="single" w:sz="8" w:color="E5E5E5"/>
            </w:tcBorders>
            <w:vMerge w:val="continue"/>
            <w:shd w:val="clear" w:color="auto" w:fill="E5E5E5"/>
          </w:tcPr>
          <w:p>
            <w:pPr>
              <w:spacing w:after="0"/>
              <w:rPr>
                <w:sz w:val="10"/>
                <w:szCs w:val="10"/>
                <w:color w:val="auto"/>
              </w:rPr>
            </w:pPr>
          </w:p>
        </w:tc>
        <w:tc>
          <w:tcPr>
            <w:tcW w:w="1540" w:type="dxa"/>
            <w:vAlign w:val="bottom"/>
            <w:tcBorders>
              <w:bottom w:val="single" w:sz="8" w:color="E5E5E5"/>
            </w:tcBorders>
            <w:vMerge w:val="continue"/>
            <w:shd w:val="clear" w:color="auto" w:fill="E5E5E5"/>
          </w:tcPr>
          <w:p>
            <w:pPr>
              <w:spacing w:after="0"/>
              <w:rPr>
                <w:sz w:val="10"/>
                <w:szCs w:val="10"/>
                <w:color w:val="auto"/>
              </w:rPr>
            </w:pPr>
          </w:p>
        </w:tc>
        <w:tc>
          <w:tcPr>
            <w:tcW w:w="1040" w:type="dxa"/>
            <w:vAlign w:val="bottom"/>
            <w:tcBorders>
              <w:bottom w:val="single" w:sz="8" w:color="E5E5E5"/>
            </w:tcBorders>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732282"/>
          </w:tcPr>
          <w:p>
            <w:pPr>
              <w:spacing w:after="0" w:line="20" w:lineRule="exact"/>
              <w:rPr>
                <w:sz w:val="1"/>
                <w:szCs w:val="1"/>
                <w:color w:val="auto"/>
              </w:rPr>
            </w:pPr>
          </w:p>
        </w:tc>
        <w:tc>
          <w:tcPr>
            <w:tcW w:w="240" w:type="dxa"/>
            <w:vAlign w:val="bottom"/>
            <w:shd w:val="clear" w:color="auto" w:fill="732282"/>
          </w:tcPr>
          <w:p>
            <w:pPr>
              <w:spacing w:after="0" w:line="20" w:lineRule="exact"/>
              <w:rPr>
                <w:sz w:val="1"/>
                <w:szCs w:val="1"/>
                <w:color w:val="auto"/>
              </w:rPr>
            </w:pPr>
          </w:p>
        </w:tc>
        <w:tc>
          <w:tcPr>
            <w:tcW w:w="540" w:type="dxa"/>
            <w:vAlign w:val="bottom"/>
            <w:shd w:val="clear" w:color="auto" w:fill="732282"/>
          </w:tcPr>
          <w:p>
            <w:pPr>
              <w:spacing w:after="0" w:line="20" w:lineRule="exact"/>
              <w:rPr>
                <w:sz w:val="1"/>
                <w:szCs w:val="1"/>
                <w:color w:val="auto"/>
              </w:rPr>
            </w:pPr>
          </w:p>
        </w:tc>
        <w:tc>
          <w:tcPr>
            <w:tcW w:w="880" w:type="dxa"/>
            <w:vAlign w:val="bottom"/>
            <w:shd w:val="clear" w:color="auto" w:fill="732282"/>
          </w:tcPr>
          <w:p>
            <w:pPr>
              <w:spacing w:after="0" w:line="20" w:lineRule="exact"/>
              <w:rPr>
                <w:sz w:val="1"/>
                <w:szCs w:val="1"/>
                <w:color w:val="auto"/>
              </w:rPr>
            </w:pPr>
          </w:p>
        </w:tc>
        <w:tc>
          <w:tcPr>
            <w:tcW w:w="86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c>
          <w:tcPr>
            <w:tcW w:w="1500" w:type="dxa"/>
            <w:vAlign w:val="bottom"/>
            <w:shd w:val="clear" w:color="auto" w:fill="732282"/>
          </w:tcPr>
          <w:p>
            <w:pPr>
              <w:spacing w:after="0" w:line="20" w:lineRule="exact"/>
              <w:rPr>
                <w:sz w:val="1"/>
                <w:szCs w:val="1"/>
                <w:color w:val="auto"/>
              </w:rPr>
            </w:pPr>
          </w:p>
        </w:tc>
        <w:tc>
          <w:tcPr>
            <w:tcW w:w="1540" w:type="dxa"/>
            <w:vAlign w:val="bottom"/>
            <w:shd w:val="clear" w:color="auto" w:fill="732282"/>
          </w:tcPr>
          <w:p>
            <w:pPr>
              <w:spacing w:after="0" w:line="20" w:lineRule="exact"/>
              <w:rPr>
                <w:sz w:val="1"/>
                <w:szCs w:val="1"/>
                <w:color w:val="auto"/>
              </w:rPr>
            </w:pPr>
          </w:p>
        </w:tc>
        <w:tc>
          <w:tcPr>
            <w:tcW w:w="104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80" w:hanging="424"/>
        <w:spacing w:after="0" w:line="253"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Represents the base salary actually paid to the NEO in 2023, 2022, and 2021. For Mr. Smith, the amount reflects salary received commencing with his April 1, 2023 hire date. For Messrs. Goettler and Coury, the amount reflects salary received up until their last day of employment, which was April 1, 2023 and December 15, 2023, respectively.</w:t>
      </w:r>
    </w:p>
    <w:p>
      <w:pPr>
        <w:spacing w:after="0" w:line="1" w:lineRule="exact"/>
        <w:rPr>
          <w:rFonts w:ascii="Arial" w:cs="Arial" w:eastAsia="Arial" w:hAnsi="Arial"/>
          <w:sz w:val="16"/>
          <w:szCs w:val="16"/>
          <w:color w:val="3F3F3F"/>
        </w:rPr>
      </w:pPr>
    </w:p>
    <w:p>
      <w:pPr>
        <w:jc w:val="both"/>
        <w:ind w:left="540" w:right="80" w:hanging="424"/>
        <w:spacing w:after="0" w:line="246"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In connection with the Combination in 2020, Messrs. Malik and Mauro were each granted a retention bonus (equal to $10,950,000 and $6,553,800, respectively), which became payable in 2022 upon the two-year anniversary of the Combination, subject to Messrs. Malik’s and Mauro’s continued employment through such date. Consistent with our engagement with shareholders, the Compensation Committee has determined that it does not intend to issue new cash-based retention awards for NEOs except in extraordinary situations or in connection with new hires.</w:t>
      </w:r>
    </w:p>
    <w:p>
      <w:pPr>
        <w:spacing w:after="0" w:line="1" w:lineRule="exact"/>
        <w:rPr>
          <w:rFonts w:ascii="Arial" w:cs="Arial" w:eastAsia="Arial" w:hAnsi="Arial"/>
          <w:sz w:val="16"/>
          <w:szCs w:val="16"/>
          <w:color w:val="3F3F3F"/>
        </w:rPr>
      </w:pPr>
    </w:p>
    <w:p>
      <w:pPr>
        <w:ind w:left="540" w:right="180" w:hanging="424"/>
        <w:spacing w:after="0" w:line="246"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Represents the grant date fair value of the long-term incentive awards granted to the NEO in 2023, 2022 and 2021, as applicable. The grant date fair value of PRSUs for 2023 is based on the target value and is as follows: Messrs. Smith ($7,280,002), Narula ($2,405,004), Malik ($5,070,004), Mauro ($2,236,006), Roman ($1,040,009), and Coury ($7,605,007). If the maximum achievement of performance goals had been assumed, the grant date fair value of the PRSUs for 2023 would have been as follows: Messrs. Smith ($14,196,013), Narula ($4,689,759), Malik ($9,886,512), Mauro ($4,360,222), Roman ($2,028,020), and Coury ($14,829,768). For information regarding assumptions used in determining the expense of such awards, please refer to Note 14 to the Company’s Consolidated Financial Statements contained in the Form 10-K.</w:t>
      </w:r>
    </w:p>
    <w:p>
      <w:pPr>
        <w:spacing w:after="0" w:line="2" w:lineRule="exact"/>
        <w:rPr>
          <w:rFonts w:ascii="Arial" w:cs="Arial" w:eastAsia="Arial" w:hAnsi="Arial"/>
          <w:sz w:val="16"/>
          <w:szCs w:val="16"/>
          <w:color w:val="3F3F3F"/>
        </w:rPr>
      </w:pPr>
    </w:p>
    <w:p>
      <w:pPr>
        <w:ind w:left="540" w:right="660" w:hanging="424"/>
        <w:spacing w:after="0" w:line="265" w:lineRule="auto"/>
        <w:tabs>
          <w:tab w:leader="none" w:pos="540" w:val="left"/>
        </w:tabs>
        <w:numPr>
          <w:ilvl w:val="0"/>
          <w:numId w:val="51"/>
        </w:numPr>
        <w:rPr>
          <w:rFonts w:ascii="Arial" w:cs="Arial" w:eastAsia="Arial" w:hAnsi="Arial"/>
          <w:sz w:val="16"/>
          <w:szCs w:val="16"/>
          <w:color w:val="3F3F3F"/>
        </w:rPr>
      </w:pPr>
      <w:r>
        <w:rPr>
          <w:rFonts w:ascii="Arial" w:cs="Arial" w:eastAsia="Arial" w:hAnsi="Arial"/>
          <w:sz w:val="16"/>
          <w:szCs w:val="16"/>
          <w:color w:val="3F3F3F"/>
        </w:rPr>
        <w:t>Represents amounts paid under the Company’s annual short-term incentive plan. For a discussion of this plan, see “2023 Annual Incentive Compensation Program” on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540" w:right="40" w:hanging="424"/>
        <w:spacing w:after="0" w:line="286" w:lineRule="auto"/>
        <w:tabs>
          <w:tab w:leader="none" w:pos="540" w:val="left"/>
        </w:tabs>
        <w:numPr>
          <w:ilvl w:val="0"/>
          <w:numId w:val="52"/>
        </w:numPr>
        <w:rPr>
          <w:rFonts w:ascii="Arial" w:cs="Arial" w:eastAsia="Arial" w:hAnsi="Arial"/>
          <w:sz w:val="16"/>
          <w:szCs w:val="16"/>
          <w:color w:val="3F3F3F"/>
        </w:rPr>
      </w:pPr>
      <w:r>
        <w:rPr>
          <w:rFonts w:ascii="Arial" w:cs="Arial" w:eastAsia="Arial" w:hAnsi="Arial"/>
          <w:sz w:val="16"/>
          <w:szCs w:val="16"/>
          <w:color w:val="3F3F3F"/>
        </w:rPr>
        <w:t>Amounts shown in this column are detailed in the following chart. All separation benefits paid to Messrs. Goettler and Coury were required pursuant to the existing terms of their contractual agreements, which were previously disclosed and subject to prior Say-on-Pay votes.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920" w:type="dxa"/>
            <w:vAlign w:val="bottom"/>
            <w:shd w:val="clear" w:color="auto" w:fill="732282"/>
          </w:tcPr>
          <w:p>
            <w:pPr>
              <w:spacing w:after="0"/>
              <w:rPr>
                <w:sz w:val="18"/>
                <w:szCs w:val="18"/>
                <w:color w:val="auto"/>
              </w:rPr>
            </w:pPr>
          </w:p>
        </w:tc>
        <w:tc>
          <w:tcPr>
            <w:tcW w:w="600" w:type="dxa"/>
            <w:vAlign w:val="bottom"/>
            <w:shd w:val="clear" w:color="auto" w:fill="732282"/>
          </w:tcPr>
          <w:p>
            <w:pPr>
              <w:spacing w:after="0"/>
              <w:rPr>
                <w:sz w:val="18"/>
                <w:szCs w:val="18"/>
                <w:color w:val="auto"/>
              </w:rPr>
            </w:pPr>
          </w:p>
        </w:tc>
        <w:tc>
          <w:tcPr>
            <w:tcW w:w="1080" w:type="dxa"/>
            <w:vAlign w:val="bottom"/>
            <w:shd w:val="clear" w:color="auto" w:fill="732282"/>
          </w:tcPr>
          <w:p>
            <w:pPr>
              <w:spacing w:after="0"/>
              <w:rPr>
                <w:sz w:val="18"/>
                <w:szCs w:val="18"/>
                <w:color w:val="auto"/>
              </w:rPr>
            </w:pPr>
          </w:p>
        </w:tc>
        <w:tc>
          <w:tcPr>
            <w:tcW w:w="1220" w:type="dxa"/>
            <w:vAlign w:val="bottom"/>
            <w:shd w:val="clear" w:color="auto" w:fill="732282"/>
          </w:tcPr>
          <w:p>
            <w:pPr>
              <w:spacing w:after="0"/>
              <w:rPr>
                <w:sz w:val="18"/>
                <w:szCs w:val="18"/>
                <w:color w:val="auto"/>
              </w:rPr>
            </w:pPr>
          </w:p>
        </w:tc>
        <w:tc>
          <w:tcPr>
            <w:tcW w:w="1380" w:type="dxa"/>
            <w:vAlign w:val="bottom"/>
            <w:shd w:val="clear" w:color="auto" w:fill="732282"/>
          </w:tcPr>
          <w:p>
            <w:pPr>
              <w:spacing w:after="0"/>
              <w:rPr>
                <w:sz w:val="18"/>
                <w:szCs w:val="18"/>
                <w:color w:val="auto"/>
              </w:rPr>
            </w:pPr>
          </w:p>
        </w:tc>
        <w:tc>
          <w:tcPr>
            <w:tcW w:w="1560" w:type="dxa"/>
            <w:vAlign w:val="bottom"/>
            <w:shd w:val="clear" w:color="auto" w:fill="732282"/>
          </w:tcPr>
          <w:p>
            <w:pPr>
              <w:jc w:val="center"/>
              <w:spacing w:after="0"/>
              <w:rPr>
                <w:sz w:val="20"/>
                <w:szCs w:val="20"/>
                <w:color w:val="auto"/>
              </w:rPr>
            </w:pPr>
            <w:r>
              <w:rPr>
                <w:rFonts w:ascii="Arial" w:cs="Arial" w:eastAsia="Arial" w:hAnsi="Arial"/>
                <w:sz w:val="15"/>
                <w:szCs w:val="15"/>
                <w:b w:val="1"/>
                <w:bCs w:val="1"/>
                <w:color w:val="FFFFFF"/>
              </w:rPr>
              <w:t>401(k) and</w:t>
            </w:r>
          </w:p>
        </w:tc>
        <w:tc>
          <w:tcPr>
            <w:tcW w:w="1480" w:type="dxa"/>
            <w:vAlign w:val="bottom"/>
            <w:shd w:val="clear" w:color="auto" w:fill="732282"/>
          </w:tcPr>
          <w:p>
            <w:pPr>
              <w:spacing w:after="0"/>
              <w:rPr>
                <w:sz w:val="18"/>
                <w:szCs w:val="18"/>
                <w:color w:val="auto"/>
              </w:rPr>
            </w:pPr>
          </w:p>
        </w:tc>
        <w:tc>
          <w:tcPr>
            <w:tcW w:w="1120" w:type="dxa"/>
            <w:vAlign w:val="bottom"/>
            <w:shd w:val="clear" w:color="auto" w:fill="732282"/>
          </w:tcPr>
          <w:p>
            <w:pPr>
              <w:spacing w:after="0"/>
              <w:rPr>
                <w:sz w:val="18"/>
                <w:szCs w:val="18"/>
                <w:color w:val="auto"/>
              </w:rPr>
            </w:pPr>
          </w:p>
        </w:tc>
        <w:tc>
          <w:tcPr>
            <w:tcW w:w="740" w:type="dxa"/>
            <w:vAlign w:val="bottom"/>
            <w:shd w:val="clear" w:color="auto" w:fill="732282"/>
          </w:tcPr>
          <w:p>
            <w:pPr>
              <w:spacing w:after="0"/>
              <w:rPr>
                <w:sz w:val="18"/>
                <w:szCs w:val="18"/>
                <w:color w:val="auto"/>
              </w:rPr>
            </w:pPr>
          </w:p>
        </w:tc>
        <w:tc>
          <w:tcPr>
            <w:tcW w:w="920" w:type="dxa"/>
            <w:vAlign w:val="bottom"/>
            <w:shd w:val="clear" w:color="auto" w:fill="73228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1080" w:type="dxa"/>
            <w:vAlign w:val="bottom"/>
            <w:shd w:val="clear" w:color="auto" w:fill="732282"/>
          </w:tcPr>
          <w:p>
            <w:pPr>
              <w:spacing w:after="0"/>
              <w:rPr>
                <w:sz w:val="14"/>
                <w:szCs w:val="14"/>
                <w:color w:val="auto"/>
              </w:rPr>
            </w:pPr>
          </w:p>
        </w:tc>
        <w:tc>
          <w:tcPr>
            <w:tcW w:w="1220" w:type="dxa"/>
            <w:vAlign w:val="bottom"/>
            <w:shd w:val="clear" w:color="auto" w:fill="732282"/>
          </w:tcPr>
          <w:p>
            <w:pPr>
              <w:spacing w:after="0"/>
              <w:rPr>
                <w:sz w:val="14"/>
                <w:szCs w:val="14"/>
                <w:color w:val="auto"/>
              </w:rPr>
            </w:pPr>
          </w:p>
        </w:tc>
        <w:tc>
          <w:tcPr>
            <w:tcW w:w="1380" w:type="dxa"/>
            <w:vAlign w:val="bottom"/>
            <w:shd w:val="clear" w:color="auto" w:fill="732282"/>
          </w:tcPr>
          <w:p>
            <w:pPr>
              <w:spacing w:after="0"/>
              <w:rPr>
                <w:sz w:val="14"/>
                <w:szCs w:val="14"/>
                <w:color w:val="auto"/>
              </w:rPr>
            </w:pPr>
          </w:p>
        </w:tc>
        <w:tc>
          <w:tcPr>
            <w:tcW w:w="1560" w:type="dxa"/>
            <w:vAlign w:val="bottom"/>
            <w:shd w:val="clear" w:color="auto" w:fill="732282"/>
          </w:tcPr>
          <w:p>
            <w:pPr>
              <w:ind w:left="580"/>
              <w:spacing w:after="0" w:line="162" w:lineRule="exact"/>
              <w:rPr>
                <w:sz w:val="20"/>
                <w:szCs w:val="20"/>
                <w:color w:val="auto"/>
              </w:rPr>
            </w:pPr>
            <w:r>
              <w:rPr>
                <w:rFonts w:ascii="Arial" w:cs="Arial" w:eastAsia="Arial" w:hAnsi="Arial"/>
                <w:sz w:val="15"/>
                <w:szCs w:val="15"/>
                <w:b w:val="1"/>
                <w:bCs w:val="1"/>
                <w:color w:val="FFFFFF"/>
              </w:rPr>
              <w:t>Profit</w:t>
            </w:r>
          </w:p>
        </w:tc>
        <w:tc>
          <w:tcPr>
            <w:tcW w:w="1480" w:type="dxa"/>
            <w:vAlign w:val="bottom"/>
            <w:shd w:val="clear" w:color="auto" w:fill="732282"/>
          </w:tcPr>
          <w:p>
            <w:pPr>
              <w:spacing w:after="0"/>
              <w:rPr>
                <w:sz w:val="14"/>
                <w:szCs w:val="14"/>
                <w:color w:val="auto"/>
              </w:rPr>
            </w:pPr>
          </w:p>
        </w:tc>
        <w:tc>
          <w:tcPr>
            <w:tcW w:w="11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1080" w:type="dxa"/>
            <w:vAlign w:val="bottom"/>
            <w:shd w:val="clear" w:color="auto" w:fill="732282"/>
          </w:tcPr>
          <w:p>
            <w:pPr>
              <w:spacing w:after="0"/>
              <w:rPr>
                <w:sz w:val="14"/>
                <w:szCs w:val="14"/>
                <w:color w:val="auto"/>
              </w:rPr>
            </w:pPr>
          </w:p>
        </w:tc>
        <w:tc>
          <w:tcPr>
            <w:tcW w:w="1220" w:type="dxa"/>
            <w:vAlign w:val="bottom"/>
            <w:shd w:val="clear" w:color="auto" w:fill="732282"/>
          </w:tcPr>
          <w:p>
            <w:pPr>
              <w:spacing w:after="0"/>
              <w:rPr>
                <w:sz w:val="14"/>
                <w:szCs w:val="14"/>
                <w:color w:val="auto"/>
              </w:rPr>
            </w:pPr>
          </w:p>
        </w:tc>
        <w:tc>
          <w:tcPr>
            <w:tcW w:w="1380" w:type="dxa"/>
            <w:vAlign w:val="bottom"/>
            <w:shd w:val="clear" w:color="auto" w:fill="732282"/>
          </w:tcPr>
          <w:p>
            <w:pPr>
              <w:spacing w:after="0"/>
              <w:rPr>
                <w:sz w:val="14"/>
                <w:szCs w:val="14"/>
                <w:color w:val="auto"/>
              </w:rPr>
            </w:pPr>
          </w:p>
        </w:tc>
        <w:tc>
          <w:tcPr>
            <w:tcW w:w="1560" w:type="dxa"/>
            <w:vAlign w:val="bottom"/>
            <w:shd w:val="clear" w:color="auto" w:fill="732282"/>
          </w:tcPr>
          <w:p>
            <w:pPr>
              <w:jc w:val="center"/>
              <w:spacing w:after="0" w:line="162" w:lineRule="exact"/>
              <w:rPr>
                <w:sz w:val="20"/>
                <w:szCs w:val="20"/>
                <w:color w:val="auto"/>
              </w:rPr>
            </w:pPr>
            <w:r>
              <w:rPr>
                <w:rFonts w:ascii="Arial" w:cs="Arial" w:eastAsia="Arial" w:hAnsi="Arial"/>
                <w:sz w:val="15"/>
                <w:szCs w:val="15"/>
                <w:b w:val="1"/>
                <w:bCs w:val="1"/>
                <w:color w:val="FFFFFF"/>
              </w:rPr>
              <w:t>Sharing</w:t>
            </w:r>
          </w:p>
        </w:tc>
        <w:tc>
          <w:tcPr>
            <w:tcW w:w="1480" w:type="dxa"/>
            <w:vAlign w:val="bottom"/>
            <w:shd w:val="clear" w:color="auto" w:fill="732282"/>
          </w:tcPr>
          <w:p>
            <w:pPr>
              <w:spacing w:after="0"/>
              <w:rPr>
                <w:sz w:val="14"/>
                <w:szCs w:val="14"/>
                <w:color w:val="auto"/>
              </w:rPr>
            </w:pPr>
          </w:p>
        </w:tc>
        <w:tc>
          <w:tcPr>
            <w:tcW w:w="11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1080" w:type="dxa"/>
            <w:vAlign w:val="bottom"/>
            <w:vMerge w:val="restart"/>
            <w:shd w:val="clear" w:color="auto" w:fill="732282"/>
          </w:tcPr>
          <w:p>
            <w:pPr>
              <w:jc w:val="center"/>
              <w:ind w:right="104"/>
              <w:spacing w:after="0"/>
              <w:rPr>
                <w:sz w:val="20"/>
                <w:szCs w:val="20"/>
                <w:color w:val="auto"/>
              </w:rPr>
            </w:pPr>
            <w:r>
              <w:rPr>
                <w:rFonts w:ascii="Arial" w:cs="Arial" w:eastAsia="Arial" w:hAnsi="Arial"/>
                <w:sz w:val="15"/>
                <w:szCs w:val="15"/>
                <w:b w:val="1"/>
                <w:bCs w:val="1"/>
                <w:color w:val="FFFFFF"/>
              </w:rPr>
              <w:t>Use of</w:t>
            </w:r>
          </w:p>
        </w:tc>
        <w:tc>
          <w:tcPr>
            <w:tcW w:w="1220" w:type="dxa"/>
            <w:vAlign w:val="bottom"/>
            <w:vMerge w:val="restart"/>
            <w:shd w:val="clear" w:color="auto" w:fill="732282"/>
          </w:tcPr>
          <w:p>
            <w:pPr>
              <w:jc w:val="center"/>
              <w:ind w:right="64"/>
              <w:spacing w:after="0"/>
              <w:rPr>
                <w:sz w:val="20"/>
                <w:szCs w:val="20"/>
                <w:color w:val="auto"/>
              </w:rPr>
            </w:pPr>
            <w:r>
              <w:rPr>
                <w:rFonts w:ascii="Arial" w:cs="Arial" w:eastAsia="Arial" w:hAnsi="Arial"/>
                <w:sz w:val="15"/>
                <w:szCs w:val="15"/>
                <w:b w:val="1"/>
                <w:bCs w:val="1"/>
                <w:color w:val="FFFFFF"/>
              </w:rPr>
              <w:t>Personal</w:t>
            </w:r>
          </w:p>
        </w:tc>
        <w:tc>
          <w:tcPr>
            <w:tcW w:w="1380" w:type="dxa"/>
            <w:vAlign w:val="bottom"/>
            <w:shd w:val="clear" w:color="auto" w:fill="732282"/>
          </w:tcPr>
          <w:p>
            <w:pPr>
              <w:spacing w:after="0"/>
              <w:rPr>
                <w:sz w:val="14"/>
                <w:szCs w:val="14"/>
                <w:color w:val="auto"/>
              </w:rPr>
            </w:pPr>
          </w:p>
        </w:tc>
        <w:tc>
          <w:tcPr>
            <w:tcW w:w="1560" w:type="dxa"/>
            <w:vAlign w:val="bottom"/>
            <w:shd w:val="clear" w:color="auto" w:fill="732282"/>
          </w:tcPr>
          <w:p>
            <w:pPr>
              <w:jc w:val="center"/>
              <w:spacing w:after="0" w:line="162" w:lineRule="exact"/>
              <w:rPr>
                <w:sz w:val="20"/>
                <w:szCs w:val="20"/>
                <w:color w:val="auto"/>
              </w:rPr>
            </w:pPr>
            <w:r>
              <w:rPr>
                <w:rFonts w:ascii="Arial" w:cs="Arial" w:eastAsia="Arial" w:hAnsi="Arial"/>
                <w:sz w:val="15"/>
                <w:szCs w:val="15"/>
                <w:b w:val="1"/>
                <w:bCs w:val="1"/>
                <w:color w:val="FFFFFF"/>
              </w:rPr>
              <w:t>Plan</w:t>
            </w:r>
          </w:p>
        </w:tc>
        <w:tc>
          <w:tcPr>
            <w:tcW w:w="1480" w:type="dxa"/>
            <w:vAlign w:val="bottom"/>
            <w:shd w:val="clear" w:color="auto" w:fill="732282"/>
          </w:tcPr>
          <w:p>
            <w:pPr>
              <w:spacing w:after="0"/>
              <w:rPr>
                <w:sz w:val="14"/>
                <w:szCs w:val="14"/>
                <w:color w:val="auto"/>
              </w:rPr>
            </w:pPr>
          </w:p>
        </w:tc>
        <w:tc>
          <w:tcPr>
            <w:tcW w:w="1120" w:type="dxa"/>
            <w:vAlign w:val="bottom"/>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1080" w:type="dxa"/>
            <w:vAlign w:val="bottom"/>
            <w:vMerge w:val="continue"/>
            <w:shd w:val="clear" w:color="auto" w:fill="732282"/>
          </w:tcPr>
          <w:p>
            <w:pPr>
              <w:spacing w:after="0"/>
              <w:rPr>
                <w:sz w:val="14"/>
                <w:szCs w:val="14"/>
                <w:color w:val="auto"/>
              </w:rPr>
            </w:pPr>
          </w:p>
        </w:tc>
        <w:tc>
          <w:tcPr>
            <w:tcW w:w="1220" w:type="dxa"/>
            <w:vAlign w:val="bottom"/>
            <w:vMerge w:val="continue"/>
            <w:shd w:val="clear" w:color="auto" w:fill="732282"/>
          </w:tcPr>
          <w:p>
            <w:pPr>
              <w:spacing w:after="0"/>
              <w:rPr>
                <w:sz w:val="14"/>
                <w:szCs w:val="14"/>
                <w:color w:val="auto"/>
              </w:rPr>
            </w:pPr>
          </w:p>
        </w:tc>
        <w:tc>
          <w:tcPr>
            <w:tcW w:w="1380" w:type="dxa"/>
            <w:vAlign w:val="bottom"/>
            <w:shd w:val="clear" w:color="auto" w:fill="732282"/>
          </w:tcPr>
          <w:p>
            <w:pPr>
              <w:spacing w:after="0"/>
              <w:rPr>
                <w:sz w:val="14"/>
                <w:szCs w:val="14"/>
                <w:color w:val="auto"/>
              </w:rPr>
            </w:pPr>
          </w:p>
        </w:tc>
        <w:tc>
          <w:tcPr>
            <w:tcW w:w="1560" w:type="dxa"/>
            <w:vAlign w:val="bottom"/>
            <w:shd w:val="clear" w:color="auto" w:fill="732282"/>
          </w:tcPr>
          <w:p>
            <w:pPr>
              <w:jc w:val="center"/>
              <w:spacing w:after="0" w:line="162" w:lineRule="exact"/>
              <w:rPr>
                <w:sz w:val="20"/>
                <w:szCs w:val="20"/>
                <w:color w:val="auto"/>
              </w:rPr>
            </w:pPr>
            <w:r>
              <w:rPr>
                <w:rFonts w:ascii="Arial" w:cs="Arial" w:eastAsia="Arial" w:hAnsi="Arial"/>
                <w:sz w:val="15"/>
                <w:szCs w:val="15"/>
                <w:b w:val="1"/>
                <w:bCs w:val="1"/>
                <w:color w:val="FFFFFF"/>
              </w:rPr>
              <w:t>Matching</w:t>
            </w:r>
          </w:p>
        </w:tc>
        <w:tc>
          <w:tcPr>
            <w:tcW w:w="1480" w:type="dxa"/>
            <w:vAlign w:val="bottom"/>
            <w:vMerge w:val="restart"/>
            <w:shd w:val="clear" w:color="auto" w:fill="732282"/>
          </w:tcPr>
          <w:p>
            <w:pPr>
              <w:jc w:val="center"/>
              <w:ind w:left="24"/>
              <w:spacing w:after="0"/>
              <w:rPr>
                <w:sz w:val="20"/>
                <w:szCs w:val="20"/>
                <w:color w:val="auto"/>
              </w:rPr>
            </w:pPr>
            <w:r>
              <w:rPr>
                <w:rFonts w:ascii="Arial" w:cs="Arial" w:eastAsia="Arial" w:hAnsi="Arial"/>
                <w:sz w:val="15"/>
                <w:szCs w:val="15"/>
                <w:b w:val="1"/>
                <w:bCs w:val="1"/>
                <w:color w:val="FFFFFF"/>
              </w:rPr>
              <w:t>Restoration</w:t>
            </w:r>
          </w:p>
        </w:tc>
        <w:tc>
          <w:tcPr>
            <w:tcW w:w="1120" w:type="dxa"/>
            <w:vAlign w:val="bottom"/>
            <w:vMerge w:val="restart"/>
            <w:shd w:val="clear" w:color="auto" w:fill="732282"/>
          </w:tcPr>
          <w:p>
            <w:pPr>
              <w:jc w:val="center"/>
              <w:spacing w:after="0"/>
              <w:rPr>
                <w:sz w:val="20"/>
                <w:szCs w:val="20"/>
                <w:color w:val="auto"/>
              </w:rPr>
            </w:pPr>
            <w:r>
              <w:rPr>
                <w:rFonts w:ascii="Arial" w:cs="Arial" w:eastAsia="Arial" w:hAnsi="Arial"/>
                <w:sz w:val="15"/>
                <w:szCs w:val="15"/>
                <w:b w:val="1"/>
                <w:bCs w:val="1"/>
                <w:color w:val="FFFFFF"/>
              </w:rPr>
              <w:t>Transition</w:t>
            </w:r>
          </w:p>
        </w:tc>
        <w:tc>
          <w:tcPr>
            <w:tcW w:w="7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732282"/>
          </w:tcPr>
          <w:p>
            <w:pPr>
              <w:spacing w:after="0"/>
              <w:rPr>
                <w:sz w:val="14"/>
                <w:szCs w:val="14"/>
                <w:color w:val="auto"/>
              </w:rPr>
            </w:pPr>
          </w:p>
        </w:tc>
        <w:tc>
          <w:tcPr>
            <w:tcW w:w="600" w:type="dxa"/>
            <w:vAlign w:val="bottom"/>
            <w:shd w:val="clear" w:color="auto" w:fill="732282"/>
          </w:tcPr>
          <w:p>
            <w:pPr>
              <w:spacing w:after="0"/>
              <w:rPr>
                <w:sz w:val="14"/>
                <w:szCs w:val="14"/>
                <w:color w:val="auto"/>
              </w:rPr>
            </w:pPr>
          </w:p>
        </w:tc>
        <w:tc>
          <w:tcPr>
            <w:tcW w:w="1080" w:type="dxa"/>
            <w:vAlign w:val="bottom"/>
            <w:shd w:val="clear" w:color="auto" w:fill="732282"/>
          </w:tcPr>
          <w:p>
            <w:pPr>
              <w:jc w:val="center"/>
              <w:ind w:right="104"/>
              <w:spacing w:after="0" w:line="162" w:lineRule="exact"/>
              <w:rPr>
                <w:sz w:val="20"/>
                <w:szCs w:val="20"/>
                <w:color w:val="auto"/>
              </w:rPr>
            </w:pPr>
            <w:r>
              <w:rPr>
                <w:rFonts w:ascii="Arial" w:cs="Arial" w:eastAsia="Arial" w:hAnsi="Arial"/>
                <w:sz w:val="15"/>
                <w:szCs w:val="15"/>
                <w:b w:val="1"/>
                <w:bCs w:val="1"/>
                <w:color w:val="FFFFFF"/>
              </w:rPr>
              <w:t>Company</w:t>
            </w:r>
          </w:p>
        </w:tc>
        <w:tc>
          <w:tcPr>
            <w:tcW w:w="1220" w:type="dxa"/>
            <w:vAlign w:val="bottom"/>
            <w:shd w:val="clear" w:color="auto" w:fill="732282"/>
          </w:tcPr>
          <w:p>
            <w:pPr>
              <w:jc w:val="center"/>
              <w:ind w:right="84"/>
              <w:spacing w:after="0" w:line="162" w:lineRule="exact"/>
              <w:rPr>
                <w:sz w:val="20"/>
                <w:szCs w:val="20"/>
                <w:color w:val="auto"/>
              </w:rPr>
            </w:pPr>
            <w:r>
              <w:rPr>
                <w:rFonts w:ascii="Arial" w:cs="Arial" w:eastAsia="Arial" w:hAnsi="Arial"/>
                <w:sz w:val="15"/>
                <w:szCs w:val="15"/>
                <w:b w:val="1"/>
                <w:bCs w:val="1"/>
                <w:color w:val="FFFFFF"/>
              </w:rPr>
              <w:t>Use of</w:t>
            </w:r>
          </w:p>
        </w:tc>
        <w:tc>
          <w:tcPr>
            <w:tcW w:w="1380" w:type="dxa"/>
            <w:vAlign w:val="bottom"/>
            <w:vMerge w:val="restart"/>
            <w:shd w:val="clear" w:color="auto" w:fill="732282"/>
          </w:tcPr>
          <w:p>
            <w:pPr>
              <w:jc w:val="center"/>
              <w:spacing w:after="0"/>
              <w:rPr>
                <w:sz w:val="20"/>
                <w:szCs w:val="20"/>
                <w:color w:val="auto"/>
              </w:rPr>
            </w:pPr>
            <w:r>
              <w:rPr>
                <w:rFonts w:ascii="Arial" w:cs="Arial" w:eastAsia="Arial" w:hAnsi="Arial"/>
                <w:sz w:val="15"/>
                <w:szCs w:val="15"/>
                <w:b w:val="1"/>
                <w:bCs w:val="1"/>
                <w:color w:val="FFFFFF"/>
              </w:rPr>
              <w:t>Expatriate</w:t>
            </w:r>
          </w:p>
        </w:tc>
        <w:tc>
          <w:tcPr>
            <w:tcW w:w="1560" w:type="dxa"/>
            <w:vAlign w:val="bottom"/>
            <w:shd w:val="clear" w:color="auto" w:fill="732282"/>
          </w:tcPr>
          <w:p>
            <w:pPr>
              <w:jc w:val="center"/>
              <w:spacing w:after="0" w:line="162" w:lineRule="exact"/>
              <w:rPr>
                <w:sz w:val="20"/>
                <w:szCs w:val="20"/>
                <w:color w:val="auto"/>
              </w:rPr>
            </w:pPr>
            <w:r>
              <w:rPr>
                <w:rFonts w:ascii="Arial" w:cs="Arial" w:eastAsia="Arial" w:hAnsi="Arial"/>
                <w:sz w:val="15"/>
                <w:szCs w:val="15"/>
                <w:b w:val="1"/>
                <w:bCs w:val="1"/>
                <w:color w:val="FFFFFF"/>
              </w:rPr>
              <w:t>and Profit</w:t>
            </w:r>
          </w:p>
        </w:tc>
        <w:tc>
          <w:tcPr>
            <w:tcW w:w="1480" w:type="dxa"/>
            <w:vAlign w:val="bottom"/>
            <w:vMerge w:val="continue"/>
            <w:shd w:val="clear" w:color="auto" w:fill="732282"/>
          </w:tcPr>
          <w:p>
            <w:pPr>
              <w:spacing w:after="0"/>
              <w:rPr>
                <w:sz w:val="14"/>
                <w:szCs w:val="14"/>
                <w:color w:val="auto"/>
              </w:rPr>
            </w:pPr>
          </w:p>
        </w:tc>
        <w:tc>
          <w:tcPr>
            <w:tcW w:w="1120" w:type="dxa"/>
            <w:vAlign w:val="bottom"/>
            <w:vMerge w:val="continue"/>
            <w:shd w:val="clear" w:color="auto" w:fill="732282"/>
          </w:tcPr>
          <w:p>
            <w:pPr>
              <w:spacing w:after="0"/>
              <w:rPr>
                <w:sz w:val="14"/>
                <w:szCs w:val="14"/>
                <w:color w:val="auto"/>
              </w:rPr>
            </w:pPr>
          </w:p>
        </w:tc>
        <w:tc>
          <w:tcPr>
            <w:tcW w:w="740" w:type="dxa"/>
            <w:vAlign w:val="bottom"/>
            <w:shd w:val="clear" w:color="auto" w:fill="732282"/>
          </w:tcPr>
          <w:p>
            <w:pPr>
              <w:spacing w:after="0"/>
              <w:rPr>
                <w:sz w:val="14"/>
                <w:szCs w:val="14"/>
                <w:color w:val="auto"/>
              </w:rPr>
            </w:pPr>
          </w:p>
        </w:tc>
        <w:tc>
          <w:tcPr>
            <w:tcW w:w="92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732282"/>
          </w:tcPr>
          <w:p>
            <w:pPr>
              <w:spacing w:after="0"/>
              <w:rPr>
                <w:sz w:val="14"/>
                <w:szCs w:val="14"/>
                <w:color w:val="auto"/>
              </w:rPr>
            </w:pPr>
          </w:p>
        </w:tc>
        <w:tc>
          <w:tcPr>
            <w:tcW w:w="600" w:type="dxa"/>
            <w:vAlign w:val="bottom"/>
            <w:vMerge w:val="restart"/>
            <w:shd w:val="clear" w:color="auto" w:fill="732282"/>
          </w:tcPr>
          <w:p>
            <w:pPr>
              <w:ind w:left="100"/>
              <w:spacing w:after="0"/>
              <w:rPr>
                <w:sz w:val="20"/>
                <w:szCs w:val="20"/>
                <w:color w:val="auto"/>
              </w:rPr>
            </w:pPr>
            <w:r>
              <w:rPr>
                <w:rFonts w:ascii="Arial" w:cs="Arial" w:eastAsia="Arial" w:hAnsi="Arial"/>
                <w:sz w:val="15"/>
                <w:szCs w:val="15"/>
                <w:b w:val="1"/>
                <w:bCs w:val="1"/>
                <w:color w:val="FFFFFF"/>
              </w:rPr>
              <w:t>Fiscal</w:t>
            </w:r>
          </w:p>
        </w:tc>
        <w:tc>
          <w:tcPr>
            <w:tcW w:w="1080" w:type="dxa"/>
            <w:vAlign w:val="bottom"/>
            <w:shd w:val="clear" w:color="auto" w:fill="732282"/>
          </w:tcPr>
          <w:p>
            <w:pPr>
              <w:jc w:val="center"/>
              <w:ind w:right="104"/>
              <w:spacing w:after="0" w:line="162" w:lineRule="exact"/>
              <w:rPr>
                <w:sz w:val="20"/>
                <w:szCs w:val="20"/>
                <w:color w:val="auto"/>
              </w:rPr>
            </w:pPr>
            <w:r>
              <w:rPr>
                <w:rFonts w:ascii="Arial" w:cs="Arial" w:eastAsia="Arial" w:hAnsi="Arial"/>
                <w:sz w:val="15"/>
                <w:szCs w:val="15"/>
                <w:b w:val="1"/>
                <w:bCs w:val="1"/>
                <w:color w:val="FFFFFF"/>
              </w:rPr>
              <w:t>Provided</w:t>
            </w:r>
          </w:p>
        </w:tc>
        <w:tc>
          <w:tcPr>
            <w:tcW w:w="1220" w:type="dxa"/>
            <w:vAlign w:val="bottom"/>
            <w:shd w:val="clear" w:color="auto" w:fill="732282"/>
          </w:tcPr>
          <w:p>
            <w:pPr>
              <w:jc w:val="center"/>
              <w:ind w:right="84"/>
              <w:spacing w:after="0" w:line="162" w:lineRule="exact"/>
              <w:rPr>
                <w:sz w:val="20"/>
                <w:szCs w:val="20"/>
                <w:color w:val="auto"/>
              </w:rPr>
            </w:pPr>
            <w:r>
              <w:rPr>
                <w:rFonts w:ascii="Arial" w:cs="Arial" w:eastAsia="Arial" w:hAnsi="Arial"/>
                <w:sz w:val="15"/>
                <w:szCs w:val="15"/>
                <w:b w:val="1"/>
                <w:bCs w:val="1"/>
                <w:color w:val="FFFFFF"/>
              </w:rPr>
              <w:t>Company</w:t>
            </w:r>
          </w:p>
        </w:tc>
        <w:tc>
          <w:tcPr>
            <w:tcW w:w="1380" w:type="dxa"/>
            <w:vAlign w:val="bottom"/>
            <w:vMerge w:val="continue"/>
            <w:shd w:val="clear" w:color="auto" w:fill="732282"/>
          </w:tcPr>
          <w:p>
            <w:pPr>
              <w:spacing w:after="0"/>
              <w:rPr>
                <w:sz w:val="14"/>
                <w:szCs w:val="14"/>
                <w:color w:val="auto"/>
              </w:rPr>
            </w:pPr>
          </w:p>
        </w:tc>
        <w:tc>
          <w:tcPr>
            <w:tcW w:w="1560" w:type="dxa"/>
            <w:vAlign w:val="bottom"/>
            <w:shd w:val="clear" w:color="auto" w:fill="732282"/>
          </w:tcPr>
          <w:p>
            <w:pPr>
              <w:jc w:val="center"/>
              <w:spacing w:after="0" w:line="162" w:lineRule="exact"/>
              <w:rPr>
                <w:sz w:val="20"/>
                <w:szCs w:val="20"/>
                <w:color w:val="auto"/>
              </w:rPr>
            </w:pPr>
            <w:r>
              <w:rPr>
                <w:rFonts w:ascii="Arial" w:cs="Arial" w:eastAsia="Arial" w:hAnsi="Arial"/>
                <w:sz w:val="15"/>
                <w:szCs w:val="15"/>
                <w:b w:val="1"/>
                <w:bCs w:val="1"/>
                <w:color w:val="FFFFFF"/>
              </w:rPr>
              <w:t>Sharing</w:t>
            </w:r>
          </w:p>
        </w:tc>
        <w:tc>
          <w:tcPr>
            <w:tcW w:w="1480" w:type="dxa"/>
            <w:vAlign w:val="bottom"/>
            <w:shd w:val="clear" w:color="auto" w:fill="732282"/>
          </w:tcPr>
          <w:p>
            <w:pPr>
              <w:jc w:val="center"/>
              <w:ind w:left="24"/>
              <w:spacing w:after="0" w:line="162" w:lineRule="exact"/>
              <w:rPr>
                <w:sz w:val="20"/>
                <w:szCs w:val="20"/>
                <w:color w:val="auto"/>
              </w:rPr>
            </w:pPr>
            <w:r>
              <w:rPr>
                <w:rFonts w:ascii="Arial" w:cs="Arial" w:eastAsia="Arial" w:hAnsi="Arial"/>
                <w:sz w:val="15"/>
                <w:szCs w:val="15"/>
                <w:b w:val="1"/>
                <w:bCs w:val="1"/>
                <w:color w:val="FFFFFF"/>
              </w:rPr>
              <w:t>Plan</w:t>
            </w:r>
          </w:p>
        </w:tc>
        <w:tc>
          <w:tcPr>
            <w:tcW w:w="1120" w:type="dxa"/>
            <w:vAlign w:val="bottom"/>
            <w:shd w:val="clear" w:color="auto" w:fill="732282"/>
          </w:tcPr>
          <w:p>
            <w:pPr>
              <w:jc w:val="center"/>
              <w:spacing w:after="0" w:line="162" w:lineRule="exact"/>
              <w:rPr>
                <w:sz w:val="20"/>
                <w:szCs w:val="20"/>
                <w:color w:val="auto"/>
              </w:rPr>
            </w:pPr>
            <w:r>
              <w:rPr>
                <w:rFonts w:ascii="Arial" w:cs="Arial" w:eastAsia="Arial" w:hAnsi="Arial"/>
                <w:sz w:val="15"/>
                <w:szCs w:val="15"/>
                <w:b w:val="1"/>
                <w:bCs w:val="1"/>
                <w:color w:val="FFFFFF"/>
                <w:w w:val="99"/>
              </w:rPr>
              <w:t>Related</w:t>
            </w:r>
          </w:p>
        </w:tc>
        <w:tc>
          <w:tcPr>
            <w:tcW w:w="740" w:type="dxa"/>
            <w:vAlign w:val="bottom"/>
            <w:vMerge w:val="restart"/>
            <w:shd w:val="clear" w:color="auto" w:fill="732282"/>
          </w:tcPr>
          <w:p>
            <w:pPr>
              <w:jc w:val="right"/>
              <w:ind w:right="145"/>
              <w:spacing w:after="0"/>
              <w:rPr>
                <w:sz w:val="20"/>
                <w:szCs w:val="20"/>
                <w:color w:val="auto"/>
              </w:rPr>
            </w:pPr>
            <w:r>
              <w:rPr>
                <w:rFonts w:ascii="Arial" w:cs="Arial" w:eastAsia="Arial" w:hAnsi="Arial"/>
                <w:sz w:val="15"/>
                <w:szCs w:val="15"/>
                <w:b w:val="1"/>
                <w:bCs w:val="1"/>
                <w:color w:val="FFFFFF"/>
              </w:rPr>
              <w:t>Other</w:t>
            </w:r>
          </w:p>
        </w:tc>
        <w:tc>
          <w:tcPr>
            <w:tcW w:w="920" w:type="dxa"/>
            <w:vAlign w:val="bottom"/>
            <w:vMerge w:val="restart"/>
            <w:shd w:val="clear" w:color="auto" w:fill="732282"/>
          </w:tcPr>
          <w:p>
            <w:pPr>
              <w:jc w:val="right"/>
              <w:ind w:right="204"/>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1"/>
        </w:trPr>
        <w:tc>
          <w:tcPr>
            <w:tcW w:w="920" w:type="dxa"/>
            <w:vAlign w:val="bottom"/>
            <w:shd w:val="clear" w:color="auto" w:fill="732282"/>
          </w:tcPr>
          <w:p>
            <w:pPr>
              <w:spacing w:after="0"/>
              <w:rPr>
                <w:sz w:val="17"/>
                <w:szCs w:val="17"/>
                <w:color w:val="auto"/>
              </w:rPr>
            </w:pPr>
          </w:p>
        </w:tc>
        <w:tc>
          <w:tcPr>
            <w:tcW w:w="600" w:type="dxa"/>
            <w:vAlign w:val="bottom"/>
            <w:vMerge w:val="continue"/>
            <w:shd w:val="clear" w:color="auto" w:fill="732282"/>
          </w:tcPr>
          <w:p>
            <w:pPr>
              <w:spacing w:after="0"/>
              <w:rPr>
                <w:sz w:val="17"/>
                <w:szCs w:val="17"/>
                <w:color w:val="auto"/>
              </w:rPr>
            </w:pPr>
          </w:p>
        </w:tc>
        <w:tc>
          <w:tcPr>
            <w:tcW w:w="1080" w:type="dxa"/>
            <w:vAlign w:val="bottom"/>
            <w:shd w:val="clear" w:color="auto" w:fill="732282"/>
          </w:tcPr>
          <w:p>
            <w:pPr>
              <w:jc w:val="center"/>
              <w:ind w:right="84"/>
              <w:spacing w:after="0"/>
              <w:rPr>
                <w:sz w:val="20"/>
                <w:szCs w:val="20"/>
                <w:color w:val="auto"/>
              </w:rPr>
            </w:pPr>
            <w:r>
              <w:rPr>
                <w:rFonts w:ascii="Arial" w:cs="Arial" w:eastAsia="Arial" w:hAnsi="Arial"/>
                <w:sz w:val="15"/>
                <w:szCs w:val="15"/>
                <w:b w:val="1"/>
                <w:bCs w:val="1"/>
                <w:color w:val="FFFFFF"/>
              </w:rPr>
              <w:t>Automobile</w:t>
            </w:r>
          </w:p>
        </w:tc>
        <w:tc>
          <w:tcPr>
            <w:tcW w:w="1220" w:type="dxa"/>
            <w:vAlign w:val="bottom"/>
            <w:shd w:val="clear" w:color="auto" w:fill="732282"/>
          </w:tcPr>
          <w:p>
            <w:pPr>
              <w:jc w:val="center"/>
              <w:ind w:right="84"/>
              <w:spacing w:after="0"/>
              <w:rPr>
                <w:sz w:val="20"/>
                <w:szCs w:val="20"/>
                <w:color w:val="auto"/>
              </w:rPr>
            </w:pPr>
            <w:r>
              <w:rPr>
                <w:rFonts w:ascii="Arial" w:cs="Arial" w:eastAsia="Arial" w:hAnsi="Arial"/>
                <w:sz w:val="15"/>
                <w:szCs w:val="15"/>
                <w:b w:val="1"/>
                <w:bCs w:val="1"/>
                <w:color w:val="FFFFFF"/>
              </w:rPr>
              <w:t>Aircraft</w:t>
            </w:r>
          </w:p>
        </w:tc>
        <w:tc>
          <w:tcPr>
            <w:tcW w:w="1380" w:type="dxa"/>
            <w:vAlign w:val="bottom"/>
            <w:shd w:val="clear" w:color="auto" w:fill="732282"/>
          </w:tcPr>
          <w:p>
            <w:pPr>
              <w:jc w:val="center"/>
              <w:spacing w:after="0"/>
              <w:rPr>
                <w:sz w:val="20"/>
                <w:szCs w:val="20"/>
                <w:color w:val="auto"/>
              </w:rPr>
            </w:pPr>
            <w:r>
              <w:rPr>
                <w:rFonts w:ascii="Arial" w:cs="Arial" w:eastAsia="Arial" w:hAnsi="Arial"/>
                <w:sz w:val="15"/>
                <w:szCs w:val="15"/>
                <w:b w:val="1"/>
                <w:bCs w:val="1"/>
                <w:color w:val="FFFFFF"/>
              </w:rPr>
              <w:t>Benefits</w:t>
            </w:r>
          </w:p>
        </w:tc>
        <w:tc>
          <w:tcPr>
            <w:tcW w:w="1560" w:type="dxa"/>
            <w:vAlign w:val="bottom"/>
            <w:shd w:val="clear" w:color="auto" w:fill="732282"/>
          </w:tcPr>
          <w:p>
            <w:pPr>
              <w:jc w:val="center"/>
              <w:spacing w:after="0"/>
              <w:rPr>
                <w:sz w:val="20"/>
                <w:szCs w:val="20"/>
                <w:color w:val="auto"/>
              </w:rPr>
            </w:pPr>
            <w:r>
              <w:rPr>
                <w:rFonts w:ascii="Arial" w:cs="Arial" w:eastAsia="Arial" w:hAnsi="Arial"/>
                <w:sz w:val="15"/>
                <w:szCs w:val="15"/>
                <w:b w:val="1"/>
                <w:bCs w:val="1"/>
                <w:color w:val="FFFFFF"/>
              </w:rPr>
              <w:t>Contribution</w:t>
            </w:r>
          </w:p>
        </w:tc>
        <w:tc>
          <w:tcPr>
            <w:tcW w:w="1480" w:type="dxa"/>
            <w:vAlign w:val="bottom"/>
            <w:shd w:val="clear" w:color="auto" w:fill="732282"/>
          </w:tcPr>
          <w:p>
            <w:pPr>
              <w:jc w:val="center"/>
              <w:ind w:left="24"/>
              <w:spacing w:after="0"/>
              <w:rPr>
                <w:sz w:val="20"/>
                <w:szCs w:val="20"/>
                <w:color w:val="auto"/>
              </w:rPr>
            </w:pPr>
            <w:r>
              <w:rPr>
                <w:rFonts w:ascii="Arial" w:cs="Arial" w:eastAsia="Arial" w:hAnsi="Arial"/>
                <w:sz w:val="15"/>
                <w:szCs w:val="15"/>
                <w:b w:val="1"/>
                <w:bCs w:val="1"/>
                <w:color w:val="FFFFFF"/>
                <w:w w:val="99"/>
              </w:rPr>
              <w:t>Contribution</w:t>
            </w:r>
          </w:p>
        </w:tc>
        <w:tc>
          <w:tcPr>
            <w:tcW w:w="1120" w:type="dxa"/>
            <w:vAlign w:val="bottom"/>
            <w:shd w:val="clear" w:color="auto" w:fill="732282"/>
          </w:tcPr>
          <w:p>
            <w:pPr>
              <w:jc w:val="center"/>
              <w:ind w:left="4"/>
              <w:spacing w:after="0"/>
              <w:rPr>
                <w:sz w:val="20"/>
                <w:szCs w:val="20"/>
                <w:color w:val="auto"/>
              </w:rPr>
            </w:pPr>
            <w:r>
              <w:rPr>
                <w:rFonts w:ascii="Arial" w:cs="Arial" w:eastAsia="Arial" w:hAnsi="Arial"/>
                <w:sz w:val="15"/>
                <w:szCs w:val="15"/>
                <w:b w:val="1"/>
                <w:bCs w:val="1"/>
                <w:color w:val="FFFFFF"/>
              </w:rPr>
              <w:t>Benefits</w:t>
            </w:r>
          </w:p>
        </w:tc>
        <w:tc>
          <w:tcPr>
            <w:tcW w:w="740" w:type="dxa"/>
            <w:vAlign w:val="bottom"/>
            <w:vMerge w:val="continue"/>
            <w:shd w:val="clear" w:color="auto" w:fill="732282"/>
          </w:tcPr>
          <w:p>
            <w:pPr>
              <w:spacing w:after="0"/>
              <w:rPr>
                <w:sz w:val="17"/>
                <w:szCs w:val="17"/>
                <w:color w:val="auto"/>
              </w:rPr>
            </w:pPr>
          </w:p>
        </w:tc>
        <w:tc>
          <w:tcPr>
            <w:tcW w:w="920" w:type="dxa"/>
            <w:vAlign w:val="bottom"/>
            <w:vMerge w:val="continue"/>
            <w:shd w:val="clear" w:color="auto" w:fill="73228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shd w:val="clear" w:color="auto" w:fill="732282"/>
          </w:tcPr>
          <w:p>
            <w:pPr>
              <w:ind w:left="60"/>
              <w:spacing w:after="0"/>
              <w:rPr>
                <w:sz w:val="20"/>
                <w:szCs w:val="20"/>
                <w:color w:val="auto"/>
              </w:rPr>
            </w:pPr>
            <w:r>
              <w:rPr>
                <w:rFonts w:ascii="Arial" w:cs="Arial" w:eastAsia="Arial" w:hAnsi="Arial"/>
                <w:sz w:val="15"/>
                <w:szCs w:val="15"/>
                <w:b w:val="1"/>
                <w:bCs w:val="1"/>
                <w:color w:val="FFFFFF"/>
              </w:rPr>
              <w:t>Name</w:t>
            </w:r>
          </w:p>
        </w:tc>
        <w:tc>
          <w:tcPr>
            <w:tcW w:w="600" w:type="dxa"/>
            <w:vAlign w:val="bottom"/>
            <w:shd w:val="clear" w:color="auto" w:fill="732282"/>
          </w:tcPr>
          <w:p>
            <w:pPr>
              <w:ind w:left="160"/>
              <w:spacing w:after="0"/>
              <w:rPr>
                <w:sz w:val="20"/>
                <w:szCs w:val="20"/>
                <w:color w:val="auto"/>
              </w:rPr>
            </w:pPr>
            <w:r>
              <w:rPr>
                <w:rFonts w:ascii="Arial" w:cs="Arial" w:eastAsia="Arial" w:hAnsi="Arial"/>
                <w:sz w:val="15"/>
                <w:szCs w:val="15"/>
                <w:b w:val="1"/>
                <w:bCs w:val="1"/>
                <w:color w:val="FFFFFF"/>
              </w:rPr>
              <w:t>Year</w:t>
            </w:r>
          </w:p>
        </w:tc>
        <w:tc>
          <w:tcPr>
            <w:tcW w:w="1080" w:type="dxa"/>
            <w:vAlign w:val="bottom"/>
            <w:shd w:val="clear" w:color="auto" w:fill="732282"/>
          </w:tcPr>
          <w:p>
            <w:pPr>
              <w:jc w:val="center"/>
              <w:ind w:right="84"/>
              <w:spacing w:after="0" w:line="318" w:lineRule="exact"/>
              <w:rPr>
                <w:sz w:val="20"/>
                <w:szCs w:val="20"/>
                <w:color w:val="auto"/>
              </w:rPr>
            </w:pPr>
            <w:r>
              <w:rPr>
                <w:rFonts w:ascii="Arial" w:cs="Arial" w:eastAsia="Arial" w:hAnsi="Arial"/>
                <w:sz w:val="30"/>
                <w:szCs w:val="30"/>
                <w:b w:val="1"/>
                <w:bCs w:val="1"/>
                <w:color w:val="FFFFFF"/>
                <w:w w:val="84"/>
                <w:vertAlign w:val="subscript"/>
              </w:rPr>
              <w:t>($)</w:t>
            </w:r>
            <w:r>
              <w:rPr>
                <w:rFonts w:ascii="Arial" w:cs="Arial" w:eastAsia="Arial" w:hAnsi="Arial"/>
                <w:sz w:val="11"/>
                <w:szCs w:val="11"/>
                <w:b w:val="1"/>
                <w:bCs w:val="1"/>
                <w:color w:val="FFFFFF"/>
                <w:w w:val="84"/>
              </w:rPr>
              <w:t>(a)</w:t>
            </w:r>
          </w:p>
        </w:tc>
        <w:tc>
          <w:tcPr>
            <w:tcW w:w="1220" w:type="dxa"/>
            <w:vAlign w:val="bottom"/>
            <w:shd w:val="clear" w:color="auto" w:fill="732282"/>
          </w:tcPr>
          <w:p>
            <w:pPr>
              <w:jc w:val="center"/>
              <w:ind w:right="84"/>
              <w:spacing w:after="0" w:line="318" w:lineRule="exact"/>
              <w:rPr>
                <w:sz w:val="20"/>
                <w:szCs w:val="20"/>
                <w:color w:val="auto"/>
              </w:rPr>
            </w:pPr>
            <w:r>
              <w:rPr>
                <w:rFonts w:ascii="Arial" w:cs="Arial" w:eastAsia="Arial" w:hAnsi="Arial"/>
                <w:sz w:val="30"/>
                <w:szCs w:val="30"/>
                <w:b w:val="1"/>
                <w:bCs w:val="1"/>
                <w:color w:val="FFFFFF"/>
                <w:w w:val="88"/>
                <w:vertAlign w:val="subscript"/>
              </w:rPr>
              <w:t>($)</w:t>
            </w:r>
            <w:r>
              <w:rPr>
                <w:rFonts w:ascii="Arial" w:cs="Arial" w:eastAsia="Arial" w:hAnsi="Arial"/>
                <w:sz w:val="11"/>
                <w:szCs w:val="11"/>
                <w:b w:val="1"/>
                <w:bCs w:val="1"/>
                <w:color w:val="FFFFFF"/>
                <w:w w:val="88"/>
              </w:rPr>
              <w:t>(b)</w:t>
            </w:r>
          </w:p>
        </w:tc>
        <w:tc>
          <w:tcPr>
            <w:tcW w:w="1380" w:type="dxa"/>
            <w:vAlign w:val="bottom"/>
            <w:shd w:val="clear" w:color="auto" w:fill="732282"/>
          </w:tcPr>
          <w:p>
            <w:pPr>
              <w:jc w:val="center"/>
              <w:spacing w:after="0" w:line="318" w:lineRule="exact"/>
              <w:rPr>
                <w:sz w:val="20"/>
                <w:szCs w:val="20"/>
                <w:color w:val="auto"/>
              </w:rPr>
            </w:pPr>
            <w:r>
              <w:rPr>
                <w:rFonts w:ascii="Arial" w:cs="Arial" w:eastAsia="Arial" w:hAnsi="Arial"/>
                <w:sz w:val="30"/>
                <w:szCs w:val="30"/>
                <w:b w:val="1"/>
                <w:bCs w:val="1"/>
                <w:color w:val="FFFFFF"/>
                <w:w w:val="84"/>
                <w:vertAlign w:val="subscript"/>
              </w:rPr>
              <w:t>($)</w:t>
            </w:r>
            <w:r>
              <w:rPr>
                <w:rFonts w:ascii="Arial" w:cs="Arial" w:eastAsia="Arial" w:hAnsi="Arial"/>
                <w:sz w:val="11"/>
                <w:szCs w:val="11"/>
                <w:b w:val="1"/>
                <w:bCs w:val="1"/>
                <w:color w:val="FFFFFF"/>
                <w:w w:val="84"/>
              </w:rPr>
              <w:t>(c)</w:t>
            </w:r>
          </w:p>
        </w:tc>
        <w:tc>
          <w:tcPr>
            <w:tcW w:w="1560" w:type="dxa"/>
            <w:vAlign w:val="bottom"/>
            <w:shd w:val="clear" w:color="auto" w:fill="732282"/>
          </w:tcPr>
          <w:p>
            <w:pPr>
              <w:jc w:val="center"/>
              <w:spacing w:after="0" w:line="318" w:lineRule="exact"/>
              <w:rPr>
                <w:sz w:val="20"/>
                <w:szCs w:val="20"/>
                <w:color w:val="auto"/>
              </w:rPr>
            </w:pPr>
            <w:r>
              <w:rPr>
                <w:rFonts w:ascii="Arial" w:cs="Arial" w:eastAsia="Arial" w:hAnsi="Arial"/>
                <w:sz w:val="30"/>
                <w:szCs w:val="30"/>
                <w:b w:val="1"/>
                <w:bCs w:val="1"/>
                <w:color w:val="FFFFFF"/>
                <w:w w:val="88"/>
                <w:vertAlign w:val="subscript"/>
              </w:rPr>
              <w:t>($)</w:t>
            </w:r>
            <w:r>
              <w:rPr>
                <w:rFonts w:ascii="Arial" w:cs="Arial" w:eastAsia="Arial" w:hAnsi="Arial"/>
                <w:sz w:val="11"/>
                <w:szCs w:val="11"/>
                <w:b w:val="1"/>
                <w:bCs w:val="1"/>
                <w:color w:val="FFFFFF"/>
                <w:w w:val="88"/>
              </w:rPr>
              <w:t>(d)</w:t>
            </w:r>
          </w:p>
        </w:tc>
        <w:tc>
          <w:tcPr>
            <w:tcW w:w="1480" w:type="dxa"/>
            <w:vAlign w:val="bottom"/>
            <w:shd w:val="clear" w:color="auto" w:fill="732282"/>
          </w:tcPr>
          <w:p>
            <w:pPr>
              <w:jc w:val="center"/>
              <w:ind w:left="24"/>
              <w:spacing w:after="0" w:line="318" w:lineRule="exact"/>
              <w:rPr>
                <w:sz w:val="20"/>
                <w:szCs w:val="20"/>
                <w:color w:val="auto"/>
              </w:rPr>
            </w:pPr>
            <w:r>
              <w:rPr>
                <w:rFonts w:ascii="Arial" w:cs="Arial" w:eastAsia="Arial" w:hAnsi="Arial"/>
                <w:sz w:val="30"/>
                <w:szCs w:val="30"/>
                <w:b w:val="1"/>
                <w:bCs w:val="1"/>
                <w:color w:val="FFFFFF"/>
                <w:w w:val="89"/>
                <w:vertAlign w:val="subscript"/>
              </w:rPr>
              <w:t>($)</w:t>
            </w:r>
            <w:r>
              <w:rPr>
                <w:rFonts w:ascii="Arial" w:cs="Arial" w:eastAsia="Arial" w:hAnsi="Arial"/>
                <w:sz w:val="11"/>
                <w:szCs w:val="11"/>
                <w:b w:val="1"/>
                <w:bCs w:val="1"/>
                <w:color w:val="FFFFFF"/>
                <w:w w:val="89"/>
              </w:rPr>
              <w:t>(e)</w:t>
            </w:r>
          </w:p>
        </w:tc>
        <w:tc>
          <w:tcPr>
            <w:tcW w:w="1120" w:type="dxa"/>
            <w:vAlign w:val="bottom"/>
            <w:shd w:val="clear" w:color="auto" w:fill="732282"/>
          </w:tcPr>
          <w:p>
            <w:pPr>
              <w:jc w:val="center"/>
              <w:spacing w:after="0" w:line="318" w:lineRule="exact"/>
              <w:rPr>
                <w:sz w:val="20"/>
                <w:szCs w:val="20"/>
                <w:color w:val="auto"/>
              </w:rPr>
            </w:pPr>
            <w:r>
              <w:rPr>
                <w:rFonts w:ascii="Arial" w:cs="Arial" w:eastAsia="Arial" w:hAnsi="Arial"/>
                <w:sz w:val="30"/>
                <w:szCs w:val="30"/>
                <w:b w:val="1"/>
                <w:bCs w:val="1"/>
                <w:color w:val="FFFFFF"/>
                <w:w w:val="84"/>
                <w:vertAlign w:val="subscript"/>
              </w:rPr>
              <w:t>($)</w:t>
            </w:r>
            <w:r>
              <w:rPr>
                <w:rFonts w:ascii="Arial" w:cs="Arial" w:eastAsia="Arial" w:hAnsi="Arial"/>
                <w:sz w:val="11"/>
                <w:szCs w:val="11"/>
                <w:b w:val="1"/>
                <w:bCs w:val="1"/>
                <w:color w:val="FFFFFF"/>
                <w:w w:val="84"/>
              </w:rPr>
              <w:t>(f)</w:t>
            </w:r>
          </w:p>
        </w:tc>
        <w:tc>
          <w:tcPr>
            <w:tcW w:w="740" w:type="dxa"/>
            <w:vAlign w:val="bottom"/>
            <w:shd w:val="clear" w:color="auto" w:fill="732282"/>
          </w:tcPr>
          <w:p>
            <w:pPr>
              <w:jc w:val="right"/>
              <w:ind w:right="185"/>
              <w:spacing w:after="0" w:line="318" w:lineRule="exact"/>
              <w:rPr>
                <w:sz w:val="20"/>
                <w:szCs w:val="20"/>
                <w:color w:val="auto"/>
              </w:rPr>
            </w:pPr>
            <w:r>
              <w:rPr>
                <w:rFonts w:ascii="Arial" w:cs="Arial" w:eastAsia="Arial" w:hAnsi="Arial"/>
                <w:sz w:val="30"/>
                <w:szCs w:val="30"/>
                <w:b w:val="1"/>
                <w:bCs w:val="1"/>
                <w:color w:val="FFFFFF"/>
                <w:vertAlign w:val="subscript"/>
              </w:rPr>
              <w:t>($)</w:t>
            </w:r>
            <w:r>
              <w:rPr>
                <w:rFonts w:ascii="Arial" w:cs="Arial" w:eastAsia="Arial" w:hAnsi="Arial"/>
                <w:sz w:val="11"/>
                <w:szCs w:val="11"/>
                <w:b w:val="1"/>
                <w:bCs w:val="1"/>
                <w:color w:val="FFFFFF"/>
              </w:rPr>
              <w:t>(g)</w:t>
            </w:r>
          </w:p>
        </w:tc>
        <w:tc>
          <w:tcPr>
            <w:tcW w:w="920" w:type="dxa"/>
            <w:vAlign w:val="bottom"/>
            <w:shd w:val="clear" w:color="auto" w:fill="732282"/>
          </w:tcPr>
          <w:p>
            <w:pPr>
              <w:jc w:val="right"/>
              <w:ind w:right="304"/>
              <w:spacing w:after="0"/>
              <w:rPr>
                <w:sz w:val="20"/>
                <w:szCs w:val="20"/>
                <w:color w:val="auto"/>
              </w:rPr>
            </w:pPr>
            <w:r>
              <w:rPr>
                <w:rFonts w:ascii="Arial" w:cs="Arial" w:eastAsia="Arial" w:hAnsi="Arial"/>
                <w:sz w:val="15"/>
                <w:szCs w:val="15"/>
                <w:b w:val="1"/>
                <w:bCs w:val="1"/>
                <w:color w:val="FFFFFF"/>
              </w:rPr>
              <w:t>($)</w:t>
            </w:r>
          </w:p>
        </w:tc>
        <w:tc>
          <w:tcPr>
            <w:tcW w:w="0" w:type="dxa"/>
            <w:vAlign w:val="bottom"/>
          </w:tcPr>
          <w:p>
            <w:pPr>
              <w:spacing w:after="0"/>
              <w:rPr>
                <w:sz w:val="1"/>
                <w:szCs w:val="1"/>
                <w:color w:val="auto"/>
              </w:rPr>
            </w:pPr>
          </w:p>
        </w:tc>
      </w:tr>
      <w:tr>
        <w:trPr>
          <w:trHeight w:val="199"/>
        </w:trPr>
        <w:tc>
          <w:tcPr>
            <w:tcW w:w="920" w:type="dxa"/>
            <w:vAlign w:val="bottom"/>
            <w:shd w:val="clear" w:color="auto" w:fill="E5E5E5"/>
          </w:tcPr>
          <w:p>
            <w:pPr>
              <w:ind w:left="60"/>
              <w:spacing w:after="0"/>
              <w:rPr>
                <w:sz w:val="20"/>
                <w:szCs w:val="20"/>
                <w:color w:val="auto"/>
              </w:rPr>
            </w:pPr>
            <w:r>
              <w:rPr>
                <w:rFonts w:ascii="Arial" w:cs="Arial" w:eastAsia="Arial" w:hAnsi="Arial"/>
                <w:sz w:val="15"/>
                <w:szCs w:val="15"/>
                <w:color w:val="auto"/>
              </w:rPr>
              <w:t>Scott A.</w:t>
            </w:r>
          </w:p>
        </w:tc>
        <w:tc>
          <w:tcPr>
            <w:tcW w:w="6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auto"/>
              </w:rPr>
              <w:t>Smith</w:t>
            </w:r>
          </w:p>
        </w:tc>
        <w:tc>
          <w:tcPr>
            <w:tcW w:w="6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5"/>
                <w:szCs w:val="15"/>
                <w:color w:val="auto"/>
              </w:rPr>
              <w:t>14,458</w:t>
            </w:r>
          </w:p>
        </w:tc>
        <w:tc>
          <w:tcPr>
            <w:tcW w:w="122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163,853</w:t>
            </w:r>
          </w:p>
        </w:tc>
        <w:tc>
          <w:tcPr>
            <w:tcW w:w="13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E5E5E5"/>
            </w:tcBorders>
            <w:shd w:val="clear" w:color="auto" w:fill="E5E5E5"/>
          </w:tcPr>
          <w:p>
            <w:pPr>
              <w:ind w:left="580"/>
              <w:spacing w:after="0"/>
              <w:rPr>
                <w:sz w:val="20"/>
                <w:szCs w:val="20"/>
                <w:color w:val="auto"/>
              </w:rPr>
            </w:pPr>
            <w:r>
              <w:rPr>
                <w:rFonts w:ascii="Arial" w:cs="Arial" w:eastAsia="Arial" w:hAnsi="Arial"/>
                <w:sz w:val="15"/>
                <w:szCs w:val="15"/>
                <w:color w:val="auto"/>
              </w:rPr>
              <w:t>37,177</w:t>
            </w:r>
          </w:p>
        </w:tc>
        <w:tc>
          <w:tcPr>
            <w:tcW w:w="14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188,587</w:t>
            </w:r>
          </w:p>
        </w:tc>
        <w:tc>
          <w:tcPr>
            <w:tcW w:w="1120" w:type="dxa"/>
            <w:vAlign w:val="bottom"/>
            <w:tcBorders>
              <w:bottom w:val="single" w:sz="8" w:color="E5E5E5"/>
            </w:tcBorders>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E5E5E5"/>
            </w:tcBorders>
            <w:shd w:val="clear" w:color="auto" w:fill="E5E5E5"/>
          </w:tcPr>
          <w:p>
            <w:pPr>
              <w:jc w:val="right"/>
              <w:ind w:right="5"/>
              <w:spacing w:after="0"/>
              <w:rPr>
                <w:sz w:val="20"/>
                <w:szCs w:val="20"/>
                <w:color w:val="auto"/>
              </w:rPr>
            </w:pPr>
            <w:r>
              <w:rPr>
                <w:rFonts w:ascii="Arial" w:cs="Arial" w:eastAsia="Arial" w:hAnsi="Arial"/>
                <w:sz w:val="15"/>
                <w:szCs w:val="15"/>
                <w:color w:val="auto"/>
              </w:rPr>
              <w:t>418,755</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5"/>
                <w:szCs w:val="15"/>
                <w:color w:val="auto"/>
              </w:rPr>
              <w:t>822,830</w:t>
            </w:r>
          </w:p>
        </w:tc>
        <w:tc>
          <w:tcPr>
            <w:tcW w:w="0" w:type="dxa"/>
            <w:vAlign w:val="bottom"/>
          </w:tcPr>
          <w:p>
            <w:pPr>
              <w:spacing w:after="0"/>
              <w:rPr>
                <w:sz w:val="1"/>
                <w:szCs w:val="1"/>
                <w:color w:val="auto"/>
              </w:rPr>
            </w:pPr>
          </w:p>
        </w:tc>
      </w:tr>
      <w:tr>
        <w:trPr>
          <w:trHeight w:val="199"/>
        </w:trPr>
        <w:tc>
          <w:tcPr>
            <w:tcW w:w="920" w:type="dxa"/>
            <w:vAlign w:val="bottom"/>
          </w:tcPr>
          <w:p>
            <w:pPr>
              <w:ind w:left="60"/>
              <w:spacing w:after="0"/>
              <w:rPr>
                <w:sz w:val="20"/>
                <w:szCs w:val="20"/>
                <w:color w:val="auto"/>
              </w:rPr>
            </w:pPr>
            <w:r>
              <w:rPr>
                <w:rFonts w:ascii="Arial" w:cs="Arial" w:eastAsia="Arial" w:hAnsi="Arial"/>
                <w:sz w:val="15"/>
                <w:szCs w:val="15"/>
                <w:color w:val="auto"/>
              </w:rPr>
              <w:t>Sanjeev</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60"/>
              <w:spacing w:after="0"/>
              <w:rPr>
                <w:sz w:val="20"/>
                <w:szCs w:val="20"/>
                <w:color w:val="auto"/>
              </w:rPr>
            </w:pPr>
            <w:r>
              <w:rPr>
                <w:rFonts w:ascii="Arial" w:cs="Arial" w:eastAsia="Arial" w:hAnsi="Arial"/>
                <w:sz w:val="15"/>
                <w:szCs w:val="15"/>
                <w:color w:val="auto"/>
              </w:rPr>
              <w:t>Narula</w:t>
            </w:r>
          </w:p>
        </w:tc>
        <w:tc>
          <w:tcPr>
            <w:tcW w:w="600" w:type="dxa"/>
            <w:vAlign w:val="bottom"/>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19,200</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175,942</w:t>
            </w:r>
          </w:p>
        </w:tc>
        <w:tc>
          <w:tcPr>
            <w:tcW w:w="1560" w:type="dxa"/>
            <w:vAlign w:val="bottom"/>
          </w:tcPr>
          <w:p>
            <w:pPr>
              <w:ind w:left="580"/>
              <w:spacing w:after="0"/>
              <w:rPr>
                <w:sz w:val="20"/>
                <w:szCs w:val="20"/>
                <w:color w:val="auto"/>
              </w:rPr>
            </w:pPr>
            <w:r>
              <w:rPr>
                <w:rFonts w:ascii="Arial" w:cs="Arial" w:eastAsia="Arial" w:hAnsi="Arial"/>
                <w:sz w:val="15"/>
                <w:szCs w:val="15"/>
                <w:color w:val="auto"/>
              </w:rPr>
              <w:t>29,638</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243,768</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1,755</w:t>
            </w:r>
          </w:p>
        </w:tc>
        <w:tc>
          <w:tcPr>
            <w:tcW w:w="920" w:type="dxa"/>
            <w:vAlign w:val="bottom"/>
          </w:tcPr>
          <w:p>
            <w:pPr>
              <w:jc w:val="right"/>
              <w:spacing w:after="0"/>
              <w:rPr>
                <w:sz w:val="20"/>
                <w:szCs w:val="20"/>
                <w:color w:val="auto"/>
              </w:rPr>
            </w:pPr>
            <w:r>
              <w:rPr>
                <w:rFonts w:ascii="Arial" w:cs="Arial" w:eastAsia="Arial" w:hAnsi="Arial"/>
                <w:sz w:val="15"/>
                <w:szCs w:val="15"/>
                <w:color w:val="auto"/>
              </w:rPr>
              <w:t>470,303</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5"/>
                <w:szCs w:val="15"/>
                <w:color w:val="auto"/>
              </w:rPr>
              <w:t>2022</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19,262</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4,756</w:t>
            </w:r>
          </w:p>
        </w:tc>
        <w:tc>
          <w:tcPr>
            <w:tcW w:w="1560" w:type="dxa"/>
            <w:vAlign w:val="bottom"/>
          </w:tcPr>
          <w:p>
            <w:pPr>
              <w:ind w:left="580"/>
              <w:spacing w:after="0"/>
              <w:rPr>
                <w:sz w:val="20"/>
                <w:szCs w:val="20"/>
                <w:color w:val="auto"/>
              </w:rPr>
            </w:pPr>
            <w:r>
              <w:rPr>
                <w:rFonts w:ascii="Arial" w:cs="Arial" w:eastAsia="Arial" w:hAnsi="Arial"/>
                <w:sz w:val="15"/>
                <w:szCs w:val="15"/>
                <w:color w:val="auto"/>
              </w:rPr>
              <w:t>27,504</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228,450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1,688</w:t>
            </w:r>
          </w:p>
        </w:tc>
        <w:tc>
          <w:tcPr>
            <w:tcW w:w="920" w:type="dxa"/>
            <w:vAlign w:val="bottom"/>
          </w:tcPr>
          <w:p>
            <w:pPr>
              <w:jc w:val="right"/>
              <w:spacing w:after="0"/>
              <w:rPr>
                <w:sz w:val="20"/>
                <w:szCs w:val="20"/>
                <w:color w:val="auto"/>
              </w:rPr>
            </w:pPr>
            <w:r>
              <w:rPr>
                <w:rFonts w:ascii="Arial" w:cs="Arial" w:eastAsia="Arial" w:hAnsi="Arial"/>
                <w:sz w:val="15"/>
                <w:szCs w:val="15"/>
                <w:color w:val="auto"/>
              </w:rPr>
              <w:t>281,660</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5"/>
                <w:szCs w:val="15"/>
                <w:color w:val="auto"/>
              </w:rPr>
              <w:t>2021</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19,200</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336,440</w:t>
            </w:r>
          </w:p>
        </w:tc>
        <w:tc>
          <w:tcPr>
            <w:tcW w:w="1560" w:type="dxa"/>
            <w:vAlign w:val="bottom"/>
          </w:tcPr>
          <w:p>
            <w:pPr>
              <w:ind w:left="580"/>
              <w:spacing w:after="0"/>
              <w:rPr>
                <w:sz w:val="20"/>
                <w:szCs w:val="20"/>
                <w:color w:val="auto"/>
              </w:rPr>
            </w:pPr>
            <w:r>
              <w:rPr>
                <w:rFonts w:ascii="Arial" w:cs="Arial" w:eastAsia="Arial" w:hAnsi="Arial"/>
                <w:sz w:val="15"/>
                <w:szCs w:val="15"/>
                <w:color w:val="auto"/>
              </w:rPr>
              <w:t>26,454</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139,419</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4,601</w:t>
            </w:r>
          </w:p>
        </w:tc>
        <w:tc>
          <w:tcPr>
            <w:tcW w:w="920" w:type="dxa"/>
            <w:vAlign w:val="bottom"/>
          </w:tcPr>
          <w:p>
            <w:pPr>
              <w:jc w:val="right"/>
              <w:spacing w:after="0"/>
              <w:rPr>
                <w:sz w:val="20"/>
                <w:szCs w:val="20"/>
                <w:color w:val="auto"/>
              </w:rPr>
            </w:pPr>
            <w:r>
              <w:rPr>
                <w:rFonts w:ascii="Arial" w:cs="Arial" w:eastAsia="Arial" w:hAnsi="Arial"/>
                <w:sz w:val="15"/>
                <w:szCs w:val="15"/>
                <w:color w:val="auto"/>
              </w:rPr>
              <w:t>526,114</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shd w:val="clear" w:color="auto" w:fill="E5E5E5"/>
          </w:tcPr>
          <w:p>
            <w:pPr>
              <w:ind w:left="60"/>
              <w:spacing w:after="0"/>
              <w:rPr>
                <w:sz w:val="20"/>
                <w:szCs w:val="20"/>
                <w:color w:val="auto"/>
              </w:rPr>
            </w:pPr>
            <w:r>
              <w:rPr>
                <w:rFonts w:ascii="Arial" w:cs="Arial" w:eastAsia="Arial" w:hAnsi="Arial"/>
                <w:sz w:val="15"/>
                <w:szCs w:val="15"/>
                <w:color w:val="auto"/>
              </w:rPr>
              <w:t>Rajiv Malik</w:t>
            </w:r>
          </w:p>
        </w:tc>
        <w:tc>
          <w:tcPr>
            <w:tcW w:w="600" w:type="dxa"/>
            <w:vAlign w:val="bottom"/>
            <w:shd w:val="clear" w:color="auto" w:fill="E5E5E5"/>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shd w:val="clear" w:color="auto" w:fill="E5E5E5"/>
          </w:tcPr>
          <w:p>
            <w:pPr>
              <w:jc w:val="right"/>
              <w:ind w:right="184"/>
              <w:spacing w:after="0"/>
              <w:rPr>
                <w:sz w:val="20"/>
                <w:szCs w:val="20"/>
                <w:color w:val="auto"/>
              </w:rPr>
            </w:pPr>
            <w:r>
              <w:rPr>
                <w:rFonts w:ascii="Arial" w:cs="Arial" w:eastAsia="Arial" w:hAnsi="Arial"/>
                <w:sz w:val="15"/>
                <w:szCs w:val="15"/>
                <w:color w:val="auto"/>
              </w:rPr>
              <w:t>32,894</w:t>
            </w:r>
          </w:p>
        </w:tc>
        <w:tc>
          <w:tcPr>
            <w:tcW w:w="122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47,551</w:t>
            </w:r>
          </w:p>
        </w:tc>
        <w:tc>
          <w:tcPr>
            <w:tcW w:w="13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ind w:left="580"/>
              <w:spacing w:after="0"/>
              <w:rPr>
                <w:sz w:val="20"/>
                <w:szCs w:val="20"/>
                <w:color w:val="auto"/>
              </w:rPr>
            </w:pPr>
            <w:r>
              <w:rPr>
                <w:rFonts w:ascii="Arial" w:cs="Arial" w:eastAsia="Arial" w:hAnsi="Arial"/>
                <w:sz w:val="15"/>
                <w:szCs w:val="15"/>
                <w:color w:val="auto"/>
              </w:rPr>
              <w:t>36,131</w:t>
            </w:r>
          </w:p>
        </w:tc>
        <w:tc>
          <w:tcPr>
            <w:tcW w:w="14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263,727</w:t>
            </w:r>
          </w:p>
        </w:tc>
        <w:tc>
          <w:tcPr>
            <w:tcW w:w="112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shd w:val="clear" w:color="auto" w:fill="E5E5E5"/>
          </w:tcPr>
          <w:p>
            <w:pPr>
              <w:jc w:val="right"/>
              <w:ind w:right="5"/>
              <w:spacing w:after="0"/>
              <w:rPr>
                <w:sz w:val="20"/>
                <w:szCs w:val="20"/>
                <w:color w:val="auto"/>
              </w:rPr>
            </w:pPr>
            <w:r>
              <w:rPr>
                <w:rFonts w:ascii="Arial" w:cs="Arial" w:eastAsia="Arial" w:hAnsi="Arial"/>
                <w:sz w:val="15"/>
                <w:szCs w:val="15"/>
                <w:color w:val="auto"/>
              </w:rPr>
              <w:t>42,742</w:t>
            </w:r>
          </w:p>
        </w:tc>
        <w:tc>
          <w:tcPr>
            <w:tcW w:w="9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423,045</w:t>
            </w:r>
          </w:p>
        </w:tc>
        <w:tc>
          <w:tcPr>
            <w:tcW w:w="0" w:type="dxa"/>
            <w:vAlign w:val="bottom"/>
          </w:tcPr>
          <w:p>
            <w:pPr>
              <w:spacing w:after="0"/>
              <w:rPr>
                <w:sz w:val="1"/>
                <w:szCs w:val="1"/>
                <w:color w:val="auto"/>
              </w:rPr>
            </w:pPr>
          </w:p>
        </w:tc>
      </w:tr>
      <w:tr>
        <w:trPr>
          <w:trHeight w:val="270"/>
        </w:trPr>
        <w:tc>
          <w:tcPr>
            <w:tcW w:w="920" w:type="dxa"/>
            <w:vAlign w:val="bottom"/>
            <w:shd w:val="clear" w:color="auto" w:fill="E5E5E5"/>
          </w:tcPr>
          <w:p>
            <w:pPr>
              <w:spacing w:after="0"/>
              <w:rPr>
                <w:sz w:val="23"/>
                <w:szCs w:val="23"/>
                <w:color w:val="auto"/>
              </w:rPr>
            </w:pPr>
          </w:p>
        </w:tc>
        <w:tc>
          <w:tcPr>
            <w:tcW w:w="600" w:type="dxa"/>
            <w:vAlign w:val="bottom"/>
            <w:shd w:val="clear" w:color="auto" w:fill="E5E5E5"/>
          </w:tcPr>
          <w:p>
            <w:pPr>
              <w:ind w:left="200"/>
              <w:spacing w:after="0"/>
              <w:rPr>
                <w:sz w:val="20"/>
                <w:szCs w:val="20"/>
                <w:color w:val="auto"/>
              </w:rPr>
            </w:pPr>
            <w:r>
              <w:rPr>
                <w:rFonts w:ascii="Arial" w:cs="Arial" w:eastAsia="Arial" w:hAnsi="Arial"/>
                <w:sz w:val="15"/>
                <w:szCs w:val="15"/>
                <w:color w:val="auto"/>
              </w:rPr>
              <w:t>2022</w:t>
            </w:r>
          </w:p>
        </w:tc>
        <w:tc>
          <w:tcPr>
            <w:tcW w:w="1080" w:type="dxa"/>
            <w:vAlign w:val="bottom"/>
            <w:shd w:val="clear" w:color="auto" w:fill="E5E5E5"/>
          </w:tcPr>
          <w:p>
            <w:pPr>
              <w:jc w:val="right"/>
              <w:ind w:right="184"/>
              <w:spacing w:after="0"/>
              <w:rPr>
                <w:sz w:val="20"/>
                <w:szCs w:val="20"/>
                <w:color w:val="auto"/>
              </w:rPr>
            </w:pPr>
            <w:r>
              <w:rPr>
                <w:rFonts w:ascii="Arial" w:cs="Arial" w:eastAsia="Arial" w:hAnsi="Arial"/>
                <w:sz w:val="15"/>
                <w:szCs w:val="15"/>
                <w:color w:val="auto"/>
              </w:rPr>
              <w:t>30,998</w:t>
            </w:r>
          </w:p>
        </w:tc>
        <w:tc>
          <w:tcPr>
            <w:tcW w:w="122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71,273</w:t>
            </w:r>
          </w:p>
        </w:tc>
        <w:tc>
          <w:tcPr>
            <w:tcW w:w="13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ind w:left="580"/>
              <w:spacing w:after="0"/>
              <w:rPr>
                <w:sz w:val="20"/>
                <w:szCs w:val="20"/>
                <w:color w:val="auto"/>
              </w:rPr>
            </w:pPr>
            <w:r>
              <w:rPr>
                <w:rFonts w:ascii="Arial" w:cs="Arial" w:eastAsia="Arial" w:hAnsi="Arial"/>
                <w:sz w:val="15"/>
                <w:szCs w:val="15"/>
                <w:color w:val="auto"/>
              </w:rPr>
              <w:t>37,519</w:t>
            </w:r>
          </w:p>
        </w:tc>
        <w:tc>
          <w:tcPr>
            <w:tcW w:w="14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262,749</w:t>
            </w:r>
          </w:p>
        </w:tc>
        <w:tc>
          <w:tcPr>
            <w:tcW w:w="112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shd w:val="clear" w:color="auto" w:fill="E5E5E5"/>
          </w:tcPr>
          <w:p>
            <w:pPr>
              <w:jc w:val="right"/>
              <w:ind w:right="5"/>
              <w:spacing w:after="0"/>
              <w:rPr>
                <w:sz w:val="20"/>
                <w:szCs w:val="20"/>
                <w:color w:val="auto"/>
              </w:rPr>
            </w:pPr>
            <w:r>
              <w:rPr>
                <w:rFonts w:ascii="Arial" w:cs="Arial" w:eastAsia="Arial" w:hAnsi="Arial"/>
                <w:sz w:val="15"/>
                <w:szCs w:val="15"/>
                <w:color w:val="auto"/>
              </w:rPr>
              <w:t>2,895</w:t>
            </w:r>
          </w:p>
        </w:tc>
        <w:tc>
          <w:tcPr>
            <w:tcW w:w="9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405,434</w:t>
            </w:r>
          </w:p>
        </w:tc>
        <w:tc>
          <w:tcPr>
            <w:tcW w:w="0" w:type="dxa"/>
            <w:vAlign w:val="bottom"/>
          </w:tcPr>
          <w:p>
            <w:pPr>
              <w:spacing w:after="0"/>
              <w:rPr>
                <w:sz w:val="1"/>
                <w:szCs w:val="1"/>
                <w:color w:val="auto"/>
              </w:rPr>
            </w:pPr>
          </w:p>
        </w:tc>
      </w:tr>
      <w:tr>
        <w:trPr>
          <w:trHeight w:val="283"/>
        </w:trPr>
        <w:tc>
          <w:tcPr>
            <w:tcW w:w="92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5"/>
                <w:szCs w:val="15"/>
                <w:color w:val="auto"/>
              </w:rPr>
              <w:t>2021</w:t>
            </w:r>
          </w:p>
        </w:tc>
        <w:tc>
          <w:tcPr>
            <w:tcW w:w="108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5"/>
                <w:szCs w:val="15"/>
                <w:color w:val="auto"/>
              </w:rPr>
              <w:t>6,847</w:t>
            </w:r>
          </w:p>
        </w:tc>
        <w:tc>
          <w:tcPr>
            <w:tcW w:w="122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62,141</w:t>
            </w:r>
          </w:p>
        </w:tc>
        <w:tc>
          <w:tcPr>
            <w:tcW w:w="13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26,036</w:t>
            </w:r>
          </w:p>
        </w:tc>
        <w:tc>
          <w:tcPr>
            <w:tcW w:w="1560" w:type="dxa"/>
            <w:vAlign w:val="bottom"/>
            <w:tcBorders>
              <w:bottom w:val="single" w:sz="8" w:color="E5E5E5"/>
            </w:tcBorders>
            <w:shd w:val="clear" w:color="auto" w:fill="E5E5E5"/>
          </w:tcPr>
          <w:p>
            <w:pPr>
              <w:ind w:left="580"/>
              <w:spacing w:after="0"/>
              <w:rPr>
                <w:sz w:val="20"/>
                <w:szCs w:val="20"/>
                <w:color w:val="auto"/>
              </w:rPr>
            </w:pPr>
            <w:r>
              <w:rPr>
                <w:rFonts w:ascii="Arial" w:cs="Arial" w:eastAsia="Arial" w:hAnsi="Arial"/>
                <w:sz w:val="15"/>
                <w:szCs w:val="15"/>
                <w:color w:val="auto"/>
              </w:rPr>
              <w:t>32,700</w:t>
            </w:r>
          </w:p>
        </w:tc>
        <w:tc>
          <w:tcPr>
            <w:tcW w:w="14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228,787</w:t>
            </w:r>
          </w:p>
        </w:tc>
        <w:tc>
          <w:tcPr>
            <w:tcW w:w="1120" w:type="dxa"/>
            <w:vAlign w:val="bottom"/>
            <w:tcBorders>
              <w:bottom w:val="single" w:sz="8" w:color="E5E5E5"/>
            </w:tcBorders>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E5E5E5"/>
            </w:tcBorders>
            <w:shd w:val="clear" w:color="auto" w:fill="E5E5E5"/>
          </w:tcPr>
          <w:p>
            <w:pPr>
              <w:jc w:val="right"/>
              <w:ind w:right="5"/>
              <w:spacing w:after="0"/>
              <w:rPr>
                <w:sz w:val="20"/>
                <w:szCs w:val="20"/>
                <w:color w:val="auto"/>
              </w:rPr>
            </w:pPr>
            <w:r>
              <w:rPr>
                <w:rFonts w:ascii="Arial" w:cs="Arial" w:eastAsia="Arial" w:hAnsi="Arial"/>
                <w:sz w:val="15"/>
                <w:szCs w:val="15"/>
                <w:color w:val="auto"/>
              </w:rPr>
              <w:t>7,172</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5"/>
                <w:szCs w:val="15"/>
                <w:color w:val="auto"/>
              </w:rPr>
              <w:t>363,683</w:t>
            </w:r>
          </w:p>
        </w:tc>
        <w:tc>
          <w:tcPr>
            <w:tcW w:w="0" w:type="dxa"/>
            <w:vAlign w:val="bottom"/>
          </w:tcPr>
          <w:p>
            <w:pPr>
              <w:spacing w:after="0"/>
              <w:rPr>
                <w:sz w:val="1"/>
                <w:szCs w:val="1"/>
                <w:color w:val="auto"/>
              </w:rPr>
            </w:pPr>
          </w:p>
        </w:tc>
      </w:tr>
      <w:tr>
        <w:trPr>
          <w:trHeight w:val="199"/>
        </w:trPr>
        <w:tc>
          <w:tcPr>
            <w:tcW w:w="920" w:type="dxa"/>
            <w:vAlign w:val="bottom"/>
          </w:tcPr>
          <w:p>
            <w:pPr>
              <w:ind w:left="60"/>
              <w:spacing w:after="0"/>
              <w:rPr>
                <w:sz w:val="20"/>
                <w:szCs w:val="20"/>
                <w:color w:val="auto"/>
              </w:rPr>
            </w:pPr>
            <w:r>
              <w:rPr>
                <w:rFonts w:ascii="Arial" w:cs="Arial" w:eastAsia="Arial" w:hAnsi="Arial"/>
                <w:sz w:val="15"/>
                <w:szCs w:val="15"/>
                <w:color w:val="auto"/>
              </w:rPr>
              <w:t>Anthony</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60"/>
              <w:spacing w:after="0"/>
              <w:rPr>
                <w:sz w:val="20"/>
                <w:szCs w:val="20"/>
                <w:color w:val="auto"/>
              </w:rPr>
            </w:pPr>
            <w:r>
              <w:rPr>
                <w:rFonts w:ascii="Arial" w:cs="Arial" w:eastAsia="Arial" w:hAnsi="Arial"/>
                <w:sz w:val="15"/>
                <w:szCs w:val="15"/>
                <w:color w:val="auto"/>
              </w:rPr>
              <w:t>Mauro</w:t>
            </w:r>
          </w:p>
        </w:tc>
        <w:tc>
          <w:tcPr>
            <w:tcW w:w="600" w:type="dxa"/>
            <w:vAlign w:val="bottom"/>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19,200</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tcPr>
          <w:p>
            <w:pPr>
              <w:ind w:left="580"/>
              <w:spacing w:after="0"/>
              <w:rPr>
                <w:sz w:val="20"/>
                <w:szCs w:val="20"/>
                <w:color w:val="auto"/>
              </w:rPr>
            </w:pPr>
            <w:r>
              <w:rPr>
                <w:rFonts w:ascii="Arial" w:cs="Arial" w:eastAsia="Arial" w:hAnsi="Arial"/>
                <w:sz w:val="15"/>
                <w:szCs w:val="15"/>
                <w:color w:val="auto"/>
              </w:rPr>
              <w:t>37,369</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250,346</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26,581</w:t>
            </w:r>
          </w:p>
        </w:tc>
        <w:tc>
          <w:tcPr>
            <w:tcW w:w="920" w:type="dxa"/>
            <w:vAlign w:val="bottom"/>
          </w:tcPr>
          <w:p>
            <w:pPr>
              <w:jc w:val="right"/>
              <w:spacing w:after="0"/>
              <w:rPr>
                <w:sz w:val="20"/>
                <w:szCs w:val="20"/>
                <w:color w:val="auto"/>
              </w:rPr>
            </w:pPr>
            <w:r>
              <w:rPr>
                <w:rFonts w:ascii="Arial" w:cs="Arial" w:eastAsia="Arial" w:hAnsi="Arial"/>
                <w:sz w:val="15"/>
                <w:szCs w:val="15"/>
                <w:color w:val="auto"/>
              </w:rPr>
              <w:t>333,496</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5"/>
                <w:szCs w:val="15"/>
                <w:color w:val="auto"/>
              </w:rPr>
              <w:t>2022</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19,200</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tcPr>
          <w:p>
            <w:pPr>
              <w:ind w:left="580"/>
              <w:spacing w:after="0"/>
              <w:rPr>
                <w:sz w:val="20"/>
                <w:szCs w:val="20"/>
                <w:color w:val="auto"/>
              </w:rPr>
            </w:pPr>
            <w:r>
              <w:rPr>
                <w:rFonts w:ascii="Arial" w:cs="Arial" w:eastAsia="Arial" w:hAnsi="Arial"/>
                <w:sz w:val="15"/>
                <w:szCs w:val="15"/>
                <w:color w:val="auto"/>
              </w:rPr>
              <w:t>39,666</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244,857</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14,245</w:t>
            </w:r>
          </w:p>
        </w:tc>
        <w:tc>
          <w:tcPr>
            <w:tcW w:w="920" w:type="dxa"/>
            <w:vAlign w:val="bottom"/>
          </w:tcPr>
          <w:p>
            <w:pPr>
              <w:jc w:val="right"/>
              <w:spacing w:after="0"/>
              <w:rPr>
                <w:sz w:val="20"/>
                <w:szCs w:val="20"/>
                <w:color w:val="auto"/>
              </w:rPr>
            </w:pPr>
            <w:r>
              <w:rPr>
                <w:rFonts w:ascii="Arial" w:cs="Arial" w:eastAsia="Arial" w:hAnsi="Arial"/>
                <w:sz w:val="15"/>
                <w:szCs w:val="15"/>
                <w:color w:val="auto"/>
              </w:rPr>
              <w:t>317,968</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5"/>
                <w:szCs w:val="15"/>
                <w:color w:val="auto"/>
              </w:rPr>
              <w:t>2021</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19,200</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9,150</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tcPr>
          <w:p>
            <w:pPr>
              <w:ind w:left="580"/>
              <w:spacing w:after="0"/>
              <w:rPr>
                <w:sz w:val="20"/>
                <w:szCs w:val="20"/>
                <w:color w:val="auto"/>
              </w:rPr>
            </w:pPr>
            <w:r>
              <w:rPr>
                <w:rFonts w:ascii="Arial" w:cs="Arial" w:eastAsia="Arial" w:hAnsi="Arial"/>
                <w:sz w:val="15"/>
                <w:szCs w:val="15"/>
                <w:color w:val="auto"/>
              </w:rPr>
              <w:t>31,570</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230,711</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6,023</w:t>
            </w:r>
          </w:p>
        </w:tc>
        <w:tc>
          <w:tcPr>
            <w:tcW w:w="920" w:type="dxa"/>
            <w:vAlign w:val="bottom"/>
          </w:tcPr>
          <w:p>
            <w:pPr>
              <w:jc w:val="right"/>
              <w:spacing w:after="0"/>
              <w:rPr>
                <w:sz w:val="20"/>
                <w:szCs w:val="20"/>
                <w:color w:val="auto"/>
              </w:rPr>
            </w:pPr>
            <w:r>
              <w:rPr>
                <w:rFonts w:ascii="Arial" w:cs="Arial" w:eastAsia="Arial" w:hAnsi="Arial"/>
                <w:sz w:val="15"/>
                <w:szCs w:val="15"/>
                <w:color w:val="auto"/>
              </w:rPr>
              <w:t>296,654</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20" w:type="dxa"/>
            <w:vAlign w:val="bottom"/>
            <w:shd w:val="clear" w:color="auto" w:fill="E5E5E5"/>
          </w:tcPr>
          <w:p>
            <w:pPr>
              <w:ind w:left="60"/>
              <w:spacing w:after="0"/>
              <w:rPr>
                <w:sz w:val="20"/>
                <w:szCs w:val="20"/>
                <w:color w:val="auto"/>
              </w:rPr>
            </w:pPr>
            <w:r>
              <w:rPr>
                <w:rFonts w:ascii="Arial" w:cs="Arial" w:eastAsia="Arial" w:hAnsi="Arial"/>
                <w:sz w:val="15"/>
                <w:szCs w:val="15"/>
                <w:color w:val="auto"/>
              </w:rPr>
              <w:t>Brian</w:t>
            </w:r>
          </w:p>
        </w:tc>
        <w:tc>
          <w:tcPr>
            <w:tcW w:w="6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color w:val="auto"/>
              </w:rPr>
              <w:t>Roman</w:t>
            </w:r>
          </w:p>
        </w:tc>
        <w:tc>
          <w:tcPr>
            <w:tcW w:w="6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5"/>
                <w:szCs w:val="15"/>
                <w:color w:val="auto"/>
              </w:rPr>
              <w:t>16,800</w:t>
            </w:r>
          </w:p>
        </w:tc>
        <w:tc>
          <w:tcPr>
            <w:tcW w:w="122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E5E5E5"/>
            </w:tcBorders>
            <w:shd w:val="clear" w:color="auto" w:fill="E5E5E5"/>
          </w:tcPr>
          <w:p>
            <w:pPr>
              <w:ind w:left="580"/>
              <w:spacing w:after="0"/>
              <w:rPr>
                <w:sz w:val="20"/>
                <w:szCs w:val="20"/>
                <w:color w:val="auto"/>
              </w:rPr>
            </w:pPr>
            <w:r>
              <w:rPr>
                <w:rFonts w:ascii="Arial" w:cs="Arial" w:eastAsia="Arial" w:hAnsi="Arial"/>
                <w:sz w:val="15"/>
                <w:szCs w:val="15"/>
                <w:color w:val="auto"/>
              </w:rPr>
              <w:t>36,515</w:t>
            </w:r>
          </w:p>
        </w:tc>
        <w:tc>
          <w:tcPr>
            <w:tcW w:w="14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206,747</w:t>
            </w:r>
          </w:p>
        </w:tc>
        <w:tc>
          <w:tcPr>
            <w:tcW w:w="1120" w:type="dxa"/>
            <w:vAlign w:val="bottom"/>
            <w:tcBorders>
              <w:bottom w:val="single" w:sz="8" w:color="E5E5E5"/>
            </w:tcBorders>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E5E5E5"/>
            </w:tcBorders>
            <w:shd w:val="clear" w:color="auto" w:fill="E5E5E5"/>
          </w:tcPr>
          <w:p>
            <w:pPr>
              <w:jc w:val="right"/>
              <w:ind w:right="5"/>
              <w:spacing w:after="0"/>
              <w:rPr>
                <w:sz w:val="20"/>
                <w:szCs w:val="20"/>
                <w:color w:val="auto"/>
              </w:rPr>
            </w:pPr>
            <w:r>
              <w:rPr>
                <w:rFonts w:ascii="Arial" w:cs="Arial" w:eastAsia="Arial" w:hAnsi="Arial"/>
                <w:sz w:val="15"/>
                <w:szCs w:val="15"/>
                <w:color w:val="auto"/>
              </w:rPr>
              <w:t>3,191</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5"/>
                <w:szCs w:val="15"/>
                <w:color w:val="auto"/>
              </w:rPr>
              <w:t>263,253</w:t>
            </w:r>
          </w:p>
        </w:tc>
        <w:tc>
          <w:tcPr>
            <w:tcW w:w="0" w:type="dxa"/>
            <w:vAlign w:val="bottom"/>
          </w:tcPr>
          <w:p>
            <w:pPr>
              <w:spacing w:after="0"/>
              <w:rPr>
                <w:sz w:val="1"/>
                <w:szCs w:val="1"/>
                <w:color w:val="auto"/>
              </w:rPr>
            </w:pPr>
          </w:p>
        </w:tc>
      </w:tr>
      <w:tr>
        <w:trPr>
          <w:trHeight w:val="199"/>
        </w:trPr>
        <w:tc>
          <w:tcPr>
            <w:tcW w:w="920" w:type="dxa"/>
            <w:vAlign w:val="bottom"/>
          </w:tcPr>
          <w:p>
            <w:pPr>
              <w:ind w:left="60"/>
              <w:spacing w:after="0"/>
              <w:rPr>
                <w:sz w:val="20"/>
                <w:szCs w:val="20"/>
                <w:color w:val="auto"/>
              </w:rPr>
            </w:pPr>
            <w:r>
              <w:rPr>
                <w:rFonts w:ascii="Arial" w:cs="Arial" w:eastAsia="Arial" w:hAnsi="Arial"/>
                <w:sz w:val="15"/>
                <w:szCs w:val="15"/>
                <w:color w:val="auto"/>
              </w:rPr>
              <w:t>Michael</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60"/>
              <w:spacing w:after="0"/>
              <w:rPr>
                <w:sz w:val="20"/>
                <w:szCs w:val="20"/>
                <w:color w:val="auto"/>
              </w:rPr>
            </w:pPr>
            <w:r>
              <w:rPr>
                <w:rFonts w:ascii="Arial" w:cs="Arial" w:eastAsia="Arial" w:hAnsi="Arial"/>
                <w:sz w:val="15"/>
                <w:szCs w:val="15"/>
                <w:color w:val="auto"/>
              </w:rPr>
              <w:t>Goettler</w:t>
            </w:r>
          </w:p>
        </w:tc>
        <w:tc>
          <w:tcPr>
            <w:tcW w:w="600" w:type="dxa"/>
            <w:vAlign w:val="bottom"/>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4,894</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41,648</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3,389</w:t>
            </w:r>
          </w:p>
        </w:tc>
        <w:tc>
          <w:tcPr>
            <w:tcW w:w="1560" w:type="dxa"/>
            <w:vAlign w:val="bottom"/>
          </w:tcPr>
          <w:p>
            <w:pPr>
              <w:ind w:left="580"/>
              <w:spacing w:after="0"/>
              <w:rPr>
                <w:sz w:val="20"/>
                <w:szCs w:val="20"/>
                <w:color w:val="auto"/>
              </w:rPr>
            </w:pPr>
            <w:r>
              <w:rPr>
                <w:rFonts w:ascii="Arial" w:cs="Arial" w:eastAsia="Arial" w:hAnsi="Arial"/>
                <w:sz w:val="15"/>
                <w:szCs w:val="15"/>
                <w:color w:val="auto"/>
              </w:rPr>
              <w:t>33,100</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273,900</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8,250,000</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453</w:t>
            </w:r>
          </w:p>
        </w:tc>
        <w:tc>
          <w:tcPr>
            <w:tcW w:w="920" w:type="dxa"/>
            <w:vAlign w:val="bottom"/>
          </w:tcPr>
          <w:p>
            <w:pPr>
              <w:jc w:val="right"/>
              <w:spacing w:after="0"/>
              <w:rPr>
                <w:sz w:val="20"/>
                <w:szCs w:val="20"/>
                <w:color w:val="auto"/>
              </w:rPr>
            </w:pPr>
            <w:r>
              <w:rPr>
                <w:rFonts w:ascii="Arial" w:cs="Arial" w:eastAsia="Arial" w:hAnsi="Arial"/>
                <w:sz w:val="15"/>
                <w:szCs w:val="15"/>
                <w:color w:val="auto"/>
              </w:rPr>
              <w:t>8,607,384</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5"/>
                <w:szCs w:val="15"/>
                <w:color w:val="auto"/>
              </w:rPr>
              <w:t>2022</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21,162</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68,081</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95,554</w:t>
            </w:r>
          </w:p>
        </w:tc>
        <w:tc>
          <w:tcPr>
            <w:tcW w:w="1560" w:type="dxa"/>
            <w:vAlign w:val="bottom"/>
          </w:tcPr>
          <w:p>
            <w:pPr>
              <w:ind w:left="580"/>
              <w:spacing w:after="0"/>
              <w:rPr>
                <w:sz w:val="20"/>
                <w:szCs w:val="20"/>
                <w:color w:val="auto"/>
              </w:rPr>
            </w:pPr>
            <w:r>
              <w:rPr>
                <w:rFonts w:ascii="Arial" w:cs="Arial" w:eastAsia="Arial" w:hAnsi="Arial"/>
                <w:sz w:val="15"/>
                <w:szCs w:val="15"/>
                <w:color w:val="auto"/>
              </w:rPr>
              <w:t>31,350</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514,149</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1,688</w:t>
            </w:r>
          </w:p>
        </w:tc>
        <w:tc>
          <w:tcPr>
            <w:tcW w:w="920" w:type="dxa"/>
            <w:vAlign w:val="bottom"/>
          </w:tcPr>
          <w:p>
            <w:pPr>
              <w:jc w:val="right"/>
              <w:spacing w:after="0"/>
              <w:rPr>
                <w:sz w:val="20"/>
                <w:szCs w:val="20"/>
                <w:color w:val="auto"/>
              </w:rPr>
            </w:pPr>
            <w:r>
              <w:rPr>
                <w:rFonts w:ascii="Arial" w:cs="Arial" w:eastAsia="Arial" w:hAnsi="Arial"/>
                <w:sz w:val="15"/>
                <w:szCs w:val="15"/>
                <w:color w:val="auto"/>
              </w:rPr>
              <w:t>731,984</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5"/>
                <w:szCs w:val="15"/>
                <w:color w:val="auto"/>
              </w:rPr>
              <w:t>2021</w:t>
            </w:r>
          </w:p>
        </w:tc>
        <w:tc>
          <w:tcPr>
            <w:tcW w:w="1080" w:type="dxa"/>
            <w:vAlign w:val="bottom"/>
          </w:tcPr>
          <w:p>
            <w:pPr>
              <w:jc w:val="right"/>
              <w:ind w:right="184"/>
              <w:spacing w:after="0"/>
              <w:rPr>
                <w:sz w:val="20"/>
                <w:szCs w:val="20"/>
                <w:color w:val="auto"/>
              </w:rPr>
            </w:pPr>
            <w:r>
              <w:rPr>
                <w:rFonts w:ascii="Arial" w:cs="Arial" w:eastAsia="Arial" w:hAnsi="Arial"/>
                <w:sz w:val="15"/>
                <w:szCs w:val="15"/>
                <w:color w:val="auto"/>
              </w:rPr>
              <w:t>19,451</w:t>
            </w:r>
          </w:p>
        </w:tc>
        <w:tc>
          <w:tcPr>
            <w:tcW w:w="1220" w:type="dxa"/>
            <w:vAlign w:val="bottom"/>
          </w:tcPr>
          <w:p>
            <w:pPr>
              <w:jc w:val="right"/>
              <w:ind w:right="304"/>
              <w:spacing w:after="0"/>
              <w:rPr>
                <w:sz w:val="20"/>
                <w:szCs w:val="20"/>
                <w:color w:val="auto"/>
              </w:rPr>
            </w:pPr>
            <w:r>
              <w:rPr>
                <w:rFonts w:ascii="Arial" w:cs="Arial" w:eastAsia="Arial" w:hAnsi="Arial"/>
                <w:sz w:val="15"/>
                <w:szCs w:val="15"/>
                <w:color w:val="auto"/>
              </w:rPr>
              <w:t>58,797</w:t>
            </w:r>
          </w:p>
        </w:tc>
        <w:tc>
          <w:tcPr>
            <w:tcW w:w="1380" w:type="dxa"/>
            <w:vAlign w:val="bottom"/>
          </w:tcPr>
          <w:p>
            <w:pPr>
              <w:jc w:val="right"/>
              <w:ind w:right="304"/>
              <w:spacing w:after="0"/>
              <w:rPr>
                <w:sz w:val="20"/>
                <w:szCs w:val="20"/>
                <w:color w:val="auto"/>
              </w:rPr>
            </w:pPr>
            <w:r>
              <w:rPr>
                <w:rFonts w:ascii="Arial" w:cs="Arial" w:eastAsia="Arial" w:hAnsi="Arial"/>
                <w:sz w:val="15"/>
                <w:szCs w:val="15"/>
                <w:color w:val="auto"/>
              </w:rPr>
              <w:t>227,481</w:t>
            </w:r>
          </w:p>
        </w:tc>
        <w:tc>
          <w:tcPr>
            <w:tcW w:w="1560" w:type="dxa"/>
            <w:vAlign w:val="bottom"/>
          </w:tcPr>
          <w:p>
            <w:pPr>
              <w:ind w:left="580"/>
              <w:spacing w:after="0"/>
              <w:rPr>
                <w:sz w:val="20"/>
                <w:szCs w:val="20"/>
                <w:color w:val="auto"/>
              </w:rPr>
            </w:pPr>
            <w:r>
              <w:rPr>
                <w:rFonts w:ascii="Arial" w:cs="Arial" w:eastAsia="Arial" w:hAnsi="Arial"/>
                <w:sz w:val="15"/>
                <w:szCs w:val="15"/>
                <w:color w:val="auto"/>
              </w:rPr>
              <w:t>30,300</w:t>
            </w:r>
          </w:p>
        </w:tc>
        <w:tc>
          <w:tcPr>
            <w:tcW w:w="1480" w:type="dxa"/>
            <w:vAlign w:val="bottom"/>
          </w:tcPr>
          <w:p>
            <w:pPr>
              <w:jc w:val="right"/>
              <w:ind w:right="304"/>
              <w:spacing w:after="0"/>
              <w:rPr>
                <w:sz w:val="20"/>
                <w:szCs w:val="20"/>
                <w:color w:val="auto"/>
              </w:rPr>
            </w:pPr>
            <w:r>
              <w:rPr>
                <w:rFonts w:ascii="Arial" w:cs="Arial" w:eastAsia="Arial" w:hAnsi="Arial"/>
                <w:sz w:val="15"/>
                <w:szCs w:val="15"/>
                <w:color w:val="auto"/>
              </w:rPr>
              <w:t>325,762</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1,649</w:t>
            </w:r>
          </w:p>
        </w:tc>
        <w:tc>
          <w:tcPr>
            <w:tcW w:w="920" w:type="dxa"/>
            <w:vAlign w:val="bottom"/>
          </w:tcPr>
          <w:p>
            <w:pPr>
              <w:jc w:val="right"/>
              <w:spacing w:after="0"/>
              <w:rPr>
                <w:sz w:val="20"/>
                <w:szCs w:val="20"/>
                <w:color w:val="auto"/>
              </w:rPr>
            </w:pPr>
            <w:r>
              <w:rPr>
                <w:rFonts w:ascii="Arial" w:cs="Arial" w:eastAsia="Arial" w:hAnsi="Arial"/>
                <w:sz w:val="15"/>
                <w:szCs w:val="15"/>
                <w:color w:val="auto"/>
              </w:rPr>
              <w:t>663,440</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20" w:type="dxa"/>
            <w:vAlign w:val="bottom"/>
            <w:shd w:val="clear" w:color="auto" w:fill="E5E5E5"/>
          </w:tcPr>
          <w:p>
            <w:pPr>
              <w:ind w:left="60"/>
              <w:spacing w:after="0"/>
              <w:rPr>
                <w:sz w:val="20"/>
                <w:szCs w:val="20"/>
                <w:color w:val="auto"/>
              </w:rPr>
            </w:pPr>
            <w:r>
              <w:rPr>
                <w:rFonts w:ascii="Arial" w:cs="Arial" w:eastAsia="Arial" w:hAnsi="Arial"/>
                <w:sz w:val="15"/>
                <w:szCs w:val="15"/>
                <w:color w:val="auto"/>
              </w:rPr>
              <w:t>Robert J.</w:t>
            </w:r>
          </w:p>
        </w:tc>
        <w:tc>
          <w:tcPr>
            <w:tcW w:w="6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56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shd w:val="clear" w:color="auto" w:fill="E5E5E5"/>
          </w:tcPr>
          <w:p>
            <w:pPr>
              <w:ind w:left="60"/>
              <w:spacing w:after="0"/>
              <w:rPr>
                <w:sz w:val="20"/>
                <w:szCs w:val="20"/>
                <w:color w:val="auto"/>
              </w:rPr>
            </w:pPr>
            <w:r>
              <w:rPr>
                <w:rFonts w:ascii="Arial" w:cs="Arial" w:eastAsia="Arial" w:hAnsi="Arial"/>
                <w:sz w:val="15"/>
                <w:szCs w:val="15"/>
                <w:color w:val="auto"/>
              </w:rPr>
              <w:t>Coury</w:t>
            </w:r>
          </w:p>
        </w:tc>
        <w:tc>
          <w:tcPr>
            <w:tcW w:w="600" w:type="dxa"/>
            <w:vAlign w:val="bottom"/>
            <w:shd w:val="clear" w:color="auto" w:fill="E5E5E5"/>
          </w:tcPr>
          <w:p>
            <w:pPr>
              <w:ind w:left="200"/>
              <w:spacing w:after="0"/>
              <w:rPr>
                <w:sz w:val="20"/>
                <w:szCs w:val="20"/>
                <w:color w:val="auto"/>
              </w:rPr>
            </w:pPr>
            <w:r>
              <w:rPr>
                <w:rFonts w:ascii="Arial" w:cs="Arial" w:eastAsia="Arial" w:hAnsi="Arial"/>
                <w:sz w:val="15"/>
                <w:szCs w:val="15"/>
                <w:color w:val="auto"/>
              </w:rPr>
              <w:t>2023</w:t>
            </w:r>
          </w:p>
        </w:tc>
        <w:tc>
          <w:tcPr>
            <w:tcW w:w="1080" w:type="dxa"/>
            <w:vAlign w:val="bottom"/>
            <w:shd w:val="clear" w:color="auto" w:fill="E5E5E5"/>
          </w:tcPr>
          <w:p>
            <w:pPr>
              <w:jc w:val="right"/>
              <w:ind w:right="184"/>
              <w:spacing w:after="0"/>
              <w:rPr>
                <w:sz w:val="20"/>
                <w:szCs w:val="20"/>
                <w:color w:val="auto"/>
              </w:rPr>
            </w:pPr>
            <w:r>
              <w:rPr>
                <w:rFonts w:ascii="Arial" w:cs="Arial" w:eastAsia="Arial" w:hAnsi="Arial"/>
                <w:sz w:val="15"/>
                <w:szCs w:val="15"/>
                <w:color w:val="auto"/>
              </w:rPr>
              <w:t>21,367</w:t>
            </w:r>
          </w:p>
        </w:tc>
        <w:tc>
          <w:tcPr>
            <w:tcW w:w="122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5,621</w:t>
            </w:r>
          </w:p>
        </w:tc>
        <w:tc>
          <w:tcPr>
            <w:tcW w:w="13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ind w:left="580"/>
              <w:spacing w:after="0"/>
              <w:rPr>
                <w:sz w:val="20"/>
                <w:szCs w:val="20"/>
                <w:color w:val="auto"/>
              </w:rPr>
            </w:pPr>
            <w:r>
              <w:rPr>
                <w:rFonts w:ascii="Arial" w:cs="Arial" w:eastAsia="Arial" w:hAnsi="Arial"/>
                <w:sz w:val="15"/>
                <w:szCs w:val="15"/>
                <w:color w:val="auto"/>
              </w:rPr>
              <w:t>36,623</w:t>
            </w:r>
          </w:p>
        </w:tc>
        <w:tc>
          <w:tcPr>
            <w:tcW w:w="14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550,310</w:t>
            </w:r>
          </w:p>
        </w:tc>
        <w:tc>
          <w:tcPr>
            <w:tcW w:w="112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rPr>
              <w:t>22,147,894</w:t>
            </w:r>
          </w:p>
        </w:tc>
        <w:tc>
          <w:tcPr>
            <w:tcW w:w="740" w:type="dxa"/>
            <w:vAlign w:val="bottom"/>
            <w:shd w:val="clear" w:color="auto" w:fill="E5E5E5"/>
          </w:tcPr>
          <w:p>
            <w:pPr>
              <w:jc w:val="right"/>
              <w:ind w:right="5"/>
              <w:spacing w:after="0"/>
              <w:rPr>
                <w:sz w:val="20"/>
                <w:szCs w:val="20"/>
                <w:color w:val="auto"/>
              </w:rPr>
            </w:pPr>
            <w:r>
              <w:rPr>
                <w:rFonts w:ascii="Arial" w:cs="Arial" w:eastAsia="Arial" w:hAnsi="Arial"/>
                <w:sz w:val="15"/>
                <w:szCs w:val="15"/>
                <w:color w:val="auto"/>
              </w:rPr>
              <w:t>31,493</w:t>
            </w:r>
          </w:p>
        </w:tc>
        <w:tc>
          <w:tcPr>
            <w:tcW w:w="9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22,793,308</w:t>
            </w:r>
          </w:p>
        </w:tc>
        <w:tc>
          <w:tcPr>
            <w:tcW w:w="0" w:type="dxa"/>
            <w:vAlign w:val="bottom"/>
          </w:tcPr>
          <w:p>
            <w:pPr>
              <w:spacing w:after="0"/>
              <w:rPr>
                <w:sz w:val="1"/>
                <w:szCs w:val="1"/>
                <w:color w:val="auto"/>
              </w:rPr>
            </w:pPr>
          </w:p>
        </w:tc>
      </w:tr>
      <w:tr>
        <w:trPr>
          <w:trHeight w:val="270"/>
        </w:trPr>
        <w:tc>
          <w:tcPr>
            <w:tcW w:w="920" w:type="dxa"/>
            <w:vAlign w:val="bottom"/>
            <w:shd w:val="clear" w:color="auto" w:fill="E5E5E5"/>
          </w:tcPr>
          <w:p>
            <w:pPr>
              <w:spacing w:after="0"/>
              <w:rPr>
                <w:sz w:val="23"/>
                <w:szCs w:val="23"/>
                <w:color w:val="auto"/>
              </w:rPr>
            </w:pPr>
          </w:p>
        </w:tc>
        <w:tc>
          <w:tcPr>
            <w:tcW w:w="600" w:type="dxa"/>
            <w:vAlign w:val="bottom"/>
            <w:shd w:val="clear" w:color="auto" w:fill="E5E5E5"/>
          </w:tcPr>
          <w:p>
            <w:pPr>
              <w:ind w:left="200"/>
              <w:spacing w:after="0"/>
              <w:rPr>
                <w:sz w:val="20"/>
                <w:szCs w:val="20"/>
                <w:color w:val="auto"/>
              </w:rPr>
            </w:pPr>
            <w:r>
              <w:rPr>
                <w:rFonts w:ascii="Arial" w:cs="Arial" w:eastAsia="Arial" w:hAnsi="Arial"/>
                <w:sz w:val="15"/>
                <w:szCs w:val="15"/>
                <w:color w:val="auto"/>
              </w:rPr>
              <w:t>2022</w:t>
            </w:r>
          </w:p>
        </w:tc>
        <w:tc>
          <w:tcPr>
            <w:tcW w:w="1080" w:type="dxa"/>
            <w:vAlign w:val="bottom"/>
            <w:shd w:val="clear" w:color="auto" w:fill="E5E5E5"/>
          </w:tcPr>
          <w:p>
            <w:pPr>
              <w:jc w:val="right"/>
              <w:ind w:right="184"/>
              <w:spacing w:after="0"/>
              <w:rPr>
                <w:sz w:val="20"/>
                <w:szCs w:val="20"/>
                <w:color w:val="auto"/>
              </w:rPr>
            </w:pPr>
            <w:r>
              <w:rPr>
                <w:rFonts w:ascii="Arial" w:cs="Arial" w:eastAsia="Arial" w:hAnsi="Arial"/>
                <w:sz w:val="15"/>
                <w:szCs w:val="15"/>
                <w:color w:val="auto"/>
              </w:rPr>
              <w:t>22,680</w:t>
            </w:r>
          </w:p>
        </w:tc>
        <w:tc>
          <w:tcPr>
            <w:tcW w:w="122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5,926</w:t>
            </w:r>
          </w:p>
        </w:tc>
        <w:tc>
          <w:tcPr>
            <w:tcW w:w="13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shd w:val="clear" w:color="auto" w:fill="E5E5E5"/>
          </w:tcPr>
          <w:p>
            <w:pPr>
              <w:ind w:left="580"/>
              <w:spacing w:after="0"/>
              <w:rPr>
                <w:sz w:val="20"/>
                <w:szCs w:val="20"/>
                <w:color w:val="auto"/>
              </w:rPr>
            </w:pPr>
            <w:r>
              <w:rPr>
                <w:rFonts w:ascii="Arial" w:cs="Arial" w:eastAsia="Arial" w:hAnsi="Arial"/>
                <w:sz w:val="15"/>
                <w:szCs w:val="15"/>
                <w:color w:val="auto"/>
              </w:rPr>
              <w:t>32,427</w:t>
            </w:r>
          </w:p>
        </w:tc>
        <w:tc>
          <w:tcPr>
            <w:tcW w:w="1480" w:type="dxa"/>
            <w:vAlign w:val="bottom"/>
            <w:shd w:val="clear" w:color="auto" w:fill="E5E5E5"/>
          </w:tcPr>
          <w:p>
            <w:pPr>
              <w:jc w:val="right"/>
              <w:ind w:right="304"/>
              <w:spacing w:after="0"/>
              <w:rPr>
                <w:sz w:val="20"/>
                <w:szCs w:val="20"/>
                <w:color w:val="auto"/>
              </w:rPr>
            </w:pPr>
            <w:r>
              <w:rPr>
                <w:rFonts w:ascii="Arial" w:cs="Arial" w:eastAsia="Arial" w:hAnsi="Arial"/>
                <w:sz w:val="15"/>
                <w:szCs w:val="15"/>
                <w:color w:val="auto"/>
              </w:rPr>
              <w:t>726,188</w:t>
            </w:r>
          </w:p>
        </w:tc>
        <w:tc>
          <w:tcPr>
            <w:tcW w:w="112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shd w:val="clear" w:color="auto" w:fill="E5E5E5"/>
          </w:tcPr>
          <w:p>
            <w:pPr>
              <w:jc w:val="right"/>
              <w:ind w:right="5"/>
              <w:spacing w:after="0"/>
              <w:rPr>
                <w:sz w:val="20"/>
                <w:szCs w:val="20"/>
                <w:color w:val="auto"/>
              </w:rPr>
            </w:pPr>
            <w:r>
              <w:rPr>
                <w:rFonts w:ascii="Arial" w:cs="Arial" w:eastAsia="Arial" w:hAnsi="Arial"/>
                <w:sz w:val="15"/>
                <w:szCs w:val="15"/>
                <w:color w:val="auto"/>
              </w:rPr>
              <w:t>72,399</w:t>
            </w:r>
          </w:p>
        </w:tc>
        <w:tc>
          <w:tcPr>
            <w:tcW w:w="920" w:type="dxa"/>
            <w:vAlign w:val="bottom"/>
            <w:shd w:val="clear" w:color="auto" w:fill="E5E5E5"/>
          </w:tcPr>
          <w:p>
            <w:pPr>
              <w:jc w:val="right"/>
              <w:spacing w:after="0"/>
              <w:rPr>
                <w:sz w:val="20"/>
                <w:szCs w:val="20"/>
                <w:color w:val="auto"/>
              </w:rPr>
            </w:pPr>
            <w:r>
              <w:rPr>
                <w:rFonts w:ascii="Arial" w:cs="Arial" w:eastAsia="Arial" w:hAnsi="Arial"/>
                <w:sz w:val="15"/>
                <w:szCs w:val="15"/>
                <w:color w:val="auto"/>
              </w:rPr>
              <w:t>859,620</w:t>
            </w:r>
          </w:p>
        </w:tc>
        <w:tc>
          <w:tcPr>
            <w:tcW w:w="0" w:type="dxa"/>
            <w:vAlign w:val="bottom"/>
          </w:tcPr>
          <w:p>
            <w:pPr>
              <w:spacing w:after="0"/>
              <w:rPr>
                <w:sz w:val="1"/>
                <w:szCs w:val="1"/>
                <w:color w:val="auto"/>
              </w:rPr>
            </w:pPr>
          </w:p>
        </w:tc>
      </w:tr>
      <w:tr>
        <w:trPr>
          <w:trHeight w:val="283"/>
        </w:trPr>
        <w:tc>
          <w:tcPr>
            <w:tcW w:w="92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5"/>
                <w:szCs w:val="15"/>
                <w:color w:val="auto"/>
              </w:rPr>
              <w:t>2021</w:t>
            </w:r>
          </w:p>
        </w:tc>
        <w:tc>
          <w:tcPr>
            <w:tcW w:w="1080" w:type="dxa"/>
            <w:vAlign w:val="bottom"/>
            <w:tcBorders>
              <w:bottom w:val="single" w:sz="8" w:color="E5E5E5"/>
            </w:tcBorders>
            <w:shd w:val="clear" w:color="auto" w:fill="E5E5E5"/>
          </w:tcPr>
          <w:p>
            <w:pPr>
              <w:jc w:val="right"/>
              <w:ind w:right="184"/>
              <w:spacing w:after="0"/>
              <w:rPr>
                <w:sz w:val="20"/>
                <w:szCs w:val="20"/>
                <w:color w:val="auto"/>
              </w:rPr>
            </w:pPr>
            <w:r>
              <w:rPr>
                <w:rFonts w:ascii="Arial" w:cs="Arial" w:eastAsia="Arial" w:hAnsi="Arial"/>
                <w:sz w:val="15"/>
                <w:szCs w:val="15"/>
                <w:color w:val="auto"/>
              </w:rPr>
              <w:t>24,563</w:t>
            </w:r>
          </w:p>
        </w:tc>
        <w:tc>
          <w:tcPr>
            <w:tcW w:w="122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29,184</w:t>
            </w:r>
          </w:p>
        </w:tc>
        <w:tc>
          <w:tcPr>
            <w:tcW w:w="13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E5E5E5"/>
            </w:tcBorders>
            <w:shd w:val="clear" w:color="auto" w:fill="E5E5E5"/>
          </w:tcPr>
          <w:p>
            <w:pPr>
              <w:ind w:left="580"/>
              <w:spacing w:after="0"/>
              <w:rPr>
                <w:sz w:val="20"/>
                <w:szCs w:val="20"/>
                <w:color w:val="auto"/>
              </w:rPr>
            </w:pPr>
            <w:r>
              <w:rPr>
                <w:rFonts w:ascii="Arial" w:cs="Arial" w:eastAsia="Arial" w:hAnsi="Arial"/>
                <w:sz w:val="15"/>
                <w:szCs w:val="15"/>
                <w:color w:val="auto"/>
              </w:rPr>
              <w:t>31,377</w:t>
            </w:r>
          </w:p>
        </w:tc>
        <w:tc>
          <w:tcPr>
            <w:tcW w:w="1480" w:type="dxa"/>
            <w:vAlign w:val="bottom"/>
            <w:tcBorders>
              <w:bottom w:val="single" w:sz="8" w:color="E5E5E5"/>
            </w:tcBorders>
            <w:shd w:val="clear" w:color="auto" w:fill="E5E5E5"/>
          </w:tcPr>
          <w:p>
            <w:pPr>
              <w:jc w:val="right"/>
              <w:ind w:right="304"/>
              <w:spacing w:after="0"/>
              <w:rPr>
                <w:sz w:val="20"/>
                <w:szCs w:val="20"/>
                <w:color w:val="auto"/>
              </w:rPr>
            </w:pPr>
            <w:r>
              <w:rPr>
                <w:rFonts w:ascii="Arial" w:cs="Arial" w:eastAsia="Arial" w:hAnsi="Arial"/>
                <w:sz w:val="15"/>
                <w:szCs w:val="15"/>
                <w:color w:val="auto"/>
              </w:rPr>
              <w:t>680,312</w:t>
            </w:r>
          </w:p>
        </w:tc>
        <w:tc>
          <w:tcPr>
            <w:tcW w:w="1120" w:type="dxa"/>
            <w:vAlign w:val="bottom"/>
            <w:tcBorders>
              <w:bottom w:val="single" w:sz="8" w:color="E5E5E5"/>
            </w:tcBorders>
            <w:shd w:val="clear" w:color="auto" w:fill="E5E5E5"/>
          </w:tcPr>
          <w:p>
            <w:pPr>
              <w:jc w:val="right"/>
              <w:ind w:right="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E5E5E5"/>
            </w:tcBorders>
            <w:shd w:val="clear" w:color="auto" w:fill="E5E5E5"/>
          </w:tcPr>
          <w:p>
            <w:pPr>
              <w:jc w:val="right"/>
              <w:ind w:right="5"/>
              <w:spacing w:after="0"/>
              <w:rPr>
                <w:sz w:val="20"/>
                <w:szCs w:val="20"/>
                <w:color w:val="auto"/>
              </w:rPr>
            </w:pPr>
            <w:r>
              <w:rPr>
                <w:rFonts w:ascii="Arial" w:cs="Arial" w:eastAsia="Arial" w:hAnsi="Arial"/>
                <w:sz w:val="15"/>
                <w:szCs w:val="15"/>
                <w:color w:val="auto"/>
              </w:rPr>
              <w:t>41,242</w:t>
            </w:r>
          </w:p>
        </w:tc>
        <w:tc>
          <w:tcPr>
            <w:tcW w:w="9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5"/>
                <w:szCs w:val="15"/>
                <w:color w:val="auto"/>
              </w:rPr>
              <w:t>806,678</w:t>
            </w:r>
          </w:p>
        </w:tc>
        <w:tc>
          <w:tcPr>
            <w:tcW w:w="0" w:type="dxa"/>
            <w:vAlign w:val="bottom"/>
          </w:tcPr>
          <w:p>
            <w:pPr>
              <w:spacing w:after="0"/>
              <w:rPr>
                <w:sz w:val="1"/>
                <w:szCs w:val="1"/>
                <w:color w:val="auto"/>
              </w:rPr>
            </w:pPr>
          </w:p>
        </w:tc>
      </w:tr>
      <w:tr>
        <w:trPr>
          <w:trHeight w:val="20"/>
        </w:trPr>
        <w:tc>
          <w:tcPr>
            <w:tcW w:w="92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122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148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92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140" w:hanging="424"/>
        <w:spacing w:after="0" w:line="253"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In the case of Messrs. Smith, Narula, Mauro, Roman, Goettler, and Coury, these costs represent a vehicle allowance and ancillary expenses associated with such vehicle. In the case of Mr. Malik, this number represents the cost of a vehicle (based on lease value), insurance and ancillary expenses associated with such vehicle.</w:t>
      </w:r>
    </w:p>
    <w:p>
      <w:pPr>
        <w:spacing w:after="0" w:line="1" w:lineRule="exact"/>
        <w:rPr>
          <w:rFonts w:ascii="Arial" w:cs="Arial" w:eastAsia="Arial" w:hAnsi="Arial"/>
          <w:sz w:val="16"/>
          <w:szCs w:val="16"/>
          <w:color w:val="3F3F3F"/>
        </w:rPr>
      </w:pPr>
    </w:p>
    <w:p>
      <w:pPr>
        <w:ind w:left="540" w:right="8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2" w:lineRule="exact"/>
        <w:rPr>
          <w:rFonts w:ascii="Arial" w:cs="Arial" w:eastAsia="Arial" w:hAnsi="Arial"/>
          <w:sz w:val="16"/>
          <w:szCs w:val="16"/>
          <w:color w:val="3F3F3F"/>
        </w:rPr>
      </w:pPr>
    </w:p>
    <w:p>
      <w:pPr>
        <w:ind w:left="540" w:right="2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For 2023, amount disclosed for Mr. Narula represents the tax equalization, gross up and tax preparation of $175,942 and for Mr. Goettler represents tax preparation and gross up of $3,389. For 2022, amounts disclosed for Messrs. Narula and Goettler include the value of certain one-time, non-recurring expatriate, repatriation and relocation benefits of $4,756 and $95,554, respectively. For 2021, amounts disclosed include for Messrs. Narula and Goettler the value of certain one-time, non-recurring expatriate, repatriation and relocation benefits of $336,440 and $227,481, respectively. For 2021, the amount disclosed for Mr. Malik represents one-time, non-recurring immigration expenses of $26,036.</w:t>
      </w:r>
    </w:p>
    <w:p>
      <w:pPr>
        <w:spacing w:after="0" w:line="2" w:lineRule="exact"/>
        <w:rPr>
          <w:rFonts w:ascii="Arial" w:cs="Arial" w:eastAsia="Arial" w:hAnsi="Arial"/>
          <w:sz w:val="16"/>
          <w:szCs w:val="16"/>
          <w:color w:val="3F3F3F"/>
        </w:rPr>
      </w:pPr>
    </w:p>
    <w:p>
      <w:pPr>
        <w:ind w:left="540" w:right="20" w:hanging="424"/>
        <w:spacing w:after="0" w:line="249"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For 2023, amounts for each NEO include a matching contribution for Messrs. Smith ($14,077), Narula ($6,538), Malik ($13,031), Mauro ($14,269), Roman ($13,415), Goettler ($10,000), and Coury ($13,523) and a profit sharing contribution received in March 2024 in respect of fiscal year 2023 to each of Messrs. Smith, Narula, Malik, Mauro, Roman, Goettler and Coury ($23,100). For 2022, amounts for each NEO include a matching contribution for Messrs. Narula ($6,154), Malik ($16,169), Mauro ($18,316), Goettler ($10,000), and Coury ($11,077) and a profit sharing contribution received in March 2023 in respect of fiscal year 2022 to each of Messrs. Narula, Malik, Mauro, Goettler, and Coury ($21,350). For 2021, amounts for each NEO include a matching contribution for Messrs. Narula ($6,154), Malik ($12,400), Mauro ($11,270), Goettler ($10,000), and Coury ($11,077) and a profit sharing contribution received in March 2022 in respect of fiscal year 2021 to each of Messrs. Narula, Malik, Mauro, Goettler, and Coury ($20,300).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29450" cy="68580"/>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7"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540" w:hanging="424"/>
        <w:spacing w:after="0" w:line="248"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For 2023, amounts disclosed include a matching contribution under the Restoration Plan for Messrs. Smith ($140,072), Narula ($91,174), Mauro ($93,137), Roman ($76,539), Goettler ($9,000), and Coury ($71,847), and a profit sharing contribution under the Restoration Plan received in March 2024 in respect of fiscal year 2023 for Messrs. Smith ($48,515), Narula ($152,594), Malik ($263,727), Mauro ($157,209), Roman ($130,208), Goettler ($264,900), and Coury ($478,463). For 2022, amounts disclosed include a matching contribution under the Restoration Plan for Messrs. Narula ($82,254), Mauro ($87,480), Goettler ($184,371), and Coury ($261,360), and a profit sharing contribution under the Restoration Plan received in March 2023 in respect of fiscal year 2022 for Messrs. Narula ($144,196), Malik ($262,749), Mauro ($157,377), Goettler ($329,778), and Coury ($464,827). For 2021, amounts disclosed include a matching contribution under the Restoration Plan for Messrs. Narula ($80,782), Mauro ($89,930), Goettler ($188,445), and Coury ($266,221), and a profit sharing contribution under the Restoration Plan received in March 2022 in respect of fiscal year 2021 for Messrs. Narula ($58,637), Malik ($228,787), Mauro ($140,781), Goettler ($137,315), and Coury ($414,091).</w:t>
      </w:r>
    </w:p>
    <w:p>
      <w:pPr>
        <w:spacing w:after="0" w:line="5" w:lineRule="exact"/>
        <w:rPr>
          <w:rFonts w:ascii="Arial" w:cs="Arial" w:eastAsia="Arial" w:hAnsi="Arial"/>
          <w:sz w:val="16"/>
          <w:szCs w:val="16"/>
          <w:color w:val="3F3F3F"/>
        </w:rPr>
      </w:pPr>
    </w:p>
    <w:p>
      <w:pPr>
        <w:ind w:left="540" w:right="2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For Mr. Goettler, the amount reflects a severance amount of $8,125,000 and payment in lieu of accrued vacation ($125,000) in connection with his separation as an executive of the Company. For Mr. Coury, the amount reflects a severance amount of $21,286,170 and payment in lieu of accrued vacation ($216,563) in connection with his separation from employment. For Mr. Coury, the amount also reflects a pro rata number of days from December 15, 2023 for the advisory fee he receives under his Transition and Advisory Agreement and Release with the Company. All separation benefits paid to Messrs. Goettler and Coury were required pursuant to the existing terms of their contractual agreements, which were previously disclosed and subject to prior Say-on-Pay resolutions.</w:t>
      </w:r>
    </w:p>
    <w:p>
      <w:pPr>
        <w:spacing w:after="0" w:line="2" w:lineRule="exact"/>
        <w:rPr>
          <w:rFonts w:ascii="Arial" w:cs="Arial" w:eastAsia="Arial" w:hAnsi="Arial"/>
          <w:sz w:val="16"/>
          <w:szCs w:val="16"/>
          <w:color w:val="3F3F3F"/>
        </w:rPr>
      </w:pPr>
    </w:p>
    <w:p>
      <w:pPr>
        <w:ind w:left="540" w:hanging="424"/>
        <w:spacing w:after="0" w:line="246" w:lineRule="auto"/>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For 2023, amounts disclosed represent non-employee board compensation fees for Mr. Smith in 2023 earned prior to becoming CEO on April 1, 2023 ($37,500); non-recurring relocation allowances for Mr. Smith ($379,952); legal fee reimbursement for Messrs. Malik ($35,392) and Mauro ($17,696); events for Messrs. Malik ($4,335), Mauro ($7,130), and Roman ($1,435); health insurance for Messrs. Malik ($1,260) and Coury ($22,134); certain personal security services for Mr. Coury ($7,651); and premiums for international travel assistance and long-term disability for each of the NEOs. For 2022, amounts disclosed represent health insurance for Messrs. Malik ($1,207) and Coury ($30,699); certain personal security services for Mr. Coury ($38,447); international travel assistance premiums for each of the NEOs; events for Mr. Mauro; tax preparation services related to U.K. tax returns for Messrs. Mauro and Coury; and long-term disability premiums for Messrs. Narula, Malik, Mauro, Goettler, and Coury. For 2021, amounts disclosed represent health insurance for Messrs. Malik and Coury ($11,601); certain personal security services for</w:t>
      </w:r>
    </w:p>
    <w:p>
      <w:pPr>
        <w:spacing w:after="0" w:line="3" w:lineRule="exact"/>
        <w:rPr>
          <w:rFonts w:ascii="Arial" w:cs="Arial" w:eastAsia="Arial" w:hAnsi="Arial"/>
          <w:sz w:val="16"/>
          <w:szCs w:val="16"/>
          <w:color w:val="3F3F3F"/>
        </w:rPr>
      </w:pPr>
    </w:p>
    <w:p>
      <w:pPr>
        <w:ind w:left="540" w:right="60"/>
        <w:spacing w:after="0" w:line="265" w:lineRule="auto"/>
        <w:rPr>
          <w:rFonts w:ascii="Arial" w:cs="Arial" w:eastAsia="Arial" w:hAnsi="Arial"/>
          <w:sz w:val="16"/>
          <w:szCs w:val="16"/>
          <w:color w:val="3F3F3F"/>
        </w:rPr>
      </w:pPr>
      <w:r>
        <w:rPr>
          <w:rFonts w:ascii="Arial" w:cs="Arial" w:eastAsia="Arial" w:hAnsi="Arial"/>
          <w:sz w:val="16"/>
          <w:szCs w:val="16"/>
          <w:color w:val="3F3F3F"/>
        </w:rPr>
        <w:t>Mr. Coury ($29,233); international travel assistance premiums for each of the NEOs; events for Messrs. Narula, Malik, and Mauro; tax preparation services related to U.K. tax returns for Messrs. Malik and Mauro; and long-term disability premiums for Messrs. Narula, Malik, Mauro, and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Grants of Plan-Based Awards for 2023</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summarizes grants of plan-based awards made to each NEO during 2023.</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423"/>
        </w:trPr>
        <w:tc>
          <w:tcPr>
            <w:tcW w:w="1540" w:type="dxa"/>
            <w:vAlign w:val="bottom"/>
            <w:shd w:val="clear" w:color="auto" w:fill="732282"/>
          </w:tcPr>
          <w:p>
            <w:pPr>
              <w:spacing w:after="0"/>
              <w:rPr>
                <w:sz w:val="24"/>
                <w:szCs w:val="24"/>
                <w:color w:val="auto"/>
              </w:rPr>
            </w:pPr>
          </w:p>
        </w:tc>
        <w:tc>
          <w:tcPr>
            <w:tcW w:w="820" w:type="dxa"/>
            <w:vAlign w:val="bottom"/>
            <w:shd w:val="clear" w:color="auto" w:fill="732282"/>
          </w:tcPr>
          <w:p>
            <w:pPr>
              <w:spacing w:after="0"/>
              <w:rPr>
                <w:sz w:val="24"/>
                <w:szCs w:val="24"/>
                <w:color w:val="auto"/>
              </w:rPr>
            </w:pPr>
          </w:p>
        </w:tc>
        <w:tc>
          <w:tcPr>
            <w:tcW w:w="840" w:type="dxa"/>
            <w:vAlign w:val="bottom"/>
            <w:shd w:val="clear" w:color="auto" w:fill="732282"/>
          </w:tcPr>
          <w:p>
            <w:pPr>
              <w:spacing w:after="0"/>
              <w:rPr>
                <w:sz w:val="24"/>
                <w:szCs w:val="24"/>
                <w:color w:val="auto"/>
              </w:rPr>
            </w:pPr>
          </w:p>
        </w:tc>
        <w:tc>
          <w:tcPr>
            <w:tcW w:w="800" w:type="dxa"/>
            <w:vAlign w:val="bottom"/>
            <w:shd w:val="clear" w:color="auto" w:fill="732282"/>
          </w:tcPr>
          <w:p>
            <w:pPr>
              <w:spacing w:after="0"/>
              <w:rPr>
                <w:sz w:val="24"/>
                <w:szCs w:val="24"/>
                <w:color w:val="auto"/>
              </w:rPr>
            </w:pPr>
          </w:p>
        </w:tc>
        <w:tc>
          <w:tcPr>
            <w:tcW w:w="820" w:type="dxa"/>
            <w:vAlign w:val="bottom"/>
            <w:shd w:val="clear" w:color="auto" w:fill="732282"/>
          </w:tcPr>
          <w:p>
            <w:pPr>
              <w:spacing w:after="0"/>
              <w:rPr>
                <w:sz w:val="24"/>
                <w:szCs w:val="24"/>
                <w:color w:val="auto"/>
              </w:rPr>
            </w:pPr>
          </w:p>
        </w:tc>
        <w:tc>
          <w:tcPr>
            <w:tcW w:w="820" w:type="dxa"/>
            <w:vAlign w:val="bottom"/>
            <w:shd w:val="clear" w:color="auto" w:fill="732282"/>
          </w:tcPr>
          <w:p>
            <w:pPr>
              <w:spacing w:after="0"/>
              <w:rPr>
                <w:sz w:val="24"/>
                <w:szCs w:val="24"/>
                <w:color w:val="auto"/>
              </w:rPr>
            </w:pPr>
          </w:p>
        </w:tc>
        <w:tc>
          <w:tcPr>
            <w:tcW w:w="780" w:type="dxa"/>
            <w:vAlign w:val="bottom"/>
            <w:shd w:val="clear" w:color="auto" w:fill="732282"/>
          </w:tcPr>
          <w:p>
            <w:pPr>
              <w:spacing w:after="0"/>
              <w:rPr>
                <w:sz w:val="24"/>
                <w:szCs w:val="24"/>
                <w:color w:val="auto"/>
              </w:rPr>
            </w:pPr>
          </w:p>
        </w:tc>
        <w:tc>
          <w:tcPr>
            <w:tcW w:w="760" w:type="dxa"/>
            <w:vAlign w:val="bottom"/>
            <w:shd w:val="clear" w:color="auto" w:fill="732282"/>
          </w:tcPr>
          <w:p>
            <w:pPr>
              <w:spacing w:after="0"/>
              <w:rPr>
                <w:sz w:val="24"/>
                <w:szCs w:val="24"/>
                <w:color w:val="auto"/>
              </w:rPr>
            </w:pPr>
          </w:p>
        </w:tc>
        <w:tc>
          <w:tcPr>
            <w:tcW w:w="720" w:type="dxa"/>
            <w:vAlign w:val="bottom"/>
            <w:shd w:val="clear" w:color="auto" w:fill="732282"/>
          </w:tcPr>
          <w:p>
            <w:pPr>
              <w:spacing w:after="0"/>
              <w:rPr>
                <w:sz w:val="24"/>
                <w:szCs w:val="24"/>
                <w:color w:val="auto"/>
              </w:rPr>
            </w:pPr>
          </w:p>
        </w:tc>
        <w:tc>
          <w:tcPr>
            <w:tcW w:w="60" w:type="dxa"/>
            <w:vAlign w:val="bottom"/>
            <w:shd w:val="clear" w:color="auto" w:fill="732282"/>
          </w:tcPr>
          <w:p>
            <w:pPr>
              <w:spacing w:after="0"/>
              <w:rPr>
                <w:sz w:val="24"/>
                <w:szCs w:val="24"/>
                <w:color w:val="auto"/>
              </w:rPr>
            </w:pPr>
          </w:p>
        </w:tc>
        <w:tc>
          <w:tcPr>
            <w:tcW w:w="7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All</w:t>
            </w:r>
          </w:p>
        </w:tc>
        <w:tc>
          <w:tcPr>
            <w:tcW w:w="840" w:type="dxa"/>
            <w:vAlign w:val="bottom"/>
            <w:shd w:val="clear" w:color="auto" w:fill="732282"/>
          </w:tcPr>
          <w:p>
            <w:pPr>
              <w:spacing w:after="0"/>
              <w:rPr>
                <w:sz w:val="24"/>
                <w:szCs w:val="24"/>
                <w:color w:val="auto"/>
              </w:rPr>
            </w:pPr>
          </w:p>
        </w:tc>
        <w:tc>
          <w:tcPr>
            <w:tcW w:w="720" w:type="dxa"/>
            <w:vAlign w:val="bottom"/>
            <w:shd w:val="clear" w:color="auto" w:fill="732282"/>
          </w:tcPr>
          <w:p>
            <w:pPr>
              <w:spacing w:after="0"/>
              <w:rPr>
                <w:sz w:val="24"/>
                <w:szCs w:val="24"/>
                <w:color w:val="auto"/>
              </w:rPr>
            </w:pPr>
          </w:p>
        </w:tc>
        <w:tc>
          <w:tcPr>
            <w:tcW w:w="800" w:type="dxa"/>
            <w:vAlign w:val="bottom"/>
            <w:shd w:val="clear" w:color="auto" w:fill="73228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80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760" w:type="dxa"/>
            <w:vAlign w:val="bottom"/>
            <w:shd w:val="clear" w:color="auto" w:fill="732282"/>
          </w:tcPr>
          <w:p>
            <w:pPr>
              <w:spacing w:after="0"/>
              <w:rPr>
                <w:sz w:val="14"/>
                <w:szCs w:val="14"/>
                <w:color w:val="auto"/>
              </w:rPr>
            </w:pPr>
          </w:p>
        </w:tc>
        <w:tc>
          <w:tcPr>
            <w:tcW w:w="720" w:type="dxa"/>
            <w:vAlign w:val="bottom"/>
            <w:shd w:val="clear" w:color="auto" w:fill="732282"/>
          </w:tcPr>
          <w:p>
            <w:pPr>
              <w:spacing w:after="0"/>
              <w:rPr>
                <w:sz w:val="14"/>
                <w:szCs w:val="14"/>
                <w:color w:val="auto"/>
              </w:rPr>
            </w:pPr>
          </w:p>
        </w:tc>
        <w:tc>
          <w:tcPr>
            <w:tcW w:w="60" w:type="dxa"/>
            <w:vAlign w:val="bottom"/>
            <w:shd w:val="clear" w:color="auto" w:fill="732282"/>
          </w:tcPr>
          <w:p>
            <w:pPr>
              <w:spacing w:after="0"/>
              <w:rPr>
                <w:sz w:val="14"/>
                <w:szCs w:val="14"/>
                <w:color w:val="auto"/>
              </w:rPr>
            </w:pPr>
          </w:p>
        </w:tc>
        <w:tc>
          <w:tcPr>
            <w:tcW w:w="7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Other</w:t>
            </w:r>
          </w:p>
        </w:tc>
        <w:tc>
          <w:tcPr>
            <w:tcW w:w="840" w:type="dxa"/>
            <w:vAlign w:val="bottom"/>
            <w:shd w:val="clear" w:color="auto" w:fill="732282"/>
          </w:tcPr>
          <w:p>
            <w:pPr>
              <w:spacing w:after="0"/>
              <w:rPr>
                <w:sz w:val="14"/>
                <w:szCs w:val="14"/>
                <w:color w:val="auto"/>
              </w:rPr>
            </w:pPr>
          </w:p>
        </w:tc>
        <w:tc>
          <w:tcPr>
            <w:tcW w:w="720" w:type="dxa"/>
            <w:vAlign w:val="bottom"/>
            <w:shd w:val="clear" w:color="auto" w:fill="732282"/>
          </w:tcPr>
          <w:p>
            <w:pPr>
              <w:spacing w:after="0"/>
              <w:rPr>
                <w:sz w:val="14"/>
                <w:szCs w:val="14"/>
                <w:color w:val="auto"/>
              </w:rPr>
            </w:pPr>
          </w:p>
        </w:tc>
        <w:tc>
          <w:tcPr>
            <w:tcW w:w="80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80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780" w:type="dxa"/>
            <w:vAlign w:val="bottom"/>
            <w:shd w:val="clear" w:color="auto" w:fill="732282"/>
          </w:tcPr>
          <w:p>
            <w:pPr>
              <w:spacing w:after="0"/>
              <w:rPr>
                <w:sz w:val="14"/>
                <w:szCs w:val="14"/>
                <w:color w:val="auto"/>
              </w:rPr>
            </w:pPr>
          </w:p>
        </w:tc>
        <w:tc>
          <w:tcPr>
            <w:tcW w:w="760" w:type="dxa"/>
            <w:vAlign w:val="bottom"/>
            <w:shd w:val="clear" w:color="auto" w:fill="732282"/>
          </w:tcPr>
          <w:p>
            <w:pPr>
              <w:spacing w:after="0"/>
              <w:rPr>
                <w:sz w:val="14"/>
                <w:szCs w:val="14"/>
                <w:color w:val="auto"/>
              </w:rPr>
            </w:pPr>
          </w:p>
        </w:tc>
        <w:tc>
          <w:tcPr>
            <w:tcW w:w="720" w:type="dxa"/>
            <w:vAlign w:val="bottom"/>
            <w:shd w:val="clear" w:color="auto" w:fill="732282"/>
          </w:tcPr>
          <w:p>
            <w:pPr>
              <w:spacing w:after="0"/>
              <w:rPr>
                <w:sz w:val="14"/>
                <w:szCs w:val="14"/>
                <w:color w:val="auto"/>
              </w:rPr>
            </w:pPr>
          </w:p>
        </w:tc>
        <w:tc>
          <w:tcPr>
            <w:tcW w:w="60" w:type="dxa"/>
            <w:vAlign w:val="bottom"/>
            <w:shd w:val="clear" w:color="auto" w:fill="732282"/>
          </w:tcPr>
          <w:p>
            <w:pPr>
              <w:spacing w:after="0"/>
              <w:rPr>
                <w:sz w:val="14"/>
                <w:szCs w:val="14"/>
                <w:color w:val="auto"/>
              </w:rPr>
            </w:pPr>
          </w:p>
        </w:tc>
        <w:tc>
          <w:tcPr>
            <w:tcW w:w="7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Stock</w:t>
            </w:r>
          </w:p>
        </w:tc>
        <w:tc>
          <w:tcPr>
            <w:tcW w:w="8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All Other</w:t>
            </w:r>
          </w:p>
        </w:tc>
        <w:tc>
          <w:tcPr>
            <w:tcW w:w="720" w:type="dxa"/>
            <w:vAlign w:val="bottom"/>
            <w:shd w:val="clear" w:color="auto" w:fill="732282"/>
          </w:tcPr>
          <w:p>
            <w:pPr>
              <w:spacing w:after="0"/>
              <w:rPr>
                <w:sz w:val="14"/>
                <w:szCs w:val="14"/>
                <w:color w:val="auto"/>
              </w:rPr>
            </w:pPr>
          </w:p>
        </w:tc>
        <w:tc>
          <w:tcPr>
            <w:tcW w:w="8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54"/>
        </w:trPr>
        <w:tc>
          <w:tcPr>
            <w:tcW w:w="1540" w:type="dxa"/>
            <w:vAlign w:val="bottom"/>
            <w:shd w:val="clear" w:color="auto" w:fill="732282"/>
          </w:tcPr>
          <w:p>
            <w:pPr>
              <w:spacing w:after="0"/>
              <w:rPr>
                <w:sz w:val="4"/>
                <w:szCs w:val="4"/>
                <w:color w:val="auto"/>
              </w:rPr>
            </w:pPr>
          </w:p>
        </w:tc>
        <w:tc>
          <w:tcPr>
            <w:tcW w:w="820" w:type="dxa"/>
            <w:vAlign w:val="bottom"/>
            <w:shd w:val="clear" w:color="auto" w:fill="732282"/>
          </w:tcPr>
          <w:p>
            <w:pPr>
              <w:spacing w:after="0"/>
              <w:rPr>
                <w:sz w:val="4"/>
                <w:szCs w:val="4"/>
                <w:color w:val="auto"/>
              </w:rPr>
            </w:pPr>
          </w:p>
        </w:tc>
        <w:tc>
          <w:tcPr>
            <w:tcW w:w="840" w:type="dxa"/>
            <w:vAlign w:val="bottom"/>
            <w:shd w:val="clear" w:color="auto" w:fill="732282"/>
          </w:tcPr>
          <w:p>
            <w:pPr>
              <w:spacing w:after="0"/>
              <w:rPr>
                <w:sz w:val="4"/>
                <w:szCs w:val="4"/>
                <w:color w:val="auto"/>
              </w:rPr>
            </w:pPr>
          </w:p>
        </w:tc>
        <w:tc>
          <w:tcPr>
            <w:tcW w:w="800" w:type="dxa"/>
            <w:vAlign w:val="bottom"/>
            <w:shd w:val="clear" w:color="auto" w:fill="732282"/>
          </w:tcPr>
          <w:p>
            <w:pPr>
              <w:spacing w:after="0"/>
              <w:rPr>
                <w:sz w:val="4"/>
                <w:szCs w:val="4"/>
                <w:color w:val="auto"/>
              </w:rPr>
            </w:pPr>
          </w:p>
        </w:tc>
        <w:tc>
          <w:tcPr>
            <w:tcW w:w="820" w:type="dxa"/>
            <w:vAlign w:val="bottom"/>
            <w:shd w:val="clear" w:color="auto" w:fill="732282"/>
          </w:tcPr>
          <w:p>
            <w:pPr>
              <w:spacing w:after="0"/>
              <w:rPr>
                <w:sz w:val="4"/>
                <w:szCs w:val="4"/>
                <w:color w:val="auto"/>
              </w:rPr>
            </w:pPr>
          </w:p>
        </w:tc>
        <w:tc>
          <w:tcPr>
            <w:tcW w:w="820" w:type="dxa"/>
            <w:vAlign w:val="bottom"/>
            <w:shd w:val="clear" w:color="auto" w:fill="732282"/>
          </w:tcPr>
          <w:p>
            <w:pPr>
              <w:spacing w:after="0"/>
              <w:rPr>
                <w:sz w:val="4"/>
                <w:szCs w:val="4"/>
                <w:color w:val="auto"/>
              </w:rPr>
            </w:pPr>
          </w:p>
        </w:tc>
        <w:tc>
          <w:tcPr>
            <w:tcW w:w="780" w:type="dxa"/>
            <w:vAlign w:val="bottom"/>
            <w:shd w:val="clear" w:color="auto" w:fill="732282"/>
          </w:tcPr>
          <w:p>
            <w:pPr>
              <w:spacing w:after="0"/>
              <w:rPr>
                <w:sz w:val="4"/>
                <w:szCs w:val="4"/>
                <w:color w:val="auto"/>
              </w:rPr>
            </w:pPr>
          </w:p>
        </w:tc>
        <w:tc>
          <w:tcPr>
            <w:tcW w:w="760" w:type="dxa"/>
            <w:vAlign w:val="bottom"/>
            <w:shd w:val="clear" w:color="auto" w:fill="732282"/>
          </w:tcPr>
          <w:p>
            <w:pPr>
              <w:spacing w:after="0"/>
              <w:rPr>
                <w:sz w:val="4"/>
                <w:szCs w:val="4"/>
                <w:color w:val="auto"/>
              </w:rPr>
            </w:pPr>
          </w:p>
        </w:tc>
        <w:tc>
          <w:tcPr>
            <w:tcW w:w="720" w:type="dxa"/>
            <w:vAlign w:val="bottom"/>
            <w:shd w:val="clear" w:color="auto" w:fill="732282"/>
          </w:tcPr>
          <w:p>
            <w:pPr>
              <w:spacing w:after="0"/>
              <w:rPr>
                <w:sz w:val="4"/>
                <w:szCs w:val="4"/>
                <w:color w:val="auto"/>
              </w:rPr>
            </w:pPr>
          </w:p>
        </w:tc>
        <w:tc>
          <w:tcPr>
            <w:tcW w:w="60" w:type="dxa"/>
            <w:vAlign w:val="bottom"/>
            <w:shd w:val="clear" w:color="auto" w:fill="732282"/>
          </w:tcPr>
          <w:p>
            <w:pPr>
              <w:spacing w:after="0"/>
              <w:rPr>
                <w:sz w:val="4"/>
                <w:szCs w:val="4"/>
                <w:color w:val="auto"/>
              </w:rPr>
            </w:pPr>
          </w:p>
        </w:tc>
        <w:tc>
          <w:tcPr>
            <w:tcW w:w="7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Awards:</w:t>
            </w:r>
          </w:p>
        </w:tc>
        <w:tc>
          <w:tcPr>
            <w:tcW w:w="840" w:type="dxa"/>
            <w:vAlign w:val="bottom"/>
            <w:vMerge w:val="continue"/>
            <w:shd w:val="clear" w:color="auto" w:fill="732282"/>
          </w:tcPr>
          <w:p>
            <w:pPr>
              <w:spacing w:after="0"/>
              <w:rPr>
                <w:sz w:val="4"/>
                <w:szCs w:val="4"/>
                <w:color w:val="auto"/>
              </w:rPr>
            </w:pPr>
          </w:p>
        </w:tc>
        <w:tc>
          <w:tcPr>
            <w:tcW w:w="720" w:type="dxa"/>
            <w:vAlign w:val="bottom"/>
            <w:shd w:val="clear" w:color="auto" w:fill="732282"/>
          </w:tcPr>
          <w:p>
            <w:pPr>
              <w:spacing w:after="0"/>
              <w:rPr>
                <w:sz w:val="4"/>
                <w:szCs w:val="4"/>
                <w:color w:val="auto"/>
              </w:rPr>
            </w:pPr>
          </w:p>
        </w:tc>
        <w:tc>
          <w:tcPr>
            <w:tcW w:w="800" w:type="dxa"/>
            <w:vAlign w:val="bottom"/>
            <w:vMerge w:val="continue"/>
            <w:shd w:val="clear" w:color="auto" w:fill="732282"/>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540" w:type="dxa"/>
            <w:vAlign w:val="bottom"/>
            <w:shd w:val="clear" w:color="auto" w:fill="732282"/>
          </w:tcPr>
          <w:p>
            <w:pPr>
              <w:spacing w:after="0"/>
              <w:rPr>
                <w:sz w:val="9"/>
                <w:szCs w:val="9"/>
                <w:color w:val="auto"/>
              </w:rPr>
            </w:pPr>
          </w:p>
        </w:tc>
        <w:tc>
          <w:tcPr>
            <w:tcW w:w="820" w:type="dxa"/>
            <w:vAlign w:val="bottom"/>
            <w:shd w:val="clear" w:color="auto" w:fill="732282"/>
          </w:tcPr>
          <w:p>
            <w:pPr>
              <w:spacing w:after="0"/>
              <w:rPr>
                <w:sz w:val="9"/>
                <w:szCs w:val="9"/>
                <w:color w:val="auto"/>
              </w:rPr>
            </w:pPr>
          </w:p>
        </w:tc>
        <w:tc>
          <w:tcPr>
            <w:tcW w:w="840" w:type="dxa"/>
            <w:vAlign w:val="bottom"/>
            <w:shd w:val="clear" w:color="auto" w:fill="732282"/>
          </w:tcPr>
          <w:p>
            <w:pPr>
              <w:spacing w:after="0"/>
              <w:rPr>
                <w:sz w:val="9"/>
                <w:szCs w:val="9"/>
                <w:color w:val="auto"/>
              </w:rPr>
            </w:pPr>
          </w:p>
        </w:tc>
        <w:tc>
          <w:tcPr>
            <w:tcW w:w="2440" w:type="dxa"/>
            <w:vAlign w:val="bottom"/>
            <w:gridSpan w:val="3"/>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Estimated Future</w:t>
            </w:r>
          </w:p>
        </w:tc>
        <w:tc>
          <w:tcPr>
            <w:tcW w:w="2260" w:type="dxa"/>
            <w:vAlign w:val="bottom"/>
            <w:gridSpan w:val="3"/>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Estimated Future</w:t>
            </w:r>
          </w:p>
        </w:tc>
        <w:tc>
          <w:tcPr>
            <w:tcW w:w="60" w:type="dxa"/>
            <w:vAlign w:val="bottom"/>
            <w:shd w:val="clear" w:color="auto" w:fill="732282"/>
          </w:tcPr>
          <w:p>
            <w:pPr>
              <w:spacing w:after="0"/>
              <w:rPr>
                <w:sz w:val="9"/>
                <w:szCs w:val="9"/>
                <w:color w:val="auto"/>
              </w:rPr>
            </w:pPr>
          </w:p>
        </w:tc>
        <w:tc>
          <w:tcPr>
            <w:tcW w:w="700" w:type="dxa"/>
            <w:vAlign w:val="bottom"/>
            <w:vMerge w:val="continue"/>
            <w:shd w:val="clear" w:color="auto" w:fill="732282"/>
          </w:tcPr>
          <w:p>
            <w:pPr>
              <w:spacing w:after="0"/>
              <w:rPr>
                <w:sz w:val="9"/>
                <w:szCs w:val="9"/>
                <w:color w:val="auto"/>
              </w:rPr>
            </w:pPr>
          </w:p>
        </w:tc>
        <w:tc>
          <w:tcPr>
            <w:tcW w:w="8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720" w:type="dxa"/>
            <w:vAlign w:val="bottom"/>
            <w:shd w:val="clear" w:color="auto" w:fill="732282"/>
          </w:tcPr>
          <w:p>
            <w:pPr>
              <w:spacing w:after="0"/>
              <w:rPr>
                <w:sz w:val="9"/>
                <w:szCs w:val="9"/>
                <w:color w:val="auto"/>
              </w:rPr>
            </w:pPr>
          </w:p>
        </w:tc>
        <w:tc>
          <w:tcPr>
            <w:tcW w:w="8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63"/>
        </w:trPr>
        <w:tc>
          <w:tcPr>
            <w:tcW w:w="1540" w:type="dxa"/>
            <w:vAlign w:val="bottom"/>
            <w:shd w:val="clear" w:color="auto" w:fill="732282"/>
          </w:tcPr>
          <w:p>
            <w:pPr>
              <w:spacing w:after="0"/>
              <w:rPr>
                <w:sz w:val="5"/>
                <w:szCs w:val="5"/>
                <w:color w:val="auto"/>
              </w:rPr>
            </w:pPr>
          </w:p>
        </w:tc>
        <w:tc>
          <w:tcPr>
            <w:tcW w:w="820" w:type="dxa"/>
            <w:vAlign w:val="bottom"/>
            <w:shd w:val="clear" w:color="auto" w:fill="732282"/>
          </w:tcPr>
          <w:p>
            <w:pPr>
              <w:spacing w:after="0"/>
              <w:rPr>
                <w:sz w:val="5"/>
                <w:szCs w:val="5"/>
                <w:color w:val="auto"/>
              </w:rPr>
            </w:pPr>
          </w:p>
        </w:tc>
        <w:tc>
          <w:tcPr>
            <w:tcW w:w="840" w:type="dxa"/>
            <w:vAlign w:val="bottom"/>
            <w:shd w:val="clear" w:color="auto" w:fill="732282"/>
          </w:tcPr>
          <w:p>
            <w:pPr>
              <w:spacing w:after="0"/>
              <w:rPr>
                <w:sz w:val="5"/>
                <w:szCs w:val="5"/>
                <w:color w:val="auto"/>
              </w:rPr>
            </w:pPr>
          </w:p>
        </w:tc>
        <w:tc>
          <w:tcPr>
            <w:tcW w:w="2440" w:type="dxa"/>
            <w:vAlign w:val="bottom"/>
            <w:gridSpan w:val="3"/>
            <w:vMerge w:val="continue"/>
            <w:shd w:val="clear" w:color="auto" w:fill="732282"/>
          </w:tcPr>
          <w:p>
            <w:pPr>
              <w:spacing w:after="0"/>
              <w:rPr>
                <w:sz w:val="5"/>
                <w:szCs w:val="5"/>
                <w:color w:val="auto"/>
              </w:rPr>
            </w:pPr>
          </w:p>
        </w:tc>
        <w:tc>
          <w:tcPr>
            <w:tcW w:w="2260" w:type="dxa"/>
            <w:vAlign w:val="bottom"/>
            <w:gridSpan w:val="3"/>
            <w:vMerge w:val="continue"/>
            <w:shd w:val="clear" w:color="auto" w:fill="732282"/>
          </w:tcPr>
          <w:p>
            <w:pPr>
              <w:spacing w:after="0"/>
              <w:rPr>
                <w:sz w:val="5"/>
                <w:szCs w:val="5"/>
                <w:color w:val="auto"/>
              </w:rPr>
            </w:pPr>
          </w:p>
        </w:tc>
        <w:tc>
          <w:tcPr>
            <w:tcW w:w="60" w:type="dxa"/>
            <w:vAlign w:val="bottom"/>
            <w:shd w:val="clear" w:color="auto" w:fill="732282"/>
          </w:tcPr>
          <w:p>
            <w:pPr>
              <w:spacing w:after="0"/>
              <w:rPr>
                <w:sz w:val="5"/>
                <w:szCs w:val="5"/>
                <w:color w:val="auto"/>
              </w:rPr>
            </w:pPr>
          </w:p>
        </w:tc>
        <w:tc>
          <w:tcPr>
            <w:tcW w:w="7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Number</w:t>
            </w:r>
          </w:p>
        </w:tc>
        <w:tc>
          <w:tcPr>
            <w:tcW w:w="840" w:type="dxa"/>
            <w:vAlign w:val="bottom"/>
            <w:vMerge w:val="continue"/>
            <w:shd w:val="clear" w:color="auto" w:fill="732282"/>
          </w:tcPr>
          <w:p>
            <w:pPr>
              <w:spacing w:after="0"/>
              <w:rPr>
                <w:sz w:val="5"/>
                <w:szCs w:val="5"/>
                <w:color w:val="auto"/>
              </w:rPr>
            </w:pPr>
          </w:p>
        </w:tc>
        <w:tc>
          <w:tcPr>
            <w:tcW w:w="720" w:type="dxa"/>
            <w:vAlign w:val="bottom"/>
            <w:shd w:val="clear" w:color="auto" w:fill="732282"/>
          </w:tcPr>
          <w:p>
            <w:pPr>
              <w:spacing w:after="0"/>
              <w:rPr>
                <w:sz w:val="5"/>
                <w:szCs w:val="5"/>
                <w:color w:val="auto"/>
              </w:rPr>
            </w:pPr>
          </w:p>
        </w:tc>
        <w:tc>
          <w:tcPr>
            <w:tcW w:w="80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732282"/>
          </w:tcPr>
          <w:p>
            <w:pPr>
              <w:spacing w:after="0"/>
              <w:rPr>
                <w:sz w:val="8"/>
                <w:szCs w:val="8"/>
                <w:color w:val="auto"/>
              </w:rPr>
            </w:pPr>
          </w:p>
        </w:tc>
        <w:tc>
          <w:tcPr>
            <w:tcW w:w="820" w:type="dxa"/>
            <w:vAlign w:val="bottom"/>
            <w:shd w:val="clear" w:color="auto" w:fill="732282"/>
          </w:tcPr>
          <w:p>
            <w:pPr>
              <w:spacing w:after="0"/>
              <w:rPr>
                <w:sz w:val="8"/>
                <w:szCs w:val="8"/>
                <w:color w:val="auto"/>
              </w:rPr>
            </w:pPr>
          </w:p>
        </w:tc>
        <w:tc>
          <w:tcPr>
            <w:tcW w:w="840" w:type="dxa"/>
            <w:vAlign w:val="bottom"/>
            <w:shd w:val="clear" w:color="auto" w:fill="732282"/>
          </w:tcPr>
          <w:p>
            <w:pPr>
              <w:spacing w:after="0"/>
              <w:rPr>
                <w:sz w:val="8"/>
                <w:szCs w:val="8"/>
                <w:color w:val="auto"/>
              </w:rPr>
            </w:pPr>
          </w:p>
        </w:tc>
        <w:tc>
          <w:tcPr>
            <w:tcW w:w="800" w:type="dxa"/>
            <w:vAlign w:val="bottom"/>
            <w:shd w:val="clear" w:color="auto" w:fill="732282"/>
          </w:tcPr>
          <w:p>
            <w:pPr>
              <w:spacing w:after="0"/>
              <w:rPr>
                <w:sz w:val="8"/>
                <w:szCs w:val="8"/>
                <w:color w:val="auto"/>
              </w:rPr>
            </w:pPr>
          </w:p>
        </w:tc>
        <w:tc>
          <w:tcPr>
            <w:tcW w:w="82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Payments</w:t>
            </w:r>
          </w:p>
        </w:tc>
        <w:tc>
          <w:tcPr>
            <w:tcW w:w="820" w:type="dxa"/>
            <w:vAlign w:val="bottom"/>
            <w:shd w:val="clear" w:color="auto" w:fill="732282"/>
          </w:tcPr>
          <w:p>
            <w:pPr>
              <w:spacing w:after="0"/>
              <w:rPr>
                <w:sz w:val="8"/>
                <w:szCs w:val="8"/>
                <w:color w:val="auto"/>
              </w:rPr>
            </w:pPr>
          </w:p>
        </w:tc>
        <w:tc>
          <w:tcPr>
            <w:tcW w:w="780" w:type="dxa"/>
            <w:vAlign w:val="bottom"/>
            <w:shd w:val="clear" w:color="auto" w:fill="732282"/>
          </w:tcPr>
          <w:p>
            <w:pPr>
              <w:spacing w:after="0"/>
              <w:rPr>
                <w:sz w:val="8"/>
                <w:szCs w:val="8"/>
                <w:color w:val="auto"/>
              </w:rPr>
            </w:pPr>
          </w:p>
        </w:tc>
        <w:tc>
          <w:tcPr>
            <w:tcW w:w="7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Payments</w:t>
            </w:r>
          </w:p>
        </w:tc>
        <w:tc>
          <w:tcPr>
            <w:tcW w:w="720" w:type="dxa"/>
            <w:vAlign w:val="bottom"/>
            <w:shd w:val="clear" w:color="auto" w:fill="732282"/>
          </w:tcPr>
          <w:p>
            <w:pPr>
              <w:spacing w:after="0"/>
              <w:rPr>
                <w:sz w:val="8"/>
                <w:szCs w:val="8"/>
                <w:color w:val="auto"/>
              </w:rPr>
            </w:pPr>
          </w:p>
        </w:tc>
        <w:tc>
          <w:tcPr>
            <w:tcW w:w="60" w:type="dxa"/>
            <w:vAlign w:val="bottom"/>
            <w:shd w:val="clear" w:color="auto" w:fill="732282"/>
          </w:tcPr>
          <w:p>
            <w:pPr>
              <w:spacing w:after="0"/>
              <w:rPr>
                <w:sz w:val="8"/>
                <w:szCs w:val="8"/>
                <w:color w:val="auto"/>
              </w:rPr>
            </w:pPr>
          </w:p>
        </w:tc>
        <w:tc>
          <w:tcPr>
            <w:tcW w:w="700" w:type="dxa"/>
            <w:vAlign w:val="bottom"/>
            <w:vMerge w:val="continue"/>
            <w:shd w:val="clear" w:color="auto" w:fill="732282"/>
          </w:tcPr>
          <w:p>
            <w:pPr>
              <w:spacing w:after="0"/>
              <w:rPr>
                <w:sz w:val="8"/>
                <w:szCs w:val="8"/>
                <w:color w:val="auto"/>
              </w:rPr>
            </w:pPr>
          </w:p>
        </w:tc>
        <w:tc>
          <w:tcPr>
            <w:tcW w:w="8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Awards:</w:t>
            </w:r>
          </w:p>
        </w:tc>
        <w:tc>
          <w:tcPr>
            <w:tcW w:w="72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Exercise</w:t>
            </w:r>
          </w:p>
        </w:tc>
        <w:tc>
          <w:tcPr>
            <w:tcW w:w="8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63"/>
        </w:trPr>
        <w:tc>
          <w:tcPr>
            <w:tcW w:w="1540" w:type="dxa"/>
            <w:vAlign w:val="bottom"/>
            <w:shd w:val="clear" w:color="auto" w:fill="732282"/>
          </w:tcPr>
          <w:p>
            <w:pPr>
              <w:spacing w:after="0"/>
              <w:rPr>
                <w:sz w:val="5"/>
                <w:szCs w:val="5"/>
                <w:color w:val="auto"/>
              </w:rPr>
            </w:pPr>
          </w:p>
        </w:tc>
        <w:tc>
          <w:tcPr>
            <w:tcW w:w="820" w:type="dxa"/>
            <w:vAlign w:val="bottom"/>
            <w:shd w:val="clear" w:color="auto" w:fill="732282"/>
          </w:tcPr>
          <w:p>
            <w:pPr>
              <w:spacing w:after="0"/>
              <w:rPr>
                <w:sz w:val="5"/>
                <w:szCs w:val="5"/>
                <w:color w:val="auto"/>
              </w:rPr>
            </w:pPr>
          </w:p>
        </w:tc>
        <w:tc>
          <w:tcPr>
            <w:tcW w:w="840" w:type="dxa"/>
            <w:vAlign w:val="bottom"/>
            <w:shd w:val="clear" w:color="auto" w:fill="732282"/>
          </w:tcPr>
          <w:p>
            <w:pPr>
              <w:spacing w:after="0"/>
              <w:rPr>
                <w:sz w:val="5"/>
                <w:szCs w:val="5"/>
                <w:color w:val="auto"/>
              </w:rPr>
            </w:pPr>
          </w:p>
        </w:tc>
        <w:tc>
          <w:tcPr>
            <w:tcW w:w="800" w:type="dxa"/>
            <w:vAlign w:val="bottom"/>
            <w:shd w:val="clear" w:color="auto" w:fill="732282"/>
          </w:tcPr>
          <w:p>
            <w:pPr>
              <w:spacing w:after="0"/>
              <w:rPr>
                <w:sz w:val="5"/>
                <w:szCs w:val="5"/>
                <w:color w:val="auto"/>
              </w:rPr>
            </w:pPr>
          </w:p>
        </w:tc>
        <w:tc>
          <w:tcPr>
            <w:tcW w:w="820" w:type="dxa"/>
            <w:vAlign w:val="bottom"/>
            <w:vMerge w:val="continue"/>
            <w:shd w:val="clear" w:color="auto" w:fill="732282"/>
          </w:tcPr>
          <w:p>
            <w:pPr>
              <w:spacing w:after="0"/>
              <w:rPr>
                <w:sz w:val="5"/>
                <w:szCs w:val="5"/>
                <w:color w:val="auto"/>
              </w:rPr>
            </w:pPr>
          </w:p>
        </w:tc>
        <w:tc>
          <w:tcPr>
            <w:tcW w:w="820" w:type="dxa"/>
            <w:vAlign w:val="bottom"/>
            <w:shd w:val="clear" w:color="auto" w:fill="732282"/>
          </w:tcPr>
          <w:p>
            <w:pPr>
              <w:spacing w:after="0"/>
              <w:rPr>
                <w:sz w:val="5"/>
                <w:szCs w:val="5"/>
                <w:color w:val="auto"/>
              </w:rPr>
            </w:pPr>
          </w:p>
        </w:tc>
        <w:tc>
          <w:tcPr>
            <w:tcW w:w="780" w:type="dxa"/>
            <w:vAlign w:val="bottom"/>
            <w:shd w:val="clear" w:color="auto" w:fill="732282"/>
          </w:tcPr>
          <w:p>
            <w:pPr>
              <w:spacing w:after="0"/>
              <w:rPr>
                <w:sz w:val="5"/>
                <w:szCs w:val="5"/>
                <w:color w:val="auto"/>
              </w:rPr>
            </w:pPr>
          </w:p>
        </w:tc>
        <w:tc>
          <w:tcPr>
            <w:tcW w:w="760" w:type="dxa"/>
            <w:vAlign w:val="bottom"/>
            <w:vMerge w:val="continue"/>
            <w:shd w:val="clear" w:color="auto" w:fill="732282"/>
          </w:tcPr>
          <w:p>
            <w:pPr>
              <w:spacing w:after="0"/>
              <w:rPr>
                <w:sz w:val="5"/>
                <w:szCs w:val="5"/>
                <w:color w:val="auto"/>
              </w:rPr>
            </w:pPr>
          </w:p>
        </w:tc>
        <w:tc>
          <w:tcPr>
            <w:tcW w:w="720" w:type="dxa"/>
            <w:vAlign w:val="bottom"/>
            <w:shd w:val="clear" w:color="auto" w:fill="732282"/>
          </w:tcPr>
          <w:p>
            <w:pPr>
              <w:spacing w:after="0"/>
              <w:rPr>
                <w:sz w:val="5"/>
                <w:szCs w:val="5"/>
                <w:color w:val="auto"/>
              </w:rPr>
            </w:pPr>
          </w:p>
        </w:tc>
        <w:tc>
          <w:tcPr>
            <w:tcW w:w="60" w:type="dxa"/>
            <w:vAlign w:val="bottom"/>
            <w:shd w:val="clear" w:color="auto" w:fill="732282"/>
          </w:tcPr>
          <w:p>
            <w:pPr>
              <w:spacing w:after="0"/>
              <w:rPr>
                <w:sz w:val="5"/>
                <w:szCs w:val="5"/>
                <w:color w:val="auto"/>
              </w:rPr>
            </w:pPr>
          </w:p>
        </w:tc>
        <w:tc>
          <w:tcPr>
            <w:tcW w:w="7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of</w:t>
            </w:r>
          </w:p>
        </w:tc>
        <w:tc>
          <w:tcPr>
            <w:tcW w:w="840" w:type="dxa"/>
            <w:vAlign w:val="bottom"/>
            <w:vMerge w:val="continue"/>
            <w:shd w:val="clear" w:color="auto" w:fill="732282"/>
          </w:tcPr>
          <w:p>
            <w:pPr>
              <w:spacing w:after="0"/>
              <w:rPr>
                <w:sz w:val="5"/>
                <w:szCs w:val="5"/>
                <w:color w:val="auto"/>
              </w:rPr>
            </w:pPr>
          </w:p>
        </w:tc>
        <w:tc>
          <w:tcPr>
            <w:tcW w:w="720" w:type="dxa"/>
            <w:vAlign w:val="bottom"/>
            <w:vMerge w:val="continue"/>
            <w:shd w:val="clear" w:color="auto" w:fill="732282"/>
          </w:tcPr>
          <w:p>
            <w:pPr>
              <w:spacing w:after="0"/>
              <w:rPr>
                <w:sz w:val="5"/>
                <w:szCs w:val="5"/>
                <w:color w:val="auto"/>
              </w:rPr>
            </w:pPr>
          </w:p>
        </w:tc>
        <w:tc>
          <w:tcPr>
            <w:tcW w:w="80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540" w:type="dxa"/>
            <w:vAlign w:val="bottom"/>
            <w:shd w:val="clear" w:color="auto" w:fill="732282"/>
          </w:tcPr>
          <w:p>
            <w:pPr>
              <w:spacing w:after="0"/>
              <w:rPr>
                <w:sz w:val="8"/>
                <w:szCs w:val="8"/>
                <w:color w:val="auto"/>
              </w:rPr>
            </w:pPr>
          </w:p>
        </w:tc>
        <w:tc>
          <w:tcPr>
            <w:tcW w:w="820" w:type="dxa"/>
            <w:vAlign w:val="bottom"/>
            <w:shd w:val="clear" w:color="auto" w:fill="732282"/>
          </w:tcPr>
          <w:p>
            <w:pPr>
              <w:spacing w:after="0"/>
              <w:rPr>
                <w:sz w:val="8"/>
                <w:szCs w:val="8"/>
                <w:color w:val="auto"/>
              </w:rPr>
            </w:pPr>
          </w:p>
        </w:tc>
        <w:tc>
          <w:tcPr>
            <w:tcW w:w="840" w:type="dxa"/>
            <w:vAlign w:val="bottom"/>
            <w:shd w:val="clear" w:color="auto" w:fill="732282"/>
          </w:tcPr>
          <w:p>
            <w:pPr>
              <w:spacing w:after="0"/>
              <w:rPr>
                <w:sz w:val="8"/>
                <w:szCs w:val="8"/>
                <w:color w:val="auto"/>
              </w:rPr>
            </w:pPr>
          </w:p>
        </w:tc>
        <w:tc>
          <w:tcPr>
            <w:tcW w:w="2440" w:type="dxa"/>
            <w:vAlign w:val="bottom"/>
            <w:gridSpan w:val="3"/>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2260" w:type="dxa"/>
            <w:vAlign w:val="bottom"/>
            <w:gridSpan w:val="3"/>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60" w:type="dxa"/>
            <w:vAlign w:val="bottom"/>
            <w:shd w:val="clear" w:color="auto" w:fill="732282"/>
          </w:tcPr>
          <w:p>
            <w:pPr>
              <w:spacing w:after="0"/>
              <w:rPr>
                <w:sz w:val="8"/>
                <w:szCs w:val="8"/>
                <w:color w:val="auto"/>
              </w:rPr>
            </w:pPr>
          </w:p>
        </w:tc>
        <w:tc>
          <w:tcPr>
            <w:tcW w:w="700" w:type="dxa"/>
            <w:vAlign w:val="bottom"/>
            <w:vMerge w:val="continue"/>
            <w:shd w:val="clear" w:color="auto" w:fill="732282"/>
          </w:tcPr>
          <w:p>
            <w:pPr>
              <w:spacing w:after="0"/>
              <w:rPr>
                <w:sz w:val="8"/>
                <w:szCs w:val="8"/>
                <w:color w:val="auto"/>
              </w:rPr>
            </w:pPr>
          </w:p>
        </w:tc>
        <w:tc>
          <w:tcPr>
            <w:tcW w:w="8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72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or Base</w:t>
            </w:r>
          </w:p>
        </w:tc>
        <w:tc>
          <w:tcPr>
            <w:tcW w:w="8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Stock and</w:t>
            </w:r>
          </w:p>
        </w:tc>
        <w:tc>
          <w:tcPr>
            <w:tcW w:w="0" w:type="dxa"/>
            <w:vAlign w:val="bottom"/>
          </w:tcPr>
          <w:p>
            <w:pPr>
              <w:spacing w:after="0"/>
              <w:rPr>
                <w:sz w:val="1"/>
                <w:szCs w:val="1"/>
                <w:color w:val="auto"/>
              </w:rPr>
            </w:pPr>
          </w:p>
        </w:tc>
      </w:tr>
      <w:tr>
        <w:trPr>
          <w:trHeight w:val="90"/>
        </w:trPr>
        <w:tc>
          <w:tcPr>
            <w:tcW w:w="1540" w:type="dxa"/>
            <w:vAlign w:val="bottom"/>
            <w:shd w:val="clear" w:color="auto" w:fill="732282"/>
          </w:tcPr>
          <w:p>
            <w:pPr>
              <w:spacing w:after="0"/>
              <w:rPr>
                <w:sz w:val="7"/>
                <w:szCs w:val="7"/>
                <w:color w:val="auto"/>
              </w:rPr>
            </w:pPr>
          </w:p>
        </w:tc>
        <w:tc>
          <w:tcPr>
            <w:tcW w:w="820" w:type="dxa"/>
            <w:vAlign w:val="bottom"/>
            <w:shd w:val="clear" w:color="auto" w:fill="732282"/>
          </w:tcPr>
          <w:p>
            <w:pPr>
              <w:spacing w:after="0"/>
              <w:rPr>
                <w:sz w:val="7"/>
                <w:szCs w:val="7"/>
                <w:color w:val="auto"/>
              </w:rPr>
            </w:pPr>
          </w:p>
        </w:tc>
        <w:tc>
          <w:tcPr>
            <w:tcW w:w="840" w:type="dxa"/>
            <w:vAlign w:val="bottom"/>
            <w:shd w:val="clear" w:color="auto" w:fill="732282"/>
          </w:tcPr>
          <w:p>
            <w:pPr>
              <w:spacing w:after="0"/>
              <w:rPr>
                <w:sz w:val="7"/>
                <w:szCs w:val="7"/>
                <w:color w:val="auto"/>
              </w:rPr>
            </w:pPr>
          </w:p>
        </w:tc>
        <w:tc>
          <w:tcPr>
            <w:tcW w:w="2440" w:type="dxa"/>
            <w:vAlign w:val="bottom"/>
            <w:gridSpan w:val="3"/>
            <w:vMerge w:val="continue"/>
            <w:shd w:val="clear" w:color="auto" w:fill="732282"/>
          </w:tcPr>
          <w:p>
            <w:pPr>
              <w:spacing w:after="0"/>
              <w:rPr>
                <w:sz w:val="7"/>
                <w:szCs w:val="7"/>
                <w:color w:val="auto"/>
              </w:rPr>
            </w:pPr>
          </w:p>
        </w:tc>
        <w:tc>
          <w:tcPr>
            <w:tcW w:w="2260" w:type="dxa"/>
            <w:vAlign w:val="bottom"/>
            <w:gridSpan w:val="3"/>
            <w:vMerge w:val="continue"/>
            <w:shd w:val="clear" w:color="auto" w:fill="732282"/>
          </w:tcPr>
          <w:p>
            <w:pPr>
              <w:spacing w:after="0"/>
              <w:rPr>
                <w:sz w:val="7"/>
                <w:szCs w:val="7"/>
                <w:color w:val="auto"/>
              </w:rPr>
            </w:pPr>
          </w:p>
        </w:tc>
        <w:tc>
          <w:tcPr>
            <w:tcW w:w="60" w:type="dxa"/>
            <w:vAlign w:val="bottom"/>
            <w:shd w:val="clear" w:color="auto" w:fill="732282"/>
          </w:tcPr>
          <w:p>
            <w:pPr>
              <w:spacing w:after="0"/>
              <w:rPr>
                <w:sz w:val="7"/>
                <w:szCs w:val="7"/>
                <w:color w:val="auto"/>
              </w:rPr>
            </w:pPr>
          </w:p>
        </w:tc>
        <w:tc>
          <w:tcPr>
            <w:tcW w:w="7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840" w:type="dxa"/>
            <w:vAlign w:val="bottom"/>
            <w:vMerge w:val="continue"/>
            <w:shd w:val="clear" w:color="auto" w:fill="732282"/>
          </w:tcPr>
          <w:p>
            <w:pPr>
              <w:spacing w:after="0"/>
              <w:rPr>
                <w:sz w:val="7"/>
                <w:szCs w:val="7"/>
                <w:color w:val="auto"/>
              </w:rPr>
            </w:pPr>
          </w:p>
        </w:tc>
        <w:tc>
          <w:tcPr>
            <w:tcW w:w="720" w:type="dxa"/>
            <w:vAlign w:val="bottom"/>
            <w:vMerge w:val="continue"/>
            <w:shd w:val="clear" w:color="auto" w:fill="732282"/>
          </w:tcPr>
          <w:p>
            <w:pPr>
              <w:spacing w:after="0"/>
              <w:rPr>
                <w:sz w:val="7"/>
                <w:szCs w:val="7"/>
                <w:color w:val="auto"/>
              </w:rPr>
            </w:pPr>
          </w:p>
        </w:tc>
        <w:tc>
          <w:tcPr>
            <w:tcW w:w="800" w:type="dxa"/>
            <w:vAlign w:val="bottom"/>
            <w:vMerge w:val="continue"/>
            <w:shd w:val="clear" w:color="auto" w:fill="732282"/>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540" w:type="dxa"/>
            <w:vAlign w:val="bottom"/>
            <w:shd w:val="clear" w:color="auto" w:fill="732282"/>
          </w:tcPr>
          <w:p>
            <w:pPr>
              <w:spacing w:after="0"/>
              <w:rPr>
                <w:sz w:val="6"/>
                <w:szCs w:val="6"/>
                <w:color w:val="auto"/>
              </w:rPr>
            </w:pPr>
          </w:p>
        </w:tc>
        <w:tc>
          <w:tcPr>
            <w:tcW w:w="820" w:type="dxa"/>
            <w:vAlign w:val="bottom"/>
            <w:shd w:val="clear" w:color="auto" w:fill="732282"/>
          </w:tcPr>
          <w:p>
            <w:pPr>
              <w:spacing w:after="0"/>
              <w:rPr>
                <w:sz w:val="6"/>
                <w:szCs w:val="6"/>
                <w:color w:val="auto"/>
              </w:rPr>
            </w:pPr>
          </w:p>
        </w:tc>
        <w:tc>
          <w:tcPr>
            <w:tcW w:w="840" w:type="dxa"/>
            <w:vAlign w:val="bottom"/>
            <w:shd w:val="clear" w:color="auto" w:fill="732282"/>
          </w:tcPr>
          <w:p>
            <w:pPr>
              <w:spacing w:after="0"/>
              <w:rPr>
                <w:sz w:val="6"/>
                <w:szCs w:val="6"/>
                <w:color w:val="auto"/>
              </w:rPr>
            </w:pPr>
          </w:p>
        </w:tc>
        <w:tc>
          <w:tcPr>
            <w:tcW w:w="2440" w:type="dxa"/>
            <w:vAlign w:val="bottom"/>
            <w:gridSpan w:val="3"/>
            <w:vMerge w:val="restart"/>
            <w:shd w:val="clear" w:color="auto" w:fill="732282"/>
          </w:tcPr>
          <w:p>
            <w:pPr>
              <w:jc w:val="center"/>
              <w:spacing w:after="0" w:line="149"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7"/>
                <w:szCs w:val="17"/>
                <w:b w:val="1"/>
                <w:bCs w:val="1"/>
                <w:color w:val="FFFFFF"/>
                <w:vertAlign w:val="superscript"/>
              </w:rPr>
              <w:t>(1)</w:t>
            </w:r>
          </w:p>
        </w:tc>
        <w:tc>
          <w:tcPr>
            <w:tcW w:w="2260" w:type="dxa"/>
            <w:vAlign w:val="bottom"/>
            <w:gridSpan w:val="3"/>
            <w:vMerge w:val="restart"/>
            <w:shd w:val="clear" w:color="auto" w:fill="732282"/>
          </w:tcPr>
          <w:p>
            <w:pPr>
              <w:jc w:val="center"/>
              <w:spacing w:after="0" w:line="149"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7"/>
                <w:szCs w:val="17"/>
                <w:b w:val="1"/>
                <w:bCs w:val="1"/>
                <w:color w:val="FFFFFF"/>
                <w:vertAlign w:val="superscript"/>
              </w:rPr>
              <w:t>(2)</w:t>
            </w:r>
          </w:p>
        </w:tc>
        <w:tc>
          <w:tcPr>
            <w:tcW w:w="60" w:type="dxa"/>
            <w:vAlign w:val="bottom"/>
            <w:shd w:val="clear" w:color="auto" w:fill="732282"/>
          </w:tcPr>
          <w:p>
            <w:pPr>
              <w:spacing w:after="0"/>
              <w:rPr>
                <w:sz w:val="6"/>
                <w:szCs w:val="6"/>
                <w:color w:val="auto"/>
              </w:rPr>
            </w:pPr>
          </w:p>
        </w:tc>
        <w:tc>
          <w:tcPr>
            <w:tcW w:w="700" w:type="dxa"/>
            <w:vAlign w:val="bottom"/>
            <w:vMerge w:val="continue"/>
            <w:shd w:val="clear" w:color="auto" w:fill="732282"/>
          </w:tcPr>
          <w:p>
            <w:pPr>
              <w:spacing w:after="0"/>
              <w:rPr>
                <w:sz w:val="6"/>
                <w:szCs w:val="6"/>
                <w:color w:val="auto"/>
              </w:rPr>
            </w:pPr>
          </w:p>
        </w:tc>
        <w:tc>
          <w:tcPr>
            <w:tcW w:w="840" w:type="dxa"/>
            <w:vAlign w:val="bottom"/>
            <w:vMerge w:val="restart"/>
            <w:shd w:val="clear" w:color="auto" w:fill="732282"/>
          </w:tcPr>
          <w:p>
            <w:pPr>
              <w:jc w:val="center"/>
              <w:spacing w:after="0" w:line="149" w:lineRule="exact"/>
              <w:rPr>
                <w:sz w:val="20"/>
                <w:szCs w:val="20"/>
                <w:color w:val="auto"/>
              </w:rPr>
            </w:pPr>
            <w:r>
              <w:rPr>
                <w:rFonts w:ascii="Arial" w:cs="Arial" w:eastAsia="Arial" w:hAnsi="Arial"/>
                <w:sz w:val="14"/>
                <w:szCs w:val="14"/>
                <w:b w:val="1"/>
                <w:bCs w:val="1"/>
                <w:color w:val="FFFFFF"/>
              </w:rPr>
              <w:t>Securities</w:t>
            </w:r>
          </w:p>
        </w:tc>
        <w:tc>
          <w:tcPr>
            <w:tcW w:w="720" w:type="dxa"/>
            <w:vAlign w:val="bottom"/>
            <w:vMerge w:val="restart"/>
            <w:shd w:val="clear" w:color="auto" w:fill="732282"/>
          </w:tcPr>
          <w:p>
            <w:pPr>
              <w:jc w:val="center"/>
              <w:spacing w:after="0" w:line="149" w:lineRule="exact"/>
              <w:rPr>
                <w:sz w:val="20"/>
                <w:szCs w:val="20"/>
                <w:color w:val="auto"/>
              </w:rPr>
            </w:pPr>
            <w:r>
              <w:rPr>
                <w:rFonts w:ascii="Arial" w:cs="Arial" w:eastAsia="Arial" w:hAnsi="Arial"/>
                <w:sz w:val="14"/>
                <w:szCs w:val="14"/>
                <w:b w:val="1"/>
                <w:bCs w:val="1"/>
                <w:color w:val="FFFFFF"/>
              </w:rPr>
              <w:t>Price of</w:t>
            </w:r>
          </w:p>
        </w:tc>
        <w:tc>
          <w:tcPr>
            <w:tcW w:w="8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77"/>
        </w:trPr>
        <w:tc>
          <w:tcPr>
            <w:tcW w:w="1540" w:type="dxa"/>
            <w:vAlign w:val="bottom"/>
            <w:shd w:val="clear" w:color="auto" w:fill="732282"/>
          </w:tcPr>
          <w:p>
            <w:pPr>
              <w:spacing w:after="0"/>
              <w:rPr>
                <w:sz w:val="6"/>
                <w:szCs w:val="6"/>
                <w:color w:val="auto"/>
              </w:rPr>
            </w:pPr>
          </w:p>
        </w:tc>
        <w:tc>
          <w:tcPr>
            <w:tcW w:w="820" w:type="dxa"/>
            <w:vAlign w:val="bottom"/>
            <w:shd w:val="clear" w:color="auto" w:fill="732282"/>
          </w:tcPr>
          <w:p>
            <w:pPr>
              <w:spacing w:after="0"/>
              <w:rPr>
                <w:sz w:val="6"/>
                <w:szCs w:val="6"/>
                <w:color w:val="auto"/>
              </w:rPr>
            </w:pPr>
          </w:p>
        </w:tc>
        <w:tc>
          <w:tcPr>
            <w:tcW w:w="840" w:type="dxa"/>
            <w:vAlign w:val="bottom"/>
            <w:shd w:val="clear" w:color="auto" w:fill="732282"/>
          </w:tcPr>
          <w:p>
            <w:pPr>
              <w:spacing w:after="0"/>
              <w:rPr>
                <w:sz w:val="6"/>
                <w:szCs w:val="6"/>
                <w:color w:val="auto"/>
              </w:rPr>
            </w:pPr>
          </w:p>
        </w:tc>
        <w:tc>
          <w:tcPr>
            <w:tcW w:w="2440" w:type="dxa"/>
            <w:vAlign w:val="bottom"/>
            <w:gridSpan w:val="3"/>
            <w:vMerge w:val="continue"/>
            <w:shd w:val="clear" w:color="auto" w:fill="732282"/>
          </w:tcPr>
          <w:p>
            <w:pPr>
              <w:spacing w:after="0"/>
              <w:rPr>
                <w:sz w:val="6"/>
                <w:szCs w:val="6"/>
                <w:color w:val="auto"/>
              </w:rPr>
            </w:pPr>
          </w:p>
        </w:tc>
        <w:tc>
          <w:tcPr>
            <w:tcW w:w="2260" w:type="dxa"/>
            <w:vAlign w:val="bottom"/>
            <w:gridSpan w:val="3"/>
            <w:vMerge w:val="continue"/>
            <w:shd w:val="clear" w:color="auto" w:fill="732282"/>
          </w:tcPr>
          <w:p>
            <w:pPr>
              <w:spacing w:after="0"/>
              <w:rPr>
                <w:sz w:val="6"/>
                <w:szCs w:val="6"/>
                <w:color w:val="auto"/>
              </w:rPr>
            </w:pPr>
          </w:p>
        </w:tc>
        <w:tc>
          <w:tcPr>
            <w:tcW w:w="60" w:type="dxa"/>
            <w:vAlign w:val="bottom"/>
            <w:shd w:val="clear" w:color="auto" w:fill="732282"/>
          </w:tcPr>
          <w:p>
            <w:pPr>
              <w:spacing w:after="0"/>
              <w:rPr>
                <w:sz w:val="6"/>
                <w:szCs w:val="6"/>
                <w:color w:val="auto"/>
              </w:rPr>
            </w:pPr>
          </w:p>
        </w:tc>
        <w:tc>
          <w:tcPr>
            <w:tcW w:w="7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of Stock</w:t>
            </w:r>
          </w:p>
        </w:tc>
        <w:tc>
          <w:tcPr>
            <w:tcW w:w="840" w:type="dxa"/>
            <w:vAlign w:val="bottom"/>
            <w:vMerge w:val="continue"/>
            <w:shd w:val="clear" w:color="auto" w:fill="732282"/>
          </w:tcPr>
          <w:p>
            <w:pPr>
              <w:spacing w:after="0"/>
              <w:rPr>
                <w:sz w:val="6"/>
                <w:szCs w:val="6"/>
                <w:color w:val="auto"/>
              </w:rPr>
            </w:pPr>
          </w:p>
        </w:tc>
        <w:tc>
          <w:tcPr>
            <w:tcW w:w="720" w:type="dxa"/>
            <w:vAlign w:val="bottom"/>
            <w:vMerge w:val="continue"/>
            <w:shd w:val="clear" w:color="auto" w:fill="732282"/>
          </w:tcPr>
          <w:p>
            <w:pPr>
              <w:spacing w:after="0"/>
              <w:rPr>
                <w:sz w:val="6"/>
                <w:szCs w:val="6"/>
                <w:color w:val="auto"/>
              </w:rPr>
            </w:pPr>
          </w:p>
        </w:tc>
        <w:tc>
          <w:tcPr>
            <w:tcW w:w="800" w:type="dxa"/>
            <w:vAlign w:val="bottom"/>
            <w:vMerge w:val="continue"/>
            <w:shd w:val="clear" w:color="auto" w:fill="732282"/>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540" w:type="dxa"/>
            <w:vAlign w:val="bottom"/>
            <w:shd w:val="clear" w:color="auto" w:fill="732282"/>
          </w:tcPr>
          <w:p>
            <w:pPr>
              <w:spacing w:after="0"/>
              <w:rPr>
                <w:sz w:val="10"/>
                <w:szCs w:val="10"/>
                <w:color w:val="auto"/>
              </w:rPr>
            </w:pPr>
          </w:p>
        </w:tc>
        <w:tc>
          <w:tcPr>
            <w:tcW w:w="820" w:type="dxa"/>
            <w:vAlign w:val="bottom"/>
            <w:shd w:val="clear" w:color="auto" w:fill="732282"/>
          </w:tcPr>
          <w:p>
            <w:pPr>
              <w:spacing w:after="0"/>
              <w:rPr>
                <w:sz w:val="10"/>
                <w:szCs w:val="10"/>
                <w:color w:val="auto"/>
              </w:rPr>
            </w:pPr>
          </w:p>
        </w:tc>
        <w:tc>
          <w:tcPr>
            <w:tcW w:w="840" w:type="dxa"/>
            <w:vAlign w:val="bottom"/>
            <w:shd w:val="clear" w:color="auto" w:fill="732282"/>
          </w:tcPr>
          <w:p>
            <w:pPr>
              <w:spacing w:after="0"/>
              <w:rPr>
                <w:sz w:val="10"/>
                <w:szCs w:val="10"/>
                <w:color w:val="auto"/>
              </w:rPr>
            </w:pPr>
          </w:p>
        </w:tc>
        <w:tc>
          <w:tcPr>
            <w:tcW w:w="800" w:type="dxa"/>
            <w:vAlign w:val="bottom"/>
            <w:shd w:val="clear" w:color="auto" w:fill="732282"/>
          </w:tcPr>
          <w:p>
            <w:pPr>
              <w:spacing w:after="0"/>
              <w:rPr>
                <w:sz w:val="10"/>
                <w:szCs w:val="10"/>
                <w:color w:val="auto"/>
              </w:rPr>
            </w:pPr>
          </w:p>
        </w:tc>
        <w:tc>
          <w:tcPr>
            <w:tcW w:w="820" w:type="dxa"/>
            <w:vAlign w:val="bottom"/>
            <w:shd w:val="clear" w:color="auto" w:fill="732282"/>
          </w:tcPr>
          <w:p>
            <w:pPr>
              <w:spacing w:after="0"/>
              <w:rPr>
                <w:sz w:val="10"/>
                <w:szCs w:val="10"/>
                <w:color w:val="auto"/>
              </w:rPr>
            </w:pPr>
          </w:p>
        </w:tc>
        <w:tc>
          <w:tcPr>
            <w:tcW w:w="820" w:type="dxa"/>
            <w:vAlign w:val="bottom"/>
            <w:shd w:val="clear" w:color="auto" w:fill="732282"/>
          </w:tcPr>
          <w:p>
            <w:pPr>
              <w:spacing w:after="0"/>
              <w:rPr>
                <w:sz w:val="10"/>
                <w:szCs w:val="10"/>
                <w:color w:val="auto"/>
              </w:rPr>
            </w:pPr>
          </w:p>
        </w:tc>
        <w:tc>
          <w:tcPr>
            <w:tcW w:w="780" w:type="dxa"/>
            <w:vAlign w:val="bottom"/>
            <w:shd w:val="clear" w:color="auto" w:fill="732282"/>
          </w:tcPr>
          <w:p>
            <w:pPr>
              <w:spacing w:after="0"/>
              <w:rPr>
                <w:sz w:val="10"/>
                <w:szCs w:val="10"/>
                <w:color w:val="auto"/>
              </w:rPr>
            </w:pPr>
          </w:p>
        </w:tc>
        <w:tc>
          <w:tcPr>
            <w:tcW w:w="760" w:type="dxa"/>
            <w:vAlign w:val="bottom"/>
            <w:shd w:val="clear" w:color="auto" w:fill="732282"/>
          </w:tcPr>
          <w:p>
            <w:pPr>
              <w:spacing w:after="0"/>
              <w:rPr>
                <w:sz w:val="10"/>
                <w:szCs w:val="10"/>
                <w:color w:val="auto"/>
              </w:rPr>
            </w:pPr>
          </w:p>
        </w:tc>
        <w:tc>
          <w:tcPr>
            <w:tcW w:w="720" w:type="dxa"/>
            <w:vAlign w:val="bottom"/>
            <w:shd w:val="clear" w:color="auto" w:fill="732282"/>
          </w:tcPr>
          <w:p>
            <w:pPr>
              <w:spacing w:after="0"/>
              <w:rPr>
                <w:sz w:val="10"/>
                <w:szCs w:val="10"/>
                <w:color w:val="auto"/>
              </w:rPr>
            </w:pPr>
          </w:p>
        </w:tc>
        <w:tc>
          <w:tcPr>
            <w:tcW w:w="60" w:type="dxa"/>
            <w:vAlign w:val="bottom"/>
            <w:shd w:val="clear" w:color="auto" w:fill="732282"/>
          </w:tcPr>
          <w:p>
            <w:pPr>
              <w:spacing w:after="0"/>
              <w:rPr>
                <w:sz w:val="10"/>
                <w:szCs w:val="10"/>
                <w:color w:val="auto"/>
              </w:rPr>
            </w:pPr>
          </w:p>
        </w:tc>
        <w:tc>
          <w:tcPr>
            <w:tcW w:w="700" w:type="dxa"/>
            <w:vAlign w:val="bottom"/>
            <w:vMerge w:val="continue"/>
            <w:shd w:val="clear" w:color="auto" w:fill="732282"/>
          </w:tcPr>
          <w:p>
            <w:pPr>
              <w:spacing w:after="0"/>
              <w:rPr>
                <w:sz w:val="10"/>
                <w:szCs w:val="10"/>
                <w:color w:val="auto"/>
              </w:rPr>
            </w:pPr>
          </w:p>
        </w:tc>
        <w:tc>
          <w:tcPr>
            <w:tcW w:w="840" w:type="dxa"/>
            <w:vAlign w:val="bottom"/>
            <w:shd w:val="clear" w:color="auto" w:fill="732282"/>
          </w:tcPr>
          <w:p>
            <w:pPr>
              <w:jc w:val="center"/>
              <w:spacing w:after="0" w:line="122" w:lineRule="exact"/>
              <w:rPr>
                <w:sz w:val="20"/>
                <w:szCs w:val="20"/>
                <w:color w:val="auto"/>
              </w:rPr>
            </w:pPr>
            <w:r>
              <w:rPr>
                <w:rFonts w:ascii="Arial" w:cs="Arial" w:eastAsia="Arial" w:hAnsi="Arial"/>
                <w:sz w:val="14"/>
                <w:szCs w:val="14"/>
                <w:b w:val="1"/>
                <w:bCs w:val="1"/>
                <w:color w:val="FFFFFF"/>
              </w:rPr>
              <w:t>Underlying</w:t>
            </w:r>
          </w:p>
        </w:tc>
        <w:tc>
          <w:tcPr>
            <w:tcW w:w="720" w:type="dxa"/>
            <w:vAlign w:val="bottom"/>
            <w:shd w:val="clear" w:color="auto" w:fill="732282"/>
          </w:tcPr>
          <w:p>
            <w:pPr>
              <w:jc w:val="center"/>
              <w:spacing w:after="0" w:line="122" w:lineRule="exact"/>
              <w:rPr>
                <w:sz w:val="20"/>
                <w:szCs w:val="20"/>
                <w:color w:val="auto"/>
              </w:rPr>
            </w:pPr>
            <w:r>
              <w:rPr>
                <w:rFonts w:ascii="Arial" w:cs="Arial" w:eastAsia="Arial" w:hAnsi="Arial"/>
                <w:sz w:val="14"/>
                <w:szCs w:val="14"/>
                <w:b w:val="1"/>
                <w:bCs w:val="1"/>
                <w:color w:val="FFFFFF"/>
              </w:rPr>
              <w:t>Option</w:t>
            </w:r>
          </w:p>
        </w:tc>
        <w:tc>
          <w:tcPr>
            <w:tcW w:w="800" w:type="dxa"/>
            <w:vAlign w:val="bottom"/>
            <w:vMerge w:val="continue"/>
            <w:shd w:val="clear" w:color="auto" w:fill="732282"/>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732282"/>
          </w:tcPr>
          <w:p>
            <w:pPr>
              <w:spacing w:after="0"/>
              <w:rPr>
                <w:sz w:val="14"/>
                <w:szCs w:val="14"/>
                <w:color w:val="auto"/>
              </w:rPr>
            </w:pPr>
          </w:p>
        </w:tc>
        <w:tc>
          <w:tcPr>
            <w:tcW w:w="820" w:type="dxa"/>
            <w:vAlign w:val="bottom"/>
            <w:shd w:val="clear" w:color="auto" w:fill="732282"/>
          </w:tcPr>
          <w:p>
            <w:pPr>
              <w:jc w:val="right"/>
              <w:ind w:right="128"/>
              <w:spacing w:after="0"/>
              <w:rPr>
                <w:sz w:val="20"/>
                <w:szCs w:val="20"/>
                <w:color w:val="auto"/>
              </w:rPr>
            </w:pPr>
            <w:r>
              <w:rPr>
                <w:rFonts w:ascii="Arial" w:cs="Arial" w:eastAsia="Arial" w:hAnsi="Arial"/>
                <w:sz w:val="14"/>
                <w:szCs w:val="14"/>
                <w:b w:val="1"/>
                <w:bCs w:val="1"/>
                <w:color w:val="FFFFFF"/>
              </w:rPr>
              <w:t>Grant</w:t>
            </w:r>
          </w:p>
        </w:tc>
        <w:tc>
          <w:tcPr>
            <w:tcW w:w="840" w:type="dxa"/>
            <w:vAlign w:val="bottom"/>
            <w:shd w:val="clear" w:color="auto" w:fill="732282"/>
          </w:tcPr>
          <w:p>
            <w:pPr>
              <w:jc w:val="right"/>
              <w:ind w:right="68"/>
              <w:spacing w:after="0"/>
              <w:rPr>
                <w:sz w:val="20"/>
                <w:szCs w:val="20"/>
                <w:color w:val="auto"/>
              </w:rPr>
            </w:pPr>
            <w:r>
              <w:rPr>
                <w:rFonts w:ascii="Arial" w:cs="Arial" w:eastAsia="Arial" w:hAnsi="Arial"/>
                <w:sz w:val="14"/>
                <w:szCs w:val="14"/>
                <w:b w:val="1"/>
                <w:bCs w:val="1"/>
                <w:color w:val="FFFFFF"/>
              </w:rPr>
              <w:t>Approval</w:t>
            </w:r>
          </w:p>
        </w:tc>
        <w:tc>
          <w:tcPr>
            <w:tcW w:w="800" w:type="dxa"/>
            <w:vAlign w:val="bottom"/>
            <w:shd w:val="clear" w:color="auto" w:fill="732282"/>
          </w:tcPr>
          <w:p>
            <w:pPr>
              <w:jc w:val="right"/>
              <w:ind w:right="9"/>
              <w:spacing w:after="0"/>
              <w:rPr>
                <w:sz w:val="20"/>
                <w:szCs w:val="20"/>
                <w:color w:val="auto"/>
              </w:rPr>
            </w:pPr>
            <w:r>
              <w:rPr>
                <w:rFonts w:ascii="Arial" w:cs="Arial" w:eastAsia="Arial" w:hAnsi="Arial"/>
                <w:sz w:val="14"/>
                <w:szCs w:val="14"/>
                <w:b w:val="1"/>
                <w:bCs w:val="1"/>
                <w:color w:val="FFFFFF"/>
              </w:rPr>
              <w:t>Threshold</w:t>
            </w: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Target</w:t>
            </w:r>
          </w:p>
        </w:tc>
        <w:tc>
          <w:tcPr>
            <w:tcW w:w="820" w:type="dxa"/>
            <w:vAlign w:val="bottom"/>
            <w:shd w:val="clear" w:color="auto" w:fill="732282"/>
          </w:tcPr>
          <w:p>
            <w:pPr>
              <w:jc w:val="right"/>
              <w:ind w:right="8"/>
              <w:spacing w:after="0"/>
              <w:rPr>
                <w:sz w:val="20"/>
                <w:szCs w:val="20"/>
                <w:color w:val="auto"/>
              </w:rPr>
            </w:pPr>
            <w:r>
              <w:rPr>
                <w:rFonts w:ascii="Arial" w:cs="Arial" w:eastAsia="Arial" w:hAnsi="Arial"/>
                <w:sz w:val="14"/>
                <w:szCs w:val="14"/>
                <w:b w:val="1"/>
                <w:bCs w:val="1"/>
                <w:color w:val="FFFFFF"/>
              </w:rPr>
              <w:t>Maximum</w:t>
            </w:r>
          </w:p>
        </w:tc>
        <w:tc>
          <w:tcPr>
            <w:tcW w:w="780" w:type="dxa"/>
            <w:vAlign w:val="bottom"/>
            <w:shd w:val="clear" w:color="auto" w:fill="732282"/>
          </w:tcPr>
          <w:p>
            <w:pPr>
              <w:jc w:val="right"/>
              <w:spacing w:after="0"/>
              <w:rPr>
                <w:sz w:val="20"/>
                <w:szCs w:val="20"/>
                <w:color w:val="auto"/>
              </w:rPr>
            </w:pPr>
            <w:r>
              <w:rPr>
                <w:rFonts w:ascii="Arial" w:cs="Arial" w:eastAsia="Arial" w:hAnsi="Arial"/>
                <w:sz w:val="14"/>
                <w:szCs w:val="14"/>
                <w:b w:val="1"/>
                <w:bCs w:val="1"/>
                <w:color w:val="FFFFFF"/>
              </w:rPr>
              <w:t>Threshold</w:t>
            </w:r>
          </w:p>
        </w:tc>
        <w:tc>
          <w:tcPr>
            <w:tcW w:w="7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Target</w:t>
            </w:r>
          </w:p>
        </w:tc>
        <w:tc>
          <w:tcPr>
            <w:tcW w:w="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Maximum</w:t>
            </w:r>
          </w:p>
        </w:tc>
        <w:tc>
          <w:tcPr>
            <w:tcW w:w="60" w:type="dxa"/>
            <w:vAlign w:val="bottom"/>
            <w:shd w:val="clear" w:color="auto" w:fill="732282"/>
          </w:tcPr>
          <w:p>
            <w:pPr>
              <w:spacing w:after="0"/>
              <w:rPr>
                <w:sz w:val="14"/>
                <w:szCs w:val="14"/>
                <w:color w:val="auto"/>
              </w:rPr>
            </w:pPr>
          </w:p>
        </w:tc>
        <w:tc>
          <w:tcPr>
            <w:tcW w:w="7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Units</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Options</w:t>
            </w:r>
          </w:p>
        </w:tc>
        <w:tc>
          <w:tcPr>
            <w:tcW w:w="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8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56"/>
        </w:trPr>
        <w:tc>
          <w:tcPr>
            <w:tcW w:w="154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820" w:type="dxa"/>
            <w:vAlign w:val="bottom"/>
            <w:shd w:val="clear" w:color="auto" w:fill="732282"/>
          </w:tcPr>
          <w:p>
            <w:pPr>
              <w:jc w:val="right"/>
              <w:ind w:right="168"/>
              <w:spacing w:after="0"/>
              <w:rPr>
                <w:sz w:val="20"/>
                <w:szCs w:val="20"/>
                <w:color w:val="auto"/>
              </w:rPr>
            </w:pPr>
            <w:r>
              <w:rPr>
                <w:rFonts w:ascii="Arial" w:cs="Arial" w:eastAsia="Arial" w:hAnsi="Arial"/>
                <w:sz w:val="14"/>
                <w:szCs w:val="14"/>
                <w:b w:val="1"/>
                <w:bCs w:val="1"/>
                <w:color w:val="FFFFFF"/>
              </w:rPr>
              <w:t>Date</w:t>
            </w:r>
          </w:p>
        </w:tc>
        <w:tc>
          <w:tcPr>
            <w:tcW w:w="840" w:type="dxa"/>
            <w:vAlign w:val="bottom"/>
            <w:shd w:val="clear" w:color="auto" w:fill="732282"/>
          </w:tcPr>
          <w:p>
            <w:pPr>
              <w:jc w:val="right"/>
              <w:ind w:right="228"/>
              <w:spacing w:after="0"/>
              <w:rPr>
                <w:sz w:val="20"/>
                <w:szCs w:val="20"/>
                <w:color w:val="auto"/>
              </w:rPr>
            </w:pPr>
            <w:r>
              <w:rPr>
                <w:rFonts w:ascii="Arial" w:cs="Arial" w:eastAsia="Arial" w:hAnsi="Arial"/>
                <w:sz w:val="14"/>
                <w:szCs w:val="14"/>
                <w:b w:val="1"/>
                <w:bCs w:val="1"/>
                <w:color w:val="FFFFFF"/>
              </w:rPr>
              <w:t>Date</w:t>
            </w:r>
          </w:p>
        </w:tc>
        <w:tc>
          <w:tcPr>
            <w:tcW w:w="800" w:type="dxa"/>
            <w:vAlign w:val="bottom"/>
            <w:shd w:val="clear" w:color="auto" w:fill="732282"/>
          </w:tcPr>
          <w:p>
            <w:pPr>
              <w:jc w:val="right"/>
              <w:ind w:right="269"/>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732282"/>
          </w:tcPr>
          <w:p>
            <w:pPr>
              <w:jc w:val="right"/>
              <w:ind w:right="268"/>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732282"/>
          </w:tcPr>
          <w:p>
            <w:pPr>
              <w:jc w:val="right"/>
              <w:ind w:right="229"/>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720" w:type="dxa"/>
            <w:vAlign w:val="bottom"/>
            <w:shd w:val="clear" w:color="auto" w:fill="732282"/>
          </w:tcPr>
          <w:p>
            <w:pPr>
              <w:jc w:val="right"/>
              <w:ind w:right="188"/>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732282"/>
          </w:tcPr>
          <w:p>
            <w:pPr>
              <w:spacing w:after="0"/>
              <w:rPr>
                <w:sz w:val="22"/>
                <w:szCs w:val="22"/>
                <w:color w:val="auto"/>
              </w:rPr>
            </w:pPr>
          </w:p>
        </w:tc>
        <w:tc>
          <w:tcPr>
            <w:tcW w:w="700" w:type="dxa"/>
            <w:vAlign w:val="bottom"/>
            <w:shd w:val="clear" w:color="auto" w:fill="732282"/>
          </w:tcPr>
          <w:p>
            <w:pPr>
              <w:jc w:val="center"/>
              <w:spacing w:after="0" w:line="257" w:lineRule="exact"/>
              <w:rPr>
                <w:sz w:val="20"/>
                <w:szCs w:val="20"/>
                <w:color w:val="auto"/>
              </w:rPr>
            </w:pPr>
            <w:r>
              <w:rPr>
                <w:rFonts w:ascii="Arial" w:cs="Arial" w:eastAsia="Arial" w:hAnsi="Arial"/>
                <w:sz w:val="28"/>
                <w:szCs w:val="28"/>
                <w:b w:val="1"/>
                <w:bCs w:val="1"/>
                <w:color w:val="FFFFFF"/>
                <w:w w:val="82"/>
                <w:vertAlign w:val="subscript"/>
              </w:rPr>
              <w:t>(#)</w:t>
            </w:r>
            <w:r>
              <w:rPr>
                <w:rFonts w:ascii="Arial" w:cs="Arial" w:eastAsia="Arial" w:hAnsi="Arial"/>
                <w:sz w:val="11"/>
                <w:szCs w:val="11"/>
                <w:b w:val="1"/>
                <w:bCs w:val="1"/>
                <w:color w:val="FFFFFF"/>
                <w:w w:val="82"/>
              </w:rPr>
              <w:t>(3)</w:t>
            </w:r>
          </w:p>
        </w:tc>
        <w:tc>
          <w:tcPr>
            <w:tcW w:w="8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7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w:t>
            </w:r>
          </w:p>
        </w:tc>
        <w:tc>
          <w:tcPr>
            <w:tcW w:w="800" w:type="dxa"/>
            <w:vAlign w:val="bottom"/>
            <w:shd w:val="clear" w:color="auto" w:fill="732282"/>
          </w:tcPr>
          <w:p>
            <w:pPr>
              <w:jc w:val="center"/>
              <w:spacing w:after="0" w:line="257" w:lineRule="exact"/>
              <w:rPr>
                <w:sz w:val="20"/>
                <w:szCs w:val="20"/>
                <w:color w:val="auto"/>
              </w:rPr>
            </w:pPr>
            <w:r>
              <w:rPr>
                <w:rFonts w:ascii="Arial" w:cs="Arial" w:eastAsia="Arial" w:hAnsi="Arial"/>
                <w:sz w:val="28"/>
                <w:szCs w:val="28"/>
                <w:b w:val="1"/>
                <w:bCs w:val="1"/>
                <w:color w:val="FFFFFF"/>
                <w:w w:val="82"/>
                <w:vertAlign w:val="subscript"/>
              </w:rPr>
              <w:t>($)</w:t>
            </w:r>
            <w:r>
              <w:rPr>
                <w:rFonts w:ascii="Arial" w:cs="Arial" w:eastAsia="Arial" w:hAnsi="Arial"/>
                <w:sz w:val="11"/>
                <w:szCs w:val="11"/>
                <w:b w:val="1"/>
                <w:bCs w:val="1"/>
                <w:color w:val="FFFFFF"/>
                <w:w w:val="82"/>
              </w:rPr>
              <w:t>(4)</w:t>
            </w:r>
          </w:p>
        </w:tc>
        <w:tc>
          <w:tcPr>
            <w:tcW w:w="0" w:type="dxa"/>
            <w:vAlign w:val="bottom"/>
          </w:tcPr>
          <w:p>
            <w:pPr>
              <w:spacing w:after="0"/>
              <w:rPr>
                <w:sz w:val="1"/>
                <w:szCs w:val="1"/>
                <w:color w:val="auto"/>
              </w:rPr>
            </w:pPr>
          </w:p>
        </w:tc>
      </w:tr>
      <w:tr>
        <w:trPr>
          <w:trHeight w:val="241"/>
        </w:trPr>
        <w:tc>
          <w:tcPr>
            <w:tcW w:w="15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Scott A. Smith</w:t>
            </w:r>
          </w:p>
        </w:tc>
        <w:tc>
          <w:tcPr>
            <w:tcW w:w="82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791,096</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1,582,192</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3,164,384</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0"/>
        </w:trPr>
        <w:tc>
          <w:tcPr>
            <w:tcW w:w="154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4/1/2023</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2/24/2023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264,865</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756,757</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1,475,677</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7,280,002</w:t>
            </w:r>
          </w:p>
        </w:tc>
        <w:tc>
          <w:tcPr>
            <w:tcW w:w="0" w:type="dxa"/>
            <w:vAlign w:val="bottom"/>
          </w:tcPr>
          <w:p>
            <w:pPr>
              <w:spacing w:after="0"/>
              <w:rPr>
                <w:sz w:val="1"/>
                <w:szCs w:val="1"/>
                <w:color w:val="auto"/>
              </w:rPr>
            </w:pPr>
          </w:p>
        </w:tc>
      </w:tr>
      <w:tr>
        <w:trPr>
          <w:trHeight w:val="231"/>
        </w:trPr>
        <w:tc>
          <w:tcPr>
            <w:tcW w:w="154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4/1/2023</w:t>
            </w:r>
          </w:p>
        </w:tc>
        <w:tc>
          <w:tcPr>
            <w:tcW w:w="84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2/24/2023</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407,485</w:t>
            </w:r>
          </w:p>
        </w:tc>
        <w:tc>
          <w:tcPr>
            <w:tcW w:w="84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3,920,006</w:t>
            </w:r>
          </w:p>
        </w:tc>
        <w:tc>
          <w:tcPr>
            <w:tcW w:w="0" w:type="dxa"/>
            <w:vAlign w:val="bottom"/>
          </w:tcPr>
          <w:p>
            <w:pPr>
              <w:spacing w:after="0"/>
              <w:rPr>
                <w:sz w:val="1"/>
                <w:szCs w:val="1"/>
                <w:color w:val="auto"/>
              </w:rPr>
            </w:pPr>
          </w:p>
        </w:tc>
      </w:tr>
      <w:tr>
        <w:trPr>
          <w:trHeight w:val="241"/>
        </w:trPr>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Sanjeev Narula</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462,500</w:t>
            </w:r>
          </w:p>
        </w:tc>
        <w:tc>
          <w:tcPr>
            <w:tcW w:w="820" w:type="dxa"/>
            <w:vAlign w:val="bottom"/>
          </w:tcPr>
          <w:p>
            <w:pPr>
              <w:jc w:val="right"/>
              <w:spacing w:after="0"/>
              <w:rPr>
                <w:sz w:val="20"/>
                <w:szCs w:val="20"/>
                <w:color w:val="auto"/>
              </w:rPr>
            </w:pPr>
            <w:r>
              <w:rPr>
                <w:rFonts w:ascii="Arial" w:cs="Arial" w:eastAsia="Arial" w:hAnsi="Arial"/>
                <w:sz w:val="14"/>
                <w:szCs w:val="14"/>
                <w:color w:val="auto"/>
              </w:rPr>
              <w:t>925,000</w:t>
            </w:r>
          </w:p>
        </w:tc>
        <w:tc>
          <w:tcPr>
            <w:tcW w:w="820" w:type="dxa"/>
            <w:vAlign w:val="bottom"/>
          </w:tcPr>
          <w:p>
            <w:pPr>
              <w:jc w:val="right"/>
              <w:spacing w:after="0"/>
              <w:rPr>
                <w:sz w:val="20"/>
                <w:szCs w:val="20"/>
                <w:color w:val="auto"/>
              </w:rPr>
            </w:pPr>
            <w:r>
              <w:rPr>
                <w:rFonts w:ascii="Arial" w:cs="Arial" w:eastAsia="Arial" w:hAnsi="Arial"/>
                <w:sz w:val="14"/>
                <w:szCs w:val="14"/>
                <w:color w:val="auto"/>
              </w:rPr>
              <w:t>1,850,000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75,630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216,083</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421,362</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2,405,004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116,353</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1,295,009</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5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Rajiv Malik</w:t>
            </w:r>
          </w:p>
        </w:tc>
        <w:tc>
          <w:tcPr>
            <w:tcW w:w="82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812,500</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1,625,000</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3,250,000</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159,435</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455,526</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888,276</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5,070,004</w:t>
            </w:r>
          </w:p>
        </w:tc>
        <w:tc>
          <w:tcPr>
            <w:tcW w:w="0" w:type="dxa"/>
            <w:vAlign w:val="bottom"/>
          </w:tcPr>
          <w:p>
            <w:pPr>
              <w:spacing w:after="0"/>
              <w:rPr>
                <w:sz w:val="1"/>
                <w:szCs w:val="1"/>
                <w:color w:val="auto"/>
              </w:rPr>
            </w:pPr>
          </w:p>
        </w:tc>
      </w:tr>
      <w:tr>
        <w:trPr>
          <w:trHeight w:val="231"/>
        </w:trPr>
        <w:tc>
          <w:tcPr>
            <w:tcW w:w="154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245,284</w:t>
            </w:r>
          </w:p>
        </w:tc>
        <w:tc>
          <w:tcPr>
            <w:tcW w:w="84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2,730,011</w:t>
            </w:r>
          </w:p>
        </w:tc>
        <w:tc>
          <w:tcPr>
            <w:tcW w:w="0" w:type="dxa"/>
            <w:vAlign w:val="bottom"/>
          </w:tcPr>
          <w:p>
            <w:pPr>
              <w:spacing w:after="0"/>
              <w:rPr>
                <w:sz w:val="1"/>
                <w:szCs w:val="1"/>
                <w:color w:val="auto"/>
              </w:rPr>
            </w:pPr>
          </w:p>
        </w:tc>
      </w:tr>
      <w:tr>
        <w:trPr>
          <w:trHeight w:val="241"/>
        </w:trPr>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Anthony Mauro</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494,500</w:t>
            </w:r>
          </w:p>
        </w:tc>
        <w:tc>
          <w:tcPr>
            <w:tcW w:w="820" w:type="dxa"/>
            <w:vAlign w:val="bottom"/>
          </w:tcPr>
          <w:p>
            <w:pPr>
              <w:jc w:val="right"/>
              <w:spacing w:after="0"/>
              <w:rPr>
                <w:sz w:val="20"/>
                <w:szCs w:val="20"/>
                <w:color w:val="auto"/>
              </w:rPr>
            </w:pPr>
            <w:r>
              <w:rPr>
                <w:rFonts w:ascii="Arial" w:cs="Arial" w:eastAsia="Arial" w:hAnsi="Arial"/>
                <w:sz w:val="14"/>
                <w:szCs w:val="14"/>
                <w:color w:val="auto"/>
              </w:rPr>
              <w:t>989,000</w:t>
            </w:r>
          </w:p>
        </w:tc>
        <w:tc>
          <w:tcPr>
            <w:tcW w:w="820" w:type="dxa"/>
            <w:vAlign w:val="bottom"/>
          </w:tcPr>
          <w:p>
            <w:pPr>
              <w:jc w:val="right"/>
              <w:spacing w:after="0"/>
              <w:rPr>
                <w:sz w:val="20"/>
                <w:szCs w:val="20"/>
                <w:color w:val="auto"/>
              </w:rPr>
            </w:pPr>
            <w:r>
              <w:rPr>
                <w:rFonts w:ascii="Arial" w:cs="Arial" w:eastAsia="Arial" w:hAnsi="Arial"/>
                <w:sz w:val="14"/>
                <w:szCs w:val="14"/>
                <w:color w:val="auto"/>
              </w:rPr>
              <w:t>1,978,000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70,315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200,899</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391,754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2,236,006</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108,177</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1,204,010</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5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Brian Roman</w:t>
            </w:r>
          </w:p>
        </w:tc>
        <w:tc>
          <w:tcPr>
            <w:tcW w:w="82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400,000</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800,000</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1,600,000</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32,705</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93,442</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182,212</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1,040,009</w:t>
            </w:r>
          </w:p>
        </w:tc>
        <w:tc>
          <w:tcPr>
            <w:tcW w:w="0" w:type="dxa"/>
            <w:vAlign w:val="bottom"/>
          </w:tcPr>
          <w:p>
            <w:pPr>
              <w:spacing w:after="0"/>
              <w:rPr>
                <w:sz w:val="1"/>
                <w:szCs w:val="1"/>
                <w:color w:val="auto"/>
              </w:rPr>
            </w:pPr>
          </w:p>
        </w:tc>
      </w:tr>
      <w:tr>
        <w:trPr>
          <w:trHeight w:val="231"/>
        </w:trPr>
        <w:tc>
          <w:tcPr>
            <w:tcW w:w="154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50,315</w:t>
            </w:r>
          </w:p>
        </w:tc>
        <w:tc>
          <w:tcPr>
            <w:tcW w:w="84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560,006</w:t>
            </w:r>
          </w:p>
        </w:tc>
        <w:tc>
          <w:tcPr>
            <w:tcW w:w="0" w:type="dxa"/>
            <w:vAlign w:val="bottom"/>
          </w:tcPr>
          <w:p>
            <w:pPr>
              <w:spacing w:after="0"/>
              <w:rPr>
                <w:sz w:val="1"/>
                <w:szCs w:val="1"/>
                <w:color w:val="auto"/>
              </w:rPr>
            </w:pPr>
          </w:p>
        </w:tc>
      </w:tr>
      <w:tr>
        <w:trPr>
          <w:trHeight w:val="241"/>
        </w:trPr>
        <w:tc>
          <w:tcPr>
            <w:tcW w:w="1540" w:type="dxa"/>
            <w:vAlign w:val="bottom"/>
          </w:tcPr>
          <w:p>
            <w:pPr>
              <w:ind w:left="60"/>
              <w:spacing w:after="0"/>
              <w:rPr>
                <w:sz w:val="20"/>
                <w:szCs w:val="20"/>
                <w:color w:val="auto"/>
              </w:rPr>
            </w:pPr>
            <w:r>
              <w:rPr>
                <w:rFonts w:ascii="Arial" w:cs="Arial" w:eastAsia="Arial" w:hAnsi="Arial"/>
                <w:sz w:val="14"/>
                <w:szCs w:val="14"/>
                <w:b w:val="1"/>
                <w:bCs w:val="1"/>
                <w:color w:val="auto"/>
              </w:rPr>
              <w:t>Michael Goettler</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243,082</w:t>
            </w:r>
          </w:p>
        </w:tc>
        <w:tc>
          <w:tcPr>
            <w:tcW w:w="820" w:type="dxa"/>
            <w:vAlign w:val="bottom"/>
          </w:tcPr>
          <w:p>
            <w:pPr>
              <w:jc w:val="right"/>
              <w:spacing w:after="0"/>
              <w:rPr>
                <w:sz w:val="20"/>
                <w:szCs w:val="20"/>
                <w:color w:val="auto"/>
              </w:rPr>
            </w:pPr>
            <w:r>
              <w:rPr>
                <w:rFonts w:ascii="Arial" w:cs="Arial" w:eastAsia="Arial" w:hAnsi="Arial"/>
                <w:sz w:val="14"/>
                <w:szCs w:val="14"/>
                <w:color w:val="auto"/>
              </w:rPr>
              <w:t>486,164</w:t>
            </w:r>
          </w:p>
        </w:tc>
        <w:tc>
          <w:tcPr>
            <w:tcW w:w="820" w:type="dxa"/>
            <w:vAlign w:val="bottom"/>
          </w:tcPr>
          <w:p>
            <w:pPr>
              <w:jc w:val="right"/>
              <w:spacing w:after="0"/>
              <w:rPr>
                <w:sz w:val="20"/>
                <w:szCs w:val="20"/>
                <w:color w:val="auto"/>
              </w:rPr>
            </w:pPr>
            <w:r>
              <w:rPr>
                <w:rFonts w:ascii="Arial" w:cs="Arial" w:eastAsia="Arial" w:hAnsi="Arial"/>
                <w:sz w:val="14"/>
                <w:szCs w:val="14"/>
                <w:color w:val="auto"/>
              </w:rPr>
              <w:t>972,329</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5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Robert J. Coury</w:t>
            </w:r>
          </w:p>
        </w:tc>
        <w:tc>
          <w:tcPr>
            <w:tcW w:w="82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1,398,390</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2,796,781</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5,593,562</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239,152</w:t>
            </w:r>
          </w:p>
        </w:tc>
        <w:tc>
          <w:tcPr>
            <w:tcW w:w="7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683,289</w:t>
            </w:r>
          </w:p>
        </w:tc>
        <w:tc>
          <w:tcPr>
            <w:tcW w:w="7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1,332,414</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7,605,007</w:t>
            </w:r>
          </w:p>
        </w:tc>
        <w:tc>
          <w:tcPr>
            <w:tcW w:w="0" w:type="dxa"/>
            <w:vAlign w:val="bottom"/>
          </w:tcPr>
          <w:p>
            <w:pPr>
              <w:spacing w:after="0"/>
              <w:rPr>
                <w:sz w:val="1"/>
                <w:szCs w:val="1"/>
                <w:color w:val="auto"/>
              </w:rPr>
            </w:pPr>
          </w:p>
        </w:tc>
      </w:tr>
      <w:tr>
        <w:trPr>
          <w:trHeight w:val="231"/>
        </w:trPr>
        <w:tc>
          <w:tcPr>
            <w:tcW w:w="1540" w:type="dxa"/>
            <w:vAlign w:val="bottom"/>
            <w:tcBorders>
              <w:bottom w:val="single" w:sz="8" w:color="E5E5E5"/>
            </w:tcBorders>
            <w:shd w:val="clear" w:color="auto" w:fill="E5E5E5"/>
          </w:tcPr>
          <w:p>
            <w:pPr>
              <w:spacing w:after="0"/>
              <w:rPr>
                <w:sz w:val="20"/>
                <w:szCs w:val="20"/>
                <w:color w:val="auto"/>
              </w:rPr>
            </w:pP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3/3/2023</w:t>
            </w:r>
          </w:p>
        </w:tc>
        <w:tc>
          <w:tcPr>
            <w:tcW w:w="84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3/3/2023</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367,925</w:t>
            </w:r>
          </w:p>
        </w:tc>
        <w:tc>
          <w:tcPr>
            <w:tcW w:w="84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4,095,005</w:t>
            </w:r>
          </w:p>
        </w:tc>
        <w:tc>
          <w:tcPr>
            <w:tcW w:w="0" w:type="dxa"/>
            <w:vAlign w:val="bottom"/>
          </w:tcPr>
          <w:p>
            <w:pPr>
              <w:spacing w:after="0"/>
              <w:rPr>
                <w:sz w:val="1"/>
                <w:szCs w:val="1"/>
                <w:color w:val="auto"/>
              </w:rPr>
            </w:pPr>
          </w:p>
        </w:tc>
      </w:tr>
      <w:tr>
        <w:trPr>
          <w:trHeight w:val="20"/>
        </w:trPr>
        <w:tc>
          <w:tcPr>
            <w:tcW w:w="154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80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720" w:type="dxa"/>
            <w:vAlign w:val="bottom"/>
            <w:shd w:val="clear" w:color="auto" w:fill="732282"/>
          </w:tcPr>
          <w:p>
            <w:pPr>
              <w:spacing w:after="0" w:line="20" w:lineRule="exact"/>
              <w:rPr>
                <w:sz w:val="1"/>
                <w:szCs w:val="1"/>
                <w:color w:val="auto"/>
              </w:rPr>
            </w:pPr>
          </w:p>
        </w:tc>
        <w:tc>
          <w:tcPr>
            <w:tcW w:w="60" w:type="dxa"/>
            <w:vAlign w:val="bottom"/>
            <w:shd w:val="clear" w:color="auto" w:fill="732282"/>
          </w:tcPr>
          <w:p>
            <w:pPr>
              <w:spacing w:after="0" w:line="20" w:lineRule="exact"/>
              <w:rPr>
                <w:sz w:val="1"/>
                <w:szCs w:val="1"/>
                <w:color w:val="auto"/>
              </w:rPr>
            </w:pPr>
          </w:p>
        </w:tc>
        <w:tc>
          <w:tcPr>
            <w:tcW w:w="700" w:type="dxa"/>
            <w:vAlign w:val="bottom"/>
            <w:shd w:val="clear" w:color="auto" w:fill="732282"/>
          </w:tcPr>
          <w:p>
            <w:pPr>
              <w:spacing w:after="0" w:line="20" w:lineRule="exact"/>
              <w:rPr>
                <w:sz w:val="1"/>
                <w:szCs w:val="1"/>
                <w:color w:val="auto"/>
              </w:rPr>
            </w:pPr>
          </w:p>
        </w:tc>
        <w:tc>
          <w:tcPr>
            <w:tcW w:w="840" w:type="dxa"/>
            <w:vAlign w:val="bottom"/>
            <w:shd w:val="clear" w:color="auto" w:fill="732282"/>
          </w:tcPr>
          <w:p>
            <w:pPr>
              <w:spacing w:after="0" w:line="20" w:lineRule="exact"/>
              <w:rPr>
                <w:sz w:val="1"/>
                <w:szCs w:val="1"/>
                <w:color w:val="auto"/>
              </w:rPr>
            </w:pPr>
          </w:p>
        </w:tc>
        <w:tc>
          <w:tcPr>
            <w:tcW w:w="720" w:type="dxa"/>
            <w:vAlign w:val="bottom"/>
            <w:shd w:val="clear" w:color="auto" w:fill="732282"/>
          </w:tcPr>
          <w:p>
            <w:pPr>
              <w:spacing w:after="0" w:line="20" w:lineRule="exact"/>
              <w:rPr>
                <w:sz w:val="1"/>
                <w:szCs w:val="1"/>
                <w:color w:val="auto"/>
              </w:rPr>
            </w:pPr>
          </w:p>
        </w:tc>
        <w:tc>
          <w:tcPr>
            <w:tcW w:w="80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20" w:hanging="424"/>
        <w:spacing w:after="0" w:line="253" w:lineRule="auto"/>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The performance goals under the annual incentive compensation program applicable to the NEOs during 2023 are described above in the CD&amp;A. For a discussion of these awards, see “2023 Annual Incentive Compensation Program” on pages 54 to 56 of this Proxy Statement. The amounts for Messrs. Smith, Goettler, and Coury have been adjusted to reflect their partial year of service during 2023.</w:t>
      </w:r>
    </w:p>
    <w:p>
      <w:pPr>
        <w:spacing w:after="0" w:line="1" w:lineRule="exact"/>
        <w:rPr>
          <w:rFonts w:ascii="Arial" w:cs="Arial" w:eastAsia="Arial" w:hAnsi="Arial"/>
          <w:sz w:val="16"/>
          <w:szCs w:val="16"/>
          <w:color w:val="3F3F3F"/>
        </w:rPr>
      </w:pPr>
    </w:p>
    <w:p>
      <w:pPr>
        <w:ind w:left="540" w:right="80" w:hanging="424"/>
        <w:spacing w:after="0" w:line="246" w:lineRule="auto"/>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Consists of PRSUs awarded under the Viatris Inc. 2020 Stock Incentive Plan. The vesting terms applicable to these awards are described above in the CD&amp;A and below following the Outstanding Equity Awards at the End of 2023 table.</w:t>
      </w:r>
    </w:p>
    <w:p>
      <w:pPr>
        <w:ind w:left="540" w:right="180" w:hanging="424"/>
        <w:spacing w:after="0" w:line="246" w:lineRule="auto"/>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Consists of RSUs awarded under the Viatris Inc. 2020 Stock Incentive Plan. The vesting terms applicable to these awards are described above in the CD&amp;A and below following the Outstanding Equity Awards at the End of 2023 table.</w:t>
      </w:r>
    </w:p>
    <w:p>
      <w:pPr>
        <w:ind w:left="540" w:right="340" w:hanging="424"/>
        <w:spacing w:after="0" w:line="265" w:lineRule="auto"/>
        <w:tabs>
          <w:tab w:leader="none" w:pos="540"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Represents the grant date fair value of the specific award granted to the NEO. For information regarding assumptions used in determining such value, please refer to Note 14 to the Company’s Consolidated Financial Statements contained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4"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3177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Outstanding Equity Awards at the End of 2023</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sets forth information concerning all of the outstanding LTI awards held by each NEO as of December 31, 2023.</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20" w:type="dxa"/>
            <w:vAlign w:val="bottom"/>
            <w:shd w:val="clear" w:color="auto" w:fill="732282"/>
          </w:tcPr>
          <w:p>
            <w:pPr>
              <w:spacing w:after="0"/>
              <w:rPr>
                <w:sz w:val="18"/>
                <w:szCs w:val="18"/>
                <w:color w:val="auto"/>
              </w:rPr>
            </w:pPr>
          </w:p>
        </w:tc>
        <w:tc>
          <w:tcPr>
            <w:tcW w:w="1560" w:type="dxa"/>
            <w:vAlign w:val="bottom"/>
            <w:shd w:val="clear" w:color="auto" w:fill="732282"/>
          </w:tcPr>
          <w:p>
            <w:pPr>
              <w:spacing w:after="0"/>
              <w:rPr>
                <w:sz w:val="18"/>
                <w:szCs w:val="18"/>
                <w:color w:val="auto"/>
              </w:rPr>
            </w:pPr>
          </w:p>
        </w:tc>
        <w:tc>
          <w:tcPr>
            <w:tcW w:w="1620" w:type="dxa"/>
            <w:vAlign w:val="bottom"/>
            <w:shd w:val="clear" w:color="auto" w:fill="732282"/>
          </w:tcPr>
          <w:p>
            <w:pPr>
              <w:ind w:left="540"/>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shd w:val="clear" w:color="auto" w:fill="732282"/>
          </w:tcPr>
          <w:p>
            <w:pPr>
              <w:spacing w:after="0"/>
              <w:rPr>
                <w:sz w:val="18"/>
                <w:szCs w:val="18"/>
                <w:color w:val="auto"/>
              </w:rPr>
            </w:pPr>
          </w:p>
        </w:tc>
        <w:tc>
          <w:tcPr>
            <w:tcW w:w="1160" w:type="dxa"/>
            <w:vAlign w:val="bottom"/>
            <w:shd w:val="clear" w:color="auto" w:fill="732282"/>
          </w:tcPr>
          <w:p>
            <w:pPr>
              <w:spacing w:after="0"/>
              <w:rPr>
                <w:sz w:val="18"/>
                <w:szCs w:val="18"/>
                <w:color w:val="auto"/>
              </w:rPr>
            </w:pPr>
          </w:p>
        </w:tc>
        <w:tc>
          <w:tcPr>
            <w:tcW w:w="1000" w:type="dxa"/>
            <w:vAlign w:val="bottom"/>
            <w:shd w:val="clear" w:color="auto" w:fill="732282"/>
          </w:tcPr>
          <w:p>
            <w:pPr>
              <w:spacing w:after="0"/>
              <w:rPr>
                <w:sz w:val="18"/>
                <w:szCs w:val="18"/>
                <w:color w:val="auto"/>
              </w:rPr>
            </w:pPr>
          </w:p>
        </w:tc>
        <w:tc>
          <w:tcPr>
            <w:tcW w:w="2020" w:type="dxa"/>
            <w:vAlign w:val="bottom"/>
            <w:gridSpan w:val="2"/>
            <w:shd w:val="clear" w:color="auto" w:fill="732282"/>
          </w:tcPr>
          <w:p>
            <w:pPr>
              <w:jc w:val="right"/>
              <w:ind w:right="421"/>
              <w:spacing w:after="0"/>
              <w:rPr>
                <w:sz w:val="20"/>
                <w:szCs w:val="20"/>
                <w:color w:val="auto"/>
              </w:rPr>
            </w:pPr>
            <w:r>
              <w:rPr>
                <w:rFonts w:ascii="Arial" w:cs="Arial" w:eastAsia="Arial" w:hAnsi="Arial"/>
                <w:sz w:val="14"/>
                <w:szCs w:val="14"/>
                <w:b w:val="1"/>
                <w:bCs w:val="1"/>
                <w:color w:val="FFFFFF"/>
              </w:rPr>
              <w:t>Stock Awards</w:t>
            </w:r>
          </w:p>
        </w:tc>
        <w:tc>
          <w:tcPr>
            <w:tcW w:w="10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53"/>
        </w:trPr>
        <w:tc>
          <w:tcPr>
            <w:tcW w:w="1720" w:type="dxa"/>
            <w:vAlign w:val="bottom"/>
            <w:shd w:val="clear" w:color="auto" w:fill="732282"/>
          </w:tcPr>
          <w:p>
            <w:pPr>
              <w:spacing w:after="0"/>
              <w:rPr>
                <w:sz w:val="13"/>
                <w:szCs w:val="13"/>
                <w:color w:val="auto"/>
              </w:rPr>
            </w:pPr>
          </w:p>
        </w:tc>
        <w:tc>
          <w:tcPr>
            <w:tcW w:w="1560" w:type="dxa"/>
            <w:vAlign w:val="bottom"/>
            <w:shd w:val="clear" w:color="auto" w:fill="732282"/>
          </w:tcPr>
          <w:p>
            <w:pPr>
              <w:spacing w:after="0"/>
              <w:rPr>
                <w:sz w:val="13"/>
                <w:szCs w:val="13"/>
                <w:color w:val="auto"/>
              </w:rPr>
            </w:pPr>
          </w:p>
        </w:tc>
        <w:tc>
          <w:tcPr>
            <w:tcW w:w="1620" w:type="dxa"/>
            <w:vAlign w:val="bottom"/>
            <w:shd w:val="clear" w:color="auto" w:fill="732282"/>
          </w:tcPr>
          <w:p>
            <w:pPr>
              <w:spacing w:after="0"/>
              <w:rPr>
                <w:sz w:val="13"/>
                <w:szCs w:val="13"/>
                <w:color w:val="auto"/>
              </w:rPr>
            </w:pPr>
          </w:p>
        </w:tc>
        <w:tc>
          <w:tcPr>
            <w:tcW w:w="880" w:type="dxa"/>
            <w:vAlign w:val="bottom"/>
            <w:shd w:val="clear" w:color="auto" w:fill="732282"/>
          </w:tcPr>
          <w:p>
            <w:pPr>
              <w:spacing w:after="0"/>
              <w:rPr>
                <w:sz w:val="13"/>
                <w:szCs w:val="13"/>
                <w:color w:val="auto"/>
              </w:rPr>
            </w:pPr>
          </w:p>
        </w:tc>
        <w:tc>
          <w:tcPr>
            <w:tcW w:w="1160" w:type="dxa"/>
            <w:vAlign w:val="bottom"/>
            <w:shd w:val="clear" w:color="auto" w:fill="732282"/>
          </w:tcPr>
          <w:p>
            <w:pPr>
              <w:spacing w:after="0"/>
              <w:rPr>
                <w:sz w:val="13"/>
                <w:szCs w:val="13"/>
                <w:color w:val="auto"/>
              </w:rPr>
            </w:pPr>
          </w:p>
        </w:tc>
        <w:tc>
          <w:tcPr>
            <w:tcW w:w="1000" w:type="dxa"/>
            <w:vAlign w:val="bottom"/>
            <w:shd w:val="clear" w:color="auto" w:fill="732282"/>
          </w:tcPr>
          <w:p>
            <w:pPr>
              <w:spacing w:after="0"/>
              <w:rPr>
                <w:sz w:val="13"/>
                <w:szCs w:val="13"/>
                <w:color w:val="auto"/>
              </w:rPr>
            </w:pPr>
          </w:p>
        </w:tc>
        <w:tc>
          <w:tcPr>
            <w:tcW w:w="940" w:type="dxa"/>
            <w:vAlign w:val="bottom"/>
            <w:shd w:val="clear" w:color="auto" w:fill="732282"/>
          </w:tcPr>
          <w:p>
            <w:pPr>
              <w:spacing w:after="0"/>
              <w:rPr>
                <w:sz w:val="13"/>
                <w:szCs w:val="13"/>
                <w:color w:val="auto"/>
              </w:rPr>
            </w:pPr>
          </w:p>
        </w:tc>
        <w:tc>
          <w:tcPr>
            <w:tcW w:w="1080" w:type="dxa"/>
            <w:vAlign w:val="bottom"/>
            <w:shd w:val="clear" w:color="auto" w:fill="732282"/>
          </w:tcPr>
          <w:p>
            <w:pPr>
              <w:spacing w:after="0"/>
              <w:rPr>
                <w:sz w:val="13"/>
                <w:szCs w:val="13"/>
                <w:color w:val="auto"/>
              </w:rPr>
            </w:pPr>
          </w:p>
        </w:tc>
        <w:tc>
          <w:tcPr>
            <w:tcW w:w="1060" w:type="dxa"/>
            <w:vAlign w:val="bottom"/>
            <w:vMerge w:val="continue"/>
            <w:shd w:val="clear" w:color="auto" w:fill="732282"/>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732282"/>
          </w:tcPr>
          <w:p>
            <w:pPr>
              <w:spacing w:after="0"/>
              <w:rPr>
                <w:sz w:val="15"/>
                <w:szCs w:val="15"/>
                <w:color w:val="auto"/>
              </w:rPr>
            </w:pPr>
          </w:p>
        </w:tc>
        <w:tc>
          <w:tcPr>
            <w:tcW w:w="1560" w:type="dxa"/>
            <w:vAlign w:val="bottom"/>
            <w:shd w:val="clear" w:color="auto" w:fill="732282"/>
          </w:tcPr>
          <w:p>
            <w:pPr>
              <w:spacing w:after="0"/>
              <w:rPr>
                <w:sz w:val="15"/>
                <w:szCs w:val="15"/>
                <w:color w:val="auto"/>
              </w:rPr>
            </w:pPr>
          </w:p>
        </w:tc>
        <w:tc>
          <w:tcPr>
            <w:tcW w:w="1620" w:type="dxa"/>
            <w:vAlign w:val="bottom"/>
            <w:shd w:val="clear" w:color="auto" w:fill="732282"/>
          </w:tcPr>
          <w:p>
            <w:pPr>
              <w:spacing w:after="0"/>
              <w:rPr>
                <w:sz w:val="15"/>
                <w:szCs w:val="15"/>
                <w:color w:val="auto"/>
              </w:rPr>
            </w:pPr>
          </w:p>
        </w:tc>
        <w:tc>
          <w:tcPr>
            <w:tcW w:w="880" w:type="dxa"/>
            <w:vAlign w:val="bottom"/>
            <w:shd w:val="clear" w:color="auto" w:fill="732282"/>
          </w:tcPr>
          <w:p>
            <w:pPr>
              <w:spacing w:after="0"/>
              <w:rPr>
                <w:sz w:val="15"/>
                <w:szCs w:val="15"/>
                <w:color w:val="auto"/>
              </w:rPr>
            </w:pPr>
          </w:p>
        </w:tc>
        <w:tc>
          <w:tcPr>
            <w:tcW w:w="1160" w:type="dxa"/>
            <w:vAlign w:val="bottom"/>
            <w:shd w:val="clear" w:color="auto" w:fill="732282"/>
          </w:tcPr>
          <w:p>
            <w:pPr>
              <w:spacing w:after="0"/>
              <w:rPr>
                <w:sz w:val="15"/>
                <w:szCs w:val="15"/>
                <w:color w:val="auto"/>
              </w:rPr>
            </w:pPr>
          </w:p>
        </w:tc>
        <w:tc>
          <w:tcPr>
            <w:tcW w:w="1000" w:type="dxa"/>
            <w:vAlign w:val="bottom"/>
            <w:shd w:val="clear" w:color="auto" w:fill="732282"/>
          </w:tcPr>
          <w:p>
            <w:pPr>
              <w:spacing w:after="0"/>
              <w:rPr>
                <w:sz w:val="15"/>
                <w:szCs w:val="15"/>
                <w:color w:val="auto"/>
              </w:rPr>
            </w:pPr>
          </w:p>
        </w:tc>
        <w:tc>
          <w:tcPr>
            <w:tcW w:w="940" w:type="dxa"/>
            <w:vAlign w:val="bottom"/>
            <w:shd w:val="clear" w:color="auto" w:fill="732282"/>
          </w:tcPr>
          <w:p>
            <w:pPr>
              <w:spacing w:after="0"/>
              <w:rPr>
                <w:sz w:val="15"/>
                <w:szCs w:val="15"/>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720" w:type="dxa"/>
            <w:vAlign w:val="bottom"/>
            <w:shd w:val="clear" w:color="auto" w:fill="732282"/>
          </w:tcPr>
          <w:p>
            <w:pPr>
              <w:spacing w:after="0"/>
              <w:rPr>
                <w:sz w:val="14"/>
                <w:szCs w:val="14"/>
                <w:color w:val="auto"/>
              </w:rPr>
            </w:pPr>
          </w:p>
        </w:tc>
        <w:tc>
          <w:tcPr>
            <w:tcW w:w="1560" w:type="dxa"/>
            <w:vAlign w:val="bottom"/>
            <w:shd w:val="clear" w:color="auto" w:fill="732282"/>
          </w:tcPr>
          <w:p>
            <w:pPr>
              <w:spacing w:after="0"/>
              <w:rPr>
                <w:sz w:val="14"/>
                <w:szCs w:val="14"/>
                <w:color w:val="auto"/>
              </w:rPr>
            </w:pPr>
          </w:p>
        </w:tc>
        <w:tc>
          <w:tcPr>
            <w:tcW w:w="162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116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1720" w:type="dxa"/>
            <w:vAlign w:val="bottom"/>
            <w:shd w:val="clear" w:color="auto" w:fill="732282"/>
          </w:tcPr>
          <w:p>
            <w:pPr>
              <w:spacing w:after="0"/>
              <w:rPr>
                <w:sz w:val="14"/>
                <w:szCs w:val="14"/>
                <w:color w:val="auto"/>
              </w:rPr>
            </w:pPr>
          </w:p>
        </w:tc>
        <w:tc>
          <w:tcPr>
            <w:tcW w:w="1560" w:type="dxa"/>
            <w:vAlign w:val="bottom"/>
            <w:shd w:val="clear" w:color="auto" w:fill="732282"/>
          </w:tcPr>
          <w:p>
            <w:pPr>
              <w:spacing w:after="0"/>
              <w:rPr>
                <w:sz w:val="14"/>
                <w:szCs w:val="14"/>
                <w:color w:val="auto"/>
              </w:rPr>
            </w:pPr>
          </w:p>
        </w:tc>
        <w:tc>
          <w:tcPr>
            <w:tcW w:w="1620" w:type="dxa"/>
            <w:vAlign w:val="bottom"/>
            <w:shd w:val="clear" w:color="auto" w:fill="732282"/>
          </w:tcPr>
          <w:p>
            <w:pPr>
              <w:spacing w:after="0"/>
              <w:rPr>
                <w:sz w:val="14"/>
                <w:szCs w:val="14"/>
                <w:color w:val="auto"/>
              </w:rPr>
            </w:pPr>
          </w:p>
        </w:tc>
        <w:tc>
          <w:tcPr>
            <w:tcW w:w="880" w:type="dxa"/>
            <w:vAlign w:val="bottom"/>
            <w:shd w:val="clear" w:color="auto" w:fill="732282"/>
          </w:tcPr>
          <w:p>
            <w:pPr>
              <w:spacing w:after="0"/>
              <w:rPr>
                <w:sz w:val="14"/>
                <w:szCs w:val="14"/>
                <w:color w:val="auto"/>
              </w:rPr>
            </w:pPr>
          </w:p>
        </w:tc>
        <w:tc>
          <w:tcPr>
            <w:tcW w:w="116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Market</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 Awards:</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85"/>
        </w:trPr>
        <w:tc>
          <w:tcPr>
            <w:tcW w:w="1720" w:type="dxa"/>
            <w:vAlign w:val="bottom"/>
            <w:shd w:val="clear" w:color="auto" w:fill="732282"/>
          </w:tcPr>
          <w:p>
            <w:pPr>
              <w:spacing w:after="0"/>
              <w:rPr>
                <w:sz w:val="16"/>
                <w:szCs w:val="16"/>
                <w:color w:val="auto"/>
              </w:rPr>
            </w:pPr>
          </w:p>
        </w:tc>
        <w:tc>
          <w:tcPr>
            <w:tcW w:w="1560" w:type="dxa"/>
            <w:vAlign w:val="bottom"/>
            <w:shd w:val="clear" w:color="auto" w:fill="732282"/>
          </w:tcPr>
          <w:p>
            <w:pPr>
              <w:spacing w:after="0"/>
              <w:rPr>
                <w:sz w:val="16"/>
                <w:szCs w:val="16"/>
                <w:color w:val="auto"/>
              </w:rPr>
            </w:pPr>
          </w:p>
        </w:tc>
        <w:tc>
          <w:tcPr>
            <w:tcW w:w="1620" w:type="dxa"/>
            <w:vAlign w:val="bottom"/>
            <w:shd w:val="clear" w:color="auto" w:fill="732282"/>
          </w:tcPr>
          <w:p>
            <w:pPr>
              <w:spacing w:after="0"/>
              <w:rPr>
                <w:sz w:val="16"/>
                <w:szCs w:val="16"/>
                <w:color w:val="auto"/>
              </w:rPr>
            </w:pPr>
          </w:p>
        </w:tc>
        <w:tc>
          <w:tcPr>
            <w:tcW w:w="880" w:type="dxa"/>
            <w:vAlign w:val="bottom"/>
            <w:shd w:val="clear" w:color="auto" w:fill="732282"/>
          </w:tcPr>
          <w:p>
            <w:pPr>
              <w:spacing w:after="0"/>
              <w:rPr>
                <w:sz w:val="16"/>
                <w:szCs w:val="16"/>
                <w:color w:val="auto"/>
              </w:rPr>
            </w:pPr>
          </w:p>
        </w:tc>
        <w:tc>
          <w:tcPr>
            <w:tcW w:w="116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 Payout Value</w:t>
            </w:r>
          </w:p>
        </w:tc>
        <w:tc>
          <w:tcPr>
            <w:tcW w:w="0" w:type="dxa"/>
            <w:vAlign w:val="bottom"/>
          </w:tcPr>
          <w:p>
            <w:pPr>
              <w:spacing w:after="0"/>
              <w:rPr>
                <w:sz w:val="1"/>
                <w:szCs w:val="1"/>
                <w:color w:val="auto"/>
              </w:rPr>
            </w:pPr>
          </w:p>
        </w:tc>
      </w:tr>
      <w:tr>
        <w:trPr>
          <w:trHeight w:val="139"/>
        </w:trPr>
        <w:tc>
          <w:tcPr>
            <w:tcW w:w="1720" w:type="dxa"/>
            <w:vAlign w:val="bottom"/>
            <w:shd w:val="clear" w:color="auto" w:fill="732282"/>
          </w:tcPr>
          <w:p>
            <w:pPr>
              <w:spacing w:after="0"/>
              <w:rPr>
                <w:sz w:val="12"/>
                <w:szCs w:val="12"/>
                <w:color w:val="auto"/>
              </w:rPr>
            </w:pPr>
          </w:p>
        </w:tc>
        <w:tc>
          <w:tcPr>
            <w:tcW w:w="1560" w:type="dxa"/>
            <w:vAlign w:val="bottom"/>
            <w:shd w:val="clear" w:color="auto" w:fill="732282"/>
          </w:tcPr>
          <w:p>
            <w:pPr>
              <w:spacing w:after="0"/>
              <w:rPr>
                <w:sz w:val="12"/>
                <w:szCs w:val="12"/>
                <w:color w:val="auto"/>
              </w:rPr>
            </w:pPr>
          </w:p>
        </w:tc>
        <w:tc>
          <w:tcPr>
            <w:tcW w:w="1620" w:type="dxa"/>
            <w:vAlign w:val="bottom"/>
            <w:shd w:val="clear" w:color="auto" w:fill="732282"/>
          </w:tcPr>
          <w:p>
            <w:pPr>
              <w:spacing w:after="0"/>
              <w:rPr>
                <w:sz w:val="12"/>
                <w:szCs w:val="12"/>
                <w:color w:val="auto"/>
              </w:rPr>
            </w:pPr>
          </w:p>
        </w:tc>
        <w:tc>
          <w:tcPr>
            <w:tcW w:w="880" w:type="dxa"/>
            <w:vAlign w:val="bottom"/>
            <w:shd w:val="clear" w:color="auto" w:fill="732282"/>
          </w:tcPr>
          <w:p>
            <w:pPr>
              <w:spacing w:after="0"/>
              <w:rPr>
                <w:sz w:val="12"/>
                <w:szCs w:val="12"/>
                <w:color w:val="auto"/>
              </w:rPr>
            </w:pPr>
          </w:p>
        </w:tc>
        <w:tc>
          <w:tcPr>
            <w:tcW w:w="1160" w:type="dxa"/>
            <w:vAlign w:val="bottom"/>
            <w:shd w:val="clear" w:color="auto" w:fill="732282"/>
          </w:tcPr>
          <w:p>
            <w:pPr>
              <w:spacing w:after="0"/>
              <w:rPr>
                <w:sz w:val="12"/>
                <w:szCs w:val="12"/>
                <w:color w:val="auto"/>
              </w:rPr>
            </w:pPr>
          </w:p>
        </w:tc>
        <w:tc>
          <w:tcPr>
            <w:tcW w:w="1000" w:type="dxa"/>
            <w:vAlign w:val="bottom"/>
            <w:shd w:val="clear" w:color="auto" w:fill="732282"/>
          </w:tcPr>
          <w:p>
            <w:pPr>
              <w:spacing w:after="0"/>
              <w:rPr>
                <w:sz w:val="12"/>
                <w:szCs w:val="12"/>
                <w:color w:val="auto"/>
              </w:rPr>
            </w:pP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1080" w:type="dxa"/>
            <w:vAlign w:val="bottom"/>
            <w:shd w:val="clear" w:color="auto" w:fill="732282"/>
          </w:tcPr>
          <w:p>
            <w:pPr>
              <w:jc w:val="center"/>
              <w:spacing w:after="0" w:line="139" w:lineRule="exact"/>
              <w:rPr>
                <w:sz w:val="20"/>
                <w:szCs w:val="20"/>
                <w:color w:val="auto"/>
              </w:rPr>
            </w:pPr>
            <w:r>
              <w:rPr>
                <w:rFonts w:ascii="Arial" w:cs="Arial" w:eastAsia="Arial" w:hAnsi="Arial"/>
                <w:sz w:val="14"/>
                <w:szCs w:val="14"/>
                <w:b w:val="1"/>
                <w:bCs w:val="1"/>
                <w:color w:val="FFFFFF"/>
              </w:rPr>
              <w:t>Unearned</w:t>
            </w:r>
          </w:p>
        </w:tc>
        <w:tc>
          <w:tcPr>
            <w:tcW w:w="10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of Unearned</w:t>
            </w:r>
          </w:p>
        </w:tc>
        <w:tc>
          <w:tcPr>
            <w:tcW w:w="0" w:type="dxa"/>
            <w:vAlign w:val="bottom"/>
          </w:tcPr>
          <w:p>
            <w:pPr>
              <w:spacing w:after="0"/>
              <w:rPr>
                <w:sz w:val="1"/>
                <w:szCs w:val="1"/>
                <w:color w:val="auto"/>
              </w:rPr>
            </w:pPr>
          </w:p>
        </w:tc>
      </w:tr>
      <w:tr>
        <w:trPr>
          <w:trHeight w:val="68"/>
        </w:trPr>
        <w:tc>
          <w:tcPr>
            <w:tcW w:w="1720" w:type="dxa"/>
            <w:vAlign w:val="bottom"/>
            <w:shd w:val="clear" w:color="auto" w:fill="732282"/>
          </w:tcPr>
          <w:p>
            <w:pPr>
              <w:spacing w:after="0"/>
              <w:rPr>
                <w:sz w:val="5"/>
                <w:szCs w:val="5"/>
                <w:color w:val="auto"/>
              </w:rPr>
            </w:pPr>
          </w:p>
        </w:tc>
        <w:tc>
          <w:tcPr>
            <w:tcW w:w="1560" w:type="dxa"/>
            <w:vAlign w:val="bottom"/>
            <w:shd w:val="clear" w:color="auto" w:fill="732282"/>
          </w:tcPr>
          <w:p>
            <w:pPr>
              <w:spacing w:after="0"/>
              <w:rPr>
                <w:sz w:val="5"/>
                <w:szCs w:val="5"/>
                <w:color w:val="auto"/>
              </w:rPr>
            </w:pPr>
          </w:p>
        </w:tc>
        <w:tc>
          <w:tcPr>
            <w:tcW w:w="1620" w:type="dxa"/>
            <w:vAlign w:val="bottom"/>
            <w:shd w:val="clear" w:color="auto" w:fill="732282"/>
          </w:tcPr>
          <w:p>
            <w:pPr>
              <w:spacing w:after="0"/>
              <w:rPr>
                <w:sz w:val="5"/>
                <w:szCs w:val="5"/>
                <w:color w:val="auto"/>
              </w:rPr>
            </w:pPr>
          </w:p>
        </w:tc>
        <w:tc>
          <w:tcPr>
            <w:tcW w:w="880" w:type="dxa"/>
            <w:vAlign w:val="bottom"/>
            <w:shd w:val="clear" w:color="auto" w:fill="732282"/>
          </w:tcPr>
          <w:p>
            <w:pPr>
              <w:spacing w:after="0"/>
              <w:rPr>
                <w:sz w:val="5"/>
                <w:szCs w:val="5"/>
                <w:color w:val="auto"/>
              </w:rPr>
            </w:pPr>
          </w:p>
        </w:tc>
        <w:tc>
          <w:tcPr>
            <w:tcW w:w="1160" w:type="dxa"/>
            <w:vAlign w:val="bottom"/>
            <w:shd w:val="clear" w:color="auto" w:fill="732282"/>
          </w:tcPr>
          <w:p>
            <w:pPr>
              <w:spacing w:after="0"/>
              <w:rPr>
                <w:sz w:val="5"/>
                <w:szCs w:val="5"/>
                <w:color w:val="auto"/>
              </w:rPr>
            </w:pPr>
          </w:p>
        </w:tc>
        <w:tc>
          <w:tcPr>
            <w:tcW w:w="10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940" w:type="dxa"/>
            <w:vAlign w:val="bottom"/>
            <w:vMerge w:val="continue"/>
            <w:shd w:val="clear" w:color="auto" w:fill="732282"/>
          </w:tcPr>
          <w:p>
            <w:pPr>
              <w:spacing w:after="0"/>
              <w:rPr>
                <w:sz w:val="5"/>
                <w:szCs w:val="5"/>
                <w:color w:val="auto"/>
              </w:rPr>
            </w:pPr>
          </w:p>
        </w:tc>
        <w:tc>
          <w:tcPr>
            <w:tcW w:w="108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106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732282"/>
          </w:tcPr>
          <w:p>
            <w:pPr>
              <w:spacing w:after="0"/>
              <w:rPr>
                <w:sz w:val="8"/>
                <w:szCs w:val="8"/>
                <w:color w:val="auto"/>
              </w:rPr>
            </w:pPr>
          </w:p>
        </w:tc>
        <w:tc>
          <w:tcPr>
            <w:tcW w:w="1560" w:type="dxa"/>
            <w:vAlign w:val="bottom"/>
            <w:shd w:val="clear" w:color="auto" w:fill="732282"/>
          </w:tcPr>
          <w:p>
            <w:pPr>
              <w:spacing w:after="0"/>
              <w:rPr>
                <w:sz w:val="8"/>
                <w:szCs w:val="8"/>
                <w:color w:val="auto"/>
              </w:rPr>
            </w:pPr>
          </w:p>
        </w:tc>
        <w:tc>
          <w:tcPr>
            <w:tcW w:w="1620" w:type="dxa"/>
            <w:vAlign w:val="bottom"/>
            <w:shd w:val="clear" w:color="auto" w:fill="732282"/>
          </w:tcPr>
          <w:p>
            <w:pPr>
              <w:spacing w:after="0"/>
              <w:rPr>
                <w:sz w:val="8"/>
                <w:szCs w:val="8"/>
                <w:color w:val="auto"/>
              </w:rPr>
            </w:pPr>
          </w:p>
        </w:tc>
        <w:tc>
          <w:tcPr>
            <w:tcW w:w="880" w:type="dxa"/>
            <w:vAlign w:val="bottom"/>
            <w:shd w:val="clear" w:color="auto" w:fill="732282"/>
          </w:tcPr>
          <w:p>
            <w:pPr>
              <w:spacing w:after="0"/>
              <w:rPr>
                <w:sz w:val="8"/>
                <w:szCs w:val="8"/>
                <w:color w:val="auto"/>
              </w:rPr>
            </w:pPr>
          </w:p>
        </w:tc>
        <w:tc>
          <w:tcPr>
            <w:tcW w:w="1160" w:type="dxa"/>
            <w:vAlign w:val="bottom"/>
            <w:shd w:val="clear" w:color="auto" w:fill="732282"/>
          </w:tcPr>
          <w:p>
            <w:pPr>
              <w:spacing w:after="0"/>
              <w:rPr>
                <w:sz w:val="8"/>
                <w:szCs w:val="8"/>
                <w:color w:val="auto"/>
              </w:rPr>
            </w:pPr>
          </w:p>
        </w:tc>
        <w:tc>
          <w:tcPr>
            <w:tcW w:w="1000" w:type="dxa"/>
            <w:vAlign w:val="bottom"/>
            <w:vMerge w:val="continue"/>
            <w:shd w:val="clear" w:color="auto" w:fill="732282"/>
          </w:tcPr>
          <w:p>
            <w:pPr>
              <w:spacing w:after="0"/>
              <w:rPr>
                <w:sz w:val="8"/>
                <w:szCs w:val="8"/>
                <w:color w:val="auto"/>
              </w:rPr>
            </w:pP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or Units</w:t>
            </w:r>
          </w:p>
        </w:tc>
        <w:tc>
          <w:tcPr>
            <w:tcW w:w="1080" w:type="dxa"/>
            <w:vAlign w:val="bottom"/>
            <w:vMerge w:val="continue"/>
            <w:shd w:val="clear" w:color="auto" w:fill="732282"/>
          </w:tcPr>
          <w:p>
            <w:pPr>
              <w:spacing w:after="0"/>
              <w:rPr>
                <w:sz w:val="8"/>
                <w:szCs w:val="8"/>
                <w:color w:val="auto"/>
              </w:rPr>
            </w:pPr>
          </w:p>
        </w:tc>
        <w:tc>
          <w:tcPr>
            <w:tcW w:w="10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 Shares, Units</w:t>
            </w:r>
          </w:p>
        </w:tc>
        <w:tc>
          <w:tcPr>
            <w:tcW w:w="0" w:type="dxa"/>
            <w:vAlign w:val="bottom"/>
          </w:tcPr>
          <w:p>
            <w:pPr>
              <w:spacing w:after="0"/>
              <w:rPr>
                <w:sz w:val="1"/>
                <w:szCs w:val="1"/>
                <w:color w:val="auto"/>
              </w:rPr>
            </w:pPr>
          </w:p>
        </w:tc>
      </w:tr>
      <w:tr>
        <w:trPr>
          <w:trHeight w:val="81"/>
        </w:trPr>
        <w:tc>
          <w:tcPr>
            <w:tcW w:w="1720" w:type="dxa"/>
            <w:vAlign w:val="bottom"/>
            <w:shd w:val="clear" w:color="auto" w:fill="732282"/>
          </w:tcPr>
          <w:p>
            <w:pPr>
              <w:spacing w:after="0"/>
              <w:rPr>
                <w:sz w:val="7"/>
                <w:szCs w:val="7"/>
                <w:color w:val="auto"/>
              </w:rPr>
            </w:pPr>
          </w:p>
        </w:tc>
        <w:tc>
          <w:tcPr>
            <w:tcW w:w="1560" w:type="dxa"/>
            <w:vAlign w:val="bottom"/>
            <w:vMerge w:val="restart"/>
            <w:shd w:val="clear" w:color="auto" w:fill="732282"/>
          </w:tcPr>
          <w:p>
            <w:pPr>
              <w:jc w:val="center"/>
              <w:ind w:left="40"/>
              <w:spacing w:after="0"/>
              <w:rPr>
                <w:sz w:val="20"/>
                <w:szCs w:val="20"/>
                <w:color w:val="auto"/>
              </w:rPr>
            </w:pPr>
            <w:r>
              <w:rPr>
                <w:rFonts w:ascii="Arial" w:cs="Arial" w:eastAsia="Arial" w:hAnsi="Arial"/>
                <w:sz w:val="14"/>
                <w:szCs w:val="14"/>
                <w:b w:val="1"/>
                <w:bCs w:val="1"/>
                <w:color w:val="FFFFFF"/>
              </w:rPr>
              <w:t>Number of</w:t>
            </w:r>
          </w:p>
        </w:tc>
        <w:tc>
          <w:tcPr>
            <w:tcW w:w="1620" w:type="dxa"/>
            <w:vAlign w:val="bottom"/>
            <w:vMerge w:val="restart"/>
            <w:shd w:val="clear" w:color="auto" w:fill="732282"/>
          </w:tcPr>
          <w:p>
            <w:pPr>
              <w:jc w:val="center"/>
              <w:ind w:right="100"/>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732282"/>
          </w:tcPr>
          <w:p>
            <w:pPr>
              <w:spacing w:after="0"/>
              <w:rPr>
                <w:sz w:val="7"/>
                <w:szCs w:val="7"/>
                <w:color w:val="auto"/>
              </w:rPr>
            </w:pPr>
          </w:p>
        </w:tc>
        <w:tc>
          <w:tcPr>
            <w:tcW w:w="1160" w:type="dxa"/>
            <w:vAlign w:val="bottom"/>
            <w:shd w:val="clear" w:color="auto" w:fill="732282"/>
          </w:tcPr>
          <w:p>
            <w:pPr>
              <w:spacing w:after="0"/>
              <w:rPr>
                <w:sz w:val="7"/>
                <w:szCs w:val="7"/>
                <w:color w:val="auto"/>
              </w:rPr>
            </w:pPr>
          </w:p>
        </w:tc>
        <w:tc>
          <w:tcPr>
            <w:tcW w:w="10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or</w:t>
            </w:r>
          </w:p>
        </w:tc>
        <w:tc>
          <w:tcPr>
            <w:tcW w:w="940" w:type="dxa"/>
            <w:vAlign w:val="bottom"/>
            <w:vMerge w:val="continue"/>
            <w:shd w:val="clear" w:color="auto" w:fill="732282"/>
          </w:tcPr>
          <w:p>
            <w:pPr>
              <w:spacing w:after="0"/>
              <w:rPr>
                <w:sz w:val="7"/>
                <w:szCs w:val="7"/>
                <w:color w:val="auto"/>
              </w:rPr>
            </w:pPr>
          </w:p>
        </w:tc>
        <w:tc>
          <w:tcPr>
            <w:tcW w:w="108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Units</w:t>
            </w:r>
          </w:p>
        </w:tc>
        <w:tc>
          <w:tcPr>
            <w:tcW w:w="1060" w:type="dxa"/>
            <w:vAlign w:val="bottom"/>
            <w:vMerge w:val="continue"/>
            <w:shd w:val="clear" w:color="auto" w:fill="73228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shd w:val="clear" w:color="auto" w:fill="732282"/>
          </w:tcPr>
          <w:p>
            <w:pPr>
              <w:spacing w:after="0"/>
              <w:rPr>
                <w:sz w:val="7"/>
                <w:szCs w:val="7"/>
                <w:color w:val="auto"/>
              </w:rPr>
            </w:pPr>
          </w:p>
        </w:tc>
        <w:tc>
          <w:tcPr>
            <w:tcW w:w="1560" w:type="dxa"/>
            <w:vAlign w:val="bottom"/>
            <w:vMerge w:val="continue"/>
            <w:shd w:val="clear" w:color="auto" w:fill="732282"/>
          </w:tcPr>
          <w:p>
            <w:pPr>
              <w:spacing w:after="0"/>
              <w:rPr>
                <w:sz w:val="7"/>
                <w:szCs w:val="7"/>
                <w:color w:val="auto"/>
              </w:rPr>
            </w:pPr>
          </w:p>
        </w:tc>
        <w:tc>
          <w:tcPr>
            <w:tcW w:w="1620" w:type="dxa"/>
            <w:vAlign w:val="bottom"/>
            <w:vMerge w:val="continue"/>
            <w:shd w:val="clear" w:color="auto" w:fill="732282"/>
          </w:tcPr>
          <w:p>
            <w:pPr>
              <w:spacing w:after="0"/>
              <w:rPr>
                <w:sz w:val="7"/>
                <w:szCs w:val="7"/>
                <w:color w:val="auto"/>
              </w:rPr>
            </w:pPr>
          </w:p>
        </w:tc>
        <w:tc>
          <w:tcPr>
            <w:tcW w:w="880" w:type="dxa"/>
            <w:vAlign w:val="bottom"/>
            <w:shd w:val="clear" w:color="auto" w:fill="732282"/>
          </w:tcPr>
          <w:p>
            <w:pPr>
              <w:spacing w:after="0"/>
              <w:rPr>
                <w:sz w:val="7"/>
                <w:szCs w:val="7"/>
                <w:color w:val="auto"/>
              </w:rPr>
            </w:pPr>
          </w:p>
        </w:tc>
        <w:tc>
          <w:tcPr>
            <w:tcW w:w="1160" w:type="dxa"/>
            <w:vAlign w:val="bottom"/>
            <w:shd w:val="clear" w:color="auto" w:fill="732282"/>
          </w:tcPr>
          <w:p>
            <w:pPr>
              <w:spacing w:after="0"/>
              <w:rPr>
                <w:sz w:val="7"/>
                <w:szCs w:val="7"/>
                <w:color w:val="auto"/>
              </w:rPr>
            </w:pPr>
          </w:p>
        </w:tc>
        <w:tc>
          <w:tcPr>
            <w:tcW w:w="1000" w:type="dxa"/>
            <w:vAlign w:val="bottom"/>
            <w:vMerge w:val="continue"/>
            <w:shd w:val="clear" w:color="auto" w:fill="732282"/>
          </w:tcPr>
          <w:p>
            <w:pPr>
              <w:spacing w:after="0"/>
              <w:rPr>
                <w:sz w:val="7"/>
                <w:szCs w:val="7"/>
                <w:color w:val="auto"/>
              </w:rPr>
            </w:pP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of Stock</w:t>
            </w:r>
          </w:p>
        </w:tc>
        <w:tc>
          <w:tcPr>
            <w:tcW w:w="1080" w:type="dxa"/>
            <w:vAlign w:val="bottom"/>
            <w:vMerge w:val="continue"/>
            <w:shd w:val="clear" w:color="auto" w:fill="732282"/>
          </w:tcPr>
          <w:p>
            <w:pPr>
              <w:spacing w:after="0"/>
              <w:rPr>
                <w:sz w:val="7"/>
                <w:szCs w:val="7"/>
                <w:color w:val="auto"/>
              </w:rPr>
            </w:pPr>
          </w:p>
        </w:tc>
        <w:tc>
          <w:tcPr>
            <w:tcW w:w="10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108"/>
        </w:trPr>
        <w:tc>
          <w:tcPr>
            <w:tcW w:w="1720" w:type="dxa"/>
            <w:vAlign w:val="bottom"/>
            <w:shd w:val="clear" w:color="auto" w:fill="732282"/>
          </w:tcPr>
          <w:p>
            <w:pPr>
              <w:spacing w:after="0"/>
              <w:rPr>
                <w:sz w:val="9"/>
                <w:szCs w:val="9"/>
                <w:color w:val="auto"/>
              </w:rPr>
            </w:pPr>
          </w:p>
        </w:tc>
        <w:tc>
          <w:tcPr>
            <w:tcW w:w="1560" w:type="dxa"/>
            <w:vAlign w:val="bottom"/>
            <w:vMerge w:val="restart"/>
            <w:shd w:val="clear" w:color="auto" w:fill="732282"/>
          </w:tcPr>
          <w:p>
            <w:pPr>
              <w:jc w:val="center"/>
              <w:ind w:left="60"/>
              <w:spacing w:after="0"/>
              <w:rPr>
                <w:sz w:val="20"/>
                <w:szCs w:val="20"/>
                <w:color w:val="auto"/>
              </w:rPr>
            </w:pPr>
            <w:r>
              <w:rPr>
                <w:rFonts w:ascii="Arial" w:cs="Arial" w:eastAsia="Arial" w:hAnsi="Arial"/>
                <w:sz w:val="14"/>
                <w:szCs w:val="14"/>
                <w:b w:val="1"/>
                <w:bCs w:val="1"/>
                <w:color w:val="FFFFFF"/>
              </w:rPr>
              <w:t>Securities</w:t>
            </w:r>
          </w:p>
        </w:tc>
        <w:tc>
          <w:tcPr>
            <w:tcW w:w="1620" w:type="dxa"/>
            <w:vAlign w:val="bottom"/>
            <w:vMerge w:val="restart"/>
            <w:shd w:val="clear" w:color="auto" w:fill="732282"/>
          </w:tcPr>
          <w:p>
            <w:pPr>
              <w:jc w:val="center"/>
              <w:ind w:right="100"/>
              <w:spacing w:after="0"/>
              <w:rPr>
                <w:sz w:val="20"/>
                <w:szCs w:val="20"/>
                <w:color w:val="auto"/>
              </w:rPr>
            </w:pPr>
            <w:r>
              <w:rPr>
                <w:rFonts w:ascii="Arial" w:cs="Arial" w:eastAsia="Arial" w:hAnsi="Arial"/>
                <w:sz w:val="14"/>
                <w:szCs w:val="14"/>
                <w:b w:val="1"/>
                <w:bCs w:val="1"/>
                <w:color w:val="FFFFFF"/>
              </w:rPr>
              <w:t>Securities</w:t>
            </w:r>
          </w:p>
        </w:tc>
        <w:tc>
          <w:tcPr>
            <w:tcW w:w="880" w:type="dxa"/>
            <w:vAlign w:val="bottom"/>
            <w:shd w:val="clear" w:color="auto" w:fill="732282"/>
          </w:tcPr>
          <w:p>
            <w:pPr>
              <w:spacing w:after="0"/>
              <w:rPr>
                <w:sz w:val="9"/>
                <w:szCs w:val="9"/>
                <w:color w:val="auto"/>
              </w:rPr>
            </w:pPr>
          </w:p>
        </w:tc>
        <w:tc>
          <w:tcPr>
            <w:tcW w:w="1160" w:type="dxa"/>
            <w:vAlign w:val="bottom"/>
            <w:shd w:val="clear" w:color="auto" w:fill="732282"/>
          </w:tcPr>
          <w:p>
            <w:pPr>
              <w:spacing w:after="0"/>
              <w:rPr>
                <w:sz w:val="9"/>
                <w:szCs w:val="9"/>
                <w:color w:val="auto"/>
              </w:rPr>
            </w:pPr>
          </w:p>
        </w:tc>
        <w:tc>
          <w:tcPr>
            <w:tcW w:w="10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940" w:type="dxa"/>
            <w:vAlign w:val="bottom"/>
            <w:vMerge w:val="continue"/>
            <w:shd w:val="clear" w:color="auto" w:fill="732282"/>
          </w:tcPr>
          <w:p>
            <w:pPr>
              <w:spacing w:after="0"/>
              <w:rPr>
                <w:sz w:val="9"/>
                <w:szCs w:val="9"/>
                <w:color w:val="auto"/>
              </w:rPr>
            </w:pPr>
          </w:p>
        </w:tc>
        <w:tc>
          <w:tcPr>
            <w:tcW w:w="108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or Other</w:t>
            </w:r>
          </w:p>
        </w:tc>
        <w:tc>
          <w:tcPr>
            <w:tcW w:w="1060" w:type="dxa"/>
            <w:vAlign w:val="bottom"/>
            <w:vMerge w:val="continue"/>
            <w:shd w:val="clear" w:color="auto" w:fill="732282"/>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720" w:type="dxa"/>
            <w:vAlign w:val="bottom"/>
            <w:shd w:val="clear" w:color="auto" w:fill="732282"/>
          </w:tcPr>
          <w:p>
            <w:pPr>
              <w:spacing w:after="0"/>
              <w:rPr>
                <w:sz w:val="4"/>
                <w:szCs w:val="4"/>
                <w:color w:val="auto"/>
              </w:rPr>
            </w:pPr>
          </w:p>
        </w:tc>
        <w:tc>
          <w:tcPr>
            <w:tcW w:w="1560" w:type="dxa"/>
            <w:vAlign w:val="bottom"/>
            <w:vMerge w:val="continue"/>
            <w:shd w:val="clear" w:color="auto" w:fill="732282"/>
          </w:tcPr>
          <w:p>
            <w:pPr>
              <w:spacing w:after="0"/>
              <w:rPr>
                <w:sz w:val="4"/>
                <w:szCs w:val="4"/>
                <w:color w:val="auto"/>
              </w:rPr>
            </w:pPr>
          </w:p>
        </w:tc>
        <w:tc>
          <w:tcPr>
            <w:tcW w:w="1620" w:type="dxa"/>
            <w:vAlign w:val="bottom"/>
            <w:vMerge w:val="continue"/>
            <w:shd w:val="clear" w:color="auto" w:fill="732282"/>
          </w:tcPr>
          <w:p>
            <w:pPr>
              <w:spacing w:after="0"/>
              <w:rPr>
                <w:sz w:val="4"/>
                <w:szCs w:val="4"/>
                <w:color w:val="auto"/>
              </w:rPr>
            </w:pPr>
          </w:p>
        </w:tc>
        <w:tc>
          <w:tcPr>
            <w:tcW w:w="880" w:type="dxa"/>
            <w:vAlign w:val="bottom"/>
            <w:shd w:val="clear" w:color="auto" w:fill="732282"/>
          </w:tcPr>
          <w:p>
            <w:pPr>
              <w:spacing w:after="0"/>
              <w:rPr>
                <w:sz w:val="4"/>
                <w:szCs w:val="4"/>
                <w:color w:val="auto"/>
              </w:rPr>
            </w:pPr>
          </w:p>
        </w:tc>
        <w:tc>
          <w:tcPr>
            <w:tcW w:w="1160" w:type="dxa"/>
            <w:vAlign w:val="bottom"/>
            <w:shd w:val="clear" w:color="auto" w:fill="732282"/>
          </w:tcPr>
          <w:p>
            <w:pPr>
              <w:spacing w:after="0"/>
              <w:rPr>
                <w:sz w:val="4"/>
                <w:szCs w:val="4"/>
                <w:color w:val="auto"/>
              </w:rPr>
            </w:pPr>
          </w:p>
        </w:tc>
        <w:tc>
          <w:tcPr>
            <w:tcW w:w="1000" w:type="dxa"/>
            <w:vAlign w:val="bottom"/>
            <w:vMerge w:val="continue"/>
            <w:shd w:val="clear" w:color="auto" w:fill="732282"/>
          </w:tcPr>
          <w:p>
            <w:pPr>
              <w:spacing w:after="0"/>
              <w:rPr>
                <w:sz w:val="4"/>
                <w:szCs w:val="4"/>
                <w:color w:val="auto"/>
              </w:rPr>
            </w:pP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That</w:t>
            </w:r>
          </w:p>
        </w:tc>
        <w:tc>
          <w:tcPr>
            <w:tcW w:w="1080" w:type="dxa"/>
            <w:vAlign w:val="bottom"/>
            <w:vMerge w:val="continue"/>
            <w:shd w:val="clear" w:color="auto" w:fill="732282"/>
          </w:tcPr>
          <w:p>
            <w:pPr>
              <w:spacing w:after="0"/>
              <w:rPr>
                <w:sz w:val="4"/>
                <w:szCs w:val="4"/>
                <w:color w:val="auto"/>
              </w:rPr>
            </w:pPr>
          </w:p>
        </w:tc>
        <w:tc>
          <w:tcPr>
            <w:tcW w:w="10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22"/>
        </w:trPr>
        <w:tc>
          <w:tcPr>
            <w:tcW w:w="1720" w:type="dxa"/>
            <w:vAlign w:val="bottom"/>
            <w:shd w:val="clear" w:color="auto" w:fill="732282"/>
          </w:tcPr>
          <w:p>
            <w:pPr>
              <w:spacing w:after="0"/>
              <w:rPr>
                <w:sz w:val="10"/>
                <w:szCs w:val="10"/>
                <w:color w:val="auto"/>
              </w:rPr>
            </w:pPr>
          </w:p>
        </w:tc>
        <w:tc>
          <w:tcPr>
            <w:tcW w:w="1560" w:type="dxa"/>
            <w:vAlign w:val="bottom"/>
            <w:vMerge w:val="restart"/>
            <w:shd w:val="clear" w:color="auto" w:fill="732282"/>
          </w:tcPr>
          <w:p>
            <w:pPr>
              <w:jc w:val="center"/>
              <w:ind w:left="60"/>
              <w:spacing w:after="0"/>
              <w:rPr>
                <w:sz w:val="20"/>
                <w:szCs w:val="20"/>
                <w:color w:val="auto"/>
              </w:rPr>
            </w:pPr>
            <w:r>
              <w:rPr>
                <w:rFonts w:ascii="Arial" w:cs="Arial" w:eastAsia="Arial" w:hAnsi="Arial"/>
                <w:sz w:val="14"/>
                <w:szCs w:val="14"/>
                <w:b w:val="1"/>
                <w:bCs w:val="1"/>
                <w:color w:val="FFFFFF"/>
              </w:rPr>
              <w:t>Underlying</w:t>
            </w:r>
          </w:p>
        </w:tc>
        <w:tc>
          <w:tcPr>
            <w:tcW w:w="1620" w:type="dxa"/>
            <w:vAlign w:val="bottom"/>
            <w:vMerge w:val="restart"/>
            <w:shd w:val="clear" w:color="auto" w:fill="732282"/>
          </w:tcPr>
          <w:p>
            <w:pPr>
              <w:jc w:val="center"/>
              <w:ind w:right="100"/>
              <w:spacing w:after="0"/>
              <w:rPr>
                <w:sz w:val="20"/>
                <w:szCs w:val="20"/>
                <w:color w:val="auto"/>
              </w:rPr>
            </w:pPr>
            <w:r>
              <w:rPr>
                <w:rFonts w:ascii="Arial" w:cs="Arial" w:eastAsia="Arial" w:hAnsi="Arial"/>
                <w:sz w:val="14"/>
                <w:szCs w:val="14"/>
                <w:b w:val="1"/>
                <w:bCs w:val="1"/>
                <w:color w:val="FFFFFF"/>
              </w:rPr>
              <w:t>Underlying</w:t>
            </w:r>
          </w:p>
        </w:tc>
        <w:tc>
          <w:tcPr>
            <w:tcW w:w="880" w:type="dxa"/>
            <w:vAlign w:val="bottom"/>
            <w:vMerge w:val="restart"/>
            <w:shd w:val="clear" w:color="auto" w:fill="732282"/>
          </w:tcPr>
          <w:p>
            <w:pPr>
              <w:jc w:val="center"/>
              <w:ind w:right="100"/>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732282"/>
          </w:tcPr>
          <w:p>
            <w:pPr>
              <w:spacing w:after="0"/>
              <w:rPr>
                <w:sz w:val="10"/>
                <w:szCs w:val="10"/>
                <w:color w:val="auto"/>
              </w:rPr>
            </w:pPr>
          </w:p>
        </w:tc>
        <w:tc>
          <w:tcPr>
            <w:tcW w:w="100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Stock That</w:t>
            </w:r>
          </w:p>
        </w:tc>
        <w:tc>
          <w:tcPr>
            <w:tcW w:w="940" w:type="dxa"/>
            <w:vAlign w:val="bottom"/>
            <w:vMerge w:val="continue"/>
            <w:shd w:val="clear" w:color="auto" w:fill="732282"/>
          </w:tcPr>
          <w:p>
            <w:pPr>
              <w:spacing w:after="0"/>
              <w:rPr>
                <w:sz w:val="10"/>
                <w:szCs w:val="10"/>
                <w:color w:val="auto"/>
              </w:rPr>
            </w:pPr>
          </w:p>
        </w:tc>
        <w:tc>
          <w:tcPr>
            <w:tcW w:w="108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Rights That</w:t>
            </w:r>
          </w:p>
        </w:tc>
        <w:tc>
          <w:tcPr>
            <w:tcW w:w="1060" w:type="dxa"/>
            <w:vAlign w:val="bottom"/>
            <w:vMerge w:val="continue"/>
            <w:shd w:val="clear" w:color="auto" w:fill="732282"/>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720" w:type="dxa"/>
            <w:vAlign w:val="bottom"/>
            <w:shd w:val="clear" w:color="auto" w:fill="732282"/>
          </w:tcPr>
          <w:p>
            <w:pPr>
              <w:spacing w:after="0"/>
              <w:rPr>
                <w:sz w:val="3"/>
                <w:szCs w:val="3"/>
                <w:color w:val="auto"/>
              </w:rPr>
            </w:pPr>
          </w:p>
        </w:tc>
        <w:tc>
          <w:tcPr>
            <w:tcW w:w="1560" w:type="dxa"/>
            <w:vAlign w:val="bottom"/>
            <w:vMerge w:val="continue"/>
            <w:shd w:val="clear" w:color="auto" w:fill="732282"/>
          </w:tcPr>
          <w:p>
            <w:pPr>
              <w:spacing w:after="0"/>
              <w:rPr>
                <w:sz w:val="3"/>
                <w:szCs w:val="3"/>
                <w:color w:val="auto"/>
              </w:rPr>
            </w:pPr>
          </w:p>
        </w:tc>
        <w:tc>
          <w:tcPr>
            <w:tcW w:w="1620" w:type="dxa"/>
            <w:vAlign w:val="bottom"/>
            <w:vMerge w:val="continue"/>
            <w:shd w:val="clear" w:color="auto" w:fill="732282"/>
          </w:tcPr>
          <w:p>
            <w:pPr>
              <w:spacing w:after="0"/>
              <w:rPr>
                <w:sz w:val="3"/>
                <w:szCs w:val="3"/>
                <w:color w:val="auto"/>
              </w:rPr>
            </w:pPr>
          </w:p>
        </w:tc>
        <w:tc>
          <w:tcPr>
            <w:tcW w:w="880" w:type="dxa"/>
            <w:vAlign w:val="bottom"/>
            <w:vMerge w:val="continue"/>
            <w:shd w:val="clear" w:color="auto" w:fill="732282"/>
          </w:tcPr>
          <w:p>
            <w:pPr>
              <w:spacing w:after="0"/>
              <w:rPr>
                <w:sz w:val="3"/>
                <w:szCs w:val="3"/>
                <w:color w:val="auto"/>
              </w:rPr>
            </w:pPr>
          </w:p>
        </w:tc>
        <w:tc>
          <w:tcPr>
            <w:tcW w:w="1160" w:type="dxa"/>
            <w:vAlign w:val="bottom"/>
            <w:shd w:val="clear" w:color="auto" w:fill="732282"/>
          </w:tcPr>
          <w:p>
            <w:pPr>
              <w:spacing w:after="0"/>
              <w:rPr>
                <w:sz w:val="3"/>
                <w:szCs w:val="3"/>
                <w:color w:val="auto"/>
              </w:rPr>
            </w:pPr>
          </w:p>
        </w:tc>
        <w:tc>
          <w:tcPr>
            <w:tcW w:w="1000" w:type="dxa"/>
            <w:vAlign w:val="bottom"/>
            <w:vMerge w:val="continue"/>
            <w:shd w:val="clear" w:color="auto" w:fill="732282"/>
          </w:tcPr>
          <w:p>
            <w:pPr>
              <w:spacing w:after="0"/>
              <w:rPr>
                <w:sz w:val="3"/>
                <w:szCs w:val="3"/>
                <w:color w:val="auto"/>
              </w:rPr>
            </w:pP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1080" w:type="dxa"/>
            <w:vAlign w:val="bottom"/>
            <w:vMerge w:val="continue"/>
            <w:shd w:val="clear" w:color="auto" w:fill="732282"/>
          </w:tcPr>
          <w:p>
            <w:pPr>
              <w:spacing w:after="0"/>
              <w:rPr>
                <w:sz w:val="3"/>
                <w:szCs w:val="3"/>
                <w:color w:val="auto"/>
              </w:rPr>
            </w:pPr>
          </w:p>
        </w:tc>
        <w:tc>
          <w:tcPr>
            <w:tcW w:w="1060" w:type="dxa"/>
            <w:vAlign w:val="bottom"/>
            <w:vMerge w:val="restart"/>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44"/>
        </w:trPr>
        <w:tc>
          <w:tcPr>
            <w:tcW w:w="1720" w:type="dxa"/>
            <w:vAlign w:val="bottom"/>
            <w:shd w:val="clear" w:color="auto" w:fill="732282"/>
          </w:tcPr>
          <w:p>
            <w:pPr>
              <w:spacing w:after="0"/>
              <w:rPr>
                <w:sz w:val="12"/>
                <w:szCs w:val="12"/>
                <w:color w:val="auto"/>
              </w:rPr>
            </w:pPr>
          </w:p>
        </w:tc>
        <w:tc>
          <w:tcPr>
            <w:tcW w:w="1560" w:type="dxa"/>
            <w:vAlign w:val="bottom"/>
            <w:shd w:val="clear" w:color="auto" w:fill="732282"/>
          </w:tcPr>
          <w:p>
            <w:pPr>
              <w:jc w:val="center"/>
              <w:ind w:left="60"/>
              <w:spacing w:after="0" w:line="145" w:lineRule="exact"/>
              <w:rPr>
                <w:sz w:val="20"/>
                <w:szCs w:val="20"/>
                <w:color w:val="auto"/>
              </w:rPr>
            </w:pPr>
            <w:r>
              <w:rPr>
                <w:rFonts w:ascii="Arial" w:cs="Arial" w:eastAsia="Arial" w:hAnsi="Arial"/>
                <w:sz w:val="14"/>
                <w:szCs w:val="14"/>
                <w:b w:val="1"/>
                <w:bCs w:val="1"/>
                <w:color w:val="FFFFFF"/>
              </w:rPr>
              <w:t>Unexercised</w:t>
            </w:r>
          </w:p>
        </w:tc>
        <w:tc>
          <w:tcPr>
            <w:tcW w:w="1620" w:type="dxa"/>
            <w:vAlign w:val="bottom"/>
            <w:shd w:val="clear" w:color="auto" w:fill="732282"/>
          </w:tcPr>
          <w:p>
            <w:pPr>
              <w:jc w:val="center"/>
              <w:ind w:right="80"/>
              <w:spacing w:after="0" w:line="145" w:lineRule="exact"/>
              <w:rPr>
                <w:sz w:val="20"/>
                <w:szCs w:val="20"/>
                <w:color w:val="auto"/>
              </w:rPr>
            </w:pPr>
            <w:r>
              <w:rPr>
                <w:rFonts w:ascii="Arial" w:cs="Arial" w:eastAsia="Arial" w:hAnsi="Arial"/>
                <w:sz w:val="14"/>
                <w:szCs w:val="14"/>
                <w:b w:val="1"/>
                <w:bCs w:val="1"/>
                <w:color w:val="FFFFFF"/>
              </w:rPr>
              <w:t>Unexercised</w:t>
            </w:r>
          </w:p>
        </w:tc>
        <w:tc>
          <w:tcPr>
            <w:tcW w:w="880" w:type="dxa"/>
            <w:vAlign w:val="bottom"/>
            <w:shd w:val="clear" w:color="auto" w:fill="732282"/>
          </w:tcPr>
          <w:p>
            <w:pPr>
              <w:jc w:val="center"/>
              <w:ind w:right="80"/>
              <w:spacing w:after="0" w:line="145" w:lineRule="exact"/>
              <w:rPr>
                <w:sz w:val="20"/>
                <w:szCs w:val="20"/>
                <w:color w:val="auto"/>
              </w:rPr>
            </w:pPr>
            <w:r>
              <w:rPr>
                <w:rFonts w:ascii="Arial" w:cs="Arial" w:eastAsia="Arial" w:hAnsi="Arial"/>
                <w:sz w:val="14"/>
                <w:szCs w:val="14"/>
                <w:b w:val="1"/>
                <w:bCs w:val="1"/>
                <w:color w:val="FFFFFF"/>
              </w:rPr>
              <w:t>Exercise</w:t>
            </w:r>
          </w:p>
        </w:tc>
        <w:tc>
          <w:tcPr>
            <w:tcW w:w="1160" w:type="dxa"/>
            <w:vAlign w:val="bottom"/>
            <w:shd w:val="clear" w:color="auto" w:fill="732282"/>
          </w:tcPr>
          <w:p>
            <w:pPr>
              <w:jc w:val="center"/>
              <w:spacing w:after="0" w:line="145" w:lineRule="exact"/>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732282"/>
          </w:tcPr>
          <w:p>
            <w:pPr>
              <w:jc w:val="center"/>
              <w:spacing w:after="0" w:line="145" w:lineRule="exact"/>
              <w:rPr>
                <w:sz w:val="20"/>
                <w:szCs w:val="20"/>
                <w:color w:val="auto"/>
              </w:rPr>
            </w:pPr>
            <w:r>
              <w:rPr>
                <w:rFonts w:ascii="Arial" w:cs="Arial" w:eastAsia="Arial" w:hAnsi="Arial"/>
                <w:sz w:val="14"/>
                <w:szCs w:val="14"/>
                <w:b w:val="1"/>
                <w:bCs w:val="1"/>
                <w:color w:val="FFFFFF"/>
              </w:rPr>
              <w:t>Have Not</w:t>
            </w:r>
          </w:p>
        </w:tc>
        <w:tc>
          <w:tcPr>
            <w:tcW w:w="940" w:type="dxa"/>
            <w:vAlign w:val="bottom"/>
            <w:vMerge w:val="continue"/>
            <w:shd w:val="clear" w:color="auto" w:fill="732282"/>
          </w:tcPr>
          <w:p>
            <w:pPr>
              <w:spacing w:after="0"/>
              <w:rPr>
                <w:sz w:val="12"/>
                <w:szCs w:val="12"/>
                <w:color w:val="auto"/>
              </w:rPr>
            </w:pPr>
          </w:p>
        </w:tc>
        <w:tc>
          <w:tcPr>
            <w:tcW w:w="1080" w:type="dxa"/>
            <w:vAlign w:val="bottom"/>
            <w:shd w:val="clear" w:color="auto" w:fill="732282"/>
          </w:tcPr>
          <w:p>
            <w:pPr>
              <w:jc w:val="center"/>
              <w:spacing w:after="0" w:line="145" w:lineRule="exact"/>
              <w:rPr>
                <w:sz w:val="20"/>
                <w:szCs w:val="20"/>
                <w:color w:val="auto"/>
              </w:rPr>
            </w:pPr>
            <w:r>
              <w:rPr>
                <w:rFonts w:ascii="Arial" w:cs="Arial" w:eastAsia="Arial" w:hAnsi="Arial"/>
                <w:sz w:val="14"/>
                <w:szCs w:val="14"/>
                <w:b w:val="1"/>
                <w:bCs w:val="1"/>
                <w:color w:val="FFFFFF"/>
              </w:rPr>
              <w:t>Have Not</w:t>
            </w:r>
          </w:p>
        </w:tc>
        <w:tc>
          <w:tcPr>
            <w:tcW w:w="1060" w:type="dxa"/>
            <w:vAlign w:val="bottom"/>
            <w:vMerge w:val="continue"/>
            <w:shd w:val="clear" w:color="auto" w:fill="73228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732282"/>
          </w:tcPr>
          <w:p>
            <w:pPr>
              <w:spacing w:after="0"/>
              <w:rPr>
                <w:sz w:val="15"/>
                <w:szCs w:val="15"/>
                <w:color w:val="auto"/>
              </w:rPr>
            </w:pPr>
          </w:p>
        </w:tc>
        <w:tc>
          <w:tcPr>
            <w:tcW w:w="1560" w:type="dxa"/>
            <w:vAlign w:val="bottom"/>
            <w:shd w:val="clear" w:color="auto" w:fill="732282"/>
          </w:tcPr>
          <w:p>
            <w:pPr>
              <w:jc w:val="center"/>
              <w:ind w:left="40"/>
              <w:spacing w:after="0"/>
              <w:rPr>
                <w:sz w:val="20"/>
                <w:szCs w:val="20"/>
                <w:color w:val="auto"/>
              </w:rPr>
            </w:pPr>
            <w:r>
              <w:rPr>
                <w:rFonts w:ascii="Arial" w:cs="Arial" w:eastAsia="Arial" w:hAnsi="Arial"/>
                <w:sz w:val="14"/>
                <w:szCs w:val="14"/>
                <w:b w:val="1"/>
                <w:bCs w:val="1"/>
                <w:color w:val="FFFFFF"/>
              </w:rPr>
              <w:t>Options (#)</w:t>
            </w:r>
          </w:p>
        </w:tc>
        <w:tc>
          <w:tcPr>
            <w:tcW w:w="1620" w:type="dxa"/>
            <w:vAlign w:val="bottom"/>
            <w:shd w:val="clear" w:color="auto" w:fill="732282"/>
          </w:tcPr>
          <w:p>
            <w:pPr>
              <w:jc w:val="center"/>
              <w:ind w:right="100"/>
              <w:spacing w:after="0"/>
              <w:rPr>
                <w:sz w:val="20"/>
                <w:szCs w:val="20"/>
                <w:color w:val="auto"/>
              </w:rPr>
            </w:pPr>
            <w:r>
              <w:rPr>
                <w:rFonts w:ascii="Arial" w:cs="Arial" w:eastAsia="Arial" w:hAnsi="Arial"/>
                <w:sz w:val="14"/>
                <w:szCs w:val="14"/>
                <w:b w:val="1"/>
                <w:bCs w:val="1"/>
                <w:color w:val="FFFFFF"/>
              </w:rPr>
              <w:t>Options (#)</w:t>
            </w:r>
          </w:p>
        </w:tc>
        <w:tc>
          <w:tcPr>
            <w:tcW w:w="880" w:type="dxa"/>
            <w:vAlign w:val="bottom"/>
            <w:shd w:val="clear" w:color="auto" w:fill="732282"/>
          </w:tcPr>
          <w:p>
            <w:pPr>
              <w:jc w:val="center"/>
              <w:ind w:right="80"/>
              <w:spacing w:after="0"/>
              <w:rPr>
                <w:sz w:val="20"/>
                <w:szCs w:val="20"/>
                <w:color w:val="auto"/>
              </w:rPr>
            </w:pPr>
            <w:r>
              <w:rPr>
                <w:rFonts w:ascii="Arial" w:cs="Arial" w:eastAsia="Arial" w:hAnsi="Arial"/>
                <w:sz w:val="14"/>
                <w:szCs w:val="14"/>
                <w:b w:val="1"/>
                <w:bCs w:val="1"/>
                <w:color w:val="FFFFFF"/>
              </w:rPr>
              <w:t>Price</w:t>
            </w:r>
          </w:p>
        </w:tc>
        <w:tc>
          <w:tcPr>
            <w:tcW w:w="11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Expiration</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Vested</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Vested</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Vested</w:t>
            </w:r>
          </w:p>
        </w:tc>
        <w:tc>
          <w:tcPr>
            <w:tcW w:w="10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297"/>
        </w:trPr>
        <w:tc>
          <w:tcPr>
            <w:tcW w:w="172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560" w:type="dxa"/>
            <w:vAlign w:val="bottom"/>
            <w:shd w:val="clear" w:color="auto" w:fill="732282"/>
          </w:tcPr>
          <w:p>
            <w:pPr>
              <w:jc w:val="center"/>
              <w:ind w:left="60"/>
              <w:spacing w:after="0"/>
              <w:rPr>
                <w:sz w:val="20"/>
                <w:szCs w:val="20"/>
                <w:color w:val="auto"/>
              </w:rPr>
            </w:pPr>
            <w:r>
              <w:rPr>
                <w:rFonts w:ascii="Arial" w:cs="Arial" w:eastAsia="Arial" w:hAnsi="Arial"/>
                <w:sz w:val="14"/>
                <w:szCs w:val="14"/>
                <w:b w:val="1"/>
                <w:bCs w:val="1"/>
                <w:color w:val="FFFFFF"/>
                <w:w w:val="98"/>
              </w:rPr>
              <w:t>Exercisable</w:t>
            </w:r>
            <w:r>
              <w:rPr>
                <w:rFonts w:ascii="Arial" w:cs="Arial" w:eastAsia="Arial" w:hAnsi="Arial"/>
                <w:sz w:val="21"/>
                <w:szCs w:val="21"/>
                <w:b w:val="1"/>
                <w:bCs w:val="1"/>
                <w:color w:val="FFFFFF"/>
                <w:w w:val="98"/>
                <w:vertAlign w:val="superscript"/>
              </w:rPr>
              <w:t>(1)</w:t>
            </w:r>
          </w:p>
        </w:tc>
        <w:tc>
          <w:tcPr>
            <w:tcW w:w="1620" w:type="dxa"/>
            <w:vAlign w:val="bottom"/>
            <w:shd w:val="clear" w:color="auto" w:fill="732282"/>
          </w:tcPr>
          <w:p>
            <w:pPr>
              <w:jc w:val="center"/>
              <w:ind w:right="80"/>
              <w:spacing w:after="0"/>
              <w:rPr>
                <w:sz w:val="20"/>
                <w:szCs w:val="20"/>
                <w:color w:val="auto"/>
              </w:rPr>
            </w:pPr>
            <w:r>
              <w:rPr>
                <w:rFonts w:ascii="Arial" w:cs="Arial" w:eastAsia="Arial" w:hAnsi="Arial"/>
                <w:sz w:val="14"/>
                <w:szCs w:val="14"/>
                <w:b w:val="1"/>
                <w:bCs w:val="1"/>
                <w:color w:val="FFFFFF"/>
              </w:rPr>
              <w:t>Unexercisable</w:t>
            </w:r>
          </w:p>
        </w:tc>
        <w:tc>
          <w:tcPr>
            <w:tcW w:w="880" w:type="dxa"/>
            <w:vAlign w:val="bottom"/>
            <w:shd w:val="clear" w:color="auto" w:fill="732282"/>
          </w:tcPr>
          <w:p>
            <w:pPr>
              <w:jc w:val="center"/>
              <w:ind w:right="100"/>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0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940" w:type="dxa"/>
            <w:vAlign w:val="bottom"/>
            <w:shd w:val="clear" w:color="auto" w:fill="732282"/>
          </w:tcPr>
          <w:p>
            <w:pPr>
              <w:jc w:val="center"/>
              <w:spacing w:after="0" w:line="297" w:lineRule="exact"/>
              <w:rPr>
                <w:sz w:val="20"/>
                <w:szCs w:val="20"/>
                <w:color w:val="auto"/>
              </w:rPr>
            </w:pPr>
            <w:r>
              <w:rPr>
                <w:rFonts w:ascii="Arial" w:cs="Arial" w:eastAsia="Arial" w:hAnsi="Arial"/>
                <w:sz w:val="28"/>
                <w:szCs w:val="28"/>
                <w:b w:val="1"/>
                <w:bCs w:val="1"/>
                <w:color w:val="FFFFFF"/>
                <w:w w:val="82"/>
                <w:vertAlign w:val="subscript"/>
              </w:rPr>
              <w:t>($)</w:t>
            </w:r>
            <w:r>
              <w:rPr>
                <w:rFonts w:ascii="Arial" w:cs="Arial" w:eastAsia="Arial" w:hAnsi="Arial"/>
                <w:sz w:val="11"/>
                <w:szCs w:val="11"/>
                <w:b w:val="1"/>
                <w:bCs w:val="1"/>
                <w:color w:val="FFFFFF"/>
                <w:w w:val="82"/>
              </w:rPr>
              <w:t>(2)</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shd w:val="clear" w:color="auto" w:fill="732282"/>
          </w:tcPr>
          <w:p>
            <w:pPr>
              <w:jc w:val="center"/>
              <w:spacing w:after="0" w:line="297" w:lineRule="exact"/>
              <w:rPr>
                <w:sz w:val="20"/>
                <w:szCs w:val="20"/>
                <w:color w:val="auto"/>
              </w:rPr>
            </w:pPr>
            <w:r>
              <w:rPr>
                <w:rFonts w:ascii="Arial" w:cs="Arial" w:eastAsia="Arial" w:hAnsi="Arial"/>
                <w:sz w:val="28"/>
                <w:szCs w:val="28"/>
                <w:b w:val="1"/>
                <w:bCs w:val="1"/>
                <w:color w:val="FFFFFF"/>
                <w:w w:val="88"/>
                <w:vertAlign w:val="subscript"/>
              </w:rPr>
              <w:t>($)</w:t>
            </w:r>
            <w:r>
              <w:rPr>
                <w:rFonts w:ascii="Arial" w:cs="Arial" w:eastAsia="Arial" w:hAnsi="Arial"/>
                <w:sz w:val="11"/>
                <w:szCs w:val="11"/>
                <w:b w:val="1"/>
                <w:bCs w:val="1"/>
                <w:color w:val="FFFFFF"/>
                <w:w w:val="88"/>
              </w:rPr>
              <w:t>(2)</w:t>
            </w:r>
          </w:p>
        </w:tc>
        <w:tc>
          <w:tcPr>
            <w:tcW w:w="0" w:type="dxa"/>
            <w:vAlign w:val="bottom"/>
          </w:tcPr>
          <w:p>
            <w:pPr>
              <w:spacing w:after="0"/>
              <w:rPr>
                <w:sz w:val="1"/>
                <w:szCs w:val="1"/>
                <w:color w:val="auto"/>
              </w:rPr>
            </w:pPr>
          </w:p>
        </w:tc>
      </w:tr>
      <w:tr>
        <w:trPr>
          <w:trHeight w:val="364"/>
        </w:trPr>
        <w:tc>
          <w:tcPr>
            <w:tcW w:w="1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422,177</w:t>
            </w:r>
            <w:r>
              <w:rPr>
                <w:rFonts w:ascii="Arial" w:cs="Arial" w:eastAsia="Arial" w:hAnsi="Arial"/>
                <w:sz w:val="24"/>
                <w:szCs w:val="24"/>
                <w:color w:val="auto"/>
                <w:vertAlign w:val="superscript"/>
              </w:rPr>
              <w:t>(3)</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4,572,177</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784,041</w:t>
            </w:r>
            <w:r>
              <w:rPr>
                <w:rFonts w:ascii="Arial" w:cs="Arial" w:eastAsia="Arial" w:hAnsi="Arial"/>
                <w:sz w:val="24"/>
                <w:szCs w:val="24"/>
                <w:color w:val="auto"/>
                <w:vertAlign w:val="superscript"/>
              </w:rPr>
              <w:t>(6)</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8,491,164</w:t>
            </w:r>
          </w:p>
        </w:tc>
        <w:tc>
          <w:tcPr>
            <w:tcW w:w="0" w:type="dxa"/>
            <w:vAlign w:val="bottom"/>
          </w:tcPr>
          <w:p>
            <w:pPr>
              <w:spacing w:after="0"/>
              <w:rPr>
                <w:sz w:val="1"/>
                <w:szCs w:val="1"/>
                <w:color w:val="auto"/>
              </w:rPr>
            </w:pPr>
          </w:p>
        </w:tc>
      </w:tr>
      <w:tr>
        <w:trPr>
          <w:trHeight w:val="392"/>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29,581</w:t>
            </w:r>
            <w:r>
              <w:rPr>
                <w:rFonts w:ascii="Arial" w:cs="Arial" w:eastAsia="Arial" w:hAnsi="Arial"/>
                <w:sz w:val="24"/>
                <w:szCs w:val="24"/>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6"/>
                <w:szCs w:val="16"/>
                <w:color w:val="auto"/>
              </w:rPr>
              <w:t>320,362</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132,353</w:t>
            </w:r>
            <w:r>
              <w:rPr>
                <w:rFonts w:ascii="Arial" w:cs="Arial" w:eastAsia="Arial" w:hAnsi="Arial"/>
                <w:sz w:val="24"/>
                <w:szCs w:val="24"/>
                <w:color w:val="auto"/>
                <w:vertAlign w:val="superscript"/>
              </w:rPr>
              <w:t>(7)</w:t>
            </w:r>
          </w:p>
        </w:tc>
        <w:tc>
          <w:tcPr>
            <w:tcW w:w="1060" w:type="dxa"/>
            <w:vAlign w:val="bottom"/>
          </w:tcPr>
          <w:p>
            <w:pPr>
              <w:jc w:val="right"/>
              <w:spacing w:after="0"/>
              <w:rPr>
                <w:sz w:val="20"/>
                <w:szCs w:val="20"/>
                <w:color w:val="auto"/>
              </w:rPr>
            </w:pPr>
            <w:r>
              <w:rPr>
                <w:rFonts w:ascii="Arial" w:cs="Arial" w:eastAsia="Arial" w:hAnsi="Arial"/>
                <w:sz w:val="16"/>
                <w:szCs w:val="16"/>
                <w:color w:val="auto"/>
              </w:rPr>
              <w:t>1,433,383</w:t>
            </w:r>
          </w:p>
        </w:tc>
        <w:tc>
          <w:tcPr>
            <w:tcW w:w="0" w:type="dxa"/>
            <w:vAlign w:val="bottom"/>
          </w:tcPr>
          <w:p>
            <w:pPr>
              <w:spacing w:after="0"/>
              <w:rPr>
                <w:sz w:val="1"/>
                <w:szCs w:val="1"/>
                <w:color w:val="auto"/>
              </w:rPr>
            </w:pPr>
          </w:p>
        </w:tc>
      </w:tr>
      <w:tr>
        <w:trPr>
          <w:trHeight w:val="323"/>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84,542</w:t>
            </w:r>
            <w:r>
              <w:rPr>
                <w:rFonts w:ascii="Arial" w:cs="Arial" w:eastAsia="Arial" w:hAnsi="Arial"/>
                <w:sz w:val="24"/>
                <w:szCs w:val="24"/>
                <w:color w:val="auto"/>
                <w:vertAlign w:val="superscript"/>
              </w:rPr>
              <w:t>(5)</w:t>
            </w:r>
          </w:p>
        </w:tc>
        <w:tc>
          <w:tcPr>
            <w:tcW w:w="940" w:type="dxa"/>
            <w:vAlign w:val="bottom"/>
          </w:tcPr>
          <w:p>
            <w:pPr>
              <w:jc w:val="right"/>
              <w:spacing w:after="0"/>
              <w:rPr>
                <w:sz w:val="20"/>
                <w:szCs w:val="20"/>
                <w:color w:val="auto"/>
              </w:rPr>
            </w:pPr>
            <w:r>
              <w:rPr>
                <w:rFonts w:ascii="Arial" w:cs="Arial" w:eastAsia="Arial" w:hAnsi="Arial"/>
                <w:sz w:val="16"/>
                <w:szCs w:val="16"/>
                <w:color w:val="auto"/>
              </w:rPr>
              <w:t>915,590</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235,508</w:t>
            </w:r>
            <w:r>
              <w:rPr>
                <w:rFonts w:ascii="Arial" w:cs="Arial" w:eastAsia="Arial" w:hAnsi="Arial"/>
                <w:sz w:val="24"/>
                <w:szCs w:val="24"/>
                <w:color w:val="auto"/>
                <w:vertAlign w:val="superscript"/>
              </w:rPr>
              <w:t>(9)</w:t>
            </w:r>
          </w:p>
        </w:tc>
        <w:tc>
          <w:tcPr>
            <w:tcW w:w="1060" w:type="dxa"/>
            <w:vAlign w:val="bottom"/>
          </w:tcPr>
          <w:p>
            <w:pPr>
              <w:jc w:val="right"/>
              <w:spacing w:after="0"/>
              <w:rPr>
                <w:sz w:val="20"/>
                <w:szCs w:val="20"/>
                <w:color w:val="auto"/>
              </w:rPr>
            </w:pPr>
            <w:r>
              <w:rPr>
                <w:rFonts w:ascii="Arial" w:cs="Arial" w:eastAsia="Arial" w:hAnsi="Arial"/>
                <w:sz w:val="16"/>
                <w:szCs w:val="16"/>
                <w:color w:val="auto"/>
              </w:rPr>
              <w:t>2,550,552</w:t>
            </w:r>
          </w:p>
        </w:tc>
        <w:tc>
          <w:tcPr>
            <w:tcW w:w="0" w:type="dxa"/>
            <w:vAlign w:val="bottom"/>
          </w:tcPr>
          <w:p>
            <w:pPr>
              <w:spacing w:after="0"/>
              <w:rPr>
                <w:sz w:val="1"/>
                <w:szCs w:val="1"/>
                <w:color w:val="auto"/>
              </w:rPr>
            </w:pPr>
          </w:p>
        </w:tc>
      </w:tr>
      <w:tr>
        <w:trPr>
          <w:trHeight w:val="305"/>
        </w:trPr>
        <w:tc>
          <w:tcPr>
            <w:tcW w:w="1720" w:type="dxa"/>
            <w:vAlign w:val="bottom"/>
            <w:tcBorders>
              <w:bottom w:val="single" w:sz="8" w:color="E5E5E5"/>
            </w:tcBorders>
          </w:tcPr>
          <w:p>
            <w:pPr>
              <w:spacing w:after="0"/>
              <w:rPr>
                <w:sz w:val="24"/>
                <w:szCs w:val="24"/>
                <w:color w:val="auto"/>
              </w:rPr>
            </w:pPr>
          </w:p>
        </w:tc>
        <w:tc>
          <w:tcPr>
            <w:tcW w:w="1560" w:type="dxa"/>
            <w:vAlign w:val="bottom"/>
            <w:tcBorders>
              <w:bottom w:val="single" w:sz="8" w:color="E5E5E5"/>
            </w:tcBorders>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5E5E5"/>
            </w:tcBorders>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Borders>
              <w:bottom w:val="single" w:sz="8" w:color="E5E5E5"/>
            </w:tcBorders>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5E5E5"/>
            </w:tcBorders>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0"/>
              <w:spacing w:after="0" w:line="271" w:lineRule="exact"/>
              <w:rPr>
                <w:sz w:val="20"/>
                <w:szCs w:val="20"/>
                <w:color w:val="auto"/>
              </w:rPr>
            </w:pPr>
            <w:r>
              <w:rPr>
                <w:rFonts w:ascii="Arial" w:cs="Arial" w:eastAsia="Arial" w:hAnsi="Arial"/>
                <w:sz w:val="16"/>
                <w:szCs w:val="16"/>
                <w:color w:val="auto"/>
              </w:rPr>
              <w:t>122,082</w:t>
            </w:r>
            <w:r>
              <w:rPr>
                <w:rFonts w:ascii="Arial" w:cs="Arial" w:eastAsia="Arial" w:hAnsi="Arial"/>
                <w:sz w:val="24"/>
                <w:szCs w:val="24"/>
                <w:color w:val="auto"/>
                <w:vertAlign w:val="superscript"/>
              </w:rPr>
              <w:t>(3)</w:t>
            </w:r>
          </w:p>
        </w:tc>
        <w:tc>
          <w:tcPr>
            <w:tcW w:w="9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1,322,148</w:t>
            </w:r>
          </w:p>
        </w:tc>
        <w:tc>
          <w:tcPr>
            <w:tcW w:w="1080" w:type="dxa"/>
            <w:vAlign w:val="bottom"/>
            <w:tcBorders>
              <w:bottom w:val="single" w:sz="8" w:color="E5E5E5"/>
            </w:tcBorders>
          </w:tcPr>
          <w:p>
            <w:pPr>
              <w:jc w:val="right"/>
              <w:ind w:right="21"/>
              <w:spacing w:after="0" w:line="271" w:lineRule="exact"/>
              <w:rPr>
                <w:sz w:val="20"/>
                <w:szCs w:val="20"/>
                <w:color w:val="auto"/>
              </w:rPr>
            </w:pPr>
            <w:r>
              <w:rPr>
                <w:rFonts w:ascii="Arial" w:cs="Arial" w:eastAsia="Arial" w:hAnsi="Arial"/>
                <w:sz w:val="16"/>
                <w:szCs w:val="16"/>
                <w:color w:val="auto"/>
              </w:rPr>
              <w:t>226,723</w:t>
            </w:r>
            <w:r>
              <w:rPr>
                <w:rFonts w:ascii="Arial" w:cs="Arial" w:eastAsia="Arial" w:hAnsi="Arial"/>
                <w:sz w:val="24"/>
                <w:szCs w:val="24"/>
                <w:color w:val="auto"/>
                <w:vertAlign w:val="superscript"/>
              </w:rPr>
              <w:t>(10)</w:t>
            </w:r>
          </w:p>
        </w:tc>
        <w:tc>
          <w:tcPr>
            <w:tcW w:w="10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2,455,410</w:t>
            </w:r>
          </w:p>
        </w:tc>
        <w:tc>
          <w:tcPr>
            <w:tcW w:w="0" w:type="dxa"/>
            <w:vAlign w:val="bottom"/>
          </w:tcPr>
          <w:p>
            <w:pPr>
              <w:spacing w:after="0"/>
              <w:rPr>
                <w:sz w:val="1"/>
                <w:szCs w:val="1"/>
                <w:color w:val="auto"/>
              </w:rPr>
            </w:pPr>
          </w:p>
        </w:tc>
      </w:tr>
      <w:tr>
        <w:trPr>
          <w:trHeight w:val="215"/>
        </w:trPr>
        <w:tc>
          <w:tcPr>
            <w:tcW w:w="1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34,389</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55.84</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41,637</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50.66</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50,168</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46.27</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65,574</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45.18</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3/3/2027</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71,600</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40.97</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3/2/2028</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60,053</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27.45</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3/1/2029</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84,871</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17.48</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3/2/2030</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76,063</w:t>
            </w:r>
            <w:r>
              <w:rPr>
                <w:rFonts w:ascii="Arial" w:cs="Arial" w:eastAsia="Arial" w:hAnsi="Arial"/>
                <w:sz w:val="24"/>
                <w:szCs w:val="24"/>
                <w:color w:val="auto"/>
                <w:vertAlign w:val="superscript"/>
              </w:rPr>
              <w:t>(4)</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823,762</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340,336</w:t>
            </w:r>
            <w:r>
              <w:rPr>
                <w:rFonts w:ascii="Arial" w:cs="Arial" w:eastAsia="Arial" w:hAnsi="Arial"/>
                <w:sz w:val="24"/>
                <w:szCs w:val="24"/>
                <w:color w:val="auto"/>
                <w:vertAlign w:val="superscript"/>
              </w:rPr>
              <w:t>(7)</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3,685,839</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179,028</w:t>
            </w:r>
            <w:r>
              <w:rPr>
                <w:rFonts w:ascii="Arial" w:cs="Arial" w:eastAsia="Arial" w:hAnsi="Arial"/>
                <w:sz w:val="24"/>
                <w:szCs w:val="24"/>
                <w:color w:val="auto"/>
                <w:vertAlign w:val="superscript"/>
              </w:rPr>
              <w:t>(5)</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1,938,873</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498,721</w:t>
            </w:r>
            <w:r>
              <w:rPr>
                <w:rFonts w:ascii="Arial" w:cs="Arial" w:eastAsia="Arial" w:hAnsi="Arial"/>
                <w:sz w:val="24"/>
                <w:szCs w:val="24"/>
                <w:color w:val="auto"/>
                <w:vertAlign w:val="superscript"/>
              </w:rPr>
              <w:t>(8)</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5,401,148</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257,362</w:t>
            </w:r>
            <w:r>
              <w:rPr>
                <w:rFonts w:ascii="Arial" w:cs="Arial" w:eastAsia="Arial" w:hAnsi="Arial"/>
                <w:sz w:val="24"/>
                <w:szCs w:val="24"/>
                <w:color w:val="auto"/>
                <w:vertAlign w:val="superscript"/>
              </w:rPr>
              <w:t>(3)</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2,787,230</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477,956</w:t>
            </w:r>
            <w:r>
              <w:rPr>
                <w:rFonts w:ascii="Arial" w:cs="Arial" w:eastAsia="Arial" w:hAnsi="Arial"/>
                <w:sz w:val="24"/>
                <w:szCs w:val="24"/>
                <w:color w:val="auto"/>
                <w:vertAlign w:val="superscript"/>
              </w:rPr>
              <w:t>(6)</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5,176,263</w:t>
            </w:r>
          </w:p>
        </w:tc>
        <w:tc>
          <w:tcPr>
            <w:tcW w:w="0" w:type="dxa"/>
            <w:vAlign w:val="bottom"/>
          </w:tcPr>
          <w:p>
            <w:pPr>
              <w:spacing w:after="0"/>
              <w:rPr>
                <w:sz w:val="1"/>
                <w:szCs w:val="1"/>
                <w:color w:val="auto"/>
              </w:rPr>
            </w:pPr>
          </w:p>
        </w:tc>
      </w:tr>
      <w:tr>
        <w:trPr>
          <w:trHeight w:val="26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12,009</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55.84</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3/5/2024</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9"/>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16,265</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50.66</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11/17/2025</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27,314</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46.27</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2/17/2026</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29,275</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45.18</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3/3/2027</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29,833</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40.97</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3/2/2028</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27,851</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27.45</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3/1/2029</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39,361</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17.48</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3/2/2030</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9"/>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33,806</w:t>
            </w:r>
            <w:r>
              <w:rPr>
                <w:rFonts w:ascii="Arial" w:cs="Arial" w:eastAsia="Arial" w:hAnsi="Arial"/>
                <w:sz w:val="24"/>
                <w:szCs w:val="24"/>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6"/>
                <w:szCs w:val="16"/>
                <w:color w:val="auto"/>
              </w:rPr>
              <w:t>366,119</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151,261</w:t>
            </w:r>
            <w:r>
              <w:rPr>
                <w:rFonts w:ascii="Arial" w:cs="Arial" w:eastAsia="Arial" w:hAnsi="Arial"/>
                <w:sz w:val="24"/>
                <w:szCs w:val="24"/>
                <w:color w:val="auto"/>
                <w:vertAlign w:val="superscript"/>
              </w:rPr>
              <w:t>(7)</w:t>
            </w:r>
          </w:p>
        </w:tc>
        <w:tc>
          <w:tcPr>
            <w:tcW w:w="1060" w:type="dxa"/>
            <w:vAlign w:val="bottom"/>
          </w:tcPr>
          <w:p>
            <w:pPr>
              <w:jc w:val="right"/>
              <w:spacing w:after="0"/>
              <w:rPr>
                <w:sz w:val="20"/>
                <w:szCs w:val="20"/>
                <w:color w:val="auto"/>
              </w:rPr>
            </w:pPr>
            <w:r>
              <w:rPr>
                <w:rFonts w:ascii="Arial" w:cs="Arial" w:eastAsia="Arial" w:hAnsi="Arial"/>
                <w:sz w:val="16"/>
                <w:szCs w:val="16"/>
                <w:color w:val="auto"/>
              </w:rPr>
              <w:t>1,638,157</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79,569</w:t>
            </w:r>
            <w:r>
              <w:rPr>
                <w:rFonts w:ascii="Arial" w:cs="Arial" w:eastAsia="Arial" w:hAnsi="Arial"/>
                <w:sz w:val="24"/>
                <w:szCs w:val="24"/>
                <w:color w:val="auto"/>
                <w:vertAlign w:val="superscript"/>
              </w:rPr>
              <w:t>(5)</w:t>
            </w:r>
          </w:p>
        </w:tc>
        <w:tc>
          <w:tcPr>
            <w:tcW w:w="940" w:type="dxa"/>
            <w:vAlign w:val="bottom"/>
          </w:tcPr>
          <w:p>
            <w:pPr>
              <w:jc w:val="right"/>
              <w:spacing w:after="0"/>
              <w:rPr>
                <w:sz w:val="20"/>
                <w:szCs w:val="20"/>
                <w:color w:val="auto"/>
              </w:rPr>
            </w:pPr>
            <w:r>
              <w:rPr>
                <w:rFonts w:ascii="Arial" w:cs="Arial" w:eastAsia="Arial" w:hAnsi="Arial"/>
                <w:sz w:val="16"/>
                <w:szCs w:val="16"/>
                <w:color w:val="auto"/>
              </w:rPr>
              <w:t>861,732</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221,654</w:t>
            </w:r>
            <w:r>
              <w:rPr>
                <w:rFonts w:ascii="Arial" w:cs="Arial" w:eastAsia="Arial" w:hAnsi="Arial"/>
                <w:sz w:val="24"/>
                <w:szCs w:val="24"/>
                <w:color w:val="auto"/>
                <w:vertAlign w:val="superscript"/>
              </w:rPr>
              <w:t>(9)</w:t>
            </w:r>
          </w:p>
        </w:tc>
        <w:tc>
          <w:tcPr>
            <w:tcW w:w="1060" w:type="dxa"/>
            <w:vAlign w:val="bottom"/>
          </w:tcPr>
          <w:p>
            <w:pPr>
              <w:jc w:val="right"/>
              <w:spacing w:after="0"/>
              <w:rPr>
                <w:sz w:val="20"/>
                <w:szCs w:val="20"/>
                <w:color w:val="auto"/>
              </w:rPr>
            </w:pPr>
            <w:r>
              <w:rPr>
                <w:rFonts w:ascii="Arial" w:cs="Arial" w:eastAsia="Arial" w:hAnsi="Arial"/>
                <w:sz w:val="16"/>
                <w:szCs w:val="16"/>
                <w:color w:val="auto"/>
              </w:rPr>
              <w:t>2,400,513</w:t>
            </w:r>
          </w:p>
        </w:tc>
        <w:tc>
          <w:tcPr>
            <w:tcW w:w="0" w:type="dxa"/>
            <w:vAlign w:val="bottom"/>
          </w:tcPr>
          <w:p>
            <w:pPr>
              <w:spacing w:after="0"/>
              <w:rPr>
                <w:sz w:val="1"/>
                <w:szCs w:val="1"/>
                <w:color w:val="auto"/>
              </w:rPr>
            </w:pPr>
          </w:p>
        </w:tc>
      </w:tr>
      <w:tr>
        <w:trPr>
          <w:trHeight w:val="291"/>
        </w:trPr>
        <w:tc>
          <w:tcPr>
            <w:tcW w:w="1720" w:type="dxa"/>
            <w:vAlign w:val="bottom"/>
            <w:tcBorders>
              <w:bottom w:val="single" w:sz="8" w:color="E5E5E5"/>
            </w:tcBorders>
          </w:tcPr>
          <w:p>
            <w:pPr>
              <w:spacing w:after="0"/>
              <w:rPr>
                <w:sz w:val="24"/>
                <w:szCs w:val="24"/>
                <w:color w:val="auto"/>
              </w:rPr>
            </w:pPr>
          </w:p>
        </w:tc>
        <w:tc>
          <w:tcPr>
            <w:tcW w:w="1560" w:type="dxa"/>
            <w:vAlign w:val="bottom"/>
            <w:tcBorders>
              <w:bottom w:val="single" w:sz="8" w:color="E5E5E5"/>
            </w:tcBorders>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5E5E5"/>
            </w:tcBorders>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Borders>
              <w:bottom w:val="single" w:sz="8" w:color="E5E5E5"/>
            </w:tcBorders>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5E5E5"/>
            </w:tcBorders>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0"/>
              <w:spacing w:after="0" w:line="257" w:lineRule="exact"/>
              <w:rPr>
                <w:sz w:val="20"/>
                <w:szCs w:val="20"/>
                <w:color w:val="auto"/>
              </w:rPr>
            </w:pPr>
            <w:r>
              <w:rPr>
                <w:rFonts w:ascii="Arial" w:cs="Arial" w:eastAsia="Arial" w:hAnsi="Arial"/>
                <w:sz w:val="16"/>
                <w:szCs w:val="16"/>
                <w:color w:val="auto"/>
              </w:rPr>
              <w:t>113,504</w:t>
            </w:r>
            <w:r>
              <w:rPr>
                <w:rFonts w:ascii="Arial" w:cs="Arial" w:eastAsia="Arial" w:hAnsi="Arial"/>
                <w:sz w:val="24"/>
                <w:szCs w:val="24"/>
                <w:color w:val="auto"/>
                <w:vertAlign w:val="superscript"/>
              </w:rPr>
              <w:t>(3)</w:t>
            </w:r>
          </w:p>
        </w:tc>
        <w:tc>
          <w:tcPr>
            <w:tcW w:w="94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1,229,248</w:t>
            </w:r>
          </w:p>
        </w:tc>
        <w:tc>
          <w:tcPr>
            <w:tcW w:w="1080" w:type="dxa"/>
            <w:vAlign w:val="bottom"/>
            <w:tcBorders>
              <w:bottom w:val="single" w:sz="8" w:color="E5E5E5"/>
            </w:tcBorders>
          </w:tcPr>
          <w:p>
            <w:pPr>
              <w:jc w:val="right"/>
              <w:ind w:right="21"/>
              <w:spacing w:after="0" w:line="257" w:lineRule="exact"/>
              <w:rPr>
                <w:sz w:val="20"/>
                <w:szCs w:val="20"/>
                <w:color w:val="auto"/>
              </w:rPr>
            </w:pPr>
            <w:r>
              <w:rPr>
                <w:rFonts w:ascii="Arial" w:cs="Arial" w:eastAsia="Arial" w:hAnsi="Arial"/>
                <w:sz w:val="16"/>
                <w:szCs w:val="16"/>
                <w:color w:val="auto"/>
              </w:rPr>
              <w:t>210,791</w:t>
            </w:r>
            <w:r>
              <w:rPr>
                <w:rFonts w:ascii="Arial" w:cs="Arial" w:eastAsia="Arial" w:hAnsi="Arial"/>
                <w:sz w:val="24"/>
                <w:szCs w:val="24"/>
                <w:color w:val="auto"/>
                <w:vertAlign w:val="superscript"/>
              </w:rPr>
              <w:t>(10)</w:t>
            </w:r>
          </w:p>
        </w:tc>
        <w:tc>
          <w:tcPr>
            <w:tcW w:w="106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2,282,867</w:t>
            </w:r>
          </w:p>
        </w:tc>
        <w:tc>
          <w:tcPr>
            <w:tcW w:w="0" w:type="dxa"/>
            <w:vAlign w:val="bottom"/>
          </w:tcPr>
          <w:p>
            <w:pPr>
              <w:spacing w:after="0"/>
              <w:rPr>
                <w:sz w:val="1"/>
                <w:szCs w:val="1"/>
                <w:color w:val="auto"/>
              </w:rPr>
            </w:pPr>
          </w:p>
        </w:tc>
      </w:tr>
      <w:tr>
        <w:trPr>
          <w:trHeight w:val="215"/>
        </w:trPr>
        <w:tc>
          <w:tcPr>
            <w:tcW w:w="1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3,821</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55.84</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4,111</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55.61</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3/4/2025</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4,739</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46.27</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5,694</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45.18</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3/3/2027</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7,876</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40.97</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3/2/2028</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6,267</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27.45</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3/1/2029</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8,119</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17.48</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3/2/2030</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9"/>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14,791</w:t>
            </w:r>
            <w:r>
              <w:rPr>
                <w:rFonts w:ascii="Arial" w:cs="Arial" w:eastAsia="Arial" w:hAnsi="Arial"/>
                <w:sz w:val="24"/>
                <w:szCs w:val="24"/>
                <w:color w:val="auto"/>
                <w:vertAlign w:val="superscript"/>
              </w:rPr>
              <w:t>(4)</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160,187</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66,177</w:t>
            </w:r>
            <w:r>
              <w:rPr>
                <w:rFonts w:ascii="Arial" w:cs="Arial" w:eastAsia="Arial" w:hAnsi="Arial"/>
                <w:sz w:val="24"/>
                <w:szCs w:val="24"/>
                <w:color w:val="auto"/>
                <w:vertAlign w:val="superscript"/>
              </w:rPr>
              <w:t>(7)</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716,697</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37,299</w:t>
            </w:r>
            <w:r>
              <w:rPr>
                <w:rFonts w:ascii="Arial" w:cs="Arial" w:eastAsia="Arial" w:hAnsi="Arial"/>
                <w:sz w:val="24"/>
                <w:szCs w:val="24"/>
                <w:color w:val="auto"/>
                <w:vertAlign w:val="superscript"/>
              </w:rPr>
              <w:t>(5)</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403,948</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103,901</w:t>
            </w:r>
            <w:r>
              <w:rPr>
                <w:rFonts w:ascii="Arial" w:cs="Arial" w:eastAsia="Arial" w:hAnsi="Arial"/>
                <w:sz w:val="24"/>
                <w:szCs w:val="24"/>
                <w:color w:val="auto"/>
                <w:vertAlign w:val="superscript"/>
              </w:rPr>
              <w:t>(8)</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1,125,248</w:t>
            </w:r>
          </w:p>
        </w:tc>
        <w:tc>
          <w:tcPr>
            <w:tcW w:w="0" w:type="dxa"/>
            <w:vAlign w:val="bottom"/>
          </w:tcPr>
          <w:p>
            <w:pPr>
              <w:spacing w:after="0"/>
              <w:rPr>
                <w:sz w:val="1"/>
                <w:szCs w:val="1"/>
                <w:color w:val="auto"/>
              </w:rPr>
            </w:pPr>
          </w:p>
        </w:tc>
      </w:tr>
      <w:tr>
        <w:trPr>
          <w:trHeight w:val="297"/>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52,793</w:t>
            </w:r>
            <w:r>
              <w:rPr>
                <w:rFonts w:ascii="Arial" w:cs="Arial" w:eastAsia="Arial" w:hAnsi="Arial"/>
                <w:sz w:val="24"/>
                <w:szCs w:val="24"/>
                <w:color w:val="auto"/>
                <w:vertAlign w:val="superscript"/>
              </w:rPr>
              <w:t>(3)</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571,748</w:t>
            </w:r>
          </w:p>
        </w:tc>
        <w:tc>
          <w:tcPr>
            <w:tcW w:w="10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98,043</w:t>
            </w:r>
            <w:r>
              <w:rPr>
                <w:rFonts w:ascii="Arial" w:cs="Arial" w:eastAsia="Arial" w:hAnsi="Arial"/>
                <w:sz w:val="24"/>
                <w:szCs w:val="24"/>
                <w:color w:val="auto"/>
                <w:vertAlign w:val="superscript"/>
              </w:rPr>
              <w:t>(6)</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1,061,806</w:t>
            </w:r>
          </w:p>
        </w:tc>
        <w:tc>
          <w:tcPr>
            <w:tcW w:w="0" w:type="dxa"/>
            <w:vAlign w:val="bottom"/>
          </w:tcPr>
          <w:p>
            <w:pPr>
              <w:spacing w:after="0"/>
              <w:rPr>
                <w:sz w:val="1"/>
                <w:szCs w:val="1"/>
                <w:color w:val="auto"/>
              </w:rPr>
            </w:pPr>
          </w:p>
        </w:tc>
      </w:tr>
      <w:tr>
        <w:trPr>
          <w:trHeight w:val="26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Michael Goettler</w:t>
            </w:r>
          </w:p>
        </w:tc>
        <w:tc>
          <w:tcPr>
            <w:tcW w:w="156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720" w:type="dxa"/>
            <w:vAlign w:val="bottom"/>
            <w:tcBorders>
              <w:bottom w:val="single" w:sz="8" w:color="E5E5E5"/>
            </w:tcBorders>
          </w:tcPr>
          <w:p>
            <w:pPr>
              <w:spacing w:after="0"/>
              <w:rPr>
                <w:sz w:val="5"/>
                <w:szCs w:val="5"/>
                <w:color w:val="auto"/>
              </w:rPr>
            </w:pPr>
          </w:p>
        </w:tc>
        <w:tc>
          <w:tcPr>
            <w:tcW w:w="1560" w:type="dxa"/>
            <w:vAlign w:val="bottom"/>
            <w:tcBorders>
              <w:bottom w:val="single" w:sz="8" w:color="E5E5E5"/>
            </w:tcBorders>
          </w:tcPr>
          <w:p>
            <w:pPr>
              <w:spacing w:after="0"/>
              <w:rPr>
                <w:sz w:val="5"/>
                <w:szCs w:val="5"/>
                <w:color w:val="auto"/>
              </w:rPr>
            </w:pPr>
          </w:p>
        </w:tc>
        <w:tc>
          <w:tcPr>
            <w:tcW w:w="1620" w:type="dxa"/>
            <w:vAlign w:val="bottom"/>
            <w:tcBorders>
              <w:bottom w:val="single" w:sz="8" w:color="E5E5E5"/>
            </w:tcBorders>
          </w:tcPr>
          <w:p>
            <w:pPr>
              <w:spacing w:after="0"/>
              <w:rPr>
                <w:sz w:val="5"/>
                <w:szCs w:val="5"/>
                <w:color w:val="auto"/>
              </w:rPr>
            </w:pPr>
          </w:p>
        </w:tc>
        <w:tc>
          <w:tcPr>
            <w:tcW w:w="880" w:type="dxa"/>
            <w:vAlign w:val="bottom"/>
            <w:tcBorders>
              <w:bottom w:val="single" w:sz="8" w:color="E5E5E5"/>
            </w:tcBorders>
          </w:tcPr>
          <w:p>
            <w:pPr>
              <w:spacing w:after="0"/>
              <w:rPr>
                <w:sz w:val="5"/>
                <w:szCs w:val="5"/>
                <w:color w:val="auto"/>
              </w:rPr>
            </w:pPr>
          </w:p>
        </w:tc>
        <w:tc>
          <w:tcPr>
            <w:tcW w:w="1160" w:type="dxa"/>
            <w:vAlign w:val="bottom"/>
            <w:tcBorders>
              <w:bottom w:val="single" w:sz="8" w:color="E5E5E5"/>
            </w:tcBorders>
          </w:tcPr>
          <w:p>
            <w:pPr>
              <w:spacing w:after="0"/>
              <w:rPr>
                <w:sz w:val="5"/>
                <w:szCs w:val="5"/>
                <w:color w:val="auto"/>
              </w:rPr>
            </w:pPr>
          </w:p>
        </w:tc>
        <w:tc>
          <w:tcPr>
            <w:tcW w:w="1000" w:type="dxa"/>
            <w:vAlign w:val="bottom"/>
            <w:tcBorders>
              <w:bottom w:val="single" w:sz="8" w:color="E5E5E5"/>
            </w:tcBorders>
          </w:tcPr>
          <w:p>
            <w:pPr>
              <w:spacing w:after="0"/>
              <w:rPr>
                <w:sz w:val="5"/>
                <w:szCs w:val="5"/>
                <w:color w:val="auto"/>
              </w:rPr>
            </w:pPr>
          </w:p>
        </w:tc>
        <w:tc>
          <w:tcPr>
            <w:tcW w:w="940" w:type="dxa"/>
            <w:vAlign w:val="bottom"/>
            <w:tcBorders>
              <w:bottom w:val="single" w:sz="8" w:color="E5E5E5"/>
            </w:tcBorders>
          </w:tcPr>
          <w:p>
            <w:pPr>
              <w:spacing w:after="0"/>
              <w:rPr>
                <w:sz w:val="5"/>
                <w:szCs w:val="5"/>
                <w:color w:val="auto"/>
              </w:rPr>
            </w:pPr>
          </w:p>
        </w:tc>
        <w:tc>
          <w:tcPr>
            <w:tcW w:w="1080" w:type="dxa"/>
            <w:vAlign w:val="bottom"/>
            <w:tcBorders>
              <w:bottom w:val="single" w:sz="8" w:color="E5E5E5"/>
            </w:tcBorders>
          </w:tcPr>
          <w:p>
            <w:pPr>
              <w:spacing w:after="0"/>
              <w:rPr>
                <w:sz w:val="5"/>
                <w:szCs w:val="5"/>
                <w:color w:val="auto"/>
              </w:rPr>
            </w:pPr>
          </w:p>
        </w:tc>
        <w:tc>
          <w:tcPr>
            <w:tcW w:w="1060" w:type="dxa"/>
            <w:vAlign w:val="bottom"/>
            <w:tcBorders>
              <w:bottom w:val="single" w:sz="8" w:color="E5E5E5"/>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7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58,952</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55.84</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1720" w:type="dxa"/>
            <w:vAlign w:val="bottom"/>
            <w:shd w:val="clear" w:color="auto" w:fill="E5E5E5"/>
          </w:tcPr>
          <w:p>
            <w:pPr>
              <w:spacing w:after="0"/>
              <w:rPr>
                <w:sz w:val="24"/>
                <w:szCs w:val="24"/>
                <w:color w:val="auto"/>
              </w:rPr>
            </w:pPr>
          </w:p>
        </w:tc>
        <w:tc>
          <w:tcPr>
            <w:tcW w:w="1560" w:type="dxa"/>
            <w:vAlign w:val="bottom"/>
            <w:shd w:val="clear" w:color="auto" w:fill="E5E5E5"/>
          </w:tcPr>
          <w:p>
            <w:pPr>
              <w:jc w:val="right"/>
              <w:ind w:right="360"/>
              <w:spacing w:after="0"/>
              <w:rPr>
                <w:sz w:val="20"/>
                <w:szCs w:val="20"/>
                <w:color w:val="auto"/>
              </w:rPr>
            </w:pPr>
            <w:r>
              <w:rPr>
                <w:rFonts w:ascii="Arial" w:cs="Arial" w:eastAsia="Arial" w:hAnsi="Arial"/>
                <w:sz w:val="16"/>
                <w:szCs w:val="16"/>
                <w:color w:val="auto"/>
              </w:rPr>
              <w:t>63,235</w:t>
            </w:r>
          </w:p>
        </w:tc>
        <w:tc>
          <w:tcPr>
            <w:tcW w:w="16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50.66</w:t>
            </w:r>
          </w:p>
        </w:tc>
        <w:tc>
          <w:tcPr>
            <w:tcW w:w="116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3"/>
        </w:trPr>
        <w:tc>
          <w:tcPr>
            <w:tcW w:w="1720" w:type="dxa"/>
            <w:vAlign w:val="bottom"/>
            <w:tcBorders>
              <w:bottom w:val="single" w:sz="8" w:color="E5E5E5"/>
            </w:tcBorders>
            <w:shd w:val="clear" w:color="auto" w:fill="E5E5E5"/>
          </w:tcPr>
          <w:p>
            <w:pPr>
              <w:spacing w:after="0"/>
              <w:rPr>
                <w:sz w:val="24"/>
                <w:szCs w:val="24"/>
                <w:color w:val="auto"/>
              </w:rPr>
            </w:pPr>
          </w:p>
        </w:tc>
        <w:tc>
          <w:tcPr>
            <w:tcW w:w="1560" w:type="dxa"/>
            <w:vAlign w:val="bottom"/>
            <w:tcBorders>
              <w:bottom w:val="single" w:sz="8" w:color="E5E5E5"/>
            </w:tcBorders>
            <w:shd w:val="clear" w:color="auto" w:fill="E5E5E5"/>
          </w:tcPr>
          <w:p>
            <w:pPr>
              <w:jc w:val="right"/>
              <w:ind w:right="360"/>
              <w:spacing w:after="0"/>
              <w:rPr>
                <w:sz w:val="20"/>
                <w:szCs w:val="20"/>
                <w:color w:val="auto"/>
              </w:rPr>
            </w:pPr>
            <w:r>
              <w:rPr>
                <w:rFonts w:ascii="Arial" w:cs="Arial" w:eastAsia="Arial" w:hAnsi="Arial"/>
                <w:sz w:val="16"/>
                <w:szCs w:val="16"/>
                <w:color w:val="auto"/>
              </w:rPr>
              <w:t>82,776</w:t>
            </w:r>
          </w:p>
        </w:tc>
        <w:tc>
          <w:tcPr>
            <w:tcW w:w="1620" w:type="dxa"/>
            <w:vAlign w:val="bottom"/>
            <w:tcBorders>
              <w:bottom w:val="single" w:sz="8" w:color="E5E5E5"/>
            </w:tcBorders>
            <w:shd w:val="clear" w:color="auto" w:fill="E5E5E5"/>
          </w:tcPr>
          <w:p>
            <w:pPr>
              <w:jc w:val="center"/>
              <w:ind w:right="20"/>
              <w:spacing w:after="0"/>
              <w:rPr>
                <w:sz w:val="20"/>
                <w:szCs w:val="20"/>
                <w:color w:val="auto"/>
              </w:rPr>
            </w:pPr>
            <w:r>
              <w:rPr>
                <w:rFonts w:ascii="Arial" w:cs="Arial" w:eastAsia="Arial" w:hAnsi="Arial"/>
                <w:sz w:val="16"/>
                <w:szCs w:val="16"/>
                <w:color w:val="auto"/>
                <w:w w:val="99"/>
              </w:rPr>
              <w:t>—</w:t>
            </w:r>
          </w:p>
        </w:tc>
        <w:tc>
          <w:tcPr>
            <w:tcW w:w="88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46.27</w:t>
            </w:r>
          </w:p>
        </w:tc>
        <w:tc>
          <w:tcPr>
            <w:tcW w:w="1160" w:type="dxa"/>
            <w:vAlign w:val="bottom"/>
            <w:tcBorders>
              <w:bottom w:val="single" w:sz="8" w:color="E5E5E5"/>
            </w:tcBorders>
            <w:shd w:val="clear" w:color="auto" w:fill="E5E5E5"/>
          </w:tcPr>
          <w:p>
            <w:pPr>
              <w:jc w:val="right"/>
              <w:ind w:right="40"/>
              <w:spacing w:after="0"/>
              <w:rPr>
                <w:sz w:val="20"/>
                <w:szCs w:val="20"/>
                <w:color w:val="auto"/>
              </w:rPr>
            </w:pPr>
            <w:r>
              <w:rPr>
                <w:rFonts w:ascii="Arial" w:cs="Arial" w:eastAsia="Arial" w:hAnsi="Arial"/>
                <w:sz w:val="16"/>
                <w:szCs w:val="16"/>
                <w:color w:val="auto"/>
              </w:rPr>
              <w:t>2/17/2026</w:t>
            </w:r>
          </w:p>
        </w:tc>
        <w:tc>
          <w:tcPr>
            <w:tcW w:w="1000" w:type="dxa"/>
            <w:vAlign w:val="bottom"/>
            <w:tcBorders>
              <w:bottom w:val="single" w:sz="8" w:color="E5E5E5"/>
            </w:tcBorders>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5E5E5"/>
            </w:tcBorders>
            <w:shd w:val="clear" w:color="auto" w:fill="E5E5E5"/>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72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1620" w:type="dxa"/>
            <w:vAlign w:val="bottom"/>
            <w:shd w:val="clear" w:color="auto" w:fill="732282"/>
          </w:tcPr>
          <w:p>
            <w:pPr>
              <w:spacing w:after="0" w:line="20" w:lineRule="exact"/>
              <w:rPr>
                <w:sz w:val="1"/>
                <w:szCs w:val="1"/>
                <w:color w:val="auto"/>
              </w:rPr>
            </w:pPr>
          </w:p>
        </w:tc>
        <w:tc>
          <w:tcPr>
            <w:tcW w:w="880" w:type="dxa"/>
            <w:vAlign w:val="bottom"/>
            <w:shd w:val="clear" w:color="auto" w:fill="732282"/>
          </w:tcPr>
          <w:p>
            <w:pPr>
              <w:spacing w:after="0" w:line="20" w:lineRule="exact"/>
              <w:rPr>
                <w:sz w:val="1"/>
                <w:szCs w:val="1"/>
                <w:color w:val="auto"/>
              </w:rPr>
            </w:pPr>
          </w:p>
        </w:tc>
        <w:tc>
          <w:tcPr>
            <w:tcW w:w="116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94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106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540" w:right="60" w:hanging="424"/>
        <w:spacing w:after="0" w:line="249"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Subject to applicable employment agreement provisions, following termination of employment, vested stock options will generally remain exercisable for 30 days following termination, except that (i) in the case of termination because of disability, 100% of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vested will remain exercisable for the remainder of the original term; and (iv) in the case of an involuntary termination without cause or a voluntary resignation for good reason that occurs within two years following a change in control, 100% of options remain exercisable for the remainder of the original term.</w:t>
      </w:r>
    </w:p>
    <w:p>
      <w:pPr>
        <w:spacing w:after="0" w:line="2" w:lineRule="exact"/>
        <w:rPr>
          <w:rFonts w:ascii="Arial" w:cs="Arial" w:eastAsia="Arial" w:hAnsi="Arial"/>
          <w:sz w:val="16"/>
          <w:szCs w:val="16"/>
          <w:color w:val="3F3F3F"/>
        </w:rPr>
      </w:pPr>
    </w:p>
    <w:p>
      <w:pPr>
        <w:ind w:left="540" w:hanging="424"/>
        <w:spacing w:after="0"/>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The market value of RSUs and PRSUs was calculated using the closing price of the Company’s shares as of December 31, 2023, $10.83.</w:t>
      </w:r>
    </w:p>
    <w:p>
      <w:pPr>
        <w:spacing w:after="0" w:line="5" w:lineRule="exact"/>
        <w:rPr>
          <w:rFonts w:ascii="Arial" w:cs="Arial" w:eastAsia="Arial" w:hAnsi="Arial"/>
          <w:sz w:val="16"/>
          <w:szCs w:val="16"/>
          <w:color w:val="3F3F3F"/>
        </w:rPr>
      </w:pPr>
    </w:p>
    <w:p>
      <w:pPr>
        <w:ind w:left="540" w:right="100" w:hanging="424"/>
        <w:spacing w:after="0" w:line="246"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Of the 422,177 RSUs held by Mr. Smith, 140,727 vested on March 3, 2024 and 140,725 will vest each on March 3, 2025 and March 3, 2026; of the 122,082 RSUs held by Mr. Narula, 40,695 vested on March 3, 2024 and the remaining unvested RSUs were forfeited in connection with</w:t>
      </w:r>
    </w:p>
    <w:p>
      <w:pPr>
        <w:ind w:left="540" w:right="20"/>
        <w:spacing w:after="0" w:line="246" w:lineRule="auto"/>
        <w:rPr>
          <w:rFonts w:ascii="Arial" w:cs="Arial" w:eastAsia="Arial" w:hAnsi="Arial"/>
          <w:sz w:val="16"/>
          <w:szCs w:val="16"/>
          <w:color w:val="3F3F3F"/>
        </w:rPr>
      </w:pPr>
      <w:r>
        <w:rPr>
          <w:rFonts w:ascii="Arial" w:cs="Arial" w:eastAsia="Arial" w:hAnsi="Arial"/>
          <w:sz w:val="16"/>
          <w:szCs w:val="16"/>
          <w:color w:val="3F3F3F"/>
        </w:rPr>
        <w:t>Mr. Narula’s separation from Viatris on March 5, 2024; of the 257,362 RSUs held by Mr. Malik, 85,788 vested on March 3, 2024 and 85,787 will vest each on March 3, 2025 and March 3, 2026; of the 113,504 RSUs held by Mr. Mauro, 37,835 vested on March 3, 2024 and the remaining unvested RSUs were forfeited in connection with Mr. Mauro’s separation from Viatris on April 1, 2024; of the 52,793 RSUs held by Mr. Roman, 17,598 vested on March 3, 2024 and 17,597 will vest on March 3, 2025 and 17,598 will vest on March 3, 2026.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color w:val="3F3F3F"/>
        </w:rPr>
      </w:pPr>
    </w:p>
    <w:p>
      <w:pPr>
        <w:ind w:left="540" w:hanging="424"/>
        <w:spacing w:after="0"/>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The RSUs fully vested on March 2, 2024.</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Of the 84,542 RSUs held by Mr. Narula, 42,271 vested on March 4, 2024 and the remaining unvested RSUs were forfeited in connection with</w:t>
      </w:r>
    </w:p>
    <w:p>
      <w:pPr>
        <w:spacing w:after="0" w:line="5" w:lineRule="exact"/>
        <w:rPr>
          <w:rFonts w:ascii="Arial" w:cs="Arial" w:eastAsia="Arial" w:hAnsi="Arial"/>
          <w:sz w:val="16"/>
          <w:szCs w:val="16"/>
          <w:color w:val="3F3F3F"/>
        </w:rPr>
      </w:pPr>
    </w:p>
    <w:p>
      <w:pPr>
        <w:ind w:left="540" w:right="20"/>
        <w:spacing w:after="0" w:line="246" w:lineRule="auto"/>
        <w:rPr>
          <w:rFonts w:ascii="Arial" w:cs="Arial" w:eastAsia="Arial" w:hAnsi="Arial"/>
          <w:sz w:val="16"/>
          <w:szCs w:val="16"/>
          <w:color w:val="3F3F3F"/>
        </w:rPr>
      </w:pPr>
      <w:r>
        <w:rPr>
          <w:rFonts w:ascii="Arial" w:cs="Arial" w:eastAsia="Arial" w:hAnsi="Arial"/>
          <w:sz w:val="16"/>
          <w:szCs w:val="16"/>
          <w:color w:val="3F3F3F"/>
        </w:rPr>
        <w:t>Mr. Narula’s separation from Viatris on March 5, 2024; of the 179,028 RSUs held by Mr. Malik, 89,514 vested on March 4, 2024 and 89,514 will vest on March 4, 2025; of the 79,569 RSUs held by Mr. Mauro, 39,784 vested on March 4, 2024 and the remaining unvested RSUs were forfeited in connection with Mr. Mauro’s separation from Viatris on April 1, 2024; of the 37,299 RSUs held by Mr. Roman, 18,650 vested on March 4, 2024 and 18,649 will vest on March 4, 2025.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color w:val="3F3F3F"/>
        </w:rPr>
      </w:pPr>
    </w:p>
    <w:p>
      <w:pPr>
        <w:ind w:left="540" w:right="140" w:hanging="424"/>
        <w:spacing w:after="0" w:line="246"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The PRSUs will vest on March 3, 2026, subject to attainment of performance goals. Amounts include all accrued and unvested whole share DEUs that vest only to the extent and at the same time the underlying award on which they are issued vest.</w:t>
      </w:r>
    </w:p>
    <w:p>
      <w:pPr>
        <w:ind w:left="540" w:right="380" w:hanging="424"/>
        <w:spacing w:after="0" w:line="246"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The PRSUs fully vested on March 2, 2024, subject to attainment of performance goals. Amounts include all accrued and unvested whole share DEUs that vest only to the extent and at the same time the underlying award on which they are issued vest.</w:t>
      </w:r>
    </w:p>
    <w:p>
      <w:pPr>
        <w:ind w:left="540" w:right="140" w:hanging="424"/>
        <w:spacing w:after="0" w:line="246"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The PRSUs will vest on March 4, 2025, subject to attainment of performance goals. Amounts include all accrued and unvested whole share DEUs that vest only to the extent and at the same time the underlying award on which they are issued vest.</w:t>
      </w:r>
    </w:p>
    <w:p>
      <w:pPr>
        <w:ind w:left="540" w:right="100" w:hanging="424"/>
        <w:spacing w:after="0" w:line="246"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Of the 235,508 PRSUs held by Mr. Narula, only 170,830 will continue to vest on March 4, 2025 in connection with his separation from Viatris on March 5, 2024 and the remaining portion were forfeited. Of the 221,654 PRSUs held by Mr. Mauro, all unvested PRSU were forfeited in connection with his separation from Viatris on April 1, 2024.</w:t>
      </w:r>
    </w:p>
    <w:p>
      <w:pPr>
        <w:spacing w:after="0" w:line="1" w:lineRule="exact"/>
        <w:rPr>
          <w:rFonts w:ascii="Arial" w:cs="Arial" w:eastAsia="Arial" w:hAnsi="Arial"/>
          <w:sz w:val="16"/>
          <w:szCs w:val="16"/>
          <w:color w:val="3F3F3F"/>
        </w:rPr>
      </w:pPr>
    </w:p>
    <w:p>
      <w:pPr>
        <w:ind w:left="540" w:right="300" w:hanging="424"/>
        <w:spacing w:after="0" w:line="256" w:lineRule="auto"/>
        <w:tabs>
          <w:tab w:leader="none" w:pos="540"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Of the 226,723 PRSUs held by Mr. Narula, only 88,171 will continue to vest on March 3, 2026 in connection with his separation from Viatris on March 5, 2024 and the remaining portion were forfeited. Of the 210,791 PRSUs held by Mr. Mauro, only 87,830 will continue to vest on March 3, 2026 in connection with his separation from Viatris on April 1, 2024 and the remaining portion were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Option Exercises and Stock Vested for 2023</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option awards and stock awards reflected in the table below were exercised or became vested for the NEOs during 2023.</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940" w:type="dxa"/>
            <w:vAlign w:val="bottom"/>
            <w:shd w:val="clear" w:color="auto" w:fill="732282"/>
          </w:tcPr>
          <w:p>
            <w:pPr>
              <w:spacing w:after="0"/>
              <w:rPr>
                <w:sz w:val="17"/>
                <w:szCs w:val="17"/>
                <w:color w:val="auto"/>
              </w:rPr>
            </w:pPr>
          </w:p>
        </w:tc>
        <w:tc>
          <w:tcPr>
            <w:tcW w:w="3240" w:type="dxa"/>
            <w:vAlign w:val="bottom"/>
            <w:gridSpan w:val="2"/>
            <w:shd w:val="clear" w:color="auto" w:fill="732282"/>
          </w:tcPr>
          <w:p>
            <w:pPr>
              <w:ind w:left="1180"/>
              <w:spacing w:after="0"/>
              <w:rPr>
                <w:sz w:val="20"/>
                <w:szCs w:val="20"/>
                <w:color w:val="auto"/>
              </w:rPr>
            </w:pPr>
            <w:r>
              <w:rPr>
                <w:rFonts w:ascii="Arial" w:cs="Arial" w:eastAsia="Arial" w:hAnsi="Arial"/>
                <w:sz w:val="16"/>
                <w:szCs w:val="16"/>
                <w:b w:val="1"/>
                <w:bCs w:val="1"/>
                <w:color w:val="FFFFFF"/>
              </w:rPr>
              <w:t>Option Awards</w:t>
            </w:r>
          </w:p>
        </w:tc>
        <w:tc>
          <w:tcPr>
            <w:tcW w:w="2840" w:type="dxa"/>
            <w:vAlign w:val="bottom"/>
            <w:gridSpan w:val="2"/>
            <w:shd w:val="clear" w:color="auto" w:fill="732282"/>
          </w:tcPr>
          <w:p>
            <w:pPr>
              <w:jc w:val="right"/>
              <w:ind w:right="679"/>
              <w:spacing w:after="0"/>
              <w:rPr>
                <w:sz w:val="20"/>
                <w:szCs w:val="20"/>
                <w:color w:val="auto"/>
              </w:rPr>
            </w:pPr>
            <w:r>
              <w:rPr>
                <w:rFonts w:ascii="Arial" w:cs="Arial" w:eastAsia="Arial" w:hAnsi="Arial"/>
                <w:sz w:val="16"/>
                <w:szCs w:val="16"/>
                <w:b w:val="1"/>
                <w:bCs w:val="1"/>
                <w:color w:val="FFFFFF"/>
              </w:rPr>
              <w:t>Stock Awards</w:t>
            </w:r>
          </w:p>
        </w:tc>
      </w:tr>
      <w:tr>
        <w:trPr>
          <w:trHeight w:val="189"/>
        </w:trPr>
        <w:tc>
          <w:tcPr>
            <w:tcW w:w="4940" w:type="dxa"/>
            <w:vAlign w:val="bottom"/>
            <w:shd w:val="clear" w:color="auto" w:fill="732282"/>
          </w:tcPr>
          <w:p>
            <w:pPr>
              <w:spacing w:after="0"/>
              <w:rPr>
                <w:sz w:val="16"/>
                <w:szCs w:val="16"/>
                <w:color w:val="auto"/>
              </w:rPr>
            </w:pPr>
          </w:p>
        </w:tc>
        <w:tc>
          <w:tcPr>
            <w:tcW w:w="172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Number of</w:t>
            </w:r>
          </w:p>
        </w:tc>
        <w:tc>
          <w:tcPr>
            <w:tcW w:w="1520" w:type="dxa"/>
            <w:vAlign w:val="bottom"/>
            <w:shd w:val="clear" w:color="auto" w:fill="732282"/>
          </w:tcPr>
          <w:p>
            <w:pPr>
              <w:spacing w:after="0"/>
              <w:rPr>
                <w:sz w:val="16"/>
                <w:szCs w:val="16"/>
                <w:color w:val="auto"/>
              </w:rPr>
            </w:pP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Number</w:t>
            </w:r>
          </w:p>
        </w:tc>
        <w:tc>
          <w:tcPr>
            <w:tcW w:w="1320" w:type="dxa"/>
            <w:vAlign w:val="bottom"/>
            <w:shd w:val="clear" w:color="auto" w:fill="732282"/>
          </w:tcPr>
          <w:p>
            <w:pPr>
              <w:spacing w:after="0"/>
              <w:rPr>
                <w:sz w:val="16"/>
                <w:szCs w:val="16"/>
                <w:color w:val="auto"/>
              </w:rPr>
            </w:pPr>
          </w:p>
        </w:tc>
      </w:tr>
      <w:tr>
        <w:trPr>
          <w:trHeight w:val="189"/>
        </w:trPr>
        <w:tc>
          <w:tcPr>
            <w:tcW w:w="4940" w:type="dxa"/>
            <w:vAlign w:val="bottom"/>
            <w:shd w:val="clear" w:color="auto" w:fill="732282"/>
          </w:tcPr>
          <w:p>
            <w:pPr>
              <w:spacing w:after="0"/>
              <w:rPr>
                <w:sz w:val="16"/>
                <w:szCs w:val="16"/>
                <w:color w:val="auto"/>
              </w:rPr>
            </w:pPr>
          </w:p>
        </w:tc>
        <w:tc>
          <w:tcPr>
            <w:tcW w:w="172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Shares</w:t>
            </w:r>
          </w:p>
        </w:tc>
        <w:tc>
          <w:tcPr>
            <w:tcW w:w="1520" w:type="dxa"/>
            <w:vAlign w:val="bottom"/>
            <w:shd w:val="clear" w:color="auto" w:fill="732282"/>
          </w:tcPr>
          <w:p>
            <w:pPr>
              <w:ind w:left="540"/>
              <w:spacing w:after="0"/>
              <w:rPr>
                <w:sz w:val="20"/>
                <w:szCs w:val="20"/>
                <w:color w:val="auto"/>
              </w:rPr>
            </w:pPr>
            <w:r>
              <w:rPr>
                <w:rFonts w:ascii="Arial" w:cs="Arial" w:eastAsia="Arial" w:hAnsi="Arial"/>
                <w:sz w:val="16"/>
                <w:szCs w:val="16"/>
                <w:b w:val="1"/>
                <w:bCs w:val="1"/>
                <w:color w:val="FFFFFF"/>
              </w:rPr>
              <w:t>Value</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Shares</w:t>
            </w:r>
          </w:p>
        </w:tc>
        <w:tc>
          <w:tcPr>
            <w:tcW w:w="132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Value</w:t>
            </w:r>
          </w:p>
        </w:tc>
      </w:tr>
      <w:tr>
        <w:trPr>
          <w:trHeight w:val="189"/>
        </w:trPr>
        <w:tc>
          <w:tcPr>
            <w:tcW w:w="4940" w:type="dxa"/>
            <w:vAlign w:val="bottom"/>
            <w:shd w:val="clear" w:color="auto" w:fill="732282"/>
          </w:tcPr>
          <w:p>
            <w:pPr>
              <w:spacing w:after="0"/>
              <w:rPr>
                <w:sz w:val="16"/>
                <w:szCs w:val="16"/>
                <w:color w:val="auto"/>
              </w:rPr>
            </w:pPr>
          </w:p>
        </w:tc>
        <w:tc>
          <w:tcPr>
            <w:tcW w:w="172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Acquired on</w:t>
            </w:r>
          </w:p>
        </w:tc>
        <w:tc>
          <w:tcPr>
            <w:tcW w:w="1520" w:type="dxa"/>
            <w:vAlign w:val="bottom"/>
            <w:shd w:val="clear" w:color="auto" w:fill="732282"/>
          </w:tcPr>
          <w:p>
            <w:pPr>
              <w:ind w:left="300"/>
              <w:spacing w:after="0"/>
              <w:rPr>
                <w:sz w:val="20"/>
                <w:szCs w:val="20"/>
                <w:color w:val="auto"/>
              </w:rPr>
            </w:pPr>
            <w:r>
              <w:rPr>
                <w:rFonts w:ascii="Arial" w:cs="Arial" w:eastAsia="Arial" w:hAnsi="Arial"/>
                <w:sz w:val="16"/>
                <w:szCs w:val="16"/>
                <w:b w:val="1"/>
                <w:bCs w:val="1"/>
                <w:color w:val="FFFFFF"/>
              </w:rPr>
              <w:t>Realized on</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Acquired on</w:t>
            </w:r>
          </w:p>
        </w:tc>
        <w:tc>
          <w:tcPr>
            <w:tcW w:w="132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  Realized on</w:t>
            </w:r>
          </w:p>
        </w:tc>
      </w:tr>
      <w:tr>
        <w:trPr>
          <w:trHeight w:val="230"/>
        </w:trPr>
        <w:tc>
          <w:tcPr>
            <w:tcW w:w="49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72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Exercise (#)</w:t>
            </w:r>
          </w:p>
        </w:tc>
        <w:tc>
          <w:tcPr>
            <w:tcW w:w="1520" w:type="dxa"/>
            <w:vAlign w:val="bottom"/>
            <w:shd w:val="clear" w:color="auto" w:fill="732282"/>
          </w:tcPr>
          <w:p>
            <w:pPr>
              <w:ind w:left="300"/>
              <w:spacing w:after="0"/>
              <w:rPr>
                <w:sz w:val="20"/>
                <w:szCs w:val="20"/>
                <w:color w:val="auto"/>
              </w:rPr>
            </w:pPr>
            <w:r>
              <w:rPr>
                <w:rFonts w:ascii="Arial" w:cs="Arial" w:eastAsia="Arial" w:hAnsi="Arial"/>
                <w:sz w:val="16"/>
                <w:szCs w:val="16"/>
                <w:b w:val="1"/>
                <w:bCs w:val="1"/>
                <w:color w:val="FFFFFF"/>
              </w:rPr>
              <w:t>Exercise ($)</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 (#)</w:t>
            </w:r>
          </w:p>
        </w:tc>
        <w:tc>
          <w:tcPr>
            <w:tcW w:w="1320" w:type="dxa"/>
            <w:vAlign w:val="bottom"/>
            <w:shd w:val="clear" w:color="auto" w:fill="732282"/>
          </w:tcPr>
          <w:p>
            <w:pPr>
              <w:jc w:val="right"/>
              <w:ind w:right="59"/>
              <w:spacing w:after="0"/>
              <w:rPr>
                <w:sz w:val="20"/>
                <w:szCs w:val="20"/>
                <w:color w:val="auto"/>
              </w:rPr>
            </w:pPr>
            <w:r>
              <w:rPr>
                <w:rFonts w:ascii="Arial" w:cs="Arial" w:eastAsia="Arial" w:hAnsi="Arial"/>
                <w:sz w:val="16"/>
                <w:szCs w:val="16"/>
                <w:b w:val="1"/>
                <w:bCs w:val="1"/>
                <w:color w:val="FFFFFF"/>
              </w:rPr>
              <w:t>Vesting ($)</w:t>
            </w:r>
          </w:p>
        </w:tc>
      </w:tr>
      <w:tr>
        <w:trPr>
          <w:trHeight w:val="250"/>
        </w:trPr>
        <w:tc>
          <w:tcPr>
            <w:tcW w:w="49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p>
        </w:tc>
        <w:tc>
          <w:tcPr>
            <w:tcW w:w="1720" w:type="dxa"/>
            <w:vAlign w:val="bottom"/>
            <w:tcBorders>
              <w:bottom w:val="single" w:sz="8" w:color="E5E5E5"/>
            </w:tcBorders>
            <w:shd w:val="clear" w:color="auto" w:fill="E5E5E5"/>
          </w:tcPr>
          <w:p>
            <w:pPr>
              <w:ind w:left="9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 </w:t>
            </w:r>
          </w:p>
        </w:tc>
      </w:tr>
      <w:tr>
        <w:trPr>
          <w:trHeight w:val="249"/>
        </w:trPr>
        <w:tc>
          <w:tcPr>
            <w:tcW w:w="494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720" w:type="dxa"/>
            <w:vAlign w:val="bottom"/>
          </w:tcPr>
          <w:p>
            <w:pPr>
              <w:ind w:left="920"/>
              <w:spacing w:after="0"/>
              <w:rPr>
                <w:sz w:val="20"/>
                <w:szCs w:val="20"/>
                <w:color w:val="auto"/>
              </w:rPr>
            </w:pPr>
            <w:r>
              <w:rPr>
                <w:rFonts w:ascii="Arial" w:cs="Arial" w:eastAsia="Arial" w:hAnsi="Arial"/>
                <w:sz w:val="16"/>
                <w:szCs w:val="16"/>
                <w:color w:val="auto"/>
              </w:rPr>
              <w:t>—</w:t>
            </w:r>
          </w:p>
        </w:tc>
        <w:tc>
          <w:tcPr>
            <w:tcW w:w="1520" w:type="dxa"/>
            <w:vAlign w:val="bottom"/>
          </w:tcPr>
          <w:p>
            <w:pPr>
              <w:ind w:left="7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91,275</w:t>
            </w:r>
          </w:p>
        </w:tc>
        <w:tc>
          <w:tcPr>
            <w:tcW w:w="1320" w:type="dxa"/>
            <w:vAlign w:val="bottom"/>
          </w:tcPr>
          <w:p>
            <w:pPr>
              <w:jc w:val="right"/>
              <w:spacing w:after="0"/>
              <w:rPr>
                <w:sz w:val="20"/>
                <w:szCs w:val="20"/>
                <w:color w:val="auto"/>
              </w:rPr>
            </w:pPr>
            <w:r>
              <w:rPr>
                <w:rFonts w:ascii="Arial" w:cs="Arial" w:eastAsia="Arial" w:hAnsi="Arial"/>
                <w:sz w:val="16"/>
                <w:szCs w:val="16"/>
                <w:color w:val="auto"/>
              </w:rPr>
              <w:t>1,017,486</w:t>
            </w:r>
          </w:p>
        </w:tc>
      </w:tr>
      <w:tr>
        <w:trPr>
          <w:trHeight w:val="21"/>
        </w:trPr>
        <w:tc>
          <w:tcPr>
            <w:tcW w:w="4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9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720" w:type="dxa"/>
            <w:vAlign w:val="bottom"/>
            <w:tcBorders>
              <w:bottom w:val="single" w:sz="8" w:color="E5E5E5"/>
            </w:tcBorders>
            <w:shd w:val="clear" w:color="auto" w:fill="E5E5E5"/>
          </w:tcPr>
          <w:p>
            <w:pPr>
              <w:ind w:left="9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407,808</w:t>
            </w: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4,538,903</w:t>
            </w:r>
          </w:p>
        </w:tc>
      </w:tr>
      <w:tr>
        <w:trPr>
          <w:trHeight w:val="249"/>
        </w:trPr>
        <w:tc>
          <w:tcPr>
            <w:tcW w:w="494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720" w:type="dxa"/>
            <w:vAlign w:val="bottom"/>
          </w:tcPr>
          <w:p>
            <w:pPr>
              <w:ind w:left="920"/>
              <w:spacing w:after="0"/>
              <w:rPr>
                <w:sz w:val="20"/>
                <w:szCs w:val="20"/>
                <w:color w:val="auto"/>
              </w:rPr>
            </w:pPr>
            <w:r>
              <w:rPr>
                <w:rFonts w:ascii="Arial" w:cs="Arial" w:eastAsia="Arial" w:hAnsi="Arial"/>
                <w:sz w:val="16"/>
                <w:szCs w:val="16"/>
                <w:color w:val="auto"/>
              </w:rPr>
              <w:t>—</w:t>
            </w:r>
          </w:p>
        </w:tc>
        <w:tc>
          <w:tcPr>
            <w:tcW w:w="1520" w:type="dxa"/>
            <w:vAlign w:val="bottom"/>
          </w:tcPr>
          <w:p>
            <w:pPr>
              <w:ind w:left="7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186,080</w:t>
            </w:r>
          </w:p>
        </w:tc>
        <w:tc>
          <w:tcPr>
            <w:tcW w:w="1320" w:type="dxa"/>
            <w:vAlign w:val="bottom"/>
          </w:tcPr>
          <w:p>
            <w:pPr>
              <w:jc w:val="right"/>
              <w:spacing w:after="0"/>
              <w:rPr>
                <w:sz w:val="20"/>
                <w:szCs w:val="20"/>
                <w:color w:val="auto"/>
              </w:rPr>
            </w:pPr>
            <w:r>
              <w:rPr>
                <w:rFonts w:ascii="Arial" w:cs="Arial" w:eastAsia="Arial" w:hAnsi="Arial"/>
                <w:sz w:val="16"/>
                <w:szCs w:val="16"/>
                <w:color w:val="auto"/>
              </w:rPr>
              <w:t>2,071,070</w:t>
            </w:r>
          </w:p>
        </w:tc>
      </w:tr>
      <w:tr>
        <w:trPr>
          <w:trHeight w:val="21"/>
        </w:trPr>
        <w:tc>
          <w:tcPr>
            <w:tcW w:w="4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9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1720" w:type="dxa"/>
            <w:vAlign w:val="bottom"/>
            <w:tcBorders>
              <w:bottom w:val="single" w:sz="8" w:color="E5E5E5"/>
            </w:tcBorders>
            <w:shd w:val="clear" w:color="auto" w:fill="E5E5E5"/>
          </w:tcPr>
          <w:p>
            <w:pPr>
              <w:ind w:left="9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ind w:left="7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55,783</w:t>
            </w:r>
          </w:p>
        </w:tc>
        <w:tc>
          <w:tcPr>
            <w:tcW w:w="13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620,865</w:t>
            </w:r>
          </w:p>
        </w:tc>
      </w:tr>
      <w:tr>
        <w:trPr>
          <w:trHeight w:val="249"/>
        </w:trPr>
        <w:tc>
          <w:tcPr>
            <w:tcW w:w="4940" w:type="dxa"/>
            <w:vAlign w:val="bottom"/>
          </w:tcPr>
          <w:p>
            <w:pPr>
              <w:ind w:left="60"/>
              <w:spacing w:after="0"/>
              <w:rPr>
                <w:sz w:val="20"/>
                <w:szCs w:val="20"/>
                <w:color w:val="auto"/>
              </w:rPr>
            </w:pPr>
            <w:r>
              <w:rPr>
                <w:rFonts w:ascii="Arial" w:cs="Arial" w:eastAsia="Arial" w:hAnsi="Arial"/>
                <w:sz w:val="16"/>
                <w:szCs w:val="16"/>
                <w:b w:val="1"/>
                <w:bCs w:val="1"/>
                <w:color w:val="auto"/>
              </w:rPr>
              <w:t>Michael Goettler</w:t>
            </w:r>
          </w:p>
        </w:tc>
        <w:tc>
          <w:tcPr>
            <w:tcW w:w="1720" w:type="dxa"/>
            <w:vAlign w:val="bottom"/>
          </w:tcPr>
          <w:p>
            <w:pPr>
              <w:ind w:left="920"/>
              <w:spacing w:after="0"/>
              <w:rPr>
                <w:sz w:val="20"/>
                <w:szCs w:val="20"/>
                <w:color w:val="auto"/>
              </w:rPr>
            </w:pPr>
            <w:r>
              <w:rPr>
                <w:rFonts w:ascii="Arial" w:cs="Arial" w:eastAsia="Arial" w:hAnsi="Arial"/>
                <w:sz w:val="16"/>
                <w:szCs w:val="16"/>
                <w:color w:val="auto"/>
              </w:rPr>
              <w:t>—</w:t>
            </w:r>
          </w:p>
        </w:tc>
        <w:tc>
          <w:tcPr>
            <w:tcW w:w="1520" w:type="dxa"/>
            <w:vAlign w:val="bottom"/>
          </w:tcPr>
          <w:p>
            <w:pPr>
              <w:ind w:left="7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39"/>
              <w:spacing w:after="0"/>
              <w:rPr>
                <w:sz w:val="20"/>
                <w:szCs w:val="20"/>
                <w:color w:val="auto"/>
              </w:rPr>
            </w:pPr>
            <w:r>
              <w:rPr>
                <w:rFonts w:ascii="Arial" w:cs="Arial" w:eastAsia="Arial" w:hAnsi="Arial"/>
                <w:sz w:val="16"/>
                <w:szCs w:val="16"/>
                <w:color w:val="auto"/>
              </w:rPr>
              <w:t>328,178</w:t>
            </w:r>
          </w:p>
        </w:tc>
        <w:tc>
          <w:tcPr>
            <w:tcW w:w="1320" w:type="dxa"/>
            <w:vAlign w:val="bottom"/>
          </w:tcPr>
          <w:p>
            <w:pPr>
              <w:jc w:val="right"/>
              <w:spacing w:after="0"/>
              <w:rPr>
                <w:sz w:val="20"/>
                <w:szCs w:val="20"/>
                <w:color w:val="auto"/>
              </w:rPr>
            </w:pPr>
            <w:r>
              <w:rPr>
                <w:rFonts w:ascii="Arial" w:cs="Arial" w:eastAsia="Arial" w:hAnsi="Arial"/>
                <w:sz w:val="16"/>
                <w:szCs w:val="16"/>
                <w:color w:val="auto"/>
              </w:rPr>
              <w:t>3,661,632</w:t>
            </w:r>
          </w:p>
        </w:tc>
      </w:tr>
      <w:tr>
        <w:trPr>
          <w:trHeight w:val="21"/>
        </w:trPr>
        <w:tc>
          <w:tcPr>
            <w:tcW w:w="4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494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720" w:type="dxa"/>
            <w:vAlign w:val="bottom"/>
            <w:tcBorders>
              <w:bottom w:val="single" w:sz="8" w:color="732282"/>
            </w:tcBorders>
            <w:shd w:val="clear" w:color="auto" w:fill="E5E5E5"/>
          </w:tcPr>
          <w:p>
            <w:pPr>
              <w:ind w:left="9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732282"/>
            </w:tcBorders>
            <w:shd w:val="clear" w:color="auto" w:fill="E5E5E5"/>
          </w:tcPr>
          <w:p>
            <w:pPr>
              <w:ind w:left="7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732282"/>
            </w:tcBorders>
            <w:shd w:val="clear" w:color="auto" w:fill="E5E5E5"/>
          </w:tcPr>
          <w:p>
            <w:pPr>
              <w:jc w:val="right"/>
              <w:ind w:right="179"/>
              <w:spacing w:after="0" w:line="270" w:lineRule="exact"/>
              <w:rPr>
                <w:sz w:val="20"/>
                <w:szCs w:val="20"/>
                <w:color w:val="auto"/>
              </w:rPr>
            </w:pPr>
            <w:r>
              <w:rPr>
                <w:rFonts w:ascii="Arial" w:cs="Arial" w:eastAsia="Arial" w:hAnsi="Arial"/>
                <w:sz w:val="16"/>
                <w:szCs w:val="16"/>
                <w:color w:val="auto"/>
              </w:rPr>
              <w:t>4,580,904</w:t>
            </w:r>
            <w:r>
              <w:rPr>
                <w:rFonts w:ascii="Arial" w:cs="Arial" w:eastAsia="Arial" w:hAnsi="Arial"/>
                <w:sz w:val="24"/>
                <w:szCs w:val="24"/>
                <w:color w:val="auto"/>
                <w:vertAlign w:val="superscript"/>
              </w:rPr>
              <w:t>(1)</w:t>
            </w:r>
          </w:p>
        </w:tc>
        <w:tc>
          <w:tcPr>
            <w:tcW w:w="132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47,249,454</w:t>
            </w:r>
          </w:p>
        </w:tc>
      </w:tr>
    </w:tbl>
    <w:p>
      <w:pPr>
        <w:spacing w:after="0" w:line="107" w:lineRule="exact"/>
        <w:rPr>
          <w:sz w:val="20"/>
          <w:szCs w:val="20"/>
          <w:color w:val="auto"/>
        </w:rPr>
      </w:pPr>
    </w:p>
    <w:p>
      <w:pPr>
        <w:ind w:left="540" w:right="820" w:hanging="424"/>
        <w:spacing w:after="0" w:line="286" w:lineRule="auto"/>
        <w:tabs>
          <w:tab w:leader="none" w:pos="540" w:val="left"/>
        </w:tabs>
        <w:numPr>
          <w:ilvl w:val="0"/>
          <w:numId w:val="57"/>
        </w:numPr>
        <w:rPr>
          <w:rFonts w:ascii="Arial" w:cs="Arial" w:eastAsia="Arial" w:hAnsi="Arial"/>
          <w:sz w:val="16"/>
          <w:szCs w:val="16"/>
          <w:color w:val="3F3F3F"/>
        </w:rPr>
      </w:pPr>
      <w:r>
        <w:rPr>
          <w:rFonts w:ascii="Arial" w:cs="Arial" w:eastAsia="Arial" w:hAnsi="Arial"/>
          <w:sz w:val="16"/>
          <w:szCs w:val="16"/>
          <w:color w:val="3F3F3F"/>
        </w:rPr>
        <w:t>All shares reflected as vesting in this table were paid pursuant to their pre-existing contractual terms, including those paid to Mr. Coury in connection with his separation from employment for “good reason”.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Pension Benefits for 2023</w:t>
      </w:r>
    </w:p>
    <w:p>
      <w:pPr>
        <w:spacing w:after="0" w:line="14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3F3F3F"/>
        </w:rPr>
        <w:t>The following table summarizes Mr. Malik’s benefits as of December 31, 2023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320" w:type="dxa"/>
            <w:vAlign w:val="bottom"/>
            <w:shd w:val="clear" w:color="auto" w:fill="732282"/>
          </w:tcPr>
          <w:p>
            <w:pPr>
              <w:spacing w:after="0"/>
              <w:rPr>
                <w:sz w:val="16"/>
                <w:szCs w:val="16"/>
                <w:color w:val="auto"/>
              </w:rPr>
            </w:pPr>
          </w:p>
        </w:tc>
        <w:tc>
          <w:tcPr>
            <w:tcW w:w="3000" w:type="dxa"/>
            <w:vAlign w:val="bottom"/>
            <w:shd w:val="clear" w:color="auto" w:fill="732282"/>
          </w:tcPr>
          <w:p>
            <w:pPr>
              <w:spacing w:after="0"/>
              <w:rPr>
                <w:sz w:val="16"/>
                <w:szCs w:val="16"/>
                <w:color w:val="auto"/>
              </w:rPr>
            </w:pPr>
          </w:p>
        </w:tc>
        <w:tc>
          <w:tcPr>
            <w:tcW w:w="150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w w:val="99"/>
              </w:rPr>
              <w:t>Number of</w:t>
            </w:r>
          </w:p>
        </w:tc>
        <w:tc>
          <w:tcPr>
            <w:tcW w:w="18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Present</w:t>
            </w:r>
          </w:p>
        </w:tc>
        <w:tc>
          <w:tcPr>
            <w:tcW w:w="138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rPr>
              <w:t>Payments</w:t>
            </w:r>
          </w:p>
        </w:tc>
      </w:tr>
      <w:tr>
        <w:trPr>
          <w:trHeight w:val="189"/>
        </w:trPr>
        <w:tc>
          <w:tcPr>
            <w:tcW w:w="3320" w:type="dxa"/>
            <w:vAlign w:val="bottom"/>
            <w:shd w:val="clear" w:color="auto" w:fill="732282"/>
          </w:tcPr>
          <w:p>
            <w:pPr>
              <w:spacing w:after="0"/>
              <w:rPr>
                <w:sz w:val="16"/>
                <w:szCs w:val="16"/>
                <w:color w:val="auto"/>
              </w:rPr>
            </w:pPr>
          </w:p>
        </w:tc>
        <w:tc>
          <w:tcPr>
            <w:tcW w:w="3000" w:type="dxa"/>
            <w:vAlign w:val="bottom"/>
            <w:shd w:val="clear" w:color="auto" w:fill="732282"/>
          </w:tcPr>
          <w:p>
            <w:pPr>
              <w:spacing w:after="0"/>
              <w:rPr>
                <w:sz w:val="16"/>
                <w:szCs w:val="16"/>
                <w:color w:val="auto"/>
              </w:rPr>
            </w:pPr>
          </w:p>
        </w:tc>
        <w:tc>
          <w:tcPr>
            <w:tcW w:w="150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Years of</w:t>
            </w:r>
          </w:p>
        </w:tc>
        <w:tc>
          <w:tcPr>
            <w:tcW w:w="18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rPr>
              <w:t>During</w:t>
            </w:r>
          </w:p>
        </w:tc>
      </w:tr>
      <w:tr>
        <w:trPr>
          <w:trHeight w:val="203"/>
        </w:trPr>
        <w:tc>
          <w:tcPr>
            <w:tcW w:w="3320" w:type="dxa"/>
            <w:vAlign w:val="bottom"/>
            <w:shd w:val="clear" w:color="auto" w:fill="732282"/>
          </w:tcPr>
          <w:p>
            <w:pPr>
              <w:spacing w:after="0"/>
              <w:rPr>
                <w:sz w:val="17"/>
                <w:szCs w:val="17"/>
                <w:color w:val="auto"/>
              </w:rPr>
            </w:pPr>
          </w:p>
        </w:tc>
        <w:tc>
          <w:tcPr>
            <w:tcW w:w="3000" w:type="dxa"/>
            <w:vAlign w:val="bottom"/>
            <w:shd w:val="clear" w:color="auto" w:fill="732282"/>
          </w:tcPr>
          <w:p>
            <w:pPr>
              <w:spacing w:after="0"/>
              <w:rPr>
                <w:sz w:val="17"/>
                <w:szCs w:val="17"/>
                <w:color w:val="auto"/>
              </w:rPr>
            </w:pPr>
          </w:p>
        </w:tc>
        <w:tc>
          <w:tcPr>
            <w:tcW w:w="15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Credited</w:t>
            </w:r>
          </w:p>
        </w:tc>
        <w:tc>
          <w:tcPr>
            <w:tcW w:w="18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Accumulated</w:t>
            </w:r>
          </w:p>
        </w:tc>
        <w:tc>
          <w:tcPr>
            <w:tcW w:w="1380" w:type="dxa"/>
            <w:vAlign w:val="bottom"/>
            <w:shd w:val="clear" w:color="auto" w:fill="732282"/>
          </w:tcPr>
          <w:p>
            <w:pPr>
              <w:ind w:left="360"/>
              <w:spacing w:after="0"/>
              <w:rPr>
                <w:sz w:val="20"/>
                <w:szCs w:val="20"/>
                <w:color w:val="auto"/>
              </w:rPr>
            </w:pPr>
            <w:r>
              <w:rPr>
                <w:rFonts w:ascii="Arial" w:cs="Arial" w:eastAsia="Arial" w:hAnsi="Arial"/>
                <w:sz w:val="16"/>
                <w:szCs w:val="16"/>
                <w:b w:val="1"/>
                <w:bCs w:val="1"/>
                <w:color w:val="FFFFFF"/>
              </w:rPr>
              <w:t>  Last Fiscal</w:t>
            </w:r>
          </w:p>
        </w:tc>
      </w:tr>
      <w:tr>
        <w:trPr>
          <w:trHeight w:val="284"/>
        </w:trPr>
        <w:tc>
          <w:tcPr>
            <w:tcW w:w="332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3000" w:type="dxa"/>
            <w:vAlign w:val="bottom"/>
            <w:shd w:val="clear" w:color="auto" w:fill="732282"/>
          </w:tcPr>
          <w:p>
            <w:pPr>
              <w:ind w:left="1080"/>
              <w:spacing w:after="0"/>
              <w:rPr>
                <w:sz w:val="20"/>
                <w:szCs w:val="20"/>
                <w:color w:val="auto"/>
              </w:rPr>
            </w:pPr>
            <w:r>
              <w:rPr>
                <w:rFonts w:ascii="Arial" w:cs="Arial" w:eastAsia="Arial" w:hAnsi="Arial"/>
                <w:sz w:val="16"/>
                <w:szCs w:val="16"/>
                <w:b w:val="1"/>
                <w:bCs w:val="1"/>
                <w:color w:val="FFFFFF"/>
              </w:rPr>
              <w:t>Plan Name</w:t>
            </w:r>
            <w:r>
              <w:rPr>
                <w:rFonts w:ascii="Arial" w:cs="Arial" w:eastAsia="Arial" w:hAnsi="Arial"/>
                <w:sz w:val="24"/>
                <w:szCs w:val="24"/>
                <w:b w:val="1"/>
                <w:bCs w:val="1"/>
                <w:color w:val="FFFFFF"/>
                <w:vertAlign w:val="superscript"/>
              </w:rPr>
              <w:t>(1)</w:t>
            </w:r>
          </w:p>
        </w:tc>
        <w:tc>
          <w:tcPr>
            <w:tcW w:w="15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Service (#)</w:t>
            </w:r>
          </w:p>
        </w:tc>
        <w:tc>
          <w:tcPr>
            <w:tcW w:w="18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6"/>
              </w:rPr>
              <w:t>Benefit ($)</w:t>
            </w:r>
            <w:r>
              <w:rPr>
                <w:rFonts w:ascii="Arial" w:cs="Arial" w:eastAsia="Arial" w:hAnsi="Arial"/>
                <w:sz w:val="24"/>
                <w:szCs w:val="24"/>
                <w:b w:val="1"/>
                <w:bCs w:val="1"/>
                <w:color w:val="FFFFFF"/>
                <w:w w:val="96"/>
                <w:vertAlign w:val="superscript"/>
              </w:rPr>
              <w:t>(2)</w:t>
            </w:r>
          </w:p>
        </w:tc>
        <w:tc>
          <w:tcPr>
            <w:tcW w:w="1380" w:type="dxa"/>
            <w:vAlign w:val="bottom"/>
            <w:shd w:val="clear" w:color="auto" w:fill="732282"/>
          </w:tcPr>
          <w:p>
            <w:pPr>
              <w:jc w:val="center"/>
              <w:ind w:left="279"/>
              <w:spacing w:after="0"/>
              <w:rPr>
                <w:sz w:val="20"/>
                <w:szCs w:val="20"/>
                <w:color w:val="auto"/>
              </w:rPr>
            </w:pPr>
            <w:r>
              <w:rPr>
                <w:rFonts w:ascii="Arial" w:cs="Arial" w:eastAsia="Arial" w:hAnsi="Arial"/>
                <w:sz w:val="16"/>
                <w:szCs w:val="16"/>
                <w:b w:val="1"/>
                <w:bCs w:val="1"/>
                <w:color w:val="FFFFFF"/>
                <w:w w:val="98"/>
              </w:rPr>
              <w:t>Year ($)</w:t>
            </w:r>
          </w:p>
        </w:tc>
      </w:tr>
      <w:tr>
        <w:trPr>
          <w:trHeight w:val="277"/>
        </w:trPr>
        <w:tc>
          <w:tcPr>
            <w:tcW w:w="3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p>
        </w:tc>
        <w:tc>
          <w:tcPr>
            <w:tcW w:w="3000" w:type="dxa"/>
            <w:vAlign w:val="bottom"/>
            <w:tcBorders>
              <w:bottom w:val="single" w:sz="8" w:color="E5E5E5"/>
            </w:tcBorders>
            <w:shd w:val="clear" w:color="auto" w:fill="E5E5E5"/>
          </w:tcPr>
          <w:p>
            <w:pPr>
              <w:ind w:left="2340"/>
              <w:spacing w:after="0"/>
              <w:rPr>
                <w:sz w:val="20"/>
                <w:szCs w:val="20"/>
                <w:color w:val="auto"/>
              </w:rPr>
            </w:pPr>
            <w:r>
              <w:rPr>
                <w:rFonts w:ascii="Arial" w:cs="Arial" w:eastAsia="Arial" w:hAnsi="Arial"/>
                <w:sz w:val="16"/>
                <w:szCs w:val="16"/>
                <w:color w:val="auto"/>
              </w:rPr>
              <w:t>N/A</w:t>
            </w:r>
          </w:p>
        </w:tc>
        <w:tc>
          <w:tcPr>
            <w:tcW w:w="1500" w:type="dxa"/>
            <w:vAlign w:val="bottom"/>
            <w:tcBorders>
              <w:bottom w:val="single" w:sz="8" w:color="E5E5E5"/>
            </w:tcBorders>
            <w:shd w:val="clear" w:color="auto" w:fill="E5E5E5"/>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tcBorders>
              <w:bottom w:val="single" w:sz="8" w:color="E5E5E5"/>
            </w:tcBorders>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6"/>
                <w:szCs w:val="16"/>
                <w:color w:val="auto"/>
              </w:rPr>
              <w:t>—</w:t>
            </w:r>
          </w:p>
        </w:tc>
      </w:tr>
      <w:tr>
        <w:trPr>
          <w:trHeight w:val="263"/>
        </w:trPr>
        <w:tc>
          <w:tcPr>
            <w:tcW w:w="332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3000" w:type="dxa"/>
            <w:vAlign w:val="bottom"/>
          </w:tcPr>
          <w:p>
            <w:pPr>
              <w:ind w:left="2340"/>
              <w:spacing w:after="0"/>
              <w:rPr>
                <w:sz w:val="20"/>
                <w:szCs w:val="20"/>
                <w:color w:val="auto"/>
              </w:rPr>
            </w:pPr>
            <w:r>
              <w:rPr>
                <w:rFonts w:ascii="Arial" w:cs="Arial" w:eastAsia="Arial" w:hAnsi="Arial"/>
                <w:sz w:val="16"/>
                <w:szCs w:val="16"/>
                <w:color w:val="auto"/>
              </w:rPr>
              <w:t>N/A</w:t>
            </w: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35"/>
        </w:trPr>
        <w:tc>
          <w:tcPr>
            <w:tcW w:w="33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365"/>
        </w:trPr>
        <w:tc>
          <w:tcPr>
            <w:tcW w:w="33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300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The Executive Plan</w:t>
            </w:r>
            <w:r>
              <w:rPr>
                <w:rFonts w:ascii="Arial" w:cs="Arial" w:eastAsia="Arial" w:hAnsi="Arial"/>
                <w:sz w:val="24"/>
                <w:szCs w:val="24"/>
                <w:color w:val="auto"/>
                <w:vertAlign w:val="superscript"/>
              </w:rPr>
              <w:t>(3)</w:t>
            </w:r>
          </w:p>
        </w:tc>
        <w:tc>
          <w:tcPr>
            <w:tcW w:w="1500" w:type="dxa"/>
            <w:vAlign w:val="bottom"/>
            <w:shd w:val="clear" w:color="auto" w:fill="E5E5E5"/>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497,703</w:t>
            </w:r>
          </w:p>
        </w:tc>
        <w:tc>
          <w:tcPr>
            <w:tcW w:w="1380" w:type="dxa"/>
            <w:vAlign w:val="bottom"/>
            <w:shd w:val="clear" w:color="auto" w:fill="E5E5E5"/>
          </w:tcPr>
          <w:p>
            <w:pPr>
              <w:ind w:left="840"/>
              <w:spacing w:after="0"/>
              <w:rPr>
                <w:sz w:val="20"/>
                <w:szCs w:val="20"/>
                <w:color w:val="auto"/>
              </w:rPr>
            </w:pPr>
            <w:r>
              <w:rPr>
                <w:rFonts w:ascii="Arial" w:cs="Arial" w:eastAsia="Arial" w:hAnsi="Arial"/>
                <w:sz w:val="16"/>
                <w:szCs w:val="16"/>
                <w:color w:val="auto"/>
              </w:rPr>
              <w:t>—</w:t>
            </w:r>
          </w:p>
        </w:tc>
      </w:tr>
      <w:tr>
        <w:trPr>
          <w:trHeight w:val="364"/>
        </w:trPr>
        <w:tc>
          <w:tcPr>
            <w:tcW w:w="332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3000" w:type="dxa"/>
            <w:vAlign w:val="bottom"/>
          </w:tcPr>
          <w:p>
            <w:pPr>
              <w:jc w:val="right"/>
              <w:ind w:right="159"/>
              <w:spacing w:after="0"/>
              <w:rPr>
                <w:sz w:val="20"/>
                <w:szCs w:val="20"/>
                <w:color w:val="auto"/>
              </w:rPr>
            </w:pPr>
            <w:r>
              <w:rPr>
                <w:rFonts w:ascii="Arial" w:cs="Arial" w:eastAsia="Arial" w:hAnsi="Arial"/>
                <w:sz w:val="16"/>
                <w:szCs w:val="16"/>
                <w:color w:val="auto"/>
              </w:rPr>
              <w:t>Retirement Benefit Agreement</w:t>
            </w:r>
            <w:r>
              <w:rPr>
                <w:rFonts w:ascii="Arial" w:cs="Arial" w:eastAsia="Arial" w:hAnsi="Arial"/>
                <w:sz w:val="24"/>
                <w:szCs w:val="24"/>
                <w:color w:val="auto"/>
                <w:vertAlign w:val="superscript"/>
              </w:rPr>
              <w:t>(4)</w:t>
            </w: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17</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5,342,449</w:t>
            </w:r>
          </w:p>
        </w:tc>
        <w:tc>
          <w:tcPr>
            <w:tcW w:w="138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77"/>
        </w:trPr>
        <w:tc>
          <w:tcPr>
            <w:tcW w:w="3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Anthony Mauro</w:t>
            </w:r>
          </w:p>
        </w:tc>
        <w:tc>
          <w:tcPr>
            <w:tcW w:w="3000" w:type="dxa"/>
            <w:vAlign w:val="bottom"/>
            <w:tcBorders>
              <w:bottom w:val="single" w:sz="8" w:color="E5E5E5"/>
            </w:tcBorders>
            <w:shd w:val="clear" w:color="auto" w:fill="E5E5E5"/>
          </w:tcPr>
          <w:p>
            <w:pPr>
              <w:ind w:left="2340"/>
              <w:spacing w:after="0"/>
              <w:rPr>
                <w:sz w:val="20"/>
                <w:szCs w:val="20"/>
                <w:color w:val="auto"/>
              </w:rPr>
            </w:pPr>
            <w:r>
              <w:rPr>
                <w:rFonts w:ascii="Arial" w:cs="Arial" w:eastAsia="Arial" w:hAnsi="Arial"/>
                <w:sz w:val="16"/>
                <w:szCs w:val="16"/>
                <w:color w:val="auto"/>
              </w:rPr>
              <w:t>N/A</w:t>
            </w:r>
          </w:p>
        </w:tc>
        <w:tc>
          <w:tcPr>
            <w:tcW w:w="1500" w:type="dxa"/>
            <w:vAlign w:val="bottom"/>
            <w:tcBorders>
              <w:bottom w:val="single" w:sz="8" w:color="E5E5E5"/>
            </w:tcBorders>
            <w:shd w:val="clear" w:color="auto" w:fill="E5E5E5"/>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tcBorders>
              <w:bottom w:val="single" w:sz="8" w:color="E5E5E5"/>
            </w:tcBorders>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6"/>
                <w:szCs w:val="16"/>
                <w:color w:val="auto"/>
              </w:rPr>
              <w:t>—</w:t>
            </w:r>
          </w:p>
        </w:tc>
      </w:tr>
      <w:tr>
        <w:trPr>
          <w:trHeight w:val="263"/>
        </w:trPr>
        <w:tc>
          <w:tcPr>
            <w:tcW w:w="3320" w:type="dxa"/>
            <w:vAlign w:val="bottom"/>
          </w:tcPr>
          <w:p>
            <w:pPr>
              <w:ind w:left="60"/>
              <w:spacing w:after="0"/>
              <w:rPr>
                <w:sz w:val="20"/>
                <w:szCs w:val="20"/>
                <w:color w:val="auto"/>
              </w:rPr>
            </w:pPr>
            <w:r>
              <w:rPr>
                <w:rFonts w:ascii="Arial" w:cs="Arial" w:eastAsia="Arial" w:hAnsi="Arial"/>
                <w:sz w:val="16"/>
                <w:szCs w:val="16"/>
                <w:b w:val="1"/>
                <w:bCs w:val="1"/>
                <w:color w:val="auto"/>
              </w:rPr>
              <w:t>Brian Roman</w:t>
            </w:r>
          </w:p>
        </w:tc>
        <w:tc>
          <w:tcPr>
            <w:tcW w:w="3000" w:type="dxa"/>
            <w:vAlign w:val="bottom"/>
          </w:tcPr>
          <w:p>
            <w:pPr>
              <w:ind w:left="2340"/>
              <w:spacing w:after="0"/>
              <w:rPr>
                <w:sz w:val="20"/>
                <w:szCs w:val="20"/>
                <w:color w:val="auto"/>
              </w:rPr>
            </w:pPr>
            <w:r>
              <w:rPr>
                <w:rFonts w:ascii="Arial" w:cs="Arial" w:eastAsia="Arial" w:hAnsi="Arial"/>
                <w:sz w:val="16"/>
                <w:szCs w:val="16"/>
                <w:color w:val="auto"/>
              </w:rPr>
              <w:t>N/A</w:t>
            </w: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35"/>
        </w:trPr>
        <w:tc>
          <w:tcPr>
            <w:tcW w:w="33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7"/>
        </w:trPr>
        <w:tc>
          <w:tcPr>
            <w:tcW w:w="33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3000" w:type="dxa"/>
            <w:vAlign w:val="bottom"/>
            <w:tcBorders>
              <w:bottom w:val="single" w:sz="8" w:color="E5E5E5"/>
            </w:tcBorders>
            <w:shd w:val="clear" w:color="auto" w:fill="E5E5E5"/>
          </w:tcPr>
          <w:p>
            <w:pPr>
              <w:ind w:left="2340"/>
              <w:spacing w:after="0"/>
              <w:rPr>
                <w:sz w:val="20"/>
                <w:szCs w:val="20"/>
                <w:color w:val="auto"/>
              </w:rPr>
            </w:pPr>
            <w:r>
              <w:rPr>
                <w:rFonts w:ascii="Arial" w:cs="Arial" w:eastAsia="Arial" w:hAnsi="Arial"/>
                <w:sz w:val="16"/>
                <w:szCs w:val="16"/>
                <w:color w:val="auto"/>
              </w:rPr>
              <w:t>N/A</w:t>
            </w:r>
          </w:p>
        </w:tc>
        <w:tc>
          <w:tcPr>
            <w:tcW w:w="1500" w:type="dxa"/>
            <w:vAlign w:val="bottom"/>
            <w:tcBorders>
              <w:bottom w:val="single" w:sz="8" w:color="E5E5E5"/>
            </w:tcBorders>
            <w:shd w:val="clear" w:color="auto" w:fill="E5E5E5"/>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tcBorders>
              <w:bottom w:val="single" w:sz="8" w:color="E5E5E5"/>
            </w:tcBorders>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6"/>
                <w:szCs w:val="16"/>
                <w:color w:val="auto"/>
              </w:rPr>
              <w:t>—</w:t>
            </w:r>
          </w:p>
        </w:tc>
      </w:tr>
      <w:tr>
        <w:trPr>
          <w:trHeight w:val="263"/>
        </w:trPr>
        <w:tc>
          <w:tcPr>
            <w:tcW w:w="3320" w:type="dxa"/>
            <w:vAlign w:val="bottom"/>
          </w:tcPr>
          <w:p>
            <w:pPr>
              <w:ind w:left="60"/>
              <w:spacing w:after="0"/>
              <w:rPr>
                <w:sz w:val="20"/>
                <w:szCs w:val="20"/>
                <w:color w:val="auto"/>
              </w:rPr>
            </w:pPr>
            <w:r>
              <w:rPr>
                <w:rFonts w:ascii="Arial" w:cs="Arial" w:eastAsia="Arial" w:hAnsi="Arial"/>
                <w:sz w:val="16"/>
                <w:szCs w:val="16"/>
                <w:b w:val="1"/>
                <w:bCs w:val="1"/>
                <w:color w:val="auto"/>
              </w:rPr>
              <w:t>Robert J. Coury</w:t>
            </w:r>
          </w:p>
        </w:tc>
        <w:tc>
          <w:tcPr>
            <w:tcW w:w="3000" w:type="dxa"/>
            <w:vAlign w:val="bottom"/>
          </w:tcPr>
          <w:p>
            <w:pPr>
              <w:ind w:left="2340"/>
              <w:spacing w:after="0"/>
              <w:rPr>
                <w:sz w:val="20"/>
                <w:szCs w:val="20"/>
                <w:color w:val="auto"/>
              </w:rPr>
            </w:pPr>
            <w:r>
              <w:rPr>
                <w:rFonts w:ascii="Arial" w:cs="Arial" w:eastAsia="Arial" w:hAnsi="Arial"/>
                <w:sz w:val="16"/>
                <w:szCs w:val="16"/>
                <w:color w:val="auto"/>
              </w:rPr>
              <w:t>N/A</w:t>
            </w:r>
          </w:p>
        </w:tc>
        <w:tc>
          <w:tcPr>
            <w:tcW w:w="1500" w:type="dxa"/>
            <w:vAlign w:val="bottom"/>
          </w:tcPr>
          <w:p>
            <w:pPr>
              <w:jc w:val="right"/>
              <w:ind w:right="579"/>
              <w:spacing w:after="0"/>
              <w:rPr>
                <w:sz w:val="20"/>
                <w:szCs w:val="20"/>
                <w:color w:val="auto"/>
              </w:rPr>
            </w:pPr>
            <w:r>
              <w:rPr>
                <w:rFonts w:ascii="Arial" w:cs="Arial" w:eastAsia="Arial" w:hAnsi="Arial"/>
                <w:sz w:val="16"/>
                <w:szCs w:val="16"/>
                <w:color w:val="auto"/>
              </w:rPr>
              <w:t>N/A</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34"/>
        </w:trPr>
        <w:tc>
          <w:tcPr>
            <w:tcW w:w="3320" w:type="dxa"/>
            <w:vAlign w:val="bottom"/>
            <w:tcBorders>
              <w:bottom w:val="single" w:sz="8" w:color="732282"/>
            </w:tcBorders>
          </w:tcPr>
          <w:p>
            <w:pPr>
              <w:spacing w:after="0"/>
              <w:rPr>
                <w:sz w:val="3"/>
                <w:szCs w:val="3"/>
                <w:color w:val="auto"/>
              </w:rPr>
            </w:pPr>
          </w:p>
        </w:tc>
        <w:tc>
          <w:tcPr>
            <w:tcW w:w="3000" w:type="dxa"/>
            <w:vAlign w:val="bottom"/>
            <w:tcBorders>
              <w:bottom w:val="single" w:sz="8" w:color="732282"/>
            </w:tcBorders>
          </w:tcPr>
          <w:p>
            <w:pPr>
              <w:spacing w:after="0"/>
              <w:rPr>
                <w:sz w:val="3"/>
                <w:szCs w:val="3"/>
                <w:color w:val="auto"/>
              </w:rPr>
            </w:pPr>
          </w:p>
        </w:tc>
        <w:tc>
          <w:tcPr>
            <w:tcW w:w="1500" w:type="dxa"/>
            <w:vAlign w:val="bottom"/>
            <w:tcBorders>
              <w:bottom w:val="single" w:sz="8" w:color="732282"/>
            </w:tcBorders>
          </w:tcPr>
          <w:p>
            <w:pPr>
              <w:spacing w:after="0"/>
              <w:rPr>
                <w:sz w:val="3"/>
                <w:szCs w:val="3"/>
                <w:color w:val="auto"/>
              </w:rPr>
            </w:pPr>
          </w:p>
        </w:tc>
        <w:tc>
          <w:tcPr>
            <w:tcW w:w="1820" w:type="dxa"/>
            <w:vAlign w:val="bottom"/>
            <w:tcBorders>
              <w:bottom w:val="single" w:sz="8" w:color="732282"/>
            </w:tcBorders>
          </w:tcPr>
          <w:p>
            <w:pPr>
              <w:spacing w:after="0"/>
              <w:rPr>
                <w:sz w:val="3"/>
                <w:szCs w:val="3"/>
                <w:color w:val="auto"/>
              </w:rPr>
            </w:pPr>
          </w:p>
        </w:tc>
        <w:tc>
          <w:tcPr>
            <w:tcW w:w="1380" w:type="dxa"/>
            <w:vAlign w:val="bottom"/>
            <w:tcBorders>
              <w:bottom w:val="single" w:sz="8" w:color="732282"/>
            </w:tcBorders>
          </w:tcPr>
          <w:p>
            <w:pPr>
              <w:spacing w:after="0"/>
              <w:rPr>
                <w:sz w:val="3"/>
                <w:szCs w:val="3"/>
                <w:color w:val="auto"/>
              </w:rPr>
            </w:pPr>
          </w:p>
        </w:tc>
      </w:tr>
    </w:tbl>
    <w:p>
      <w:pPr>
        <w:spacing w:after="0" w:line="107"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Messrs. Smith, Narula, Mauro, Roman, Goettler, and Coury are not party to a defined benefit pension arrangement.</w:t>
      </w:r>
    </w:p>
    <w:p>
      <w:pPr>
        <w:spacing w:after="0" w:line="21" w:lineRule="exact"/>
        <w:rPr>
          <w:rFonts w:ascii="Arial" w:cs="Arial" w:eastAsia="Arial" w:hAnsi="Arial"/>
          <w:sz w:val="16"/>
          <w:szCs w:val="16"/>
          <w:color w:val="3F3F3F"/>
        </w:rPr>
      </w:pPr>
    </w:p>
    <w:p>
      <w:pPr>
        <w:ind w:left="540" w:hanging="424"/>
        <w:spacing w:after="0"/>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See pages 60 and 64 of this Proxy Statement for further information on the value of the accumulated pension benefit.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This is a deferred compensation plan established for the benefit of Mr. Malik. The Company is no longer contributing to this plan.</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The Malik RBA has been frozen. Mr. Malik no longer accrues any additional benefits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70 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Nonqualified Deferred Compensation for 2023</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sets forth information relating to the Restoration Plan for 2023.</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16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5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Company</w:t>
            </w:r>
          </w:p>
        </w:tc>
        <w:tc>
          <w:tcPr>
            <w:tcW w:w="1360" w:type="dxa"/>
            <w:vAlign w:val="bottom"/>
            <w:shd w:val="clear" w:color="auto" w:fill="732282"/>
          </w:tcPr>
          <w:p>
            <w:pPr>
              <w:spacing w:after="0"/>
              <w:rPr>
                <w:sz w:val="16"/>
                <w:szCs w:val="16"/>
                <w:color w:val="auto"/>
              </w:rPr>
            </w:pPr>
          </w:p>
        </w:tc>
        <w:tc>
          <w:tcPr>
            <w:tcW w:w="140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r>
      <w:tr>
        <w:trPr>
          <w:trHeight w:val="189"/>
        </w:trPr>
        <w:tc>
          <w:tcPr>
            <w:tcW w:w="316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Aggregate</w:t>
            </w:r>
          </w:p>
        </w:tc>
        <w:tc>
          <w:tcPr>
            <w:tcW w:w="1300" w:type="dxa"/>
            <w:vAlign w:val="bottom"/>
            <w:shd w:val="clear" w:color="auto" w:fill="732282"/>
          </w:tcPr>
          <w:p>
            <w:pPr>
              <w:spacing w:after="0"/>
              <w:rPr>
                <w:sz w:val="16"/>
                <w:szCs w:val="16"/>
                <w:color w:val="auto"/>
              </w:rPr>
            </w:pPr>
          </w:p>
        </w:tc>
        <w:tc>
          <w:tcPr>
            <w:tcW w:w="15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Profit Sharing</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Aggregate</w:t>
            </w:r>
          </w:p>
        </w:tc>
        <w:tc>
          <w:tcPr>
            <w:tcW w:w="140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r>
      <w:tr>
        <w:trPr>
          <w:trHeight w:val="189"/>
        </w:trPr>
        <w:tc>
          <w:tcPr>
            <w:tcW w:w="316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Balance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Executive</w:t>
            </w:r>
          </w:p>
        </w:tc>
        <w:tc>
          <w:tcPr>
            <w:tcW w:w="150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and Match</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Earnings</w:t>
            </w:r>
          </w:p>
        </w:tc>
        <w:tc>
          <w:tcPr>
            <w:tcW w:w="140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Aggregate</w:t>
            </w:r>
          </w:p>
        </w:tc>
        <w:tc>
          <w:tcPr>
            <w:tcW w:w="110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  Aggregate</w:t>
            </w:r>
          </w:p>
        </w:tc>
      </w:tr>
      <w:tr>
        <w:trPr>
          <w:trHeight w:val="189"/>
        </w:trPr>
        <w:tc>
          <w:tcPr>
            <w:tcW w:w="316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at Last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Contributions</w:t>
            </w:r>
          </w:p>
        </w:tc>
        <w:tc>
          <w:tcPr>
            <w:tcW w:w="15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Contributions</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(Loss) in</w:t>
            </w:r>
          </w:p>
        </w:tc>
        <w:tc>
          <w:tcPr>
            <w:tcW w:w="140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w w:val="99"/>
              </w:rPr>
              <w:t>Withdrawals/</w:t>
            </w:r>
          </w:p>
        </w:tc>
        <w:tc>
          <w:tcPr>
            <w:tcW w:w="110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Balance</w:t>
            </w:r>
          </w:p>
        </w:tc>
      </w:tr>
      <w:tr>
        <w:trPr>
          <w:trHeight w:val="189"/>
        </w:trPr>
        <w:tc>
          <w:tcPr>
            <w:tcW w:w="316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FYE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 Last FY</w:t>
            </w:r>
          </w:p>
        </w:tc>
        <w:tc>
          <w:tcPr>
            <w:tcW w:w="15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in Last FY</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Last FY</w:t>
            </w:r>
          </w:p>
        </w:tc>
        <w:tc>
          <w:tcPr>
            <w:tcW w:w="140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Distributions</w:t>
            </w:r>
          </w:p>
        </w:tc>
        <w:tc>
          <w:tcPr>
            <w:tcW w:w="110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at FYE</w:t>
            </w:r>
          </w:p>
        </w:tc>
      </w:tr>
      <w:tr>
        <w:trPr>
          <w:trHeight w:val="230"/>
        </w:trPr>
        <w:tc>
          <w:tcPr>
            <w:tcW w:w="31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20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50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0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w:t>
            </w:r>
          </w:p>
        </w:tc>
      </w:tr>
      <w:tr>
        <w:trPr>
          <w:trHeight w:val="250"/>
        </w:trPr>
        <w:tc>
          <w:tcPr>
            <w:tcW w:w="31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Scott A. Smith</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27,723</w:t>
            </w:r>
          </w:p>
        </w:tc>
        <w:tc>
          <w:tcPr>
            <w:tcW w:w="150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27,723</w:t>
            </w:r>
          </w:p>
        </w:tc>
        <w:tc>
          <w:tcPr>
            <w:tcW w:w="136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358</w:t>
            </w:r>
          </w:p>
        </w:tc>
        <w:tc>
          <w:tcPr>
            <w:tcW w:w="14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55,805</w:t>
            </w:r>
          </w:p>
        </w:tc>
      </w:tr>
      <w:tr>
        <w:trPr>
          <w:trHeight w:val="249"/>
        </w:trPr>
        <w:tc>
          <w:tcPr>
            <w:tcW w:w="316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253,020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132,802</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231,393</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68,499</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685,714</w:t>
            </w:r>
          </w:p>
        </w:tc>
      </w:tr>
      <w:tr>
        <w:trPr>
          <w:trHeight w:val="21"/>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31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1,036,644</w:t>
            </w:r>
          </w:p>
        </w:tc>
        <w:tc>
          <w:tcPr>
            <w:tcW w:w="130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262,749</w:t>
            </w:r>
          </w:p>
        </w:tc>
        <w:tc>
          <w:tcPr>
            <w:tcW w:w="136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231,307</w:t>
            </w:r>
          </w:p>
        </w:tc>
        <w:tc>
          <w:tcPr>
            <w:tcW w:w="14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1,530,699</w:t>
            </w:r>
          </w:p>
        </w:tc>
      </w:tr>
      <w:tr>
        <w:trPr>
          <w:trHeight w:val="249"/>
        </w:trPr>
        <w:tc>
          <w:tcPr>
            <w:tcW w:w="31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3,077,440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89,834</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247,211</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151,298</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3,565,782</w:t>
            </w:r>
          </w:p>
        </w:tc>
      </w:tr>
      <w:tr>
        <w:trPr>
          <w:trHeight w:val="21"/>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31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Brian Roman</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3,403,430</w:t>
            </w:r>
          </w:p>
        </w:tc>
        <w:tc>
          <w:tcPr>
            <w:tcW w:w="130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113,174</w:t>
            </w:r>
          </w:p>
        </w:tc>
        <w:tc>
          <w:tcPr>
            <w:tcW w:w="150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198,261</w:t>
            </w:r>
          </w:p>
        </w:tc>
        <w:tc>
          <w:tcPr>
            <w:tcW w:w="136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646,637</w:t>
            </w:r>
          </w:p>
        </w:tc>
        <w:tc>
          <w:tcPr>
            <w:tcW w:w="14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4,361,501</w:t>
            </w:r>
          </w:p>
        </w:tc>
      </w:tr>
      <w:tr>
        <w:trPr>
          <w:trHeight w:val="249"/>
        </w:trPr>
        <w:tc>
          <w:tcPr>
            <w:tcW w:w="3160" w:type="dxa"/>
            <w:vAlign w:val="bottom"/>
          </w:tcPr>
          <w:p>
            <w:pPr>
              <w:ind w:left="60"/>
              <w:spacing w:after="0"/>
              <w:rPr>
                <w:sz w:val="20"/>
                <w:szCs w:val="20"/>
                <w:color w:val="auto"/>
              </w:rPr>
            </w:pPr>
            <w:r>
              <w:rPr>
                <w:rFonts w:ascii="Arial" w:cs="Arial" w:eastAsia="Arial" w:hAnsi="Arial"/>
                <w:sz w:val="16"/>
                <w:szCs w:val="16"/>
                <w:b w:val="1"/>
                <w:bCs w:val="1"/>
                <w:color w:val="auto"/>
              </w:rPr>
              <w:t>Michael Goettler</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611,509</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151,371</w:t>
            </w: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481,149</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56,063</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(1,300,093)</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31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1,424,614</w:t>
            </w:r>
          </w:p>
        </w:tc>
        <w:tc>
          <w:tcPr>
            <w:tcW w:w="130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273,408</w:t>
            </w:r>
          </w:p>
        </w:tc>
        <w:tc>
          <w:tcPr>
            <w:tcW w:w="150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738,235</w:t>
            </w:r>
          </w:p>
        </w:tc>
        <w:tc>
          <w:tcPr>
            <w:tcW w:w="1360" w:type="dxa"/>
            <w:vAlign w:val="bottom"/>
            <w:tcBorders>
              <w:bottom w:val="single" w:sz="8" w:color="E5E5E5"/>
            </w:tcBorders>
            <w:shd w:val="clear" w:color="auto" w:fill="E5E5E5"/>
          </w:tcPr>
          <w:p>
            <w:pPr>
              <w:jc w:val="right"/>
              <w:ind w:right="279"/>
              <w:spacing w:after="0"/>
              <w:rPr>
                <w:sz w:val="20"/>
                <w:szCs w:val="20"/>
                <w:color w:val="auto"/>
              </w:rPr>
            </w:pPr>
            <w:r>
              <w:rPr>
                <w:rFonts w:ascii="Arial" w:cs="Arial" w:eastAsia="Arial" w:hAnsi="Arial"/>
                <w:sz w:val="16"/>
                <w:szCs w:val="16"/>
                <w:color w:val="auto"/>
              </w:rPr>
              <w:t>291,737</w:t>
            </w:r>
          </w:p>
        </w:tc>
        <w:tc>
          <w:tcPr>
            <w:tcW w:w="14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2,727,993</w:t>
            </w:r>
          </w:p>
        </w:tc>
      </w:tr>
      <w:tr>
        <w:trPr>
          <w:trHeight w:val="20"/>
        </w:trPr>
        <w:tc>
          <w:tcPr>
            <w:tcW w:w="316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50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400" w:type="dxa"/>
            <w:vAlign w:val="bottom"/>
            <w:shd w:val="clear" w:color="auto" w:fill="732282"/>
          </w:tcPr>
          <w:p>
            <w:pPr>
              <w:spacing w:after="0" w:line="20" w:lineRule="exact"/>
              <w:rPr>
                <w:sz w:val="1"/>
                <w:szCs w:val="1"/>
                <w:color w:val="auto"/>
              </w:rPr>
            </w:pPr>
          </w:p>
        </w:tc>
        <w:tc>
          <w:tcPr>
            <w:tcW w:w="110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Estimated Payments in Connection with a Termination of Employment or Change in Control</w:t>
      </w:r>
    </w:p>
    <w:p>
      <w:pPr>
        <w:spacing w:after="0" w:line="13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3F3F3F"/>
        </w:rPr>
        <w:t>The following discussion summarizes the potential payments and benefits that would have been payable to each of the NEOs upon a termination of employment on December 31, 2023 by Viatris without “cause”, by the NEO for “good reason” (each as defined in the applicable agreement), due to the NEO’s death or disability or as a result of a CIC Termination (as defined below). A “CIC Termination” occurs if an NEO’s employment is terminated other than for cause or if 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2023 by their terms, (iv) any amounts that may be due at the time of an event in respect of accrued and unpaid salary, bonuses, or vacation, and (v) the value of each NEO’s annual bonus for the 2023 completed fiscal year as the year was complete as of December 31, 2023. These are estimates only and actual amounts payable upon such terminations may be different and will only be determined upon the actual occurrence of any such event.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Scott A. Smith</w:t>
      </w:r>
    </w:p>
    <w:p>
      <w:pPr>
        <w:spacing w:after="0" w:line="14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3F3F3F"/>
        </w:rPr>
        <w:t>Mr. Smith is entitled to severance payments and benefits upon certain terminations of employment pursuant to an agreement with Viatris and his equity award agreements with Viatris.</w:t>
      </w:r>
    </w:p>
    <w:p>
      <w:pPr>
        <w:spacing w:after="0" w:line="46"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b w:val="1"/>
          <w:bCs w:val="1"/>
          <w:i w:val="1"/>
          <w:iCs w:val="1"/>
          <w:color w:val="3F3F3F"/>
        </w:rPr>
        <w:t>Termination Without Cause Absent a Change in Control</w:t>
      </w:r>
      <w:r>
        <w:rPr>
          <w:rFonts w:ascii="Arial" w:cs="Arial" w:eastAsia="Arial" w:hAnsi="Arial"/>
          <w:sz w:val="18"/>
          <w:szCs w:val="18"/>
          <w:i w:val="1"/>
          <w:iCs w:val="1"/>
          <w:color w:val="3F3F3F"/>
        </w:rPr>
        <w:t>.</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If Mr. Smith’s employment was terminated on December 31, 2023 by Viatris</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without cause, he would have been entitled to a payment equal to one times the sum of his base salary and his target annual bonus in effect at the time of such termination, payable in equal periodic installments, and eligibility for continued vesting of a prorated number of his PRSUs granted in 2023 based on actual Company performance. The estimated values of such payments and benefits, assuming a December 31, 2023 termination of employment, would have been $3,500,000 in respect of cash severance and $2,830,388 in respect of the vesting of his PRSUs granted in 2023 (assuming target performance).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3F3F3F"/>
        </w:rPr>
        <w:t xml:space="preserve">Termination Due to Death or Disability Absent a Change in Control. </w:t>
      </w:r>
      <w:r>
        <w:rPr>
          <w:rFonts w:ascii="Arial" w:cs="Arial" w:eastAsia="Arial" w:hAnsi="Arial"/>
          <w:sz w:val="17"/>
          <w:szCs w:val="17"/>
          <w:color w:val="3F3F3F"/>
        </w:rPr>
        <w:t>If Mr. Smith’s employment was terminated on December 31, 2023</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due to death or disability, he would have been entitled to full vesting of his unvested equity awards (with any PRSUs vesting based on</w:t>
      </w:r>
    </w:p>
    <w:p>
      <w:pPr>
        <w:ind w:left="120"/>
        <w:spacing w:after="0" w:line="234" w:lineRule="auto"/>
        <w:rPr>
          <w:sz w:val="20"/>
          <w:szCs w:val="20"/>
          <w:color w:val="auto"/>
        </w:rPr>
      </w:pPr>
      <w:r>
        <w:rPr>
          <w:rFonts w:ascii="Arial" w:cs="Arial" w:eastAsia="Arial" w:hAnsi="Arial"/>
          <w:sz w:val="18"/>
          <w:szCs w:val="18"/>
          <w:color w:val="3F3F3F"/>
        </w:rPr>
        <w:t>target performance). The estimated value of such equity vesting, assuming a December 31, 2023 termination, would have been</w:t>
      </w:r>
    </w:p>
    <w:p>
      <w:pPr>
        <w:ind w:left="120"/>
        <w:spacing w:after="0" w:line="235" w:lineRule="auto"/>
        <w:rPr>
          <w:sz w:val="20"/>
          <w:szCs w:val="20"/>
          <w:color w:val="auto"/>
        </w:rPr>
      </w:pPr>
      <w:r>
        <w:rPr>
          <w:rFonts w:ascii="Arial" w:cs="Arial" w:eastAsia="Arial" w:hAnsi="Arial"/>
          <w:sz w:val="18"/>
          <w:szCs w:val="18"/>
          <w:color w:val="3F3F3F"/>
        </w:rPr>
        <w:t>$13,063,341. Mr. Smith is not entitled to cash severance payments in connection with a termination of employment due to death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disability.</w:t>
      </w:r>
    </w:p>
    <w:p>
      <w:pPr>
        <w:spacing w:after="0" w:line="11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i w:val="1"/>
          <w:iCs w:val="1"/>
          <w:color w:val="3F3F3F"/>
        </w:rPr>
        <w:t xml:space="preserve">Termination in Connection with a Change in Control. </w:t>
      </w:r>
      <w:r>
        <w:rPr>
          <w:rFonts w:ascii="Arial" w:cs="Arial" w:eastAsia="Arial" w:hAnsi="Arial"/>
          <w:sz w:val="18"/>
          <w:szCs w:val="18"/>
          <w:color w:val="3F3F3F"/>
        </w:rPr>
        <w:t>If Mr. Smith incurred a CIC Termination on December 31, 2023, he would have</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been entitled to a payment equal to two and a half (2.5) times the sum of his base salary and his target annual bonus in effect at the time of such termination, payable in equal periodic installments, and full vesting of his unvested equity awards (with any PRSUs vesting based on target performance). The estimated values of such payments and benefits, assuming a December 31, 2023 termination of employment, would have been $8,750,000 in respect of cash severance and $13,063,341 in respect of the vesting of his equity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Sanjeev Narula</w:t>
      </w:r>
    </w:p>
    <w:p>
      <w:pPr>
        <w:spacing w:after="0" w:line="14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Mr. Narula was entitled to severance payments and benefits upon certain terminations of employment pursuant an agreement with Viatris, the Mylan N.V. Severance Plan and Global Guidelines (which was assumed by Viatris) (“Severance Plan”), and his equity award agreements with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b w:val="1"/>
          <w:bCs w:val="1"/>
          <w:i w:val="1"/>
          <w:iCs w:val="1"/>
          <w:color w:val="3F3F3F"/>
        </w:rPr>
        <w:t xml:space="preserve">Termination Without Cause Absent a Change in Control. </w:t>
      </w:r>
      <w:r>
        <w:rPr>
          <w:rFonts w:ascii="Arial" w:cs="Arial" w:eastAsia="Arial" w:hAnsi="Arial"/>
          <w:sz w:val="18"/>
          <w:szCs w:val="18"/>
          <w:color w:val="3F3F3F"/>
        </w:rPr>
        <w:t>If Mr. Narula’s employment was terminated on December 31, 2023 by Viatris</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without cause, he would have been entitled to twelve (12) months of base salary continuation, twelve (12) months of continued health and other benefits, and eligibility for continued vesting of a prorated number of his PRSUs granted in 2023 based on actual Company performance. The estimated values of such payments and benefits, assuming a December 31, 2023 termination of employment, would have been $989,894 in respect of cash severance and other benefits and $818,470 in respect of the vesting of his PRSUs granted in 2023 (assuming target performance).</w:t>
      </w:r>
    </w:p>
    <w:p>
      <w:pPr>
        <w:spacing w:after="0" w:line="98"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3F3F3F"/>
        </w:rPr>
        <w:t xml:space="preserve">Termination Due to Death or Disability Absent a Change in Control. </w:t>
      </w:r>
      <w:r>
        <w:rPr>
          <w:rFonts w:ascii="Arial" w:cs="Arial" w:eastAsia="Arial" w:hAnsi="Arial"/>
          <w:sz w:val="18"/>
          <w:szCs w:val="18"/>
          <w:color w:val="3F3F3F"/>
        </w:rPr>
        <w:t>If Mr. Narula’s employment was terminated on December 31,</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2023 due to death or disability, he would have been entitled to full vesting of his unvested equity awards (with any PRSUs vesting based on target performance). The estimated value of such equity vesting, assuming a December 31, 2023 termination, would have been $8,997,445. Mr. Narula is not entitled to cash severance payments in connection with a termination of employment due to death or disability.</w:t>
      </w:r>
    </w:p>
    <w:p>
      <w:pPr>
        <w:spacing w:after="0" w:line="109"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b w:val="1"/>
          <w:bCs w:val="1"/>
          <w:i w:val="1"/>
          <w:iCs w:val="1"/>
          <w:color w:val="3F3F3F"/>
        </w:rPr>
        <w:t>Termination in Connection with a Change in Control</w:t>
      </w:r>
      <w:r>
        <w:rPr>
          <w:rFonts w:ascii="Arial" w:cs="Arial" w:eastAsia="Arial" w:hAnsi="Arial"/>
          <w:sz w:val="18"/>
          <w:szCs w:val="18"/>
          <w:color w:val="3F3F3F"/>
        </w:rPr>
        <w:t>. If Mr. Narula incurred a CIC Termination on December 31, 2023, he would have</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been entitled to a payment equal to two times the sum of his base salary and his target annual bonus in effect at the time of such termination, payable in equal periodic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$3,789,788 in respect of cash severance and other benefits and $8,997,445 in respect of the vesting of his equity awards.</w:t>
      </w:r>
    </w:p>
    <w:p>
      <w:pPr>
        <w:spacing w:after="0" w:line="111"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As described above in “Leadership Transitions – Other Executive Transitions” on page 50, on December 15, 2023, Mr. Narula entered into a separation agreement with Viatris pursuant to which he departed from the Company effective as of March 5, 2024. Mr. Narula’s separation agreement provided for a cash payment equal to $3,700,000 payable in the form of installments over a period of two (2) years, a prorated annual bonus for 2024 based on actual Company performance, eligibility for continued vesting of a prorated number of his PRSUs granted in each of 2022 and 2023 based on actual Company performance, and up to thirty-six (36) months of continued health and other benefits (the cost of which is approximately $2,300 per month), subject to a release of claims and other customary conditions. Mr. Narula is also eligible for reimbursement and allowances with respect to reasonable relocation-related expenses.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Rajiv Malik</w:t>
      </w:r>
    </w:p>
    <w:p>
      <w:pPr>
        <w:spacing w:after="0" w:line="135"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3F3F3F"/>
        </w:rPr>
        <w:t>Mr. Malik was entitled to severance payments and benefits upon certain terminations of employment pursuant to an agreement with Viatris, the Severance Plan, and his equity award agreements with Viatris.</w:t>
      </w:r>
    </w:p>
    <w:p>
      <w:pPr>
        <w:spacing w:after="0" w:line="86"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b w:val="1"/>
          <w:bCs w:val="1"/>
          <w:i w:val="1"/>
          <w:iCs w:val="1"/>
          <w:color w:val="3F3F3F"/>
        </w:rPr>
        <w:t xml:space="preserve">Termination Without Cause Absent a Change in Control. </w:t>
      </w:r>
      <w:r>
        <w:rPr>
          <w:rFonts w:ascii="Arial" w:cs="Arial" w:eastAsia="Arial" w:hAnsi="Arial"/>
          <w:sz w:val="18"/>
          <w:szCs w:val="18"/>
          <w:color w:val="3F3F3F"/>
        </w:rPr>
        <w:t>If Mr. Malik’s employment was terminated on December 31, 2023 by Viatris</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without cause, he would have been entitled to full vesting of his unvested equity awards with any PRSUs vesting based on target performance. The estimated value of such equity vesting, assuming a December 31, 2023 termination, would have been $ 19,813,115. Mr. Malik is also entitled to participate in the Company’s Supplemental Health Insurance Plan for certain retired executives following a termination of employment.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3F3F3F"/>
        </w:rPr>
        <w:t xml:space="preserve">Termination Due to Death or Disability Absent a Change in Control. </w:t>
      </w:r>
      <w:r>
        <w:rPr>
          <w:rFonts w:ascii="Arial" w:cs="Arial" w:eastAsia="Arial" w:hAnsi="Arial"/>
          <w:sz w:val="17"/>
          <w:szCs w:val="17"/>
          <w:color w:val="3F3F3F"/>
        </w:rPr>
        <w:t>If Mr. Malik’s employment was terminated on December 31, 2023</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due to death or disability, he would have been entitled to full vesting of his unvested equity awards with any PRSUs vesting based on</w:t>
      </w:r>
    </w:p>
    <w:p>
      <w:pPr>
        <w:ind w:left="120"/>
        <w:spacing w:after="0" w:line="234" w:lineRule="auto"/>
        <w:rPr>
          <w:sz w:val="20"/>
          <w:szCs w:val="20"/>
          <w:color w:val="auto"/>
        </w:rPr>
      </w:pPr>
      <w:r>
        <w:rPr>
          <w:rFonts w:ascii="Arial" w:cs="Arial" w:eastAsia="Arial" w:hAnsi="Arial"/>
          <w:sz w:val="18"/>
          <w:szCs w:val="18"/>
          <w:color w:val="3F3F3F"/>
        </w:rPr>
        <w:t>target performance. The estimated value of such equity vesting, assuming a December 31, 2023 termination, would have been</w:t>
      </w:r>
    </w:p>
    <w:p>
      <w:pPr>
        <w:ind w:left="120"/>
        <w:spacing w:after="0" w:line="235" w:lineRule="auto"/>
        <w:rPr>
          <w:sz w:val="20"/>
          <w:szCs w:val="20"/>
          <w:color w:val="auto"/>
        </w:rPr>
      </w:pPr>
      <w:r>
        <w:rPr>
          <w:rFonts w:ascii="Arial" w:cs="Arial" w:eastAsia="Arial" w:hAnsi="Arial"/>
          <w:sz w:val="18"/>
          <w:szCs w:val="18"/>
          <w:color w:val="3F3F3F"/>
        </w:rPr>
        <w:t>$19,813,115. Mr. Malik is not entitled to cash severance payments in connection with a termination of employment due to death 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29450" cy="68580"/>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73 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b w:val="1"/>
          <w:bCs w:val="1"/>
          <w:i w:val="1"/>
          <w:iCs w:val="1"/>
          <w:color w:val="3F3F3F"/>
        </w:rPr>
        <w:t xml:space="preserve">Termination in Connection with a Change in Control. </w:t>
      </w:r>
      <w:r>
        <w:rPr>
          <w:rFonts w:ascii="Arial" w:cs="Arial" w:eastAsia="Arial" w:hAnsi="Arial"/>
          <w:sz w:val="18"/>
          <w:szCs w:val="18"/>
          <w:color w:val="3F3F3F"/>
        </w:rPr>
        <w:t>If Mr. Malik incurred a CIC Termination on December 31, 2023, he would have</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been entitled to a payment equal to two times the sum of his base salary and his target annual bonus in effect at the time of such termination, payable in equal periodic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$5,939,788 in respect of cash severance and other benefits and $19,813,115 in respect of the vesting of his equity awards.</w:t>
      </w:r>
    </w:p>
    <w:p>
      <w:pPr>
        <w:spacing w:after="0" w:line="98"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3F3F3F"/>
        </w:rPr>
        <w:t>As described above in “Leadership Transitions – Other Executive Transitions” on page 50, on October 20, 2023, Mr. Malik entered into a retirement and operating consulting agreement with Viatris pursuant to which he retired from the Company effective as of April 1, 2024. Mr. Malik’s retirement and operating consulting agreement provided for a prorated annual bonus for 2024 based on actual Company performance, twenty-four (24) months of continued health and other benefits (the cost of which is approximately $2,100 per month), after which he is entitled to participate in the Company’s Supplemental Health Insurance Plan for certain retired executives, and that his currently outstanding equity awards will continue vesting during his service on the Board and as a consultant, subject to acceleration described above under “Termination Without Cause Absent a Change in Control” in the event that he is not nominated or re-elected to the Board, is involuntarily terminated as an operating consultant, or voluntarily resigns from the Board on or after the end of the term of office following the 2023 Annual General Meeting, subject to a release of claims and other customary conditions.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Anthony Mauro</w:t>
      </w:r>
    </w:p>
    <w:p>
      <w:pPr>
        <w:spacing w:after="0" w:line="14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3F3F3F"/>
        </w:rPr>
        <w:t>Mr. Mauro is entitled to severance payments and benefits upon certain terminations of employment pursuant to an agreement with Viatris, the Severance Plan, and his equity award agreements with Viatris.</w:t>
      </w:r>
    </w:p>
    <w:p>
      <w:pPr>
        <w:spacing w:after="0" w:line="86"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b w:val="1"/>
          <w:bCs w:val="1"/>
          <w:i w:val="1"/>
          <w:iCs w:val="1"/>
          <w:color w:val="3F3F3F"/>
        </w:rPr>
        <w:t xml:space="preserve">Termination Without Cause Absent a Change in Control. </w:t>
      </w:r>
      <w:r>
        <w:rPr>
          <w:rFonts w:ascii="Arial" w:cs="Arial" w:eastAsia="Arial" w:hAnsi="Arial"/>
          <w:sz w:val="18"/>
          <w:szCs w:val="18"/>
          <w:color w:val="3F3F3F"/>
        </w:rPr>
        <w:t>If Mr. Mauro’s employment was terminated on December 31, 2023 by Viatris</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without cause, he would have been entitled to a lump-sum cash payment equal of $3,698,000, twenty-four (24) months of continued health and other benefits, and eligibility for continued vesting of a prorated number of his PRSUs granted in 2023 based on actual Company performance. The estimated values of such payments and benefits, assuming a December 31, 2023 termination of employment, would have been $3,788,411 in respect of cash severance and other benefits and $760,956 in respect of the vesting of his PRSUs granted in 2023 (assuming target performance).</w:t>
      </w:r>
    </w:p>
    <w:p>
      <w:pPr>
        <w:spacing w:after="0" w:line="98"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b w:val="1"/>
          <w:bCs w:val="1"/>
          <w:i w:val="1"/>
          <w:iCs w:val="1"/>
          <w:color w:val="3F3F3F"/>
        </w:rPr>
        <w:t xml:space="preserve">Termination Due to Death or Disability Absent a Change in Control. </w:t>
      </w:r>
      <w:r>
        <w:rPr>
          <w:rFonts w:ascii="Arial" w:cs="Arial" w:eastAsia="Arial" w:hAnsi="Arial"/>
          <w:sz w:val="18"/>
          <w:szCs w:val="18"/>
          <w:color w:val="3F3F3F"/>
        </w:rPr>
        <w:t>If Mr. Mauro’s employment was terminated on December 31,</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2023 due to death or disability, he would have been entitled to full vesting of his unvested equity awards (with any PRSUs vesting based on target performance). The estimated value of such equity vesting, assuming a December 31, 2023 termination, would have been $8,778,636. Mr. Mauro is not entitled to cash severance payments in connection with a termination of employment due to death or disability.</w:t>
      </w:r>
    </w:p>
    <w:p>
      <w:pPr>
        <w:spacing w:after="0" w:line="109"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b w:val="1"/>
          <w:bCs w:val="1"/>
          <w:i w:val="1"/>
          <w:iCs w:val="1"/>
          <w:color w:val="3F3F3F"/>
        </w:rPr>
        <w:t xml:space="preserve">Termination in Connection with a Change in Control. </w:t>
      </w:r>
      <w:r>
        <w:rPr>
          <w:rFonts w:ascii="Arial" w:cs="Arial" w:eastAsia="Arial" w:hAnsi="Arial"/>
          <w:sz w:val="18"/>
          <w:szCs w:val="18"/>
          <w:color w:val="3F3F3F"/>
        </w:rPr>
        <w:t>If Mr. Mauro incurred a CIC Termination on December 31, 2023, he would have</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been entitled to a payment equal to two times the sum of his base salary and his target annual bonus in effect at the time of such termination, payable in equal periodic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$3,788,411 in respect of cash severance and other benefits and $8,778,636 in respect of the vesting of his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66" w:lineRule="auto"/>
        <w:rPr>
          <w:sz w:val="20"/>
          <w:szCs w:val="20"/>
          <w:color w:val="auto"/>
        </w:rPr>
      </w:pPr>
      <w:r>
        <w:rPr>
          <w:rFonts w:ascii="Arial" w:cs="Arial" w:eastAsia="Arial" w:hAnsi="Arial"/>
          <w:sz w:val="17"/>
          <w:szCs w:val="17"/>
          <w:color w:val="3F3F3F"/>
        </w:rPr>
        <w:t>As described above in “Leadership Transitions – Other Executive Transitions” on page 50, on October 20, 2023, Mr. Mauro entered into a separation agreement with Viatris pursuant to which he departed from the Company effective as of April 1, 2024. Mr. Mauro’s separation agreement provided for the benefits described above under “Termination Without Cause Absent a Change in Control” in addition to a prorated annual bonus for 2024 based on actual Company performance, subject to a release of claims and other customary conditions.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Brian Roman</w:t>
      </w:r>
    </w:p>
    <w:p>
      <w:pPr>
        <w:spacing w:after="0" w:line="135"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3F3F3F"/>
        </w:rPr>
        <w:t>Mr. Roman is entitled to severance payments and benefits upon certain terminations of employment pursuant to the Severance Plan and his equity award agreements with Viatris.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3F3F3F"/>
        </w:rPr>
        <w:t xml:space="preserve">Termination Without Cause Absent a Change in Control. </w:t>
      </w:r>
      <w:r>
        <w:rPr>
          <w:rFonts w:ascii="Arial" w:cs="Arial" w:eastAsia="Arial" w:hAnsi="Arial"/>
          <w:sz w:val="17"/>
          <w:szCs w:val="17"/>
          <w:color w:val="3F3F3F"/>
        </w:rPr>
        <w:t>If Mr. Roman’s employment was terminated on December 31, 2023 by Viatris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without cause, he would have been entitled to twelve (12) months of base salary continuation, twelve (12) months of continued health and</w:t>
      </w:r>
    </w:p>
    <w:p>
      <w:pPr>
        <w:ind w:left="120"/>
        <w:spacing w:after="0" w:line="234" w:lineRule="auto"/>
        <w:rPr>
          <w:sz w:val="20"/>
          <w:szCs w:val="20"/>
          <w:color w:val="auto"/>
        </w:rPr>
      </w:pPr>
      <w:r>
        <w:rPr>
          <w:rFonts w:ascii="Arial" w:cs="Arial" w:eastAsia="Arial" w:hAnsi="Arial"/>
          <w:sz w:val="18"/>
          <w:szCs w:val="18"/>
          <w:color w:val="3F3F3F"/>
        </w:rPr>
        <w:t>other benefits, and eligibility for continued vesting of a prorated number of his PRSUs granted in 2023 based on actual Company</w:t>
      </w:r>
    </w:p>
    <w:p>
      <w:pPr>
        <w:ind w:left="120"/>
        <w:spacing w:after="0" w:line="235" w:lineRule="auto"/>
        <w:rPr>
          <w:sz w:val="20"/>
          <w:szCs w:val="20"/>
          <w:color w:val="auto"/>
        </w:rPr>
      </w:pPr>
      <w:r>
        <w:rPr>
          <w:rFonts w:ascii="Arial" w:cs="Arial" w:eastAsia="Arial" w:hAnsi="Arial"/>
          <w:sz w:val="18"/>
          <w:szCs w:val="18"/>
          <w:color w:val="3F3F3F"/>
        </w:rPr>
        <w:t>performance. The estimated values of such payments, assuming a December 31, 2023 termination of employment, would have been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3F3F3F"/>
        </w:rPr>
        <w:t>$865,206 in respect of cash severance and other benefits and $353,935 in respect of the vesting of his PRSUs granted in 2023 (assuming</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target performance).</w:t>
      </w:r>
    </w:p>
    <w:p>
      <w:pPr>
        <w:spacing w:after="0" w:line="12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3F3F3F"/>
        </w:rPr>
        <w:t xml:space="preserve">Termination Due to Death or Disability Absent a Change in Control. </w:t>
      </w:r>
      <w:r>
        <w:rPr>
          <w:rFonts w:ascii="Arial" w:cs="Arial" w:eastAsia="Arial" w:hAnsi="Arial"/>
          <w:sz w:val="18"/>
          <w:szCs w:val="18"/>
          <w:color w:val="3F3F3F"/>
        </w:rPr>
        <w:t>If Mr. Roman’s employment was terminated on December 31,</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2023 due to death or disability, he would have been entitled to full vesting of his unvested equity awards (with any PRSUs vesting based on target performance). The estimated values of such equity vesting, assuming a December 31, 2023 termination, would have been $4,039,634. Mr. Roman is not entitled to cash severance payments in connection with a termination of employment due to death or disability.</w:t>
      </w:r>
    </w:p>
    <w:p>
      <w:pPr>
        <w:spacing w:after="0" w:line="95"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b w:val="1"/>
          <w:bCs w:val="1"/>
          <w:i w:val="1"/>
          <w:iCs w:val="1"/>
          <w:color w:val="3F3F3F"/>
        </w:rPr>
        <w:t xml:space="preserve">Termination in Connection with a Change in Control. </w:t>
      </w:r>
      <w:r>
        <w:rPr>
          <w:rFonts w:ascii="Arial" w:cs="Arial" w:eastAsia="Arial" w:hAnsi="Arial"/>
          <w:sz w:val="18"/>
          <w:szCs w:val="18"/>
          <w:color w:val="3F3F3F"/>
        </w:rPr>
        <w:t>If Mr. Roman incurred a CIC Termination on December 31, 2023, he would have</w:t>
      </w:r>
      <w:r>
        <w:rPr>
          <w:rFonts w:ascii="Arial" w:cs="Arial" w:eastAsia="Arial" w:hAnsi="Arial"/>
          <w:sz w:val="18"/>
          <w:szCs w:val="18"/>
          <w:b w:val="1"/>
          <w:bCs w:val="1"/>
          <w:i w:val="1"/>
          <w:iCs w:val="1"/>
          <w:color w:val="3F3F3F"/>
        </w:rPr>
        <w:t xml:space="preserve"> </w:t>
      </w:r>
      <w:r>
        <w:rPr>
          <w:rFonts w:ascii="Arial" w:cs="Arial" w:eastAsia="Arial" w:hAnsi="Arial"/>
          <w:sz w:val="18"/>
          <w:szCs w:val="18"/>
          <w:color w:val="3F3F3F"/>
        </w:rPr>
        <w:t>been entitled to a payment equal to two times the sum of his base salary and his target annual bonus in effect at the time of such termination, payable in equal periodic installments, twenty-four (24) months of continued health and other benefits, and full vesting of his unvested equity awards with any PRSUs vesting based on target performance. The estimated values of such payments and benefits, assuming a December 31, 2023 CIC Termination, would have been $3,290,411 in respect of cash severance and other benefits and $4,039,634 in respect of the vesting of his equity awards.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Michael Goettler</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As described above in “Leadership Transitions – Other Executive Transitions” on page 50, on February 24, 2023, Mr. Goettler entered into a separation agreement with Viatris pursuant to which he ceased to serve as CEO and on the Board, in each case, effective as of April 1, 2023. Mr. Goettler’s separation agreement provided for separation benefits payable in accordance with the terms of his previously disclosed letter agreement with Viatris, including a cash payment equal to $8,125,000 payable in the form of installments over a period of two and a half (2.5) years, a prorated annual bonus for 2023 in the amount of $886,326, and thirty-six (36) months of continued health and other benefits (the cost of which is approximately $1,150 per month). Mr. Goettler is also eligible for reimbursement of reasonable relocation-related expenses.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Robert J. Coury</w:t>
      </w:r>
    </w:p>
    <w:p>
      <w:pPr>
        <w:spacing w:after="0" w:line="135"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3F3F3F"/>
        </w:rPr>
        <w:t>As described above in “Leadership Transitions – Executive Chairman Transition” on page 50, in 2023, the Board approached Mr.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75 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created). In connection with this transition, Mr. Coury was treated as separating from employment for “good reason” for severance benefit purposes (as defined in, and pursuant to, his Executive Employment Agreement). Mr. Coury has received a lump sum cash payment of $21,286,170, a prorated annual bonus for 2023 in the amount of $5,098,811, continued exercisability of all vested stock options through the full term of such stock option, full vesting of all other unvested equity-based awards, with any PRSUs vesting based on specified performance levels, in the amount of $47,249,454, and thirty-six (36) months of continued health and other benefits (the cost of which is approximately $2,283 per month), after which Mr. Coury is entitled to participate in the Company’s Supplemental Health Insurance Plan for certain retired executives.</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3F3F3F"/>
        </w:rPr>
        <w:t>The Company will also honor the existing compensation rights set forth in Mr. Coury’s Executive Employment Agreement for 2024 and 2025 through an annual advisory fee of $15 million, paid in monthly installments. Amounts paid to Mr. Coury were required pursuant to his existing employment agreement upon a resignation for “good reason” and the consulting payments represent the Company honoring the economic entitlements of that agreement through its scheduled duration. The Board believes and anticipates that the value of the compensation is commensurate with the value and benefits to be received by the Company from Mr. Coury’s agreement. To the extent Mr. Coury’s agreement is terminated by Mr. Coury upon a resignation for good reason or by the Company without cause or due to</w:t>
      </w:r>
    </w:p>
    <w:p>
      <w:pPr>
        <w:spacing w:after="0" w:line="1" w:lineRule="exact"/>
        <w:rPr>
          <w:sz w:val="20"/>
          <w:szCs w:val="20"/>
          <w:color w:val="auto"/>
        </w:rPr>
      </w:pPr>
    </w:p>
    <w:p>
      <w:pPr>
        <w:ind w:left="120" w:right="520"/>
        <w:spacing w:after="0" w:line="250" w:lineRule="auto"/>
        <w:rPr>
          <w:sz w:val="20"/>
          <w:szCs w:val="20"/>
          <w:color w:val="auto"/>
        </w:rPr>
      </w:pPr>
      <w:r>
        <w:rPr>
          <w:rFonts w:ascii="Arial" w:cs="Arial" w:eastAsia="Arial" w:hAnsi="Arial"/>
          <w:sz w:val="18"/>
          <w:szCs w:val="18"/>
          <w:color w:val="3F3F3F"/>
        </w:rPr>
        <w:t>Mr. Coury’s death or disability, any unpaid portion of the annual consulting fee for the remainder of the consulting period will become payable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7029450" cy="68580"/>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CEO Pay Ratio</w:t>
      </w:r>
    </w:p>
    <w:p>
      <w:pPr>
        <w:spacing w:after="0" w:line="216"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3F3F3F"/>
        </w:rPr>
        <w:t>Pursuant to Item 402(u) of Regulation S-K, we are providing the following information about the relationship of the annual total compensation of our global employee population and the annual total compensation of our CEO, Scott A. Smith, for 2023. The pay ratio included in this information is a reasonable estimate calculated in a manner consistent with Regulation S-K Item 402(u).</w:t>
      </w:r>
    </w:p>
    <w:p>
      <w:pPr>
        <w:spacing w:after="0" w:line="169"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Further to this requirement, under Instruction 2 to Item 402(u), the median-paid employee may be identified once every three years if there is no impact to the pay ratio disclosure. As there were no changes in our employee population (other than the addition of 254 and 3 employees in connection with the completion of the acquisitions of Oyster Point and Famy Life Sciences, respectively, who have been excluded from the employee population for purposes of the pay ratio disclosure as permitted under Instruction 7 to Item 402(u)) or to the median-paid employee’s compensation arrangements in 2023 that would affect the pay ratio disclosure, the employee representing the median-paid employee is the same employee selected for the Company’s 2023 proxy statement. We collected the 2023 annual total compensation for the median employee using the same methodology we use for our NEOs as disclosed in the Summary Compensation Table on page 64.</w:t>
      </w:r>
    </w:p>
    <w:p>
      <w:pPr>
        <w:spacing w:after="0" w:line="180"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Total annual compensation for the median employee was $36,903 and is calculated according to the disclosure requirements of Item 402(u) of Regulation S-K under the Exchange Act and includes base salary, annual incentive, equity awards, change in pension values and other compensation such as perquisites and medical benefits. Given that Mr. Smith was appointed CEO, effective as of April 1, 2023, the total annual compensation solely for purposes of the pay ratio disclosure was $17,316,131, which consists of the “Total” column for the Summary Compensation Table, subject to the following adjustments: (i) annualizing “Salary”, “Non-Equity Incentive Plan Compensation” and recurring “All Other Compensation”; (ii) not annualizing “Stock Awards” or non-recurring “All Other Compensation”; and (iii) excluding compensation earned in respect of services prior to Mr. Smith’s appointment as CEO ($37,500). As a result, the ratio of median employee total annual compensation to CEO total annual compensation was 469 to 1.</w:t>
      </w:r>
    </w:p>
    <w:p>
      <w:pPr>
        <w:spacing w:after="0" w:line="180"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77 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Pay Versus Performance</w:t>
      </w:r>
    </w:p>
    <w:p>
      <w:pPr>
        <w:spacing w:after="0" w:line="135"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As required by Section 953(a) of the Dodd-Frank Wall Street Reform and Consumer Protection Act and Item 402(v) of Regulation S-K, we are providing the following disclosure regarding executive compensation for our principal executive officers (“PEO 1” and “PEO 2” and, together, the “PEOs”) and non-PEO NEOs and Company performance for the fiscal years listed below. For further information concerning the Company’s variable pay-for-performance philosophy and how the Company aligns executive compensation with the Company’s performance, refer to “Compensation Discussion and Analysis” beginning on page 48.</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Pay Versus Performance (“PVP”) Table</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60" w:type="dxa"/>
            <w:vAlign w:val="bottom"/>
            <w:shd w:val="clear" w:color="auto" w:fill="732282"/>
          </w:tcPr>
          <w:p>
            <w:pPr>
              <w:spacing w:after="0"/>
              <w:rPr>
                <w:sz w:val="17"/>
                <w:szCs w:val="17"/>
                <w:color w:val="auto"/>
              </w:rPr>
            </w:pPr>
          </w:p>
        </w:tc>
        <w:tc>
          <w:tcPr>
            <w:tcW w:w="1240" w:type="dxa"/>
            <w:vAlign w:val="bottom"/>
            <w:shd w:val="clear" w:color="auto" w:fill="732282"/>
          </w:tcPr>
          <w:p>
            <w:pPr>
              <w:spacing w:after="0"/>
              <w:rPr>
                <w:sz w:val="17"/>
                <w:szCs w:val="17"/>
                <w:color w:val="auto"/>
              </w:rPr>
            </w:pPr>
          </w:p>
        </w:tc>
        <w:tc>
          <w:tcPr>
            <w:tcW w:w="1220" w:type="dxa"/>
            <w:vAlign w:val="bottom"/>
            <w:shd w:val="clear" w:color="auto" w:fill="732282"/>
          </w:tcPr>
          <w:p>
            <w:pPr>
              <w:spacing w:after="0"/>
              <w:rPr>
                <w:sz w:val="17"/>
                <w:szCs w:val="17"/>
                <w:color w:val="auto"/>
              </w:rPr>
            </w:pPr>
          </w:p>
        </w:tc>
        <w:tc>
          <w:tcPr>
            <w:tcW w:w="940" w:type="dxa"/>
            <w:vAlign w:val="bottom"/>
            <w:shd w:val="clear" w:color="auto" w:fill="732282"/>
          </w:tcPr>
          <w:p>
            <w:pPr>
              <w:spacing w:after="0"/>
              <w:rPr>
                <w:sz w:val="17"/>
                <w:szCs w:val="17"/>
                <w:color w:val="auto"/>
              </w:rPr>
            </w:pPr>
          </w:p>
        </w:tc>
        <w:tc>
          <w:tcPr>
            <w:tcW w:w="1240" w:type="dxa"/>
            <w:vAlign w:val="bottom"/>
            <w:shd w:val="clear" w:color="auto" w:fill="732282"/>
          </w:tcPr>
          <w:p>
            <w:pPr>
              <w:spacing w:after="0"/>
              <w:rPr>
                <w:sz w:val="17"/>
                <w:szCs w:val="17"/>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Average</w:t>
            </w:r>
          </w:p>
        </w:tc>
        <w:tc>
          <w:tcPr>
            <w:tcW w:w="1200" w:type="dxa"/>
            <w:vAlign w:val="bottom"/>
            <w:shd w:val="clear" w:color="auto" w:fill="732282"/>
          </w:tcPr>
          <w:p>
            <w:pPr>
              <w:spacing w:after="0"/>
              <w:rPr>
                <w:sz w:val="17"/>
                <w:szCs w:val="17"/>
                <w:color w:val="auto"/>
              </w:rPr>
            </w:pPr>
          </w:p>
        </w:tc>
        <w:tc>
          <w:tcPr>
            <w:tcW w:w="920" w:type="dxa"/>
            <w:vAlign w:val="bottom"/>
            <w:shd w:val="clear" w:color="auto" w:fill="732282"/>
          </w:tcPr>
          <w:p>
            <w:pPr>
              <w:spacing w:after="0"/>
              <w:rPr>
                <w:sz w:val="17"/>
                <w:szCs w:val="17"/>
                <w:color w:val="auto"/>
              </w:rPr>
            </w:pPr>
          </w:p>
        </w:tc>
        <w:tc>
          <w:tcPr>
            <w:tcW w:w="620" w:type="dxa"/>
            <w:vAlign w:val="bottom"/>
            <w:shd w:val="clear" w:color="auto" w:fill="732282"/>
          </w:tcPr>
          <w:p>
            <w:pPr>
              <w:spacing w:after="0"/>
              <w:rPr>
                <w:sz w:val="17"/>
                <w:szCs w:val="17"/>
                <w:color w:val="auto"/>
              </w:rPr>
            </w:pPr>
          </w:p>
        </w:tc>
        <w:tc>
          <w:tcPr>
            <w:tcW w:w="820" w:type="dxa"/>
            <w:vAlign w:val="bottom"/>
            <w:shd w:val="clear" w:color="auto" w:fill="732282"/>
          </w:tcPr>
          <w:p>
            <w:pPr>
              <w:spacing w:after="0"/>
              <w:rPr>
                <w:sz w:val="17"/>
                <w:szCs w:val="17"/>
                <w:color w:val="auto"/>
              </w:rPr>
            </w:pPr>
          </w:p>
        </w:tc>
        <w:tc>
          <w:tcPr>
            <w:tcW w:w="840" w:type="dxa"/>
            <w:vAlign w:val="bottom"/>
            <w:shd w:val="clear" w:color="auto" w:fill="732282"/>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 w:type="dxa"/>
            <w:vAlign w:val="bottom"/>
            <w:shd w:val="clear" w:color="auto" w:fill="732282"/>
          </w:tcPr>
          <w:p>
            <w:pPr>
              <w:spacing w:after="0"/>
              <w:rPr>
                <w:sz w:val="14"/>
                <w:szCs w:val="14"/>
                <w:color w:val="auto"/>
              </w:rPr>
            </w:pPr>
          </w:p>
        </w:tc>
        <w:tc>
          <w:tcPr>
            <w:tcW w:w="1240" w:type="dxa"/>
            <w:vAlign w:val="bottom"/>
            <w:shd w:val="clear" w:color="auto" w:fill="732282"/>
          </w:tcPr>
          <w:p>
            <w:pPr>
              <w:spacing w:after="0"/>
              <w:rPr>
                <w:sz w:val="14"/>
                <w:szCs w:val="14"/>
                <w:color w:val="auto"/>
              </w:rPr>
            </w:pPr>
          </w:p>
        </w:tc>
        <w:tc>
          <w:tcPr>
            <w:tcW w:w="122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240" w:type="dxa"/>
            <w:vAlign w:val="bottom"/>
            <w:shd w:val="clear" w:color="auto" w:fill="732282"/>
          </w:tcPr>
          <w:p>
            <w:pPr>
              <w:spacing w:after="0"/>
              <w:rPr>
                <w:sz w:val="14"/>
                <w:szCs w:val="14"/>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Summary</w:t>
            </w:r>
          </w:p>
        </w:tc>
        <w:tc>
          <w:tcPr>
            <w:tcW w:w="1200" w:type="dxa"/>
            <w:vAlign w:val="bottom"/>
            <w:shd w:val="clear" w:color="auto" w:fill="732282"/>
          </w:tcPr>
          <w:p>
            <w:pPr>
              <w:spacing w:after="0"/>
              <w:rPr>
                <w:sz w:val="14"/>
                <w:szCs w:val="14"/>
                <w:color w:val="auto"/>
              </w:rPr>
            </w:pPr>
          </w:p>
        </w:tc>
        <w:tc>
          <w:tcPr>
            <w:tcW w:w="9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Value of</w:t>
            </w:r>
          </w:p>
        </w:tc>
        <w:tc>
          <w:tcPr>
            <w:tcW w:w="620" w:type="dxa"/>
            <w:vAlign w:val="bottom"/>
            <w:shd w:val="clear" w:color="auto" w:fill="732282"/>
          </w:tcPr>
          <w:p>
            <w:pPr>
              <w:spacing w:after="0"/>
              <w:rPr>
                <w:sz w:val="14"/>
                <w:szCs w:val="14"/>
                <w:color w:val="auto"/>
              </w:rPr>
            </w:pPr>
          </w:p>
        </w:tc>
        <w:tc>
          <w:tcPr>
            <w:tcW w:w="820" w:type="dxa"/>
            <w:vAlign w:val="bottom"/>
            <w:shd w:val="clear" w:color="auto" w:fill="732282"/>
          </w:tcPr>
          <w:p>
            <w:pPr>
              <w:spacing w:after="0"/>
              <w:rPr>
                <w:sz w:val="14"/>
                <w:szCs w:val="14"/>
                <w:color w:val="auto"/>
              </w:rPr>
            </w:pPr>
          </w:p>
        </w:tc>
        <w:tc>
          <w:tcPr>
            <w:tcW w:w="840" w:type="dxa"/>
            <w:vAlign w:val="bottom"/>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60" w:type="dxa"/>
            <w:vAlign w:val="bottom"/>
            <w:shd w:val="clear" w:color="auto" w:fill="732282"/>
          </w:tcPr>
          <w:p>
            <w:pPr>
              <w:spacing w:after="0"/>
              <w:rPr>
                <w:sz w:val="15"/>
                <w:szCs w:val="15"/>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Summary</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Summary</w:t>
            </w: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Compensation</w:t>
            </w:r>
          </w:p>
        </w:tc>
        <w:tc>
          <w:tcPr>
            <w:tcW w:w="124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Compensation</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Compensation</w:t>
            </w:r>
          </w:p>
        </w:tc>
        <w:tc>
          <w:tcPr>
            <w:tcW w:w="120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Average</w:t>
            </w:r>
          </w:p>
        </w:tc>
        <w:tc>
          <w:tcPr>
            <w:tcW w:w="9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Initial</w:t>
            </w:r>
          </w:p>
        </w:tc>
        <w:tc>
          <w:tcPr>
            <w:tcW w:w="620" w:type="dxa"/>
            <w:vAlign w:val="bottom"/>
            <w:shd w:val="clear" w:color="auto" w:fill="732282"/>
          </w:tcPr>
          <w:p>
            <w:pPr>
              <w:spacing w:after="0"/>
              <w:rPr>
                <w:sz w:val="15"/>
                <w:szCs w:val="15"/>
                <w:color w:val="auto"/>
              </w:rPr>
            </w:pPr>
          </w:p>
        </w:tc>
        <w:tc>
          <w:tcPr>
            <w:tcW w:w="820" w:type="dxa"/>
            <w:vAlign w:val="bottom"/>
            <w:shd w:val="clear" w:color="auto" w:fill="732282"/>
          </w:tcPr>
          <w:p>
            <w:pPr>
              <w:spacing w:after="0"/>
              <w:rPr>
                <w:sz w:val="15"/>
                <w:szCs w:val="15"/>
                <w:color w:val="auto"/>
              </w:rPr>
            </w:pPr>
          </w:p>
        </w:tc>
        <w:tc>
          <w:tcPr>
            <w:tcW w:w="840" w:type="dxa"/>
            <w:vAlign w:val="bottom"/>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60" w:type="dxa"/>
            <w:vAlign w:val="bottom"/>
            <w:shd w:val="clear" w:color="auto" w:fill="732282"/>
          </w:tcPr>
          <w:p>
            <w:pPr>
              <w:spacing w:after="0"/>
              <w:rPr>
                <w:sz w:val="10"/>
                <w:szCs w:val="10"/>
                <w:color w:val="auto"/>
              </w:rPr>
            </w:pPr>
          </w:p>
        </w:tc>
        <w:tc>
          <w:tcPr>
            <w:tcW w:w="1240" w:type="dxa"/>
            <w:vAlign w:val="bottom"/>
            <w:shd w:val="clear" w:color="auto" w:fill="732282"/>
          </w:tcPr>
          <w:p>
            <w:pPr>
              <w:jc w:val="center"/>
              <w:spacing w:after="0" w:line="121" w:lineRule="exact"/>
              <w:rPr>
                <w:sz w:val="20"/>
                <w:szCs w:val="20"/>
                <w:color w:val="auto"/>
              </w:rPr>
            </w:pPr>
            <w:r>
              <w:rPr>
                <w:rFonts w:ascii="Arial" w:cs="Arial" w:eastAsia="Arial" w:hAnsi="Arial"/>
                <w:sz w:val="13"/>
                <w:szCs w:val="13"/>
                <w:b w:val="1"/>
                <w:bCs w:val="1"/>
                <w:color w:val="FFFFFF"/>
              </w:rPr>
              <w:t>Compensation</w:t>
            </w:r>
          </w:p>
        </w:tc>
        <w:tc>
          <w:tcPr>
            <w:tcW w:w="1220" w:type="dxa"/>
            <w:vAlign w:val="bottom"/>
            <w:shd w:val="clear" w:color="auto" w:fill="732282"/>
          </w:tcPr>
          <w:p>
            <w:pPr>
              <w:jc w:val="center"/>
              <w:spacing w:after="0" w:line="121" w:lineRule="exact"/>
              <w:rPr>
                <w:sz w:val="20"/>
                <w:szCs w:val="20"/>
                <w:color w:val="auto"/>
              </w:rPr>
            </w:pPr>
            <w:r>
              <w:rPr>
                <w:rFonts w:ascii="Arial" w:cs="Arial" w:eastAsia="Arial" w:hAnsi="Arial"/>
                <w:sz w:val="13"/>
                <w:szCs w:val="13"/>
                <w:b w:val="1"/>
                <w:bCs w:val="1"/>
                <w:color w:val="FFFFFF"/>
              </w:rPr>
              <w:t>Compensation</w:t>
            </w:r>
          </w:p>
        </w:tc>
        <w:tc>
          <w:tcPr>
            <w:tcW w:w="940" w:type="dxa"/>
            <w:vAlign w:val="bottom"/>
            <w:vMerge w:val="continue"/>
            <w:shd w:val="clear" w:color="auto" w:fill="732282"/>
          </w:tcPr>
          <w:p>
            <w:pPr>
              <w:spacing w:after="0"/>
              <w:rPr>
                <w:sz w:val="10"/>
                <w:szCs w:val="10"/>
                <w:color w:val="auto"/>
              </w:rPr>
            </w:pPr>
          </w:p>
        </w:tc>
        <w:tc>
          <w:tcPr>
            <w:tcW w:w="1240" w:type="dxa"/>
            <w:vAlign w:val="bottom"/>
            <w:vMerge w:val="continue"/>
            <w:shd w:val="clear" w:color="auto" w:fill="732282"/>
          </w:tcPr>
          <w:p>
            <w:pPr>
              <w:spacing w:after="0"/>
              <w:rPr>
                <w:sz w:val="10"/>
                <w:szCs w:val="10"/>
                <w:color w:val="auto"/>
              </w:rPr>
            </w:pPr>
          </w:p>
        </w:tc>
        <w:tc>
          <w:tcPr>
            <w:tcW w:w="122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200" w:type="dxa"/>
            <w:vAlign w:val="bottom"/>
            <w:shd w:val="clear" w:color="auto" w:fill="732282"/>
          </w:tcPr>
          <w:p>
            <w:pPr>
              <w:jc w:val="center"/>
              <w:spacing w:after="0" w:line="121" w:lineRule="exact"/>
              <w:rPr>
                <w:sz w:val="20"/>
                <w:szCs w:val="20"/>
                <w:color w:val="auto"/>
              </w:rPr>
            </w:pPr>
            <w:r>
              <w:rPr>
                <w:rFonts w:ascii="Arial" w:cs="Arial" w:eastAsia="Arial" w:hAnsi="Arial"/>
                <w:sz w:val="13"/>
                <w:szCs w:val="13"/>
                <w:b w:val="1"/>
                <w:bCs w:val="1"/>
                <w:color w:val="FFFFFF"/>
              </w:rPr>
              <w:t>Compensation</w:t>
            </w:r>
          </w:p>
        </w:tc>
        <w:tc>
          <w:tcPr>
            <w:tcW w:w="920" w:type="dxa"/>
            <w:vAlign w:val="bottom"/>
            <w:shd w:val="clear" w:color="auto" w:fill="732282"/>
          </w:tcPr>
          <w:p>
            <w:pPr>
              <w:jc w:val="center"/>
              <w:spacing w:after="0" w:line="121" w:lineRule="exact"/>
              <w:rPr>
                <w:sz w:val="20"/>
                <w:szCs w:val="20"/>
                <w:color w:val="auto"/>
              </w:rPr>
            </w:pPr>
            <w:r>
              <w:rPr>
                <w:rFonts w:ascii="Arial" w:cs="Arial" w:eastAsia="Arial" w:hAnsi="Arial"/>
                <w:sz w:val="13"/>
                <w:szCs w:val="13"/>
                <w:b w:val="1"/>
                <w:bCs w:val="1"/>
                <w:color w:val="FFFFFF"/>
              </w:rPr>
              <w:t>Fixed $100</w:t>
            </w:r>
          </w:p>
        </w:tc>
        <w:tc>
          <w:tcPr>
            <w:tcW w:w="620" w:type="dxa"/>
            <w:vAlign w:val="bottom"/>
            <w:shd w:val="clear" w:color="auto" w:fill="732282"/>
          </w:tcPr>
          <w:p>
            <w:pPr>
              <w:spacing w:after="0"/>
              <w:rPr>
                <w:sz w:val="10"/>
                <w:szCs w:val="10"/>
                <w:color w:val="auto"/>
              </w:rPr>
            </w:pPr>
          </w:p>
        </w:tc>
        <w:tc>
          <w:tcPr>
            <w:tcW w:w="820" w:type="dxa"/>
            <w:vAlign w:val="bottom"/>
            <w:shd w:val="clear" w:color="auto" w:fill="732282"/>
          </w:tcPr>
          <w:p>
            <w:pPr>
              <w:spacing w:after="0"/>
              <w:rPr>
                <w:sz w:val="10"/>
                <w:szCs w:val="10"/>
                <w:color w:val="auto"/>
              </w:rPr>
            </w:pPr>
          </w:p>
        </w:tc>
        <w:tc>
          <w:tcPr>
            <w:tcW w:w="840" w:type="dxa"/>
            <w:vAlign w:val="bottom"/>
            <w:shd w:val="clear" w:color="auto" w:fill="732282"/>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60" w:type="dxa"/>
            <w:vAlign w:val="bottom"/>
            <w:shd w:val="clear" w:color="auto" w:fill="732282"/>
          </w:tcPr>
          <w:p>
            <w:pPr>
              <w:spacing w:after="0"/>
              <w:rPr>
                <w:sz w:val="10"/>
                <w:szCs w:val="10"/>
                <w:color w:val="auto"/>
              </w:rPr>
            </w:pPr>
          </w:p>
        </w:tc>
        <w:tc>
          <w:tcPr>
            <w:tcW w:w="124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9"/>
              </w:rPr>
              <w:t>Table Total</w:t>
            </w:r>
          </w:p>
        </w:tc>
        <w:tc>
          <w:tcPr>
            <w:tcW w:w="122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Table Total</w:t>
            </w:r>
          </w:p>
        </w:tc>
        <w:tc>
          <w:tcPr>
            <w:tcW w:w="94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Actually Paid</w:t>
            </w:r>
          </w:p>
        </w:tc>
        <w:tc>
          <w:tcPr>
            <w:tcW w:w="124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Actually Paid</w:t>
            </w:r>
          </w:p>
        </w:tc>
        <w:tc>
          <w:tcPr>
            <w:tcW w:w="1220" w:type="dxa"/>
            <w:vAlign w:val="bottom"/>
            <w:vMerge w:val="continue"/>
            <w:shd w:val="clear" w:color="auto" w:fill="732282"/>
          </w:tcPr>
          <w:p>
            <w:pPr>
              <w:spacing w:after="0"/>
              <w:rPr>
                <w:sz w:val="10"/>
                <w:szCs w:val="10"/>
                <w:color w:val="auto"/>
              </w:rPr>
            </w:pPr>
          </w:p>
        </w:tc>
        <w:tc>
          <w:tcPr>
            <w:tcW w:w="120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Actually Paid</w:t>
            </w:r>
          </w:p>
        </w:tc>
        <w:tc>
          <w:tcPr>
            <w:tcW w:w="92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Investment</w:t>
            </w:r>
          </w:p>
        </w:tc>
        <w:tc>
          <w:tcPr>
            <w:tcW w:w="620" w:type="dxa"/>
            <w:vAlign w:val="bottom"/>
            <w:vMerge w:val="restart"/>
            <w:shd w:val="clear" w:color="auto" w:fill="732282"/>
          </w:tcPr>
          <w:p>
            <w:pPr>
              <w:ind w:left="140"/>
              <w:spacing w:after="0"/>
              <w:rPr>
                <w:sz w:val="20"/>
                <w:szCs w:val="20"/>
                <w:color w:val="auto"/>
              </w:rPr>
            </w:pPr>
            <w:r>
              <w:rPr>
                <w:rFonts w:ascii="Arial" w:cs="Arial" w:eastAsia="Arial" w:hAnsi="Arial"/>
                <w:sz w:val="13"/>
                <w:szCs w:val="13"/>
                <w:b w:val="1"/>
                <w:bCs w:val="1"/>
                <w:color w:val="FFFFFF"/>
              </w:rPr>
              <w:t>Peer</w:t>
            </w:r>
          </w:p>
        </w:tc>
        <w:tc>
          <w:tcPr>
            <w:tcW w:w="820" w:type="dxa"/>
            <w:vAlign w:val="bottom"/>
            <w:shd w:val="clear" w:color="auto" w:fill="732282"/>
          </w:tcPr>
          <w:p>
            <w:pPr>
              <w:spacing w:after="0"/>
              <w:rPr>
                <w:sz w:val="10"/>
                <w:szCs w:val="10"/>
                <w:color w:val="auto"/>
              </w:rPr>
            </w:pPr>
          </w:p>
        </w:tc>
        <w:tc>
          <w:tcPr>
            <w:tcW w:w="840" w:type="dxa"/>
            <w:vAlign w:val="bottom"/>
            <w:shd w:val="clear" w:color="auto" w:fill="732282"/>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760" w:type="dxa"/>
            <w:vAlign w:val="bottom"/>
            <w:shd w:val="clear" w:color="auto" w:fill="732282"/>
          </w:tcPr>
          <w:p>
            <w:pPr>
              <w:spacing w:after="0"/>
              <w:rPr>
                <w:sz w:val="2"/>
                <w:szCs w:val="2"/>
                <w:color w:val="auto"/>
              </w:rPr>
            </w:pPr>
          </w:p>
        </w:tc>
        <w:tc>
          <w:tcPr>
            <w:tcW w:w="1240" w:type="dxa"/>
            <w:vAlign w:val="bottom"/>
            <w:vMerge w:val="continue"/>
            <w:shd w:val="clear" w:color="auto" w:fill="732282"/>
          </w:tcPr>
          <w:p>
            <w:pPr>
              <w:spacing w:after="0"/>
              <w:rPr>
                <w:sz w:val="2"/>
                <w:szCs w:val="2"/>
                <w:color w:val="auto"/>
              </w:rPr>
            </w:pPr>
          </w:p>
        </w:tc>
        <w:tc>
          <w:tcPr>
            <w:tcW w:w="1220" w:type="dxa"/>
            <w:vAlign w:val="bottom"/>
            <w:vMerge w:val="continue"/>
            <w:shd w:val="clear" w:color="auto" w:fill="732282"/>
          </w:tcPr>
          <w:p>
            <w:pPr>
              <w:spacing w:after="0"/>
              <w:rPr>
                <w:sz w:val="2"/>
                <w:szCs w:val="2"/>
                <w:color w:val="auto"/>
              </w:rPr>
            </w:pPr>
          </w:p>
        </w:tc>
        <w:tc>
          <w:tcPr>
            <w:tcW w:w="940" w:type="dxa"/>
            <w:vAlign w:val="bottom"/>
            <w:vMerge w:val="continue"/>
            <w:shd w:val="clear" w:color="auto" w:fill="732282"/>
          </w:tcPr>
          <w:p>
            <w:pPr>
              <w:spacing w:after="0"/>
              <w:rPr>
                <w:sz w:val="2"/>
                <w:szCs w:val="2"/>
                <w:color w:val="auto"/>
              </w:rPr>
            </w:pPr>
          </w:p>
        </w:tc>
        <w:tc>
          <w:tcPr>
            <w:tcW w:w="1240" w:type="dxa"/>
            <w:vAlign w:val="bottom"/>
            <w:vMerge w:val="continue"/>
            <w:shd w:val="clear" w:color="auto" w:fill="732282"/>
          </w:tcPr>
          <w:p>
            <w:pPr>
              <w:spacing w:after="0"/>
              <w:rPr>
                <w:sz w:val="2"/>
                <w:szCs w:val="2"/>
                <w:color w:val="auto"/>
              </w:rPr>
            </w:pPr>
          </w:p>
        </w:tc>
        <w:tc>
          <w:tcPr>
            <w:tcW w:w="122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Non-PEO</w:t>
            </w:r>
          </w:p>
        </w:tc>
        <w:tc>
          <w:tcPr>
            <w:tcW w:w="1200" w:type="dxa"/>
            <w:vAlign w:val="bottom"/>
            <w:vMerge w:val="continue"/>
            <w:shd w:val="clear" w:color="auto" w:fill="732282"/>
          </w:tcPr>
          <w:p>
            <w:pPr>
              <w:spacing w:after="0"/>
              <w:rPr>
                <w:sz w:val="2"/>
                <w:szCs w:val="2"/>
                <w:color w:val="auto"/>
              </w:rPr>
            </w:pPr>
          </w:p>
        </w:tc>
        <w:tc>
          <w:tcPr>
            <w:tcW w:w="920" w:type="dxa"/>
            <w:vAlign w:val="bottom"/>
            <w:vMerge w:val="continue"/>
            <w:shd w:val="clear" w:color="auto" w:fill="732282"/>
          </w:tcPr>
          <w:p>
            <w:pPr>
              <w:spacing w:after="0"/>
              <w:rPr>
                <w:sz w:val="2"/>
                <w:szCs w:val="2"/>
                <w:color w:val="auto"/>
              </w:rPr>
            </w:pPr>
          </w:p>
        </w:tc>
        <w:tc>
          <w:tcPr>
            <w:tcW w:w="620" w:type="dxa"/>
            <w:vAlign w:val="bottom"/>
            <w:vMerge w:val="continue"/>
            <w:shd w:val="clear" w:color="auto" w:fill="732282"/>
          </w:tcPr>
          <w:p>
            <w:pPr>
              <w:spacing w:after="0"/>
              <w:rPr>
                <w:sz w:val="2"/>
                <w:szCs w:val="2"/>
                <w:color w:val="auto"/>
              </w:rPr>
            </w:pPr>
          </w:p>
        </w:tc>
        <w:tc>
          <w:tcPr>
            <w:tcW w:w="82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Net</w:t>
            </w:r>
          </w:p>
        </w:tc>
        <w:tc>
          <w:tcPr>
            <w:tcW w:w="84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rPr>
              <w:t>Free Cash</w:t>
            </w:r>
          </w:p>
        </w:tc>
        <w:tc>
          <w:tcPr>
            <w:tcW w:w="0" w:type="dxa"/>
            <w:vAlign w:val="bottom"/>
          </w:tcPr>
          <w:p>
            <w:pPr>
              <w:spacing w:after="0" w:line="20" w:lineRule="exact"/>
              <w:rPr>
                <w:sz w:val="1"/>
                <w:szCs w:val="1"/>
                <w:color w:val="auto"/>
              </w:rPr>
            </w:pPr>
          </w:p>
        </w:tc>
      </w:tr>
      <w:tr>
        <w:trPr>
          <w:trHeight w:val="162"/>
        </w:trPr>
        <w:tc>
          <w:tcPr>
            <w:tcW w:w="760" w:type="dxa"/>
            <w:vAlign w:val="bottom"/>
            <w:shd w:val="clear" w:color="auto" w:fill="732282"/>
          </w:tcPr>
          <w:p>
            <w:pPr>
              <w:spacing w:after="0"/>
              <w:rPr>
                <w:sz w:val="14"/>
                <w:szCs w:val="14"/>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for</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for</w:t>
            </w:r>
          </w:p>
        </w:tc>
        <w:tc>
          <w:tcPr>
            <w:tcW w:w="9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7"/>
              </w:rPr>
              <w:t>to</w:t>
            </w: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7"/>
              </w:rPr>
              <w:t>to</w:t>
            </w:r>
          </w:p>
        </w:tc>
        <w:tc>
          <w:tcPr>
            <w:tcW w:w="1220" w:type="dxa"/>
            <w:vAlign w:val="bottom"/>
            <w:vMerge w:val="continue"/>
            <w:shd w:val="clear" w:color="auto" w:fill="732282"/>
          </w:tcPr>
          <w:p>
            <w:pPr>
              <w:spacing w:after="0"/>
              <w:rPr>
                <w:sz w:val="14"/>
                <w:szCs w:val="14"/>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to Non-PEO</w:t>
            </w:r>
          </w:p>
        </w:tc>
        <w:tc>
          <w:tcPr>
            <w:tcW w:w="9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based on</w:t>
            </w:r>
          </w:p>
        </w:tc>
        <w:tc>
          <w:tcPr>
            <w:tcW w:w="620" w:type="dxa"/>
            <w:vAlign w:val="bottom"/>
            <w:shd w:val="clear" w:color="auto" w:fill="732282"/>
          </w:tcPr>
          <w:p>
            <w:pPr>
              <w:ind w:left="80"/>
              <w:spacing w:after="0"/>
              <w:rPr>
                <w:sz w:val="20"/>
                <w:szCs w:val="20"/>
                <w:color w:val="auto"/>
              </w:rPr>
            </w:pPr>
            <w:r>
              <w:rPr>
                <w:rFonts w:ascii="Arial" w:cs="Arial" w:eastAsia="Arial" w:hAnsi="Arial"/>
                <w:sz w:val="13"/>
                <w:szCs w:val="13"/>
                <w:b w:val="1"/>
                <w:bCs w:val="1"/>
                <w:color w:val="FFFFFF"/>
              </w:rPr>
              <w:t>Group</w:t>
            </w:r>
          </w:p>
        </w:tc>
        <w:tc>
          <w:tcPr>
            <w:tcW w:w="820" w:type="dxa"/>
            <w:vAlign w:val="bottom"/>
            <w:vMerge w:val="continue"/>
            <w:shd w:val="clear" w:color="auto" w:fill="732282"/>
          </w:tcPr>
          <w:p>
            <w:pPr>
              <w:spacing w:after="0"/>
              <w:rPr>
                <w:sz w:val="14"/>
                <w:szCs w:val="14"/>
                <w:color w:val="auto"/>
              </w:rPr>
            </w:pPr>
          </w:p>
        </w:tc>
        <w:tc>
          <w:tcPr>
            <w:tcW w:w="840" w:type="dxa"/>
            <w:vAlign w:val="bottom"/>
            <w:vMerge w:val="continue"/>
            <w:shd w:val="clear" w:color="auto" w:fill="73228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732282"/>
          </w:tcPr>
          <w:p>
            <w:pPr>
              <w:spacing w:after="0"/>
              <w:rPr>
                <w:sz w:val="17"/>
                <w:szCs w:val="17"/>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9"/>
              </w:rPr>
              <w:t>PEO 1</w:t>
            </w:r>
            <w:r>
              <w:rPr>
                <w:rFonts w:ascii="Arial" w:cs="Arial" w:eastAsia="Arial" w:hAnsi="Arial"/>
                <w:sz w:val="8"/>
                <w:szCs w:val="8"/>
                <w:b w:val="1"/>
                <w:bCs w:val="1"/>
                <w:color w:val="FFFFFF"/>
                <w:w w:val="99"/>
              </w:rPr>
              <w:t>(1)</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PEO 2</w:t>
            </w:r>
            <w:r>
              <w:rPr>
                <w:rFonts w:ascii="Arial" w:cs="Arial" w:eastAsia="Arial" w:hAnsi="Arial"/>
                <w:sz w:val="8"/>
                <w:szCs w:val="8"/>
                <w:b w:val="1"/>
                <w:bCs w:val="1"/>
                <w:color w:val="FFFFFF"/>
              </w:rPr>
              <w:t>(1)</w:t>
            </w:r>
          </w:p>
        </w:tc>
        <w:tc>
          <w:tcPr>
            <w:tcW w:w="940" w:type="dxa"/>
            <w:vAlign w:val="bottom"/>
            <w:shd w:val="clear" w:color="auto" w:fill="732282"/>
          </w:tcPr>
          <w:p>
            <w:pPr>
              <w:jc w:val="center"/>
              <w:spacing w:after="0" w:line="202" w:lineRule="exact"/>
              <w:rPr>
                <w:sz w:val="20"/>
                <w:szCs w:val="20"/>
                <w:color w:val="auto"/>
              </w:rPr>
            </w:pPr>
            <w:r>
              <w:rPr>
                <w:rFonts w:ascii="Arial" w:cs="Arial" w:eastAsia="Arial" w:hAnsi="Arial"/>
                <w:sz w:val="23"/>
                <w:szCs w:val="23"/>
                <w:b w:val="1"/>
                <w:bCs w:val="1"/>
                <w:color w:val="FFFFFF"/>
                <w:w w:val="96"/>
                <w:vertAlign w:val="subscript"/>
              </w:rPr>
              <w:t>PEO 1</w:t>
            </w:r>
            <w:r>
              <w:rPr>
                <w:rFonts w:ascii="Arial" w:cs="Arial" w:eastAsia="Arial" w:hAnsi="Arial"/>
                <w:sz w:val="8"/>
                <w:szCs w:val="8"/>
                <w:b w:val="1"/>
                <w:bCs w:val="1"/>
                <w:color w:val="FFFFFF"/>
                <w:w w:val="96"/>
              </w:rPr>
              <w:t>(1) (2) (3)</w:t>
            </w:r>
          </w:p>
        </w:tc>
        <w:tc>
          <w:tcPr>
            <w:tcW w:w="1240" w:type="dxa"/>
            <w:vAlign w:val="bottom"/>
            <w:shd w:val="clear" w:color="auto" w:fill="732282"/>
          </w:tcPr>
          <w:p>
            <w:pPr>
              <w:jc w:val="center"/>
              <w:spacing w:after="0" w:line="202" w:lineRule="exact"/>
              <w:rPr>
                <w:sz w:val="20"/>
                <w:szCs w:val="20"/>
                <w:color w:val="auto"/>
              </w:rPr>
            </w:pPr>
            <w:r>
              <w:rPr>
                <w:rFonts w:ascii="Arial" w:cs="Arial" w:eastAsia="Arial" w:hAnsi="Arial"/>
                <w:sz w:val="23"/>
                <w:szCs w:val="23"/>
                <w:b w:val="1"/>
                <w:bCs w:val="1"/>
                <w:color w:val="FFFFFF"/>
                <w:w w:val="96"/>
                <w:vertAlign w:val="subscript"/>
              </w:rPr>
              <w:t>PEO 2</w:t>
            </w:r>
            <w:r>
              <w:rPr>
                <w:rFonts w:ascii="Arial" w:cs="Arial" w:eastAsia="Arial" w:hAnsi="Arial"/>
                <w:sz w:val="8"/>
                <w:szCs w:val="8"/>
                <w:b w:val="1"/>
                <w:bCs w:val="1"/>
                <w:color w:val="FFFFFF"/>
                <w:w w:val="96"/>
              </w:rPr>
              <w:t>(1) (2) (3)</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NEOs</w:t>
            </w:r>
            <w:r>
              <w:rPr>
                <w:rFonts w:ascii="Arial" w:cs="Arial" w:eastAsia="Arial" w:hAnsi="Arial"/>
                <w:sz w:val="8"/>
                <w:szCs w:val="8"/>
                <w:b w:val="1"/>
                <w:bCs w:val="1"/>
                <w:color w:val="FFFFFF"/>
              </w:rPr>
              <w:t>(1)</w:t>
            </w:r>
          </w:p>
        </w:tc>
        <w:tc>
          <w:tcPr>
            <w:tcW w:w="1200" w:type="dxa"/>
            <w:vAlign w:val="bottom"/>
            <w:shd w:val="clear" w:color="auto" w:fill="732282"/>
          </w:tcPr>
          <w:p>
            <w:pPr>
              <w:jc w:val="center"/>
              <w:spacing w:after="0" w:line="202" w:lineRule="exact"/>
              <w:rPr>
                <w:sz w:val="20"/>
                <w:szCs w:val="20"/>
                <w:color w:val="auto"/>
              </w:rPr>
            </w:pPr>
            <w:r>
              <w:rPr>
                <w:rFonts w:ascii="Arial" w:cs="Arial" w:eastAsia="Arial" w:hAnsi="Arial"/>
                <w:sz w:val="23"/>
                <w:szCs w:val="23"/>
                <w:b w:val="1"/>
                <w:bCs w:val="1"/>
                <w:color w:val="FFFFFF"/>
                <w:w w:val="95"/>
                <w:vertAlign w:val="subscript"/>
              </w:rPr>
              <w:t>NEOs</w:t>
            </w:r>
            <w:r>
              <w:rPr>
                <w:rFonts w:ascii="Arial" w:cs="Arial" w:eastAsia="Arial" w:hAnsi="Arial"/>
                <w:sz w:val="8"/>
                <w:szCs w:val="8"/>
                <w:b w:val="1"/>
                <w:bCs w:val="1"/>
                <w:color w:val="FFFFFF"/>
                <w:w w:val="95"/>
              </w:rPr>
              <w:t>(1) (2) (3)</w:t>
            </w:r>
          </w:p>
        </w:tc>
        <w:tc>
          <w:tcPr>
            <w:tcW w:w="9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TSR</w:t>
            </w:r>
            <w:r>
              <w:rPr>
                <w:rFonts w:ascii="Arial" w:cs="Arial" w:eastAsia="Arial" w:hAnsi="Arial"/>
                <w:sz w:val="8"/>
                <w:szCs w:val="8"/>
                <w:b w:val="1"/>
                <w:bCs w:val="1"/>
                <w:color w:val="FFFFFF"/>
              </w:rPr>
              <w:t>(4)</w:t>
            </w:r>
          </w:p>
        </w:tc>
        <w:tc>
          <w:tcPr>
            <w:tcW w:w="620" w:type="dxa"/>
            <w:vAlign w:val="bottom"/>
            <w:shd w:val="clear" w:color="auto" w:fill="732282"/>
          </w:tcPr>
          <w:p>
            <w:pPr>
              <w:ind w:left="100"/>
              <w:spacing w:after="0"/>
              <w:rPr>
                <w:sz w:val="20"/>
                <w:szCs w:val="20"/>
                <w:color w:val="auto"/>
              </w:rPr>
            </w:pPr>
            <w:r>
              <w:rPr>
                <w:rFonts w:ascii="Arial" w:cs="Arial" w:eastAsia="Arial" w:hAnsi="Arial"/>
                <w:sz w:val="13"/>
                <w:szCs w:val="13"/>
                <w:b w:val="1"/>
                <w:bCs w:val="1"/>
                <w:color w:val="FFFFFF"/>
              </w:rPr>
              <w:t>TSR</w:t>
            </w:r>
            <w:r>
              <w:rPr>
                <w:rFonts w:ascii="Arial" w:cs="Arial" w:eastAsia="Arial" w:hAnsi="Arial"/>
                <w:sz w:val="8"/>
                <w:szCs w:val="8"/>
                <w:b w:val="1"/>
                <w:bCs w:val="1"/>
                <w:color w:val="FFFFFF"/>
              </w:rPr>
              <w:t>(5)</w:t>
            </w:r>
          </w:p>
        </w:tc>
        <w:tc>
          <w:tcPr>
            <w:tcW w:w="820" w:type="dxa"/>
            <w:vAlign w:val="bottom"/>
            <w:shd w:val="clear" w:color="auto" w:fill="732282"/>
          </w:tcPr>
          <w:p>
            <w:pPr>
              <w:jc w:val="center"/>
              <w:spacing w:after="0" w:line="202" w:lineRule="exact"/>
              <w:rPr>
                <w:sz w:val="20"/>
                <w:szCs w:val="20"/>
                <w:color w:val="auto"/>
              </w:rPr>
            </w:pPr>
            <w:r>
              <w:rPr>
                <w:rFonts w:ascii="Arial" w:cs="Arial" w:eastAsia="Arial" w:hAnsi="Arial"/>
                <w:sz w:val="23"/>
                <w:szCs w:val="23"/>
                <w:b w:val="1"/>
                <w:bCs w:val="1"/>
                <w:color w:val="FFFFFF"/>
                <w:w w:val="92"/>
                <w:vertAlign w:val="subscript"/>
              </w:rPr>
              <w:t>Income</w:t>
            </w:r>
            <w:r>
              <w:rPr>
                <w:rFonts w:ascii="Arial" w:cs="Arial" w:eastAsia="Arial" w:hAnsi="Arial"/>
                <w:sz w:val="8"/>
                <w:szCs w:val="8"/>
                <w:b w:val="1"/>
                <w:bCs w:val="1"/>
                <w:color w:val="FFFFFF"/>
                <w:w w:val="92"/>
              </w:rPr>
              <w:t>(6) (7)</w:t>
            </w:r>
          </w:p>
        </w:tc>
        <w:tc>
          <w:tcPr>
            <w:tcW w:w="840" w:type="dxa"/>
            <w:vAlign w:val="bottom"/>
            <w:shd w:val="clear" w:color="auto" w:fill="732282"/>
          </w:tcPr>
          <w:p>
            <w:pPr>
              <w:jc w:val="center"/>
              <w:spacing w:after="0" w:line="202" w:lineRule="exact"/>
              <w:rPr>
                <w:sz w:val="20"/>
                <w:szCs w:val="20"/>
                <w:color w:val="auto"/>
              </w:rPr>
            </w:pPr>
            <w:r>
              <w:rPr>
                <w:rFonts w:ascii="Arial" w:cs="Arial" w:eastAsia="Arial" w:hAnsi="Arial"/>
                <w:sz w:val="23"/>
                <w:szCs w:val="23"/>
                <w:b w:val="1"/>
                <w:bCs w:val="1"/>
                <w:color w:val="FFFFFF"/>
                <w:w w:val="91"/>
                <w:vertAlign w:val="subscript"/>
              </w:rPr>
              <w:t>Flow</w:t>
            </w:r>
            <w:r>
              <w:rPr>
                <w:rFonts w:ascii="Arial" w:cs="Arial" w:eastAsia="Arial" w:hAnsi="Arial"/>
                <w:sz w:val="8"/>
                <w:szCs w:val="8"/>
                <w:b w:val="1"/>
                <w:bCs w:val="1"/>
                <w:color w:val="FFFFFF"/>
                <w:w w:val="91"/>
              </w:rPr>
              <w:t>(7) (8)</w:t>
            </w:r>
          </w:p>
        </w:tc>
        <w:tc>
          <w:tcPr>
            <w:tcW w:w="0" w:type="dxa"/>
            <w:vAlign w:val="bottom"/>
          </w:tcPr>
          <w:p>
            <w:pPr>
              <w:spacing w:after="0"/>
              <w:rPr>
                <w:sz w:val="1"/>
                <w:szCs w:val="1"/>
                <w:color w:val="auto"/>
              </w:rPr>
            </w:pPr>
          </w:p>
        </w:tc>
      </w:tr>
      <w:tr>
        <w:trPr>
          <w:trHeight w:val="163"/>
        </w:trPr>
        <w:tc>
          <w:tcPr>
            <w:tcW w:w="760" w:type="dxa"/>
            <w:vAlign w:val="bottom"/>
            <w:shd w:val="clear" w:color="auto" w:fill="732282"/>
          </w:tcPr>
          <w:p>
            <w:pPr>
              <w:ind w:left="60"/>
              <w:spacing w:after="0"/>
              <w:rPr>
                <w:sz w:val="20"/>
                <w:szCs w:val="20"/>
                <w:color w:val="auto"/>
              </w:rPr>
            </w:pPr>
            <w:r>
              <w:rPr>
                <w:rFonts w:ascii="Arial" w:cs="Arial" w:eastAsia="Arial" w:hAnsi="Arial"/>
                <w:sz w:val="13"/>
                <w:szCs w:val="13"/>
                <w:b w:val="1"/>
                <w:bCs w:val="1"/>
                <w:color w:val="FFFFFF"/>
              </w:rPr>
              <w:t>Year</w:t>
            </w: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732282"/>
          </w:tcPr>
          <w:p>
            <w:pPr>
              <w:ind w:left="200"/>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 millions)</w:t>
            </w:r>
          </w:p>
        </w:tc>
        <w:tc>
          <w:tcPr>
            <w:tcW w:w="8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 millions)</w:t>
            </w:r>
          </w:p>
        </w:tc>
        <w:tc>
          <w:tcPr>
            <w:tcW w:w="0" w:type="dxa"/>
            <w:vAlign w:val="bottom"/>
          </w:tcPr>
          <w:p>
            <w:pPr>
              <w:spacing w:after="0"/>
              <w:rPr>
                <w:sz w:val="1"/>
                <w:szCs w:val="1"/>
                <w:color w:val="auto"/>
              </w:rPr>
            </w:pPr>
          </w:p>
        </w:tc>
      </w:tr>
      <w:tr>
        <w:trPr>
          <w:trHeight w:val="189"/>
        </w:trPr>
        <w:tc>
          <w:tcPr>
            <w:tcW w:w="760" w:type="dxa"/>
            <w:vAlign w:val="bottom"/>
            <w:shd w:val="clear" w:color="auto" w:fill="732282"/>
          </w:tcPr>
          <w:p>
            <w:pPr>
              <w:ind w:left="60"/>
              <w:spacing w:after="0"/>
              <w:rPr>
                <w:sz w:val="20"/>
                <w:szCs w:val="20"/>
                <w:color w:val="auto"/>
              </w:rPr>
            </w:pPr>
            <w:r>
              <w:rPr>
                <w:rFonts w:ascii="Arial" w:cs="Arial" w:eastAsia="Arial" w:hAnsi="Arial"/>
                <w:sz w:val="13"/>
                <w:szCs w:val="13"/>
                <w:b w:val="1"/>
                <w:bCs w:val="1"/>
                <w:color w:val="FFFFFF"/>
              </w:rPr>
              <w:t>(a)</w:t>
            </w: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(b)</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(b)</w:t>
            </w:r>
          </w:p>
        </w:tc>
        <w:tc>
          <w:tcPr>
            <w:tcW w:w="9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(c)</w:t>
            </w:r>
          </w:p>
        </w:tc>
        <w:tc>
          <w:tcPr>
            <w:tcW w:w="12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(c)</w:t>
            </w:r>
          </w:p>
        </w:tc>
        <w:tc>
          <w:tcPr>
            <w:tcW w:w="12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(d)</w:t>
            </w:r>
          </w:p>
        </w:tc>
        <w:tc>
          <w:tcPr>
            <w:tcW w:w="120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(e)</w:t>
            </w:r>
          </w:p>
        </w:tc>
        <w:tc>
          <w:tcPr>
            <w:tcW w:w="9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2"/>
              </w:rPr>
              <w:t>(f)</w:t>
            </w:r>
          </w:p>
        </w:tc>
        <w:tc>
          <w:tcPr>
            <w:tcW w:w="620" w:type="dxa"/>
            <w:vAlign w:val="bottom"/>
            <w:shd w:val="clear" w:color="auto" w:fill="732282"/>
          </w:tcPr>
          <w:p>
            <w:pPr>
              <w:ind w:left="200"/>
              <w:spacing w:after="0"/>
              <w:rPr>
                <w:sz w:val="20"/>
                <w:szCs w:val="20"/>
                <w:color w:val="auto"/>
              </w:rPr>
            </w:pPr>
            <w:r>
              <w:rPr>
                <w:rFonts w:ascii="Arial" w:cs="Arial" w:eastAsia="Arial" w:hAnsi="Arial"/>
                <w:sz w:val="13"/>
                <w:szCs w:val="13"/>
                <w:b w:val="1"/>
                <w:bCs w:val="1"/>
                <w:color w:val="FFFFFF"/>
              </w:rPr>
              <w:t>(g)</w:t>
            </w:r>
          </w:p>
        </w:tc>
        <w:tc>
          <w:tcPr>
            <w:tcW w:w="82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(h)</w:t>
            </w:r>
          </w:p>
        </w:tc>
        <w:tc>
          <w:tcPr>
            <w:tcW w:w="8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7"/>
              </w:rPr>
              <w:t>(i)</w:t>
            </w:r>
          </w:p>
        </w:tc>
        <w:tc>
          <w:tcPr>
            <w:tcW w:w="0" w:type="dxa"/>
            <w:vAlign w:val="bottom"/>
          </w:tcPr>
          <w:p>
            <w:pPr>
              <w:spacing w:after="0"/>
              <w:rPr>
                <w:sz w:val="1"/>
                <w:szCs w:val="1"/>
                <w:color w:val="auto"/>
              </w:rPr>
            </w:pPr>
          </w:p>
        </w:tc>
      </w:tr>
      <w:tr>
        <w:trPr>
          <w:trHeight w:val="277"/>
        </w:trPr>
        <w:tc>
          <w:tcPr>
            <w:tcW w:w="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2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9,843,710</w:t>
            </w:r>
          </w:p>
        </w:tc>
        <w:tc>
          <w:tcPr>
            <w:tcW w:w="12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15,930,409</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(4,915,598)</w:t>
            </w:r>
          </w:p>
        </w:tc>
        <w:tc>
          <w:tcPr>
            <w:tcW w:w="12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6"/>
                <w:szCs w:val="16"/>
                <w:color w:val="auto"/>
              </w:rPr>
              <w:t>17,793,731</w:t>
            </w:r>
          </w:p>
        </w:tc>
        <w:tc>
          <w:tcPr>
            <w:tcW w:w="12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14,262,640</w:t>
            </w:r>
          </w:p>
        </w:tc>
        <w:tc>
          <w:tcPr>
            <w:tcW w:w="120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6"/>
                <w:szCs w:val="16"/>
                <w:color w:val="auto"/>
              </w:rPr>
              <w:t>17,504,759</w:t>
            </w:r>
          </w:p>
        </w:tc>
        <w:tc>
          <w:tcPr>
            <w:tcW w:w="9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77.34</w:t>
            </w:r>
          </w:p>
        </w:tc>
        <w:tc>
          <w:tcPr>
            <w:tcW w:w="6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141.08</w:t>
            </w:r>
          </w:p>
        </w:tc>
        <w:tc>
          <w:tcPr>
            <w:tcW w:w="820" w:type="dxa"/>
            <w:vAlign w:val="bottom"/>
            <w:tcBorders>
              <w:bottom w:val="single" w:sz="8" w:color="E5E5E5"/>
            </w:tcBorders>
            <w:shd w:val="clear" w:color="auto" w:fill="E5E5E5"/>
          </w:tcPr>
          <w:p>
            <w:pPr>
              <w:jc w:val="right"/>
              <w:ind w:right="89"/>
              <w:spacing w:after="0"/>
              <w:rPr>
                <w:sz w:val="20"/>
                <w:szCs w:val="20"/>
                <w:color w:val="auto"/>
              </w:rPr>
            </w:pPr>
            <w:r>
              <w:rPr>
                <w:rFonts w:ascii="Arial" w:cs="Arial" w:eastAsia="Arial" w:hAnsi="Arial"/>
                <w:sz w:val="16"/>
                <w:szCs w:val="16"/>
                <w:color w:val="auto"/>
              </w:rPr>
              <w:t>55</w:t>
            </w:r>
          </w:p>
        </w:tc>
        <w:tc>
          <w:tcPr>
            <w:tcW w:w="84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54"/>
        </w:trPr>
        <w:tc>
          <w:tcPr>
            <w:tcW w:w="760" w:type="dxa"/>
            <w:vAlign w:val="bottom"/>
          </w:tcPr>
          <w:p>
            <w:pPr>
              <w:ind w:left="60"/>
              <w:spacing w:after="0"/>
              <w:rPr>
                <w:sz w:val="20"/>
                <w:szCs w:val="20"/>
                <w:color w:val="auto"/>
              </w:rPr>
            </w:pPr>
            <w:r>
              <w:rPr>
                <w:rFonts w:ascii="Arial" w:cs="Arial" w:eastAsia="Arial" w:hAnsi="Arial"/>
                <w:sz w:val="16"/>
                <w:szCs w:val="16"/>
                <w:color w:val="auto"/>
              </w:rPr>
              <w:t>2022</w:t>
            </w:r>
          </w:p>
        </w:tc>
        <w:tc>
          <w:tcPr>
            <w:tcW w:w="1240" w:type="dxa"/>
            <w:vAlign w:val="bottom"/>
          </w:tcPr>
          <w:p>
            <w:pPr>
              <w:jc w:val="right"/>
              <w:ind w:right="108"/>
              <w:spacing w:after="0"/>
              <w:rPr>
                <w:sz w:val="20"/>
                <w:szCs w:val="20"/>
                <w:color w:val="auto"/>
              </w:rPr>
            </w:pPr>
            <w:r>
              <w:rPr>
                <w:rFonts w:ascii="Arial" w:cs="Arial" w:eastAsia="Arial" w:hAnsi="Arial"/>
                <w:sz w:val="16"/>
                <w:szCs w:val="16"/>
                <w:color w:val="auto"/>
              </w:rPr>
              <w:t>14,771,270</w:t>
            </w:r>
          </w:p>
        </w:tc>
        <w:tc>
          <w:tcPr>
            <w:tcW w:w="1220" w:type="dxa"/>
            <w:vAlign w:val="bottom"/>
          </w:tcPr>
          <w:p>
            <w:pPr>
              <w:jc w:val="right"/>
              <w:ind w:right="10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14,343,391</w:t>
            </w:r>
          </w:p>
        </w:tc>
        <w:tc>
          <w:tcPr>
            <w:tcW w:w="1240" w:type="dxa"/>
            <w:vAlign w:val="bottom"/>
          </w:tcPr>
          <w:p>
            <w:pPr>
              <w:jc w:val="right"/>
              <w:ind w:right="11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8"/>
              <w:spacing w:after="0"/>
              <w:rPr>
                <w:sz w:val="20"/>
                <w:szCs w:val="20"/>
                <w:color w:val="auto"/>
              </w:rPr>
            </w:pPr>
            <w:r>
              <w:rPr>
                <w:rFonts w:ascii="Arial" w:cs="Arial" w:eastAsia="Arial" w:hAnsi="Arial"/>
                <w:sz w:val="16"/>
                <w:szCs w:val="16"/>
                <w:color w:val="auto"/>
              </w:rPr>
              <w:t>14,937,678</w:t>
            </w:r>
          </w:p>
        </w:tc>
        <w:tc>
          <w:tcPr>
            <w:tcW w:w="1200" w:type="dxa"/>
            <w:vAlign w:val="bottom"/>
          </w:tcPr>
          <w:p>
            <w:pPr>
              <w:jc w:val="right"/>
              <w:ind w:right="70"/>
              <w:spacing w:after="0"/>
              <w:rPr>
                <w:sz w:val="20"/>
                <w:szCs w:val="20"/>
                <w:color w:val="auto"/>
              </w:rPr>
            </w:pPr>
            <w:r>
              <w:rPr>
                <w:rFonts w:ascii="Arial" w:cs="Arial" w:eastAsia="Arial" w:hAnsi="Arial"/>
                <w:sz w:val="16"/>
                <w:szCs w:val="16"/>
                <w:color w:val="auto"/>
              </w:rPr>
              <w:t>13,714,272</w:t>
            </w:r>
          </w:p>
        </w:tc>
        <w:tc>
          <w:tcPr>
            <w:tcW w:w="920" w:type="dxa"/>
            <w:vAlign w:val="bottom"/>
          </w:tcPr>
          <w:p>
            <w:pPr>
              <w:jc w:val="right"/>
              <w:ind w:right="108"/>
              <w:spacing w:after="0"/>
              <w:rPr>
                <w:sz w:val="20"/>
                <w:szCs w:val="20"/>
                <w:color w:val="auto"/>
              </w:rPr>
            </w:pPr>
            <w:r>
              <w:rPr>
                <w:rFonts w:ascii="Arial" w:cs="Arial" w:eastAsia="Arial" w:hAnsi="Arial"/>
                <w:sz w:val="16"/>
                <w:szCs w:val="16"/>
                <w:color w:val="auto"/>
              </w:rPr>
              <w:t>75.78</w:t>
            </w:r>
          </w:p>
        </w:tc>
        <w:tc>
          <w:tcPr>
            <w:tcW w:w="620" w:type="dxa"/>
            <w:vAlign w:val="bottom"/>
          </w:tcPr>
          <w:p>
            <w:pPr>
              <w:ind w:left="80"/>
              <w:spacing w:after="0"/>
              <w:rPr>
                <w:sz w:val="20"/>
                <w:szCs w:val="20"/>
                <w:color w:val="auto"/>
              </w:rPr>
            </w:pPr>
            <w:r>
              <w:rPr>
                <w:rFonts w:ascii="Arial" w:cs="Arial" w:eastAsia="Arial" w:hAnsi="Arial"/>
                <w:sz w:val="16"/>
                <w:szCs w:val="16"/>
                <w:color w:val="auto"/>
              </w:rPr>
              <w:t>141.10</w:t>
            </w:r>
          </w:p>
        </w:tc>
        <w:tc>
          <w:tcPr>
            <w:tcW w:w="820" w:type="dxa"/>
            <w:vAlign w:val="bottom"/>
          </w:tcPr>
          <w:p>
            <w:pPr>
              <w:jc w:val="right"/>
              <w:ind w:right="89"/>
              <w:spacing w:after="0"/>
              <w:rPr>
                <w:sz w:val="20"/>
                <w:szCs w:val="20"/>
                <w:color w:val="auto"/>
              </w:rPr>
            </w:pPr>
            <w:r>
              <w:rPr>
                <w:rFonts w:ascii="Arial" w:cs="Arial" w:eastAsia="Arial" w:hAnsi="Arial"/>
                <w:sz w:val="16"/>
                <w:szCs w:val="16"/>
                <w:color w:val="auto"/>
              </w:rPr>
              <w:t>2,079</w:t>
            </w:r>
          </w:p>
        </w:tc>
        <w:tc>
          <w:tcPr>
            <w:tcW w:w="840" w:type="dxa"/>
            <w:vAlign w:val="bottom"/>
          </w:tcPr>
          <w:p>
            <w:pPr>
              <w:jc w:val="right"/>
              <w:ind w:right="109"/>
              <w:spacing w:after="0"/>
              <w:rPr>
                <w:sz w:val="20"/>
                <w:szCs w:val="20"/>
                <w:color w:val="auto"/>
              </w:rPr>
            </w:pPr>
            <w:r>
              <w:rPr>
                <w:rFonts w:ascii="Arial" w:cs="Arial" w:eastAsia="Arial" w:hAnsi="Arial"/>
                <w:sz w:val="16"/>
                <w:szCs w:val="16"/>
                <w:color w:val="auto"/>
              </w:rPr>
              <w:t>2,547</w:t>
            </w:r>
          </w:p>
        </w:tc>
        <w:tc>
          <w:tcPr>
            <w:tcW w:w="0" w:type="dxa"/>
            <w:vAlign w:val="bottom"/>
          </w:tcPr>
          <w:p>
            <w:pPr>
              <w:spacing w:after="0"/>
              <w:rPr>
                <w:sz w:val="1"/>
                <w:szCs w:val="1"/>
                <w:color w:val="auto"/>
              </w:rPr>
            </w:pPr>
          </w:p>
        </w:tc>
      </w:tr>
      <w:tr>
        <w:trPr>
          <w:trHeight w:val="43"/>
        </w:trPr>
        <w:tc>
          <w:tcPr>
            <w:tcW w:w="7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2021</w:t>
            </w:r>
          </w:p>
        </w:tc>
        <w:tc>
          <w:tcPr>
            <w:tcW w:w="12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14,779,570</w:t>
            </w:r>
          </w:p>
        </w:tc>
        <w:tc>
          <w:tcPr>
            <w:tcW w:w="12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13,637,943</w:t>
            </w:r>
          </w:p>
        </w:tc>
        <w:tc>
          <w:tcPr>
            <w:tcW w:w="1240" w:type="dxa"/>
            <w:vAlign w:val="bottom"/>
            <w:tcBorders>
              <w:bottom w:val="single" w:sz="8" w:color="E5E5E5"/>
            </w:tcBorders>
            <w:shd w:val="clear" w:color="auto" w:fill="E5E5E5"/>
          </w:tcPr>
          <w:p>
            <w:pPr>
              <w:jc w:val="right"/>
              <w:ind w:right="11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10,468,732</w:t>
            </w:r>
          </w:p>
        </w:tc>
        <w:tc>
          <w:tcPr>
            <w:tcW w:w="120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6"/>
                <w:szCs w:val="16"/>
                <w:color w:val="auto"/>
              </w:rPr>
              <w:t>5,996,167</w:t>
            </w:r>
          </w:p>
        </w:tc>
        <w:tc>
          <w:tcPr>
            <w:tcW w:w="9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6"/>
                <w:szCs w:val="16"/>
                <w:color w:val="auto"/>
              </w:rPr>
              <w:t>88.40</w:t>
            </w:r>
          </w:p>
        </w:tc>
        <w:tc>
          <w:tcPr>
            <w:tcW w:w="62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130.85</w:t>
            </w:r>
          </w:p>
        </w:tc>
        <w:tc>
          <w:tcPr>
            <w:tcW w:w="820" w:type="dxa"/>
            <w:vAlign w:val="bottom"/>
            <w:tcBorders>
              <w:bottom w:val="single" w:sz="8" w:color="E5E5E5"/>
            </w:tcBorders>
            <w:shd w:val="clear" w:color="auto" w:fill="E5E5E5"/>
          </w:tcPr>
          <w:p>
            <w:pPr>
              <w:jc w:val="right"/>
              <w:ind w:right="49"/>
              <w:spacing w:after="0"/>
              <w:rPr>
                <w:sz w:val="20"/>
                <w:szCs w:val="20"/>
                <w:color w:val="auto"/>
              </w:rPr>
            </w:pPr>
            <w:r>
              <w:rPr>
                <w:rFonts w:ascii="Arial" w:cs="Arial" w:eastAsia="Arial" w:hAnsi="Arial"/>
                <w:sz w:val="16"/>
                <w:szCs w:val="16"/>
                <w:color w:val="auto"/>
              </w:rPr>
              <w:t>(1,269)</w:t>
            </w:r>
          </w:p>
        </w:tc>
        <w:tc>
          <w:tcPr>
            <w:tcW w:w="84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54"/>
        </w:trPr>
        <w:tc>
          <w:tcPr>
            <w:tcW w:w="760" w:type="dxa"/>
            <w:vAlign w:val="bottom"/>
          </w:tcPr>
          <w:p>
            <w:pPr>
              <w:ind w:left="60"/>
              <w:spacing w:after="0"/>
              <w:rPr>
                <w:sz w:val="20"/>
                <w:szCs w:val="20"/>
                <w:color w:val="auto"/>
              </w:rPr>
            </w:pPr>
            <w:r>
              <w:rPr>
                <w:rFonts w:ascii="Arial" w:cs="Arial" w:eastAsia="Arial" w:hAnsi="Arial"/>
                <w:sz w:val="16"/>
                <w:szCs w:val="16"/>
                <w:color w:val="auto"/>
              </w:rPr>
              <w:t>2020</w:t>
            </w:r>
          </w:p>
        </w:tc>
        <w:tc>
          <w:tcPr>
            <w:tcW w:w="1240" w:type="dxa"/>
            <w:vAlign w:val="bottom"/>
          </w:tcPr>
          <w:p>
            <w:pPr>
              <w:jc w:val="right"/>
              <w:ind w:right="108"/>
              <w:spacing w:after="0"/>
              <w:rPr>
                <w:sz w:val="20"/>
                <w:szCs w:val="20"/>
                <w:color w:val="auto"/>
              </w:rPr>
            </w:pPr>
            <w:r>
              <w:rPr>
                <w:rFonts w:ascii="Arial" w:cs="Arial" w:eastAsia="Arial" w:hAnsi="Arial"/>
                <w:sz w:val="16"/>
                <w:szCs w:val="16"/>
                <w:color w:val="auto"/>
              </w:rPr>
              <w:t>5,472,905</w:t>
            </w:r>
          </w:p>
        </w:tc>
        <w:tc>
          <w:tcPr>
            <w:tcW w:w="1220" w:type="dxa"/>
            <w:vAlign w:val="bottom"/>
          </w:tcPr>
          <w:p>
            <w:pPr>
              <w:jc w:val="right"/>
              <w:ind w:right="108"/>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6,397,981</w:t>
            </w:r>
          </w:p>
        </w:tc>
        <w:tc>
          <w:tcPr>
            <w:tcW w:w="1240" w:type="dxa"/>
            <w:vAlign w:val="bottom"/>
          </w:tcPr>
          <w:p>
            <w:pPr>
              <w:jc w:val="right"/>
              <w:ind w:right="11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8"/>
              <w:spacing w:after="0"/>
              <w:rPr>
                <w:sz w:val="20"/>
                <w:szCs w:val="20"/>
                <w:color w:val="auto"/>
              </w:rPr>
            </w:pPr>
            <w:r>
              <w:rPr>
                <w:rFonts w:ascii="Arial" w:cs="Arial" w:eastAsia="Arial" w:hAnsi="Arial"/>
                <w:sz w:val="16"/>
                <w:szCs w:val="16"/>
                <w:color w:val="auto"/>
              </w:rPr>
              <w:t>13,208,230</w:t>
            </w:r>
          </w:p>
        </w:tc>
        <w:tc>
          <w:tcPr>
            <w:tcW w:w="1200" w:type="dxa"/>
            <w:vAlign w:val="bottom"/>
          </w:tcPr>
          <w:p>
            <w:pPr>
              <w:jc w:val="right"/>
              <w:ind w:right="70"/>
              <w:spacing w:after="0"/>
              <w:rPr>
                <w:sz w:val="20"/>
                <w:szCs w:val="20"/>
                <w:color w:val="auto"/>
              </w:rPr>
            </w:pPr>
            <w:r>
              <w:rPr>
                <w:rFonts w:ascii="Arial" w:cs="Arial" w:eastAsia="Arial" w:hAnsi="Arial"/>
                <w:sz w:val="16"/>
                <w:szCs w:val="16"/>
                <w:color w:val="auto"/>
              </w:rPr>
              <w:t>13,982,122</w:t>
            </w:r>
          </w:p>
        </w:tc>
        <w:tc>
          <w:tcPr>
            <w:tcW w:w="920" w:type="dxa"/>
            <w:vAlign w:val="bottom"/>
          </w:tcPr>
          <w:p>
            <w:pPr>
              <w:jc w:val="right"/>
              <w:ind w:right="108"/>
              <w:spacing w:after="0"/>
              <w:rPr>
                <w:sz w:val="20"/>
                <w:szCs w:val="20"/>
                <w:color w:val="auto"/>
              </w:rPr>
            </w:pPr>
            <w:r>
              <w:rPr>
                <w:rFonts w:ascii="Arial" w:cs="Arial" w:eastAsia="Arial" w:hAnsi="Arial"/>
                <w:sz w:val="16"/>
                <w:szCs w:val="16"/>
                <w:color w:val="auto"/>
              </w:rPr>
              <w:t>119.67</w:t>
            </w:r>
          </w:p>
        </w:tc>
        <w:tc>
          <w:tcPr>
            <w:tcW w:w="620" w:type="dxa"/>
            <w:vAlign w:val="bottom"/>
          </w:tcPr>
          <w:p>
            <w:pPr>
              <w:ind w:left="80"/>
              <w:spacing w:after="0"/>
              <w:rPr>
                <w:sz w:val="20"/>
                <w:szCs w:val="20"/>
                <w:color w:val="auto"/>
              </w:rPr>
            </w:pPr>
            <w:r>
              <w:rPr>
                <w:rFonts w:ascii="Arial" w:cs="Arial" w:eastAsia="Arial" w:hAnsi="Arial"/>
                <w:sz w:val="16"/>
                <w:szCs w:val="16"/>
                <w:color w:val="auto"/>
              </w:rPr>
              <w:t>104.70</w:t>
            </w:r>
          </w:p>
        </w:tc>
        <w:tc>
          <w:tcPr>
            <w:tcW w:w="820" w:type="dxa"/>
            <w:vAlign w:val="bottom"/>
          </w:tcPr>
          <w:p>
            <w:pPr>
              <w:jc w:val="right"/>
              <w:ind w:right="49"/>
              <w:spacing w:after="0"/>
              <w:rPr>
                <w:sz w:val="20"/>
                <w:szCs w:val="20"/>
                <w:color w:val="auto"/>
              </w:rPr>
            </w:pPr>
            <w:r>
              <w:rPr>
                <w:rFonts w:ascii="Arial" w:cs="Arial" w:eastAsia="Arial" w:hAnsi="Arial"/>
                <w:sz w:val="16"/>
                <w:szCs w:val="16"/>
                <w:color w:val="auto"/>
              </w:rPr>
              <w:t>(670)</w:t>
            </w:r>
          </w:p>
        </w:tc>
        <w:tc>
          <w:tcPr>
            <w:tcW w:w="840" w:type="dxa"/>
            <w:vAlign w:val="bottom"/>
          </w:tcPr>
          <w:p>
            <w:pPr>
              <w:jc w:val="right"/>
              <w:ind w:right="10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43"/>
        </w:trPr>
        <w:tc>
          <w:tcPr>
            <w:tcW w:w="760" w:type="dxa"/>
            <w:vAlign w:val="bottom"/>
            <w:tcBorders>
              <w:bottom w:val="single" w:sz="8" w:color="732282"/>
            </w:tcBorders>
          </w:tcPr>
          <w:p>
            <w:pPr>
              <w:spacing w:after="0"/>
              <w:rPr>
                <w:sz w:val="3"/>
                <w:szCs w:val="3"/>
                <w:color w:val="auto"/>
              </w:rPr>
            </w:pPr>
          </w:p>
        </w:tc>
        <w:tc>
          <w:tcPr>
            <w:tcW w:w="1240" w:type="dxa"/>
            <w:vAlign w:val="bottom"/>
            <w:tcBorders>
              <w:bottom w:val="single" w:sz="8" w:color="732282"/>
            </w:tcBorders>
          </w:tcPr>
          <w:p>
            <w:pPr>
              <w:spacing w:after="0"/>
              <w:rPr>
                <w:sz w:val="3"/>
                <w:szCs w:val="3"/>
                <w:color w:val="auto"/>
              </w:rPr>
            </w:pPr>
          </w:p>
        </w:tc>
        <w:tc>
          <w:tcPr>
            <w:tcW w:w="1220" w:type="dxa"/>
            <w:vAlign w:val="bottom"/>
            <w:tcBorders>
              <w:bottom w:val="single" w:sz="8" w:color="732282"/>
            </w:tcBorders>
          </w:tcPr>
          <w:p>
            <w:pPr>
              <w:spacing w:after="0"/>
              <w:rPr>
                <w:sz w:val="3"/>
                <w:szCs w:val="3"/>
                <w:color w:val="auto"/>
              </w:rPr>
            </w:pPr>
          </w:p>
        </w:tc>
        <w:tc>
          <w:tcPr>
            <w:tcW w:w="940" w:type="dxa"/>
            <w:vAlign w:val="bottom"/>
            <w:tcBorders>
              <w:bottom w:val="single" w:sz="8" w:color="732282"/>
            </w:tcBorders>
          </w:tcPr>
          <w:p>
            <w:pPr>
              <w:spacing w:after="0"/>
              <w:rPr>
                <w:sz w:val="3"/>
                <w:szCs w:val="3"/>
                <w:color w:val="auto"/>
              </w:rPr>
            </w:pPr>
          </w:p>
        </w:tc>
        <w:tc>
          <w:tcPr>
            <w:tcW w:w="1240" w:type="dxa"/>
            <w:vAlign w:val="bottom"/>
            <w:tcBorders>
              <w:bottom w:val="single" w:sz="8" w:color="732282"/>
            </w:tcBorders>
          </w:tcPr>
          <w:p>
            <w:pPr>
              <w:spacing w:after="0"/>
              <w:rPr>
                <w:sz w:val="3"/>
                <w:szCs w:val="3"/>
                <w:color w:val="auto"/>
              </w:rPr>
            </w:pPr>
          </w:p>
        </w:tc>
        <w:tc>
          <w:tcPr>
            <w:tcW w:w="1220" w:type="dxa"/>
            <w:vAlign w:val="bottom"/>
            <w:tcBorders>
              <w:bottom w:val="single" w:sz="8" w:color="732282"/>
            </w:tcBorders>
          </w:tcPr>
          <w:p>
            <w:pPr>
              <w:spacing w:after="0"/>
              <w:rPr>
                <w:sz w:val="3"/>
                <w:szCs w:val="3"/>
                <w:color w:val="auto"/>
              </w:rPr>
            </w:pPr>
          </w:p>
        </w:tc>
        <w:tc>
          <w:tcPr>
            <w:tcW w:w="1200" w:type="dxa"/>
            <w:vAlign w:val="bottom"/>
            <w:tcBorders>
              <w:bottom w:val="single" w:sz="8" w:color="732282"/>
            </w:tcBorders>
          </w:tcPr>
          <w:p>
            <w:pPr>
              <w:spacing w:after="0"/>
              <w:rPr>
                <w:sz w:val="3"/>
                <w:szCs w:val="3"/>
                <w:color w:val="auto"/>
              </w:rPr>
            </w:pPr>
          </w:p>
        </w:tc>
        <w:tc>
          <w:tcPr>
            <w:tcW w:w="920" w:type="dxa"/>
            <w:vAlign w:val="bottom"/>
            <w:tcBorders>
              <w:bottom w:val="single" w:sz="8" w:color="732282"/>
            </w:tcBorders>
          </w:tcPr>
          <w:p>
            <w:pPr>
              <w:spacing w:after="0"/>
              <w:rPr>
                <w:sz w:val="3"/>
                <w:szCs w:val="3"/>
                <w:color w:val="auto"/>
              </w:rPr>
            </w:pPr>
          </w:p>
        </w:tc>
        <w:tc>
          <w:tcPr>
            <w:tcW w:w="620" w:type="dxa"/>
            <w:vAlign w:val="bottom"/>
            <w:tcBorders>
              <w:bottom w:val="single" w:sz="8" w:color="732282"/>
            </w:tcBorders>
          </w:tcPr>
          <w:p>
            <w:pPr>
              <w:spacing w:after="0"/>
              <w:rPr>
                <w:sz w:val="3"/>
                <w:szCs w:val="3"/>
                <w:color w:val="auto"/>
              </w:rPr>
            </w:pPr>
          </w:p>
        </w:tc>
        <w:tc>
          <w:tcPr>
            <w:tcW w:w="820" w:type="dxa"/>
            <w:vAlign w:val="bottom"/>
            <w:tcBorders>
              <w:bottom w:val="single" w:sz="8" w:color="732282"/>
            </w:tcBorders>
          </w:tcPr>
          <w:p>
            <w:pPr>
              <w:spacing w:after="0"/>
              <w:rPr>
                <w:sz w:val="3"/>
                <w:szCs w:val="3"/>
                <w:color w:val="auto"/>
              </w:rPr>
            </w:pPr>
          </w:p>
        </w:tc>
        <w:tc>
          <w:tcPr>
            <w:tcW w:w="840" w:type="dxa"/>
            <w:vAlign w:val="bottom"/>
            <w:tcBorders>
              <w:bottom w:val="single" w:sz="8" w:color="732282"/>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20" w:hanging="424"/>
        <w:spacing w:after="0" w:line="248"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dollar amounts reported in column “Summary Compensation Table Total for PEO 1” are the amounts of total compensation reported for Michael Goettler (who served as our CEO until April 1, 2023) for each corresponding year in the “Total” column of the Summary Compensation Table. Refer to the Summary Compensation Table on page 64. The dollar amount reported in column “Summary Compensation Table Total for PEO 2” is the amount of total compensation reported for Scott A. Smith (who has served as our CEO since April 1, 2023) for 2023 in the “Total” column of the Summary Compensation Table. The dollar amounts reported in column “Average Summary Compensation Table Total for non-PEO NEOs” represent the average of the amounts reported for the Company’s NEOs as a group (excluding the PEOs) in the “Total” column of the Summary Compensation Table in each applicable year. The names of each of the NEOs (excluding the PEOs) included for purposes of calculating the average amounts for the years 2020-2022 are Sanjeev Narula, Rajiv Malik, Anthony Mauro and Robert J. Coury, and for 2023 are Sanjeev Narula, Rajiv Malik, Anthony Mauro, Brian Roman, and Robert J. Coury.</w:t>
      </w:r>
    </w:p>
    <w:p>
      <w:pPr>
        <w:spacing w:after="0" w:line="5" w:lineRule="exact"/>
        <w:rPr>
          <w:rFonts w:ascii="Arial" w:cs="Arial" w:eastAsia="Arial" w:hAnsi="Arial"/>
          <w:sz w:val="16"/>
          <w:szCs w:val="16"/>
          <w:color w:val="3F3F3F"/>
        </w:rPr>
      </w:pPr>
    </w:p>
    <w:p>
      <w:pPr>
        <w:ind w:left="540" w:right="560" w:hanging="424"/>
        <w:spacing w:after="0" w:line="246"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amounts shown for compensation actually paid have been calculated in accordance with Item 402(v) of Regulation S-K (“Compensation Actually Paid”)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Arial" w:cs="Arial" w:eastAsia="Arial" w:hAnsi="Arial"/>
          <w:sz w:val="16"/>
          <w:szCs w:val="16"/>
          <w:color w:val="3F3F3F"/>
        </w:rPr>
      </w:pPr>
    </w:p>
    <w:p>
      <w:pPr>
        <w:ind w:left="540" w:right="20" w:hanging="424"/>
        <w:spacing w:after="0" w:line="265"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In accordance with the requirements of Item 402(v) of Regulation S-K, adjustments were made to total compensation for each year to determine the compensation actually paid as set forth below. Equity values are calculated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29450" cy="68580"/>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4"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3177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PEOs and Average non-PEO NEOs SCT Total to CAP Reconciliation:</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Summary</w:t>
            </w:r>
          </w:p>
        </w:tc>
        <w:tc>
          <w:tcPr>
            <w:tcW w:w="1800" w:type="dxa"/>
            <w:vAlign w:val="bottom"/>
            <w:shd w:val="clear" w:color="auto" w:fill="732282"/>
          </w:tcPr>
          <w:p>
            <w:pPr>
              <w:spacing w:after="0"/>
              <w:rPr>
                <w:sz w:val="14"/>
                <w:szCs w:val="14"/>
                <w:color w:val="auto"/>
              </w:rPr>
            </w:pPr>
          </w:p>
        </w:tc>
        <w:tc>
          <w:tcPr>
            <w:tcW w:w="1600" w:type="dxa"/>
            <w:vAlign w:val="bottom"/>
            <w:shd w:val="clear" w:color="auto" w:fill="732282"/>
          </w:tcPr>
          <w:p>
            <w:pPr>
              <w:spacing w:after="0"/>
              <w:rPr>
                <w:sz w:val="14"/>
                <w:szCs w:val="14"/>
                <w:color w:val="auto"/>
              </w:rPr>
            </w:pPr>
          </w:p>
        </w:tc>
        <w:tc>
          <w:tcPr>
            <w:tcW w:w="1380" w:type="dxa"/>
            <w:vAlign w:val="bottom"/>
            <w:shd w:val="clear" w:color="auto" w:fill="732282"/>
          </w:tcPr>
          <w:p>
            <w:pPr>
              <w:spacing w:after="0"/>
              <w:rPr>
                <w:sz w:val="14"/>
                <w:szCs w:val="14"/>
                <w:color w:val="auto"/>
              </w:rPr>
            </w:pPr>
          </w:p>
        </w:tc>
      </w:tr>
      <w:tr>
        <w:trPr>
          <w:trHeight w:val="162"/>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Compensation</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Reported Value</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 Award</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Compensation</w:t>
            </w:r>
          </w:p>
        </w:tc>
      </w:tr>
      <w:tr>
        <w:trPr>
          <w:trHeight w:val="175"/>
        </w:trPr>
        <w:tc>
          <w:tcPr>
            <w:tcW w:w="4740" w:type="dxa"/>
            <w:vAlign w:val="bottom"/>
            <w:shd w:val="clear" w:color="auto" w:fill="732282"/>
          </w:tcPr>
          <w:p>
            <w:pPr>
              <w:spacing w:after="0"/>
              <w:rPr>
                <w:sz w:val="15"/>
                <w:szCs w:val="15"/>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w w:val="97"/>
              </w:rPr>
              <w:t>Table Total</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of Equity Awards</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Adjustments</w:t>
            </w:r>
          </w:p>
        </w:tc>
        <w:tc>
          <w:tcPr>
            <w:tcW w:w="138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Actually Paid</w:t>
            </w:r>
          </w:p>
        </w:tc>
      </w:tr>
      <w:tr>
        <w:trPr>
          <w:trHeight w:val="212"/>
        </w:trPr>
        <w:tc>
          <w:tcPr>
            <w:tcW w:w="4740" w:type="dxa"/>
            <w:vAlign w:val="bottom"/>
            <w:shd w:val="clear" w:color="auto" w:fill="732282"/>
          </w:tcPr>
          <w:p>
            <w:pPr>
              <w:spacing w:after="0"/>
              <w:rPr>
                <w:sz w:val="18"/>
                <w:szCs w:val="18"/>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for PEO 1</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w w:val="97"/>
              </w:rPr>
              <w:t>for PEO 1</w:t>
            </w:r>
            <w:r>
              <w:rPr>
                <w:rFonts w:ascii="Arial" w:cs="Arial" w:eastAsia="Arial" w:hAnsi="Arial"/>
                <w:sz w:val="17"/>
                <w:szCs w:val="17"/>
                <w:b w:val="1"/>
                <w:bCs w:val="1"/>
                <w:color w:val="FFFFFF"/>
                <w:w w:val="97"/>
                <w:vertAlign w:val="superscript"/>
              </w:rPr>
              <w:t>(a)</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7"/>
              </w:rPr>
              <w:t>for PEO 1</w:t>
            </w:r>
            <w:r>
              <w:rPr>
                <w:rFonts w:ascii="Arial" w:cs="Arial" w:eastAsia="Arial" w:hAnsi="Arial"/>
                <w:sz w:val="17"/>
                <w:szCs w:val="17"/>
                <w:b w:val="1"/>
                <w:bCs w:val="1"/>
                <w:color w:val="FFFFFF"/>
                <w:w w:val="97"/>
                <w:vertAlign w:val="superscript"/>
              </w:rPr>
              <w:t>(b)</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to PEO 1</w:t>
            </w:r>
          </w:p>
        </w:tc>
      </w:tr>
      <w:tr>
        <w:trPr>
          <w:trHeight w:val="203"/>
        </w:trPr>
        <w:tc>
          <w:tcPr>
            <w:tcW w:w="474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Year</w:t>
            </w: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w w:val="93"/>
              </w:rPr>
              <w:t>($)</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w w:val="93"/>
              </w:rPr>
              <w:t>($)</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w:t>
            </w:r>
          </w:p>
        </w:tc>
      </w:tr>
      <w:tr>
        <w:trPr>
          <w:trHeight w:val="302"/>
        </w:trPr>
        <w:tc>
          <w:tcPr>
            <w:tcW w:w="47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9,843,710</w:t>
            </w:r>
          </w:p>
        </w:tc>
        <w:tc>
          <w:tcPr>
            <w:tcW w:w="1800" w:type="dxa"/>
            <w:vAlign w:val="bottom"/>
            <w:tcBorders>
              <w:bottom w:val="single" w:sz="8" w:color="E5E5E5"/>
            </w:tcBorders>
            <w:shd w:val="clear" w:color="auto" w:fill="E5E5E5"/>
          </w:tcPr>
          <w:p>
            <w:pPr>
              <w:jc w:val="right"/>
              <w:ind w:right="186"/>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5E5E5"/>
            </w:tcBorders>
            <w:shd w:val="clear" w:color="auto" w:fill="E5E5E5"/>
          </w:tcPr>
          <w:p>
            <w:pPr>
              <w:jc w:val="right"/>
              <w:ind w:right="126"/>
              <w:spacing w:after="0"/>
              <w:rPr>
                <w:sz w:val="20"/>
                <w:szCs w:val="20"/>
                <w:color w:val="auto"/>
              </w:rPr>
            </w:pPr>
            <w:r>
              <w:rPr>
                <w:rFonts w:ascii="Arial" w:cs="Arial" w:eastAsia="Arial" w:hAnsi="Arial"/>
                <w:sz w:val="16"/>
                <w:szCs w:val="16"/>
                <w:color w:val="auto"/>
              </w:rPr>
              <w:t>(14,759,308)</w:t>
            </w:r>
          </w:p>
        </w:tc>
        <w:tc>
          <w:tcPr>
            <w:tcW w:w="1380" w:type="dxa"/>
            <w:vAlign w:val="bottom"/>
            <w:tcBorders>
              <w:bottom w:val="single" w:sz="8" w:color="E5E5E5"/>
            </w:tcBorders>
            <w:shd w:val="clear" w:color="auto" w:fill="E5E5E5"/>
          </w:tcPr>
          <w:p>
            <w:pPr>
              <w:jc w:val="right"/>
              <w:ind w:right="6"/>
              <w:spacing w:after="0"/>
              <w:rPr>
                <w:sz w:val="20"/>
                <w:szCs w:val="20"/>
                <w:color w:val="auto"/>
              </w:rPr>
            </w:pPr>
            <w:r>
              <w:rPr>
                <w:rFonts w:ascii="Arial" w:cs="Arial" w:eastAsia="Arial" w:hAnsi="Arial"/>
                <w:sz w:val="16"/>
                <w:szCs w:val="16"/>
                <w:color w:val="auto"/>
              </w:rPr>
              <w:t>(4,915,598)</w:t>
            </w:r>
          </w:p>
        </w:tc>
      </w:tr>
      <w:tr>
        <w:trPr>
          <w:trHeight w:val="223"/>
        </w:trPr>
        <w:tc>
          <w:tcPr>
            <w:tcW w:w="4740" w:type="dxa"/>
            <w:vAlign w:val="bottom"/>
            <w:tcBorders>
              <w:top w:val="single" w:sz="8" w:color="732282"/>
            </w:tcBorders>
          </w:tcPr>
          <w:p>
            <w:pPr>
              <w:spacing w:after="0"/>
              <w:rPr>
                <w:sz w:val="19"/>
                <w:szCs w:val="19"/>
                <w:color w:val="auto"/>
              </w:rPr>
            </w:pPr>
          </w:p>
        </w:tc>
        <w:tc>
          <w:tcPr>
            <w:tcW w:w="1500" w:type="dxa"/>
            <w:vAlign w:val="bottom"/>
            <w:tcBorders>
              <w:top w:val="single" w:sz="8" w:color="732282"/>
            </w:tcBorders>
          </w:tcPr>
          <w:p>
            <w:pPr>
              <w:spacing w:after="0"/>
              <w:rPr>
                <w:sz w:val="19"/>
                <w:szCs w:val="19"/>
                <w:color w:val="auto"/>
              </w:rPr>
            </w:pPr>
          </w:p>
        </w:tc>
        <w:tc>
          <w:tcPr>
            <w:tcW w:w="1800" w:type="dxa"/>
            <w:vAlign w:val="bottom"/>
            <w:tcBorders>
              <w:top w:val="single" w:sz="8" w:color="732282"/>
            </w:tcBorders>
          </w:tcPr>
          <w:p>
            <w:pPr>
              <w:spacing w:after="0"/>
              <w:rPr>
                <w:sz w:val="19"/>
                <w:szCs w:val="19"/>
                <w:color w:val="auto"/>
              </w:rPr>
            </w:pPr>
          </w:p>
        </w:tc>
        <w:tc>
          <w:tcPr>
            <w:tcW w:w="1600" w:type="dxa"/>
            <w:vAlign w:val="bottom"/>
            <w:tcBorders>
              <w:top w:val="single" w:sz="8" w:color="732282"/>
            </w:tcBorders>
          </w:tcPr>
          <w:p>
            <w:pPr>
              <w:spacing w:after="0"/>
              <w:rPr>
                <w:sz w:val="19"/>
                <w:szCs w:val="19"/>
                <w:color w:val="auto"/>
              </w:rPr>
            </w:pPr>
          </w:p>
        </w:tc>
        <w:tc>
          <w:tcPr>
            <w:tcW w:w="1380" w:type="dxa"/>
            <w:vAlign w:val="bottom"/>
            <w:tcBorders>
              <w:top w:val="single" w:sz="8" w:color="732282"/>
            </w:tcBorders>
          </w:tcPr>
          <w:p>
            <w:pPr>
              <w:spacing w:after="0"/>
              <w:rPr>
                <w:sz w:val="19"/>
                <w:szCs w:val="19"/>
                <w:color w:val="auto"/>
              </w:rPr>
            </w:pPr>
          </w:p>
        </w:tc>
      </w:tr>
      <w:tr>
        <w:trPr>
          <w:trHeight w:val="166"/>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Summary</w:t>
            </w:r>
          </w:p>
        </w:tc>
        <w:tc>
          <w:tcPr>
            <w:tcW w:w="1800" w:type="dxa"/>
            <w:vAlign w:val="bottom"/>
            <w:shd w:val="clear" w:color="auto" w:fill="732282"/>
          </w:tcPr>
          <w:p>
            <w:pPr>
              <w:spacing w:after="0"/>
              <w:rPr>
                <w:sz w:val="14"/>
                <w:szCs w:val="14"/>
                <w:color w:val="auto"/>
              </w:rPr>
            </w:pPr>
          </w:p>
        </w:tc>
        <w:tc>
          <w:tcPr>
            <w:tcW w:w="1600" w:type="dxa"/>
            <w:vAlign w:val="bottom"/>
            <w:shd w:val="clear" w:color="auto" w:fill="732282"/>
          </w:tcPr>
          <w:p>
            <w:pPr>
              <w:spacing w:after="0"/>
              <w:rPr>
                <w:sz w:val="14"/>
                <w:szCs w:val="14"/>
                <w:color w:val="auto"/>
              </w:rPr>
            </w:pPr>
          </w:p>
        </w:tc>
        <w:tc>
          <w:tcPr>
            <w:tcW w:w="1380" w:type="dxa"/>
            <w:vAlign w:val="bottom"/>
            <w:shd w:val="clear" w:color="auto" w:fill="732282"/>
          </w:tcPr>
          <w:p>
            <w:pPr>
              <w:spacing w:after="0"/>
              <w:rPr>
                <w:sz w:val="14"/>
                <w:szCs w:val="14"/>
                <w:color w:val="auto"/>
              </w:rPr>
            </w:pPr>
          </w:p>
        </w:tc>
      </w:tr>
      <w:tr>
        <w:trPr>
          <w:trHeight w:val="162"/>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Compensation</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Reported Value</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 Award</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Compensation</w:t>
            </w:r>
          </w:p>
        </w:tc>
      </w:tr>
      <w:tr>
        <w:trPr>
          <w:trHeight w:val="176"/>
        </w:trPr>
        <w:tc>
          <w:tcPr>
            <w:tcW w:w="4740" w:type="dxa"/>
            <w:vAlign w:val="bottom"/>
            <w:shd w:val="clear" w:color="auto" w:fill="732282"/>
          </w:tcPr>
          <w:p>
            <w:pPr>
              <w:spacing w:after="0"/>
              <w:rPr>
                <w:sz w:val="15"/>
                <w:szCs w:val="15"/>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w w:val="97"/>
              </w:rPr>
              <w:t>Table Total</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of Equity Awards</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Adjustments</w:t>
            </w:r>
          </w:p>
        </w:tc>
        <w:tc>
          <w:tcPr>
            <w:tcW w:w="138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Actually Paid</w:t>
            </w:r>
          </w:p>
        </w:tc>
      </w:tr>
      <w:tr>
        <w:trPr>
          <w:trHeight w:val="212"/>
        </w:trPr>
        <w:tc>
          <w:tcPr>
            <w:tcW w:w="4740" w:type="dxa"/>
            <w:vAlign w:val="bottom"/>
            <w:shd w:val="clear" w:color="auto" w:fill="732282"/>
          </w:tcPr>
          <w:p>
            <w:pPr>
              <w:spacing w:after="0"/>
              <w:rPr>
                <w:sz w:val="18"/>
                <w:szCs w:val="18"/>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for PEO 2</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w w:val="97"/>
              </w:rPr>
              <w:t>for PEO 2</w:t>
            </w:r>
            <w:r>
              <w:rPr>
                <w:rFonts w:ascii="Arial" w:cs="Arial" w:eastAsia="Arial" w:hAnsi="Arial"/>
                <w:sz w:val="17"/>
                <w:szCs w:val="17"/>
                <w:b w:val="1"/>
                <w:bCs w:val="1"/>
                <w:color w:val="FFFFFF"/>
                <w:w w:val="97"/>
                <w:vertAlign w:val="superscript"/>
              </w:rPr>
              <w:t>(a)</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7"/>
              </w:rPr>
              <w:t>for PEO 2</w:t>
            </w:r>
            <w:r>
              <w:rPr>
                <w:rFonts w:ascii="Arial" w:cs="Arial" w:eastAsia="Arial" w:hAnsi="Arial"/>
                <w:sz w:val="17"/>
                <w:szCs w:val="17"/>
                <w:b w:val="1"/>
                <w:bCs w:val="1"/>
                <w:color w:val="FFFFFF"/>
                <w:w w:val="97"/>
                <w:vertAlign w:val="superscript"/>
              </w:rPr>
              <w:t>(b)</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to PEO 2</w:t>
            </w:r>
          </w:p>
        </w:tc>
      </w:tr>
      <w:tr>
        <w:trPr>
          <w:trHeight w:val="203"/>
        </w:trPr>
        <w:tc>
          <w:tcPr>
            <w:tcW w:w="474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Year</w:t>
            </w: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w w:val="93"/>
              </w:rPr>
              <w:t>($)</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w w:val="93"/>
              </w:rPr>
              <w:t>($)</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w:t>
            </w:r>
          </w:p>
        </w:tc>
      </w:tr>
      <w:tr>
        <w:trPr>
          <w:trHeight w:val="302"/>
        </w:trPr>
        <w:tc>
          <w:tcPr>
            <w:tcW w:w="47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15,930,409</w:t>
            </w:r>
          </w:p>
        </w:tc>
        <w:tc>
          <w:tcPr>
            <w:tcW w:w="1800" w:type="dxa"/>
            <w:vAlign w:val="bottom"/>
            <w:tcBorders>
              <w:bottom w:val="single" w:sz="8" w:color="E5E5E5"/>
            </w:tcBorders>
            <w:shd w:val="clear" w:color="auto" w:fill="E5E5E5"/>
          </w:tcPr>
          <w:p>
            <w:pPr>
              <w:jc w:val="right"/>
              <w:ind w:right="146"/>
              <w:spacing w:after="0"/>
              <w:rPr>
                <w:sz w:val="20"/>
                <w:szCs w:val="20"/>
                <w:color w:val="auto"/>
              </w:rPr>
            </w:pPr>
            <w:r>
              <w:rPr>
                <w:rFonts w:ascii="Arial" w:cs="Arial" w:eastAsia="Arial" w:hAnsi="Arial"/>
                <w:sz w:val="16"/>
                <w:szCs w:val="16"/>
                <w:color w:val="auto"/>
              </w:rPr>
              <w:t>(11,200,008)</w:t>
            </w:r>
          </w:p>
        </w:tc>
        <w:tc>
          <w:tcPr>
            <w:tcW w:w="1600" w:type="dxa"/>
            <w:vAlign w:val="bottom"/>
            <w:tcBorders>
              <w:bottom w:val="single" w:sz="8" w:color="E5E5E5"/>
            </w:tcBorders>
            <w:shd w:val="clear" w:color="auto" w:fill="E5E5E5"/>
          </w:tcPr>
          <w:p>
            <w:pPr>
              <w:jc w:val="right"/>
              <w:ind w:right="186"/>
              <w:spacing w:after="0"/>
              <w:rPr>
                <w:sz w:val="20"/>
                <w:szCs w:val="20"/>
                <w:color w:val="auto"/>
              </w:rPr>
            </w:pPr>
            <w:r>
              <w:rPr>
                <w:rFonts w:ascii="Arial" w:cs="Arial" w:eastAsia="Arial" w:hAnsi="Arial"/>
                <w:sz w:val="16"/>
                <w:szCs w:val="16"/>
                <w:color w:val="auto"/>
              </w:rPr>
              <w:t>13,063,330</w:t>
            </w:r>
          </w:p>
        </w:tc>
        <w:tc>
          <w:tcPr>
            <w:tcW w:w="1380" w:type="dxa"/>
            <w:vAlign w:val="bottom"/>
            <w:tcBorders>
              <w:bottom w:val="single" w:sz="8" w:color="E5E5E5"/>
            </w:tcBorders>
            <w:shd w:val="clear" w:color="auto" w:fill="E5E5E5"/>
          </w:tcPr>
          <w:p>
            <w:pPr>
              <w:jc w:val="center"/>
              <w:ind w:left="46"/>
              <w:spacing w:after="0"/>
              <w:rPr>
                <w:sz w:val="20"/>
                <w:szCs w:val="20"/>
                <w:color w:val="auto"/>
              </w:rPr>
            </w:pPr>
            <w:r>
              <w:rPr>
                <w:rFonts w:ascii="Arial" w:cs="Arial" w:eastAsia="Arial" w:hAnsi="Arial"/>
                <w:sz w:val="16"/>
                <w:szCs w:val="16"/>
                <w:color w:val="auto"/>
              </w:rPr>
              <w:t>17,793,731</w:t>
            </w:r>
          </w:p>
        </w:tc>
      </w:tr>
      <w:tr>
        <w:trPr>
          <w:trHeight w:val="223"/>
        </w:trPr>
        <w:tc>
          <w:tcPr>
            <w:tcW w:w="4740" w:type="dxa"/>
            <w:vAlign w:val="bottom"/>
            <w:tcBorders>
              <w:top w:val="single" w:sz="8" w:color="732282"/>
            </w:tcBorders>
          </w:tcPr>
          <w:p>
            <w:pPr>
              <w:spacing w:after="0"/>
              <w:rPr>
                <w:sz w:val="19"/>
                <w:szCs w:val="19"/>
                <w:color w:val="auto"/>
              </w:rPr>
            </w:pPr>
          </w:p>
        </w:tc>
        <w:tc>
          <w:tcPr>
            <w:tcW w:w="1500" w:type="dxa"/>
            <w:vAlign w:val="bottom"/>
            <w:tcBorders>
              <w:top w:val="single" w:sz="8" w:color="732282"/>
            </w:tcBorders>
          </w:tcPr>
          <w:p>
            <w:pPr>
              <w:spacing w:after="0"/>
              <w:rPr>
                <w:sz w:val="19"/>
                <w:szCs w:val="19"/>
                <w:color w:val="auto"/>
              </w:rPr>
            </w:pPr>
          </w:p>
        </w:tc>
        <w:tc>
          <w:tcPr>
            <w:tcW w:w="1800" w:type="dxa"/>
            <w:vAlign w:val="bottom"/>
            <w:tcBorders>
              <w:top w:val="single" w:sz="8" w:color="732282"/>
            </w:tcBorders>
          </w:tcPr>
          <w:p>
            <w:pPr>
              <w:spacing w:after="0"/>
              <w:rPr>
                <w:sz w:val="19"/>
                <w:szCs w:val="19"/>
                <w:color w:val="auto"/>
              </w:rPr>
            </w:pPr>
          </w:p>
        </w:tc>
        <w:tc>
          <w:tcPr>
            <w:tcW w:w="1600" w:type="dxa"/>
            <w:vAlign w:val="bottom"/>
            <w:tcBorders>
              <w:top w:val="single" w:sz="8" w:color="732282"/>
            </w:tcBorders>
          </w:tcPr>
          <w:p>
            <w:pPr>
              <w:spacing w:after="0"/>
              <w:rPr>
                <w:sz w:val="19"/>
                <w:szCs w:val="19"/>
                <w:color w:val="auto"/>
              </w:rPr>
            </w:pPr>
          </w:p>
        </w:tc>
        <w:tc>
          <w:tcPr>
            <w:tcW w:w="1380" w:type="dxa"/>
            <w:vAlign w:val="bottom"/>
            <w:tcBorders>
              <w:top w:val="single" w:sz="8" w:color="732282"/>
            </w:tcBorders>
          </w:tcPr>
          <w:p>
            <w:pPr>
              <w:spacing w:after="0"/>
              <w:rPr>
                <w:sz w:val="19"/>
                <w:szCs w:val="19"/>
                <w:color w:val="auto"/>
              </w:rPr>
            </w:pPr>
          </w:p>
        </w:tc>
      </w:tr>
      <w:tr>
        <w:trPr>
          <w:trHeight w:val="166"/>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Average</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Average</w:t>
            </w:r>
          </w:p>
        </w:tc>
        <w:tc>
          <w:tcPr>
            <w:tcW w:w="1600" w:type="dxa"/>
            <w:vAlign w:val="bottom"/>
            <w:shd w:val="clear" w:color="auto" w:fill="732282"/>
          </w:tcPr>
          <w:p>
            <w:pPr>
              <w:spacing w:after="0"/>
              <w:rPr>
                <w:sz w:val="14"/>
                <w:szCs w:val="14"/>
                <w:color w:val="auto"/>
              </w:rPr>
            </w:pPr>
          </w:p>
        </w:tc>
        <w:tc>
          <w:tcPr>
            <w:tcW w:w="1380" w:type="dxa"/>
            <w:vAlign w:val="bottom"/>
            <w:shd w:val="clear" w:color="auto" w:fill="732282"/>
          </w:tcPr>
          <w:p>
            <w:pPr>
              <w:spacing w:after="0"/>
              <w:rPr>
                <w:sz w:val="14"/>
                <w:szCs w:val="14"/>
                <w:color w:val="auto"/>
              </w:rPr>
            </w:pPr>
          </w:p>
        </w:tc>
      </w:tr>
      <w:tr>
        <w:trPr>
          <w:trHeight w:val="162"/>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Summary</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Reported Value</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Average</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Average</w:t>
            </w:r>
          </w:p>
        </w:tc>
      </w:tr>
      <w:tr>
        <w:trPr>
          <w:trHeight w:val="162"/>
        </w:trPr>
        <w:tc>
          <w:tcPr>
            <w:tcW w:w="4740" w:type="dxa"/>
            <w:vAlign w:val="bottom"/>
            <w:shd w:val="clear" w:color="auto" w:fill="732282"/>
          </w:tcPr>
          <w:p>
            <w:pPr>
              <w:spacing w:after="0"/>
              <w:rPr>
                <w:sz w:val="14"/>
                <w:szCs w:val="14"/>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Compensation</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of Equity Awards</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 Award</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Compensation</w:t>
            </w:r>
          </w:p>
        </w:tc>
      </w:tr>
      <w:tr>
        <w:trPr>
          <w:trHeight w:val="176"/>
        </w:trPr>
        <w:tc>
          <w:tcPr>
            <w:tcW w:w="4740" w:type="dxa"/>
            <w:vAlign w:val="bottom"/>
            <w:shd w:val="clear" w:color="auto" w:fill="732282"/>
          </w:tcPr>
          <w:p>
            <w:pPr>
              <w:spacing w:after="0"/>
              <w:rPr>
                <w:sz w:val="15"/>
                <w:szCs w:val="15"/>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w w:val="99"/>
              </w:rPr>
              <w:t>Table Total for</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rPr>
              <w:t>for</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Adjustments for</w:t>
            </w:r>
          </w:p>
        </w:tc>
        <w:tc>
          <w:tcPr>
            <w:tcW w:w="1380" w:type="dxa"/>
            <w:vAlign w:val="bottom"/>
            <w:shd w:val="clear" w:color="auto" w:fill="732282"/>
          </w:tcPr>
          <w:p>
            <w:pPr>
              <w:jc w:val="center"/>
              <w:ind w:left="66"/>
              <w:spacing w:after="0"/>
              <w:rPr>
                <w:sz w:val="20"/>
                <w:szCs w:val="20"/>
                <w:color w:val="auto"/>
              </w:rPr>
            </w:pPr>
            <w:r>
              <w:rPr>
                <w:rFonts w:ascii="Arial" w:cs="Arial" w:eastAsia="Arial" w:hAnsi="Arial"/>
                <w:sz w:val="14"/>
                <w:szCs w:val="14"/>
                <w:b w:val="1"/>
                <w:bCs w:val="1"/>
                <w:color w:val="FFFFFF"/>
              </w:rPr>
              <w:t>Actually Paid to</w:t>
            </w:r>
          </w:p>
        </w:tc>
      </w:tr>
      <w:tr>
        <w:trPr>
          <w:trHeight w:val="212"/>
        </w:trPr>
        <w:tc>
          <w:tcPr>
            <w:tcW w:w="4740" w:type="dxa"/>
            <w:vAlign w:val="bottom"/>
            <w:shd w:val="clear" w:color="auto" w:fill="732282"/>
          </w:tcPr>
          <w:p>
            <w:pPr>
              <w:spacing w:after="0"/>
              <w:rPr>
                <w:sz w:val="18"/>
                <w:szCs w:val="18"/>
                <w:color w:val="auto"/>
              </w:rPr>
            </w:pP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rPr>
              <w:t>Non-PEO NEOs</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w w:val="98"/>
              </w:rPr>
              <w:t>Non-PEO NEOs</w:t>
            </w:r>
            <w:r>
              <w:rPr>
                <w:rFonts w:ascii="Arial" w:cs="Arial" w:eastAsia="Arial" w:hAnsi="Arial"/>
                <w:sz w:val="17"/>
                <w:szCs w:val="17"/>
                <w:b w:val="1"/>
                <w:bCs w:val="1"/>
                <w:color w:val="FFFFFF"/>
                <w:w w:val="98"/>
                <w:vertAlign w:val="superscript"/>
              </w:rPr>
              <w:t>(a)</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8"/>
              </w:rPr>
              <w:t>Non-PEO NEOs</w:t>
            </w:r>
            <w:r>
              <w:rPr>
                <w:rFonts w:ascii="Arial" w:cs="Arial" w:eastAsia="Arial" w:hAnsi="Arial"/>
                <w:sz w:val="17"/>
                <w:szCs w:val="17"/>
                <w:b w:val="1"/>
                <w:bCs w:val="1"/>
                <w:color w:val="FFFFFF"/>
                <w:w w:val="98"/>
                <w:vertAlign w:val="superscript"/>
              </w:rPr>
              <w:t>(b)</w:t>
            </w:r>
          </w:p>
        </w:tc>
        <w:tc>
          <w:tcPr>
            <w:tcW w:w="138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Non-PEO NEOs</w:t>
            </w:r>
          </w:p>
        </w:tc>
      </w:tr>
      <w:tr>
        <w:trPr>
          <w:trHeight w:val="203"/>
        </w:trPr>
        <w:tc>
          <w:tcPr>
            <w:tcW w:w="474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Year</w:t>
            </w:r>
          </w:p>
        </w:tc>
        <w:tc>
          <w:tcPr>
            <w:tcW w:w="1500" w:type="dxa"/>
            <w:vAlign w:val="bottom"/>
            <w:shd w:val="clear" w:color="auto" w:fill="732282"/>
          </w:tcPr>
          <w:p>
            <w:pPr>
              <w:jc w:val="center"/>
              <w:ind w:left="347"/>
              <w:spacing w:after="0"/>
              <w:rPr>
                <w:sz w:val="20"/>
                <w:szCs w:val="20"/>
                <w:color w:val="auto"/>
              </w:rPr>
            </w:pPr>
            <w:r>
              <w:rPr>
                <w:rFonts w:ascii="Arial" w:cs="Arial" w:eastAsia="Arial" w:hAnsi="Arial"/>
                <w:sz w:val="14"/>
                <w:szCs w:val="14"/>
                <w:b w:val="1"/>
                <w:bCs w:val="1"/>
                <w:color w:val="FFFFFF"/>
                <w:w w:val="93"/>
              </w:rPr>
              <w:t>($)</w:t>
            </w:r>
          </w:p>
        </w:tc>
        <w:tc>
          <w:tcPr>
            <w:tcW w:w="1800" w:type="dxa"/>
            <w:vAlign w:val="bottom"/>
            <w:shd w:val="clear" w:color="auto" w:fill="732282"/>
          </w:tcPr>
          <w:p>
            <w:pPr>
              <w:jc w:val="center"/>
              <w:ind w:left="126"/>
              <w:spacing w:after="0"/>
              <w:rPr>
                <w:sz w:val="20"/>
                <w:szCs w:val="20"/>
                <w:color w:val="auto"/>
              </w:rPr>
            </w:pPr>
            <w:r>
              <w:rPr>
                <w:rFonts w:ascii="Arial" w:cs="Arial" w:eastAsia="Arial" w:hAnsi="Arial"/>
                <w:sz w:val="14"/>
                <w:szCs w:val="14"/>
                <w:b w:val="1"/>
                <w:bCs w:val="1"/>
                <w:color w:val="FFFFFF"/>
                <w:w w:val="93"/>
              </w:rPr>
              <w:t>($)</w:t>
            </w:r>
          </w:p>
        </w:tc>
        <w:tc>
          <w:tcPr>
            <w:tcW w:w="160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732282"/>
          </w:tcPr>
          <w:p>
            <w:pPr>
              <w:jc w:val="center"/>
              <w:ind w:left="46"/>
              <w:spacing w:after="0"/>
              <w:rPr>
                <w:sz w:val="20"/>
                <w:szCs w:val="20"/>
                <w:color w:val="auto"/>
              </w:rPr>
            </w:pPr>
            <w:r>
              <w:rPr>
                <w:rFonts w:ascii="Arial" w:cs="Arial" w:eastAsia="Arial" w:hAnsi="Arial"/>
                <w:sz w:val="14"/>
                <w:szCs w:val="14"/>
                <w:b w:val="1"/>
                <w:bCs w:val="1"/>
                <w:color w:val="FFFFFF"/>
              </w:rPr>
              <w:t>($)</w:t>
            </w:r>
          </w:p>
        </w:tc>
      </w:tr>
      <w:tr>
        <w:trPr>
          <w:trHeight w:val="277"/>
        </w:trPr>
        <w:tc>
          <w:tcPr>
            <w:tcW w:w="47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5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14,262,640</w:t>
            </w:r>
          </w:p>
        </w:tc>
        <w:tc>
          <w:tcPr>
            <w:tcW w:w="1800" w:type="dxa"/>
            <w:vAlign w:val="bottom"/>
            <w:tcBorders>
              <w:bottom w:val="single" w:sz="8" w:color="E5E5E5"/>
            </w:tcBorders>
            <w:shd w:val="clear" w:color="auto" w:fill="E5E5E5"/>
          </w:tcPr>
          <w:p>
            <w:pPr>
              <w:jc w:val="right"/>
              <w:ind w:right="146"/>
              <w:spacing w:after="0"/>
              <w:rPr>
                <w:sz w:val="20"/>
                <w:szCs w:val="20"/>
                <w:color w:val="auto"/>
              </w:rPr>
            </w:pPr>
            <w:r>
              <w:rPr>
                <w:rFonts w:ascii="Arial" w:cs="Arial" w:eastAsia="Arial" w:hAnsi="Arial"/>
                <w:sz w:val="16"/>
                <w:szCs w:val="16"/>
                <w:color w:val="auto"/>
              </w:rPr>
              <w:t>(5,648,014)</w:t>
            </w:r>
          </w:p>
        </w:tc>
        <w:tc>
          <w:tcPr>
            <w:tcW w:w="1600" w:type="dxa"/>
            <w:vAlign w:val="bottom"/>
            <w:tcBorders>
              <w:bottom w:val="single" w:sz="8" w:color="E5E5E5"/>
            </w:tcBorders>
            <w:shd w:val="clear" w:color="auto" w:fill="E5E5E5"/>
          </w:tcPr>
          <w:p>
            <w:pPr>
              <w:jc w:val="right"/>
              <w:ind w:right="186"/>
              <w:spacing w:after="0"/>
              <w:rPr>
                <w:sz w:val="20"/>
                <w:szCs w:val="20"/>
                <w:color w:val="auto"/>
              </w:rPr>
            </w:pPr>
            <w:r>
              <w:rPr>
                <w:rFonts w:ascii="Arial" w:cs="Arial" w:eastAsia="Arial" w:hAnsi="Arial"/>
                <w:sz w:val="16"/>
                <w:szCs w:val="16"/>
                <w:color w:val="auto"/>
              </w:rPr>
              <w:t>8,890,133</w:t>
            </w:r>
          </w:p>
        </w:tc>
        <w:tc>
          <w:tcPr>
            <w:tcW w:w="1380" w:type="dxa"/>
            <w:vAlign w:val="bottom"/>
            <w:tcBorders>
              <w:bottom w:val="single" w:sz="8" w:color="E5E5E5"/>
            </w:tcBorders>
            <w:shd w:val="clear" w:color="auto" w:fill="E5E5E5"/>
          </w:tcPr>
          <w:p>
            <w:pPr>
              <w:jc w:val="center"/>
              <w:ind w:left="46"/>
              <w:spacing w:after="0"/>
              <w:rPr>
                <w:sz w:val="20"/>
                <w:szCs w:val="20"/>
                <w:color w:val="auto"/>
              </w:rPr>
            </w:pPr>
            <w:r>
              <w:rPr>
                <w:rFonts w:ascii="Arial" w:cs="Arial" w:eastAsia="Arial" w:hAnsi="Arial"/>
                <w:sz w:val="16"/>
                <w:szCs w:val="16"/>
                <w:color w:val="auto"/>
              </w:rPr>
              <w:t>17,504,759</w:t>
            </w:r>
          </w:p>
        </w:tc>
      </w:tr>
      <w:tr>
        <w:trPr>
          <w:trHeight w:val="20"/>
        </w:trPr>
        <w:tc>
          <w:tcPr>
            <w:tcW w:w="4740" w:type="dxa"/>
            <w:vAlign w:val="bottom"/>
            <w:shd w:val="clear" w:color="auto" w:fill="732282"/>
          </w:tcPr>
          <w:p>
            <w:pPr>
              <w:spacing w:after="0" w:line="20" w:lineRule="exact"/>
              <w:rPr>
                <w:sz w:val="1"/>
                <w:szCs w:val="1"/>
                <w:color w:val="auto"/>
              </w:rPr>
            </w:pPr>
          </w:p>
        </w:tc>
        <w:tc>
          <w:tcPr>
            <w:tcW w:w="1500" w:type="dxa"/>
            <w:vAlign w:val="bottom"/>
            <w:shd w:val="clear" w:color="auto" w:fill="732282"/>
          </w:tcPr>
          <w:p>
            <w:pPr>
              <w:spacing w:after="0" w:line="20" w:lineRule="exact"/>
              <w:rPr>
                <w:sz w:val="1"/>
                <w:szCs w:val="1"/>
                <w:color w:val="auto"/>
              </w:rPr>
            </w:pPr>
          </w:p>
        </w:tc>
        <w:tc>
          <w:tcPr>
            <w:tcW w:w="1800" w:type="dxa"/>
            <w:vAlign w:val="bottom"/>
            <w:shd w:val="clear" w:color="auto" w:fill="732282"/>
          </w:tcPr>
          <w:p>
            <w:pPr>
              <w:spacing w:after="0" w:line="20" w:lineRule="exact"/>
              <w:rPr>
                <w:sz w:val="1"/>
                <w:szCs w:val="1"/>
                <w:color w:val="auto"/>
              </w:rPr>
            </w:pPr>
          </w:p>
        </w:tc>
        <w:tc>
          <w:tcPr>
            <w:tcW w:w="160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r>
    </w:tbl>
    <w:p>
      <w:pPr>
        <w:spacing w:after="0" w:line="107" w:lineRule="exact"/>
        <w:rPr>
          <w:sz w:val="20"/>
          <w:szCs w:val="20"/>
          <w:color w:val="auto"/>
        </w:rPr>
      </w:pPr>
    </w:p>
    <w:p>
      <w:pPr>
        <w:ind w:left="540" w:right="420" w:hanging="424"/>
        <w:spacing w:after="0" w:line="256"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amounts included in this column represent the total of the amounts reported in the “Stock Awards” column in the Summary Compensation Table on page 64.</w:t>
      </w:r>
    </w:p>
    <w:p>
      <w:pPr>
        <w:spacing w:after="0" w:line="1" w:lineRule="exact"/>
        <w:rPr>
          <w:rFonts w:ascii="Arial" w:cs="Arial" w:eastAsia="Arial" w:hAnsi="Arial"/>
          <w:sz w:val="16"/>
          <w:szCs w:val="16"/>
          <w:color w:val="3F3F3F"/>
        </w:rPr>
      </w:pPr>
    </w:p>
    <w:p>
      <w:pPr>
        <w:ind w:left="540" w:right="20" w:hanging="424"/>
        <w:spacing w:after="0" w:line="248"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the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the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68580"/>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79 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PEOs and Average non-PEO NEOs Equity Component of CAP:</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Year-End Fair</w:t>
            </w: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Change in</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Fair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9"/>
              </w:rPr>
              <w:t>Fair Value</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Last Day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Granted</w:t>
            </w:r>
          </w:p>
        </w:tc>
        <w:tc>
          <w:tcPr>
            <w:tcW w:w="13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from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of</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Prior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or Other</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Day of Prior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Unvested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That</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Year to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Remained</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9"/>
              </w:rPr>
              <w:t>Day of Year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that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Total - Equity</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Unvested as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of Unvested</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that 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Forfeited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Last Day</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8"/>
              </w:rPr>
              <w:t>Equity</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of Year for</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Awards for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3"/>
              </w:rPr>
              <w:t>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0" w:type="dxa"/>
            <w:vAlign w:val="bottom"/>
          </w:tcPr>
          <w:p>
            <w:pPr>
              <w:spacing w:after="0"/>
              <w:rPr>
                <w:sz w:val="1"/>
                <w:szCs w:val="1"/>
                <w:color w:val="auto"/>
              </w:rPr>
            </w:pPr>
          </w:p>
        </w:tc>
      </w:tr>
      <w:tr>
        <w:trPr>
          <w:trHeight w:val="217"/>
        </w:trPr>
        <w:tc>
          <w:tcPr>
            <w:tcW w:w="1880" w:type="dxa"/>
            <w:vAlign w:val="bottom"/>
            <w:shd w:val="clear" w:color="auto" w:fill="732282"/>
          </w:tcPr>
          <w:p>
            <w:pPr>
              <w:spacing w:after="0"/>
              <w:rPr>
                <w:sz w:val="18"/>
                <w:szCs w:val="18"/>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7"/>
              </w:rPr>
              <w:t>PEO 1</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PEO 1</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1</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1</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1</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1</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1</w:t>
            </w:r>
          </w:p>
        </w:tc>
        <w:tc>
          <w:tcPr>
            <w:tcW w:w="0" w:type="dxa"/>
            <w:vAlign w:val="bottom"/>
          </w:tcPr>
          <w:p>
            <w:pPr>
              <w:spacing w:after="0"/>
              <w:rPr>
                <w:sz w:val="1"/>
                <w:szCs w:val="1"/>
                <w:color w:val="auto"/>
              </w:rPr>
            </w:pPr>
          </w:p>
        </w:tc>
      </w:tr>
      <w:tr>
        <w:trPr>
          <w:trHeight w:val="229"/>
        </w:trPr>
        <w:tc>
          <w:tcPr>
            <w:tcW w:w="18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1"/>
              </w:rPr>
              <w:t>($)</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02"/>
        </w:trPr>
        <w:tc>
          <w:tcPr>
            <w:tcW w:w="1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3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9,011</w:t>
            </w:r>
          </w:p>
        </w:tc>
        <w:tc>
          <w:tcPr>
            <w:tcW w:w="13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(14,768,319)</w:t>
            </w:r>
          </w:p>
        </w:tc>
        <w:tc>
          <w:tcPr>
            <w:tcW w:w="1300" w:type="dxa"/>
            <w:vAlign w:val="bottom"/>
            <w:tcBorders>
              <w:bottom w:val="single" w:sz="8" w:color="E5E5E5"/>
            </w:tcBorders>
            <w:shd w:val="clear" w:color="auto" w:fill="E5E5E5"/>
          </w:tcPr>
          <w:p>
            <w:pPr>
              <w:ind w:left="6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(14,759,308)</w:t>
            </w:r>
          </w:p>
        </w:tc>
        <w:tc>
          <w:tcPr>
            <w:tcW w:w="0" w:type="dxa"/>
            <w:vAlign w:val="bottom"/>
          </w:tcPr>
          <w:p>
            <w:pPr>
              <w:spacing w:after="0"/>
              <w:rPr>
                <w:sz w:val="1"/>
                <w:szCs w:val="1"/>
                <w:color w:val="auto"/>
              </w:rPr>
            </w:pPr>
          </w:p>
        </w:tc>
      </w:tr>
      <w:tr>
        <w:trPr>
          <w:trHeight w:val="223"/>
        </w:trPr>
        <w:tc>
          <w:tcPr>
            <w:tcW w:w="1880" w:type="dxa"/>
            <w:vAlign w:val="bottom"/>
            <w:tcBorders>
              <w:top w:val="single" w:sz="8" w:color="732282"/>
            </w:tcBorders>
          </w:tcPr>
          <w:p>
            <w:pPr>
              <w:spacing w:after="0"/>
              <w:rPr>
                <w:sz w:val="19"/>
                <w:szCs w:val="19"/>
                <w:color w:val="auto"/>
              </w:rPr>
            </w:pPr>
          </w:p>
        </w:tc>
        <w:tc>
          <w:tcPr>
            <w:tcW w:w="1360" w:type="dxa"/>
            <w:vAlign w:val="bottom"/>
            <w:tcBorders>
              <w:top w:val="single" w:sz="8" w:color="732282"/>
            </w:tcBorders>
          </w:tcPr>
          <w:p>
            <w:pPr>
              <w:spacing w:after="0"/>
              <w:rPr>
                <w:sz w:val="19"/>
                <w:szCs w:val="19"/>
                <w:color w:val="auto"/>
              </w:rPr>
            </w:pPr>
          </w:p>
        </w:tc>
        <w:tc>
          <w:tcPr>
            <w:tcW w:w="1380" w:type="dxa"/>
            <w:vAlign w:val="bottom"/>
            <w:tcBorders>
              <w:top w:val="single" w:sz="8" w:color="732282"/>
            </w:tcBorders>
          </w:tcPr>
          <w:p>
            <w:pPr>
              <w:spacing w:after="0"/>
              <w:rPr>
                <w:sz w:val="19"/>
                <w:szCs w:val="19"/>
                <w:color w:val="auto"/>
              </w:rPr>
            </w:pPr>
          </w:p>
        </w:tc>
        <w:tc>
          <w:tcPr>
            <w:tcW w:w="1200" w:type="dxa"/>
            <w:vAlign w:val="bottom"/>
            <w:tcBorders>
              <w:top w:val="single" w:sz="8" w:color="732282"/>
            </w:tcBorders>
          </w:tcPr>
          <w:p>
            <w:pPr>
              <w:spacing w:after="0"/>
              <w:rPr>
                <w:sz w:val="19"/>
                <w:szCs w:val="19"/>
                <w:color w:val="auto"/>
              </w:rPr>
            </w:pPr>
          </w:p>
        </w:tc>
        <w:tc>
          <w:tcPr>
            <w:tcW w:w="1300" w:type="dxa"/>
            <w:vAlign w:val="bottom"/>
            <w:tcBorders>
              <w:top w:val="single" w:sz="8" w:color="732282"/>
            </w:tcBorders>
          </w:tcPr>
          <w:p>
            <w:pPr>
              <w:spacing w:after="0"/>
              <w:rPr>
                <w:sz w:val="19"/>
                <w:szCs w:val="19"/>
                <w:color w:val="auto"/>
              </w:rPr>
            </w:pPr>
          </w:p>
        </w:tc>
        <w:tc>
          <w:tcPr>
            <w:tcW w:w="1320" w:type="dxa"/>
            <w:vAlign w:val="bottom"/>
            <w:tcBorders>
              <w:top w:val="single" w:sz="8" w:color="732282"/>
            </w:tcBorders>
          </w:tcPr>
          <w:p>
            <w:pPr>
              <w:spacing w:after="0"/>
              <w:rPr>
                <w:sz w:val="19"/>
                <w:szCs w:val="19"/>
                <w:color w:val="auto"/>
              </w:rPr>
            </w:pPr>
          </w:p>
        </w:tc>
        <w:tc>
          <w:tcPr>
            <w:tcW w:w="1300" w:type="dxa"/>
            <w:vAlign w:val="bottom"/>
            <w:tcBorders>
              <w:top w:val="single" w:sz="8" w:color="732282"/>
            </w:tcBorders>
          </w:tcPr>
          <w:p>
            <w:pPr>
              <w:spacing w:after="0"/>
              <w:rPr>
                <w:sz w:val="19"/>
                <w:szCs w:val="19"/>
                <w:color w:val="auto"/>
              </w:rPr>
            </w:pPr>
          </w:p>
        </w:tc>
        <w:tc>
          <w:tcPr>
            <w:tcW w:w="1280" w:type="dxa"/>
            <w:vAlign w:val="bottom"/>
            <w:tcBorders>
              <w:top w:val="single" w:sz="8" w:color="732282"/>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Year-End Fair</w:t>
            </w: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Change in</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Fair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9"/>
              </w:rPr>
              <w:t>Fair Value</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Last Day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 or</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Granted</w:t>
            </w:r>
          </w:p>
        </w:tc>
        <w:tc>
          <w:tcPr>
            <w:tcW w:w="13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from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of</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Prior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Day of Prior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Unvested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That</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Year to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Remained</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9"/>
              </w:rPr>
              <w:t>Day of Year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that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Total - Equity</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Unvested as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of Unvested</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that 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Forfeited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Last Day</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8"/>
              </w:rPr>
              <w:t>Equity</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of Year for</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Awards for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3"/>
              </w:rPr>
              <w:t>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0" w:type="dxa"/>
            <w:vAlign w:val="bottom"/>
          </w:tcPr>
          <w:p>
            <w:pPr>
              <w:spacing w:after="0"/>
              <w:rPr>
                <w:sz w:val="1"/>
                <w:szCs w:val="1"/>
                <w:color w:val="auto"/>
              </w:rPr>
            </w:pPr>
          </w:p>
        </w:tc>
      </w:tr>
      <w:tr>
        <w:trPr>
          <w:trHeight w:val="217"/>
        </w:trPr>
        <w:tc>
          <w:tcPr>
            <w:tcW w:w="1880" w:type="dxa"/>
            <w:vAlign w:val="bottom"/>
            <w:shd w:val="clear" w:color="auto" w:fill="732282"/>
          </w:tcPr>
          <w:p>
            <w:pPr>
              <w:spacing w:after="0"/>
              <w:rPr>
                <w:sz w:val="18"/>
                <w:szCs w:val="18"/>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7"/>
              </w:rPr>
              <w:t>PEO 2</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PEO 2</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2</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2</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2</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2</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 2</w:t>
            </w:r>
          </w:p>
        </w:tc>
        <w:tc>
          <w:tcPr>
            <w:tcW w:w="0" w:type="dxa"/>
            <w:vAlign w:val="bottom"/>
          </w:tcPr>
          <w:p>
            <w:pPr>
              <w:spacing w:after="0"/>
              <w:rPr>
                <w:sz w:val="1"/>
                <w:szCs w:val="1"/>
                <w:color w:val="auto"/>
              </w:rPr>
            </w:pPr>
          </w:p>
        </w:tc>
      </w:tr>
      <w:tr>
        <w:trPr>
          <w:trHeight w:val="230"/>
        </w:trPr>
        <w:tc>
          <w:tcPr>
            <w:tcW w:w="18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1"/>
              </w:rPr>
              <w:t>($)</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02"/>
        </w:trPr>
        <w:tc>
          <w:tcPr>
            <w:tcW w:w="1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3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13,063,330</w:t>
            </w:r>
          </w:p>
        </w:tc>
        <w:tc>
          <w:tcPr>
            <w:tcW w:w="13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ind w:left="6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13,063,330</w:t>
            </w:r>
          </w:p>
        </w:tc>
        <w:tc>
          <w:tcPr>
            <w:tcW w:w="0" w:type="dxa"/>
            <w:vAlign w:val="bottom"/>
          </w:tcPr>
          <w:p>
            <w:pPr>
              <w:spacing w:after="0"/>
              <w:rPr>
                <w:sz w:val="1"/>
                <w:szCs w:val="1"/>
                <w:color w:val="auto"/>
              </w:rPr>
            </w:pPr>
          </w:p>
        </w:tc>
      </w:tr>
      <w:tr>
        <w:trPr>
          <w:trHeight w:val="223"/>
        </w:trPr>
        <w:tc>
          <w:tcPr>
            <w:tcW w:w="1880" w:type="dxa"/>
            <w:vAlign w:val="bottom"/>
            <w:tcBorders>
              <w:top w:val="single" w:sz="8" w:color="732282"/>
            </w:tcBorders>
          </w:tcPr>
          <w:p>
            <w:pPr>
              <w:spacing w:after="0"/>
              <w:rPr>
                <w:sz w:val="19"/>
                <w:szCs w:val="19"/>
                <w:color w:val="auto"/>
              </w:rPr>
            </w:pPr>
          </w:p>
        </w:tc>
        <w:tc>
          <w:tcPr>
            <w:tcW w:w="1360" w:type="dxa"/>
            <w:vAlign w:val="bottom"/>
            <w:tcBorders>
              <w:top w:val="single" w:sz="8" w:color="732282"/>
            </w:tcBorders>
          </w:tcPr>
          <w:p>
            <w:pPr>
              <w:spacing w:after="0"/>
              <w:rPr>
                <w:sz w:val="19"/>
                <w:szCs w:val="19"/>
                <w:color w:val="auto"/>
              </w:rPr>
            </w:pPr>
          </w:p>
        </w:tc>
        <w:tc>
          <w:tcPr>
            <w:tcW w:w="1380" w:type="dxa"/>
            <w:vAlign w:val="bottom"/>
            <w:tcBorders>
              <w:top w:val="single" w:sz="8" w:color="732282"/>
            </w:tcBorders>
          </w:tcPr>
          <w:p>
            <w:pPr>
              <w:spacing w:after="0"/>
              <w:rPr>
                <w:sz w:val="19"/>
                <w:szCs w:val="19"/>
                <w:color w:val="auto"/>
              </w:rPr>
            </w:pPr>
          </w:p>
        </w:tc>
        <w:tc>
          <w:tcPr>
            <w:tcW w:w="1200" w:type="dxa"/>
            <w:vAlign w:val="bottom"/>
            <w:tcBorders>
              <w:top w:val="single" w:sz="8" w:color="732282"/>
            </w:tcBorders>
          </w:tcPr>
          <w:p>
            <w:pPr>
              <w:spacing w:after="0"/>
              <w:rPr>
                <w:sz w:val="19"/>
                <w:szCs w:val="19"/>
                <w:color w:val="auto"/>
              </w:rPr>
            </w:pPr>
          </w:p>
        </w:tc>
        <w:tc>
          <w:tcPr>
            <w:tcW w:w="1300" w:type="dxa"/>
            <w:vAlign w:val="bottom"/>
            <w:tcBorders>
              <w:top w:val="single" w:sz="8" w:color="732282"/>
            </w:tcBorders>
          </w:tcPr>
          <w:p>
            <w:pPr>
              <w:spacing w:after="0"/>
              <w:rPr>
                <w:sz w:val="19"/>
                <w:szCs w:val="19"/>
                <w:color w:val="auto"/>
              </w:rPr>
            </w:pPr>
          </w:p>
        </w:tc>
        <w:tc>
          <w:tcPr>
            <w:tcW w:w="1320" w:type="dxa"/>
            <w:vAlign w:val="bottom"/>
            <w:tcBorders>
              <w:top w:val="single" w:sz="8" w:color="732282"/>
            </w:tcBorders>
          </w:tcPr>
          <w:p>
            <w:pPr>
              <w:spacing w:after="0"/>
              <w:rPr>
                <w:sz w:val="19"/>
                <w:szCs w:val="19"/>
                <w:color w:val="auto"/>
              </w:rPr>
            </w:pPr>
          </w:p>
        </w:tc>
        <w:tc>
          <w:tcPr>
            <w:tcW w:w="1300" w:type="dxa"/>
            <w:vAlign w:val="bottom"/>
            <w:tcBorders>
              <w:top w:val="single" w:sz="8" w:color="732282"/>
            </w:tcBorders>
          </w:tcPr>
          <w:p>
            <w:pPr>
              <w:spacing w:after="0"/>
              <w:rPr>
                <w:sz w:val="19"/>
                <w:szCs w:val="19"/>
                <w:color w:val="auto"/>
              </w:rPr>
            </w:pPr>
          </w:p>
        </w:tc>
        <w:tc>
          <w:tcPr>
            <w:tcW w:w="1280" w:type="dxa"/>
            <w:vAlign w:val="bottom"/>
            <w:tcBorders>
              <w:top w:val="single" w:sz="8" w:color="732282"/>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20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732282"/>
          </w:tcPr>
          <w:p>
            <w:pPr>
              <w:spacing w:after="0"/>
              <w:rPr>
                <w:sz w:val="15"/>
                <w:szCs w:val="15"/>
                <w:color w:val="auto"/>
              </w:rPr>
            </w:pPr>
          </w:p>
        </w:tc>
        <w:tc>
          <w:tcPr>
            <w:tcW w:w="1360" w:type="dxa"/>
            <w:vAlign w:val="bottom"/>
            <w:shd w:val="clear" w:color="auto" w:fill="732282"/>
          </w:tcPr>
          <w:p>
            <w:pPr>
              <w:jc w:val="center"/>
              <w:ind w:left="219"/>
              <w:spacing w:after="0" w:line="175" w:lineRule="exact"/>
              <w:rPr>
                <w:sz w:val="20"/>
                <w:szCs w:val="20"/>
                <w:color w:val="auto"/>
              </w:rPr>
            </w:pPr>
            <w:r>
              <w:rPr>
                <w:rFonts w:ascii="Arial" w:cs="Arial" w:eastAsia="Arial" w:hAnsi="Arial"/>
                <w:sz w:val="16"/>
                <w:szCs w:val="16"/>
                <w:b w:val="1"/>
                <w:bCs w:val="1"/>
                <w:color w:val="FFFFFF"/>
                <w:w w:val="98"/>
              </w:rPr>
              <w:t>Average</w:t>
            </w:r>
          </w:p>
        </w:tc>
        <w:tc>
          <w:tcPr>
            <w:tcW w:w="1380" w:type="dxa"/>
            <w:vAlign w:val="bottom"/>
            <w:shd w:val="clear" w:color="auto" w:fill="732282"/>
          </w:tcPr>
          <w:p>
            <w:pPr>
              <w:spacing w:after="0"/>
              <w:rPr>
                <w:sz w:val="15"/>
                <w:szCs w:val="15"/>
                <w:color w:val="auto"/>
              </w:rPr>
            </w:pPr>
          </w:p>
        </w:tc>
        <w:tc>
          <w:tcPr>
            <w:tcW w:w="1200" w:type="dxa"/>
            <w:vAlign w:val="bottom"/>
            <w:vMerge w:val="continue"/>
            <w:shd w:val="clear" w:color="auto" w:fill="732282"/>
          </w:tcPr>
          <w:p>
            <w:pPr>
              <w:spacing w:after="0"/>
              <w:rPr>
                <w:sz w:val="15"/>
                <w:szCs w:val="15"/>
                <w:color w:val="auto"/>
              </w:rPr>
            </w:pPr>
          </w:p>
        </w:tc>
        <w:tc>
          <w:tcPr>
            <w:tcW w:w="130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Change in</w:t>
            </w:r>
          </w:p>
        </w:tc>
        <w:tc>
          <w:tcPr>
            <w:tcW w:w="1320" w:type="dxa"/>
            <w:vAlign w:val="bottom"/>
            <w:shd w:val="clear" w:color="auto" w:fill="732282"/>
          </w:tcPr>
          <w:p>
            <w:pPr>
              <w:spacing w:after="0"/>
              <w:rPr>
                <w:sz w:val="15"/>
                <w:szCs w:val="15"/>
                <w:color w:val="auto"/>
              </w:rPr>
            </w:pPr>
          </w:p>
        </w:tc>
        <w:tc>
          <w:tcPr>
            <w:tcW w:w="1300" w:type="dxa"/>
            <w:vAlign w:val="bottom"/>
            <w:shd w:val="clear" w:color="auto" w:fill="732282"/>
          </w:tcPr>
          <w:p>
            <w:pPr>
              <w:spacing w:after="0"/>
              <w:rPr>
                <w:sz w:val="15"/>
                <w:szCs w:val="15"/>
                <w:color w:val="auto"/>
              </w:rPr>
            </w:pPr>
          </w:p>
        </w:tc>
        <w:tc>
          <w:tcPr>
            <w:tcW w:w="1280" w:type="dxa"/>
            <w:vAlign w:val="bottom"/>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Year-End</w:t>
            </w:r>
          </w:p>
        </w:tc>
        <w:tc>
          <w:tcPr>
            <w:tcW w:w="138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Fair Value</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Average</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Fair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of Equity</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Change in</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2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9"/>
              </w:rPr>
              <w:t>Fair Value</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 or</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Granted</w:t>
            </w:r>
          </w:p>
        </w:tc>
        <w:tc>
          <w:tcPr>
            <w:tcW w:w="13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from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Fair Value at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Day of Prior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of</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Last Day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That</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Year to Last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Unvested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Prior Year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2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Remained</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9"/>
              </w:rPr>
              <w:t>Day of Year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that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Unvested as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of Unvested</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that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Total - Equity</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Last Day</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w w:val="98"/>
              </w:rPr>
              <w:t>Equity</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Forfeited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of Year for</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Awards for</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0" w:type="dxa"/>
            <w:vAlign w:val="bottom"/>
          </w:tcPr>
          <w:p>
            <w:pPr>
              <w:spacing w:after="0"/>
              <w:rPr>
                <w:sz w:val="1"/>
                <w:szCs w:val="1"/>
                <w:color w:val="auto"/>
              </w:rPr>
            </w:pPr>
          </w:p>
        </w:tc>
      </w:tr>
      <w:tr>
        <w:trPr>
          <w:trHeight w:val="189"/>
        </w:trPr>
        <w:tc>
          <w:tcPr>
            <w:tcW w:w="1880" w:type="dxa"/>
            <w:vAlign w:val="bottom"/>
            <w:shd w:val="clear" w:color="auto" w:fill="732282"/>
          </w:tcPr>
          <w:p>
            <w:pPr>
              <w:spacing w:after="0"/>
              <w:rPr>
                <w:sz w:val="16"/>
                <w:szCs w:val="16"/>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Non-PEO</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Non-PEO</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Non-PEO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0" w:type="dxa"/>
            <w:vAlign w:val="bottom"/>
          </w:tcPr>
          <w:p>
            <w:pPr>
              <w:spacing w:after="0"/>
              <w:rPr>
                <w:sz w:val="1"/>
                <w:szCs w:val="1"/>
                <w:color w:val="auto"/>
              </w:rPr>
            </w:pPr>
          </w:p>
        </w:tc>
      </w:tr>
      <w:tr>
        <w:trPr>
          <w:trHeight w:val="217"/>
        </w:trPr>
        <w:tc>
          <w:tcPr>
            <w:tcW w:w="1880" w:type="dxa"/>
            <w:vAlign w:val="bottom"/>
            <w:shd w:val="clear" w:color="auto" w:fill="732282"/>
          </w:tcPr>
          <w:p>
            <w:pPr>
              <w:spacing w:after="0"/>
              <w:rPr>
                <w:sz w:val="18"/>
                <w:szCs w:val="18"/>
                <w:color w:val="auto"/>
              </w:rPr>
            </w:pP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NEOs</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NEOs</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0" w:type="dxa"/>
            <w:vAlign w:val="bottom"/>
          </w:tcPr>
          <w:p>
            <w:pPr>
              <w:spacing w:after="0"/>
              <w:rPr>
                <w:sz w:val="1"/>
                <w:szCs w:val="1"/>
                <w:color w:val="auto"/>
              </w:rPr>
            </w:pPr>
          </w:p>
        </w:tc>
      </w:tr>
      <w:tr>
        <w:trPr>
          <w:trHeight w:val="230"/>
        </w:trPr>
        <w:tc>
          <w:tcPr>
            <w:tcW w:w="18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3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1"/>
              </w:rPr>
              <w:t>($)</w:t>
            </w:r>
          </w:p>
        </w:tc>
        <w:tc>
          <w:tcPr>
            <w:tcW w:w="138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77"/>
        </w:trPr>
        <w:tc>
          <w:tcPr>
            <w:tcW w:w="1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2023</w:t>
            </w:r>
          </w:p>
        </w:tc>
        <w:tc>
          <w:tcPr>
            <w:tcW w:w="13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3,377,336</w:t>
            </w:r>
          </w:p>
        </w:tc>
        <w:tc>
          <w:tcPr>
            <w:tcW w:w="13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177,013</w:t>
            </w:r>
          </w:p>
        </w:tc>
        <w:tc>
          <w:tcPr>
            <w:tcW w:w="120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2,265,507</w:t>
            </w:r>
          </w:p>
        </w:tc>
        <w:tc>
          <w:tcPr>
            <w:tcW w:w="130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3,070,277</w:t>
            </w:r>
          </w:p>
        </w:tc>
        <w:tc>
          <w:tcPr>
            <w:tcW w:w="132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ind w:left="6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8,890,133</w:t>
            </w:r>
          </w:p>
        </w:tc>
        <w:tc>
          <w:tcPr>
            <w:tcW w:w="0" w:type="dxa"/>
            <w:vAlign w:val="bottom"/>
          </w:tcPr>
          <w:p>
            <w:pPr>
              <w:spacing w:after="0"/>
              <w:rPr>
                <w:sz w:val="1"/>
                <w:szCs w:val="1"/>
                <w:color w:val="auto"/>
              </w:rPr>
            </w:pPr>
          </w:p>
        </w:tc>
      </w:tr>
      <w:tr>
        <w:trPr>
          <w:trHeight w:val="20"/>
        </w:trPr>
        <w:tc>
          <w:tcPr>
            <w:tcW w:w="188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32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2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20" w:hanging="424"/>
        <w:spacing w:after="0" w:line="259" w:lineRule="auto"/>
        <w:tabs>
          <w:tab w:leader="none" w:pos="540" w:val="left"/>
        </w:tabs>
        <w:numPr>
          <w:ilvl w:val="0"/>
          <w:numId w:val="61"/>
        </w:numPr>
        <w:rPr>
          <w:rFonts w:ascii="Arial" w:cs="Arial" w:eastAsia="Arial" w:hAnsi="Arial"/>
          <w:sz w:val="16"/>
          <w:szCs w:val="16"/>
          <w:color w:val="3F3F3F"/>
        </w:rPr>
      </w:pPr>
      <w:r>
        <w:rPr>
          <w:rFonts w:ascii="Arial" w:cs="Arial" w:eastAsia="Arial" w:hAnsi="Arial"/>
          <w:sz w:val="16"/>
          <w:szCs w:val="16"/>
          <w:color w:val="3F3F3F"/>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The historical share price data has been revised to reflect updated source information. The revisions are not significant to previously reported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029450" cy="6858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0" w:lineRule="exact"/>
        <w:rPr>
          <w:sz w:val="20"/>
          <w:szCs w:val="20"/>
          <w:color w:val="auto"/>
        </w:rPr>
      </w:pPr>
    </w:p>
    <w:p>
      <w:pPr>
        <w:ind w:left="9140"/>
        <w:spacing w:after="0"/>
        <w:rPr>
          <w:sz w:val="20"/>
          <w:szCs w:val="20"/>
          <w:color w:val="auto"/>
        </w:rPr>
      </w:pPr>
      <w:r>
        <w:rPr>
          <w:rFonts w:ascii="Arial" w:cs="Arial" w:eastAsia="Arial" w:hAnsi="Arial"/>
          <w:sz w:val="15"/>
          <w:szCs w:val="15"/>
          <w:color w:val="3F3F3F"/>
        </w:rPr>
        <w:t>2024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2288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540" w:right="120" w:hanging="424"/>
        <w:spacing w:after="0" w:line="248" w:lineRule="auto"/>
        <w:tabs>
          <w:tab w:leader="none" w:pos="540" w:val="left"/>
        </w:tabs>
        <w:numPr>
          <w:ilvl w:val="0"/>
          <w:numId w:val="62"/>
        </w:numPr>
        <w:rPr>
          <w:rFonts w:ascii="Arial" w:cs="Arial" w:eastAsia="Arial" w:hAnsi="Arial"/>
          <w:sz w:val="16"/>
          <w:szCs w:val="16"/>
          <w:color w:val="3F3F3F"/>
        </w:rPr>
      </w:pPr>
      <w:r>
        <w:rPr>
          <w:rFonts w:ascii="Arial" w:cs="Arial" w:eastAsia="Arial" w:hAnsi="Arial"/>
          <w:sz w:val="16"/>
          <w:szCs w:val="16"/>
          <w:color w:val="3F3F3F"/>
        </w:rPr>
        <w:t>The Peer Group TSR set forth in this table utilizes the Dow Jones U.S. Pharmaceuticals Index, which is also the published industry or line-of-business index we utilized in the stock performance graph required by Item 201(e) of Regulation S-K included in the Form 10-K. 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comparison assumes $100 was invested in Company stock and in the Dow Jones U.S. Pharmaceuticals Index, in each case for the period starting November 16, 2020 (with the reinvestment of all dividends) through the end of the listed year. The historical TSR data has been revised to reflect updated source information. The revisions are not significant to previously reported amounts. Historical stock performance is not necessarily indicative of future stock performance.</w:t>
      </w:r>
    </w:p>
    <w:p>
      <w:pPr>
        <w:spacing w:after="0" w:line="4" w:lineRule="exact"/>
        <w:rPr>
          <w:rFonts w:ascii="Arial" w:cs="Arial" w:eastAsia="Arial" w:hAnsi="Arial"/>
          <w:sz w:val="16"/>
          <w:szCs w:val="16"/>
          <w:color w:val="3F3F3F"/>
        </w:rPr>
      </w:pPr>
    </w:p>
    <w:p>
      <w:pPr>
        <w:ind w:left="540" w:right="120" w:hanging="424"/>
        <w:spacing w:after="0" w:line="246" w:lineRule="auto"/>
        <w:tabs>
          <w:tab w:leader="none" w:pos="540" w:val="left"/>
        </w:tabs>
        <w:numPr>
          <w:ilvl w:val="0"/>
          <w:numId w:val="62"/>
        </w:numPr>
        <w:rPr>
          <w:rFonts w:ascii="Arial" w:cs="Arial" w:eastAsia="Arial" w:hAnsi="Arial"/>
          <w:sz w:val="16"/>
          <w:szCs w:val="16"/>
          <w:color w:val="3F3F3F"/>
        </w:rPr>
      </w:pPr>
      <w:r>
        <w:rPr>
          <w:rFonts w:ascii="Arial" w:cs="Arial" w:eastAsia="Arial" w:hAnsi="Arial"/>
          <w:sz w:val="16"/>
          <w:szCs w:val="16"/>
          <w:color w:val="3F3F3F"/>
        </w:rPr>
        <w:t>The dollar amounts reported represent the amount of net earnings (loss) reflected in the Company’s audited financial statements for the applicable year.</w:t>
      </w:r>
    </w:p>
    <w:p>
      <w:pPr>
        <w:ind w:left="540" w:hanging="424"/>
        <w:spacing w:after="0" w:line="246" w:lineRule="auto"/>
        <w:tabs>
          <w:tab w:leader="none" w:pos="540" w:val="left"/>
        </w:tabs>
        <w:numPr>
          <w:ilvl w:val="0"/>
          <w:numId w:val="62"/>
        </w:numPr>
        <w:rPr>
          <w:rFonts w:ascii="Arial" w:cs="Arial" w:eastAsia="Arial" w:hAnsi="Arial"/>
          <w:sz w:val="16"/>
          <w:szCs w:val="16"/>
          <w:color w:val="3F3F3F"/>
        </w:rPr>
      </w:pPr>
      <w:r>
        <w:rPr>
          <w:rFonts w:ascii="Arial" w:cs="Arial" w:eastAsia="Arial" w:hAnsi="Arial"/>
          <w:sz w:val="16"/>
          <w:szCs w:val="16"/>
          <w:color w:val="3F3F3F"/>
        </w:rPr>
        <w:t>In accordance with Accounting Standards Codification 805, Business Combinations, Mylan is considered the accounting acquirer of the Upjohn business and all historical financial information of the Company prior to November 16, 2020 represents Mylan’s historical results and the Company’s thereafter.</w:t>
      </w:r>
    </w:p>
    <w:p>
      <w:pPr>
        <w:spacing w:after="0" w:line="1" w:lineRule="exact"/>
        <w:rPr>
          <w:rFonts w:ascii="Arial" w:cs="Arial" w:eastAsia="Arial" w:hAnsi="Arial"/>
          <w:sz w:val="16"/>
          <w:szCs w:val="16"/>
          <w:color w:val="3F3F3F"/>
        </w:rPr>
      </w:pPr>
    </w:p>
    <w:p>
      <w:pPr>
        <w:ind w:left="540" w:right="320" w:hanging="424"/>
        <w:spacing w:after="0" w:line="252" w:lineRule="auto"/>
        <w:tabs>
          <w:tab w:leader="none" w:pos="540" w:val="left"/>
        </w:tabs>
        <w:numPr>
          <w:ilvl w:val="0"/>
          <w:numId w:val="62"/>
        </w:numPr>
        <w:rPr>
          <w:rFonts w:ascii="Arial" w:cs="Arial" w:eastAsia="Arial" w:hAnsi="Arial"/>
          <w:sz w:val="16"/>
          <w:szCs w:val="16"/>
          <w:color w:val="3F3F3F"/>
        </w:rPr>
      </w:pPr>
      <w:r>
        <w:rPr>
          <w:rFonts w:ascii="Arial" w:cs="Arial" w:eastAsia="Arial" w:hAnsi="Arial"/>
          <w:sz w:val="16"/>
          <w:szCs w:val="16"/>
          <w:color w:val="3F3F3F"/>
        </w:rPr>
        <w:t>We determined Free Cash Flow (as reported) to be the most important financial performance measure used to link Company performance to Compensation Actually Paid to our PEOs and non-PEO NEOs in 2023. Free Cash Flow (as reported) refers to U.S. GAAP net cash provided by operating activities less capital expenditures. We may determine a different financial performance measure to be the most important financial performance measure in future years.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PEOs and Non-PEO NEOs Compensation Actually Paid and TSR</w:t>
      </w:r>
    </w:p>
    <w:p>
      <w:pPr>
        <w:spacing w:after="0" w:line="13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3F3F3F"/>
        </w:rPr>
        <w:t>The following chart sets forth the relationship between Compensation Actually Paid to our PEOs, the average of Compensation Actually Paid to our non-PEO NEOs, the Company’s cumulative TSR over the four most recently completed fiscal years, and the Peer Group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136525</wp:posOffset>
            </wp:positionV>
            <wp:extent cx="5657850" cy="310324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565785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6"/>
          <w:szCs w:val="16"/>
          <w:color w:val="3F3F3F"/>
        </w:rPr>
      </w:pPr>
      <w:r>
        <w:rPr>
          <w:rFonts w:ascii="Arial" w:cs="Arial" w:eastAsia="Arial" w:hAnsi="Arial"/>
          <w:sz w:val="16"/>
          <w:szCs w:val="16"/>
          <w:color w:val="3F3F3F"/>
        </w:rPr>
        <w:t>$100 invested on November 16, 2020 in Company stock and in the Peer Group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29450" cy="68580"/>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81 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PEOs and Non-PEO NEOs Compensation Actually Paid and Net Income</w:t>
      </w:r>
    </w:p>
    <w:p>
      <w:pPr>
        <w:spacing w:after="0" w:line="135"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3F3F3F"/>
        </w:rPr>
        <w:t>The following chart sets forth the relationship between Compensation Actually Paid to our PEOs, the average of Compensation Actually Paid to our non-PEO NEOs, and our Net Earnings (Loss)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29450" cy="3111500"/>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70294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PEOs and Non-PEO NEOs Compensation Actually Paid and Free Cash Flow (as reported)</w:t>
      </w:r>
    </w:p>
    <w:p>
      <w:pPr>
        <w:spacing w:after="0" w:line="21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3F3F3F"/>
        </w:rPr>
        <w:t>The following chart sets forth the relationship between Compensation Actually Paid to our PEOs, the average of Compensation Actually Paid to our non-PEO NEOs, and our Free Cash Flow (as reported)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126365</wp:posOffset>
            </wp:positionV>
            <wp:extent cx="5760720" cy="2948940"/>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576072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List of Most Important Financial Performance Measures</w:t>
      </w:r>
    </w:p>
    <w:p>
      <w:pPr>
        <w:spacing w:after="0" w:line="108" w:lineRule="exact"/>
        <w:rPr>
          <w:sz w:val="20"/>
          <w:szCs w:val="20"/>
          <w:color w:val="auto"/>
        </w:rPr>
      </w:pPr>
    </w:p>
    <w:p>
      <w:pPr>
        <w:ind w:left="120" w:right="600"/>
        <w:spacing w:after="0" w:line="301" w:lineRule="auto"/>
        <w:rPr>
          <w:sz w:val="20"/>
          <w:szCs w:val="20"/>
          <w:color w:val="auto"/>
        </w:rPr>
      </w:pPr>
      <w:r>
        <w:rPr>
          <w:rFonts w:ascii="Arial" w:cs="Arial" w:eastAsia="Arial" w:hAnsi="Arial"/>
          <w:sz w:val="17"/>
          <w:szCs w:val="17"/>
          <w:color w:val="3F3F3F"/>
        </w:rPr>
        <w:t>The following presents the financial performance measures that the Company considers to have been the most important in linking Compensation Actually Paid to our PEOs and other NEOs for 2023 to Company performance. The measures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171450"/>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970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EBITDA (as reported)*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Free Cash Flow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970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540" w:hanging="424"/>
        <w:spacing w:after="0" w:line="286" w:lineRule="auto"/>
        <w:tabs>
          <w:tab w:leader="none" w:pos="540"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See Appendix B of this Proxy Statement for reconciliations of 2023 Adjusted EBITDA (as reported) and Free Cash Flow (as reported) to our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7029450" cy="68580"/>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83 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3</w:t>
      </w:r>
    </w:p>
    <w:p>
      <w:pPr>
        <w:spacing w:after="0" w:line="23" w:lineRule="exact"/>
        <w:rPr>
          <w:sz w:val="20"/>
          <w:szCs w:val="20"/>
          <w:color w:val="auto"/>
        </w:rPr>
      </w:pPr>
    </w:p>
    <w:p>
      <w:pPr>
        <w:jc w:val="both"/>
        <w:ind w:left="120" w:right="560"/>
        <w:spacing w:after="0" w:line="246" w:lineRule="auto"/>
        <w:rPr>
          <w:sz w:val="20"/>
          <w:szCs w:val="20"/>
          <w:color w:val="auto"/>
        </w:rPr>
      </w:pPr>
      <w:r>
        <w:rPr>
          <w:rFonts w:ascii="Arial" w:cs="Arial" w:eastAsia="Arial" w:hAnsi="Arial"/>
          <w:sz w:val="40"/>
          <w:szCs w:val="40"/>
          <w:color w:val="3F3F3F"/>
        </w:rPr>
        <w:t>Ratification of the Selection of Deloitte &amp; Touche LLP as the Company’s Independent Registered Public Accounting Firm for the Fiscal Year Ending December 31, 2024</w:t>
      </w:r>
    </w:p>
    <w:p>
      <w:pPr>
        <w:spacing w:after="0" w:line="370" w:lineRule="exact"/>
        <w:rPr>
          <w:sz w:val="20"/>
          <w:szCs w:val="20"/>
          <w:color w:val="auto"/>
        </w:rPr>
      </w:pPr>
    </w:p>
    <w:p>
      <w:pPr>
        <w:ind w:left="120" w:right="620"/>
        <w:spacing w:after="0" w:line="253" w:lineRule="auto"/>
        <w:rPr>
          <w:sz w:val="20"/>
          <w:szCs w:val="20"/>
          <w:color w:val="auto"/>
        </w:rPr>
      </w:pPr>
      <w:r>
        <w:rPr>
          <w:rFonts w:ascii="Arial" w:cs="Arial" w:eastAsia="Arial" w:hAnsi="Arial"/>
          <w:sz w:val="18"/>
          <w:szCs w:val="18"/>
          <w:color w:val="3F3F3F"/>
        </w:rPr>
        <w:t>The Audit Committee has appointed Deloitte as Viatris’ independent registered public accounting firm for the fiscal year ending December 31, 2024 and has further directed that the selection of the independent registered public accounting firm be submitted to shareholders for ratification at the 2024 Annual Meeting.</w:t>
      </w:r>
    </w:p>
    <w:p>
      <w:pPr>
        <w:spacing w:after="0" w:line="88"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3F3F3F"/>
        </w:rPr>
        <w:t>Representatives of Deloitte are expected to be in attendance at the 2024 Annual Meeting to respond to appropriate questions and will have an opportunity to make a statement if they so desire.</w:t>
      </w:r>
    </w:p>
    <w:p>
      <w:pPr>
        <w:spacing w:after="0" w:line="86" w:lineRule="exact"/>
        <w:rPr>
          <w:sz w:val="20"/>
          <w:szCs w:val="20"/>
          <w:color w:val="auto"/>
        </w:rPr>
      </w:pPr>
    </w:p>
    <w:p>
      <w:pPr>
        <w:ind w:left="120" w:right="260"/>
        <w:spacing w:after="0" w:line="261" w:lineRule="auto"/>
        <w:rPr>
          <w:sz w:val="20"/>
          <w:szCs w:val="20"/>
          <w:color w:val="auto"/>
        </w:rPr>
      </w:pPr>
      <w:r>
        <w:rPr>
          <w:rFonts w:ascii="Arial" w:cs="Arial" w:eastAsia="Arial" w:hAnsi="Arial"/>
          <w:sz w:val="17"/>
          <w:szCs w:val="17"/>
          <w:color w:val="3F3F3F"/>
        </w:rPr>
        <w:t>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its shareholders.</w:t>
      </w:r>
    </w:p>
    <w:p>
      <w:pPr>
        <w:spacing w:after="0" w:line="333" w:lineRule="exact"/>
        <w:rPr>
          <w:sz w:val="20"/>
          <w:szCs w:val="20"/>
          <w:color w:val="auto"/>
        </w:rPr>
      </w:pPr>
    </w:p>
    <w:tbl>
      <w:tblPr>
        <w:tblLayout w:type="fixed"/>
        <w:tblInd w:w="5680" w:type="dxa"/>
        <w:tblCellMar>
          <w:top w:w="0" w:type="dxa"/>
          <w:left w:w="0" w:type="dxa"/>
          <w:bottom w:w="0" w:type="dxa"/>
          <w:right w:w="0" w:type="dxa"/>
        </w:tblCellMar>
      </w:tblPr>
      <w:tr>
        <w:trPr>
          <w:trHeight w:val="203"/>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336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xml:space="preserve">   Board Recommendation   </w:t>
            </w:r>
          </w:p>
        </w:tc>
        <w:tc>
          <w:tcPr>
            <w:tcW w:w="420" w:type="dxa"/>
            <w:vAlign w:val="bottom"/>
            <w:shd w:val="clear" w:color="auto" w:fill="732282"/>
          </w:tcPr>
          <w:p>
            <w:pPr>
              <w:spacing w:after="0"/>
              <w:rPr>
                <w:sz w:val="17"/>
                <w:szCs w:val="17"/>
                <w:color w:val="auto"/>
              </w:rPr>
            </w:pPr>
          </w:p>
        </w:tc>
        <w:tc>
          <w:tcPr>
            <w:tcW w:w="1580" w:type="dxa"/>
            <w:vAlign w:val="bottom"/>
          </w:tcPr>
          <w:p>
            <w:pPr>
              <w:ind w:left="14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79"/>
        </w:trPr>
        <w:tc>
          <w:tcPr>
            <w:tcW w:w="100" w:type="dxa"/>
            <w:vAlign w:val="bottom"/>
            <w:vMerge w:val="restart"/>
            <w:shd w:val="clear" w:color="auto" w:fill="E5E5E5"/>
          </w:tcPr>
          <w:p>
            <w:pPr>
              <w:spacing w:after="0"/>
              <w:rPr>
                <w:sz w:val="20"/>
                <w:szCs w:val="20"/>
                <w:color w:val="auto"/>
              </w:rPr>
            </w:pPr>
            <w:r>
              <w:rPr>
                <w:rFonts w:ascii="Arial" w:cs="Arial" w:eastAsia="Arial" w:hAnsi="Arial"/>
                <w:sz w:val="14"/>
                <w:szCs w:val="14"/>
                <w:color w:val="3F3F3F"/>
              </w:rPr>
              <w:t> </w:t>
            </w:r>
          </w:p>
        </w:tc>
        <w:tc>
          <w:tcPr>
            <w:tcW w:w="3360" w:type="dxa"/>
            <w:vAlign w:val="bottom"/>
            <w:vMerge w:val="continue"/>
            <w:shd w:val="clear" w:color="auto" w:fill="732282"/>
          </w:tcPr>
          <w:p>
            <w:pPr>
              <w:spacing w:after="0"/>
              <w:rPr>
                <w:sz w:val="6"/>
                <w:szCs w:val="6"/>
                <w:color w:val="auto"/>
              </w:rPr>
            </w:pPr>
          </w:p>
        </w:tc>
        <w:tc>
          <w:tcPr>
            <w:tcW w:w="420" w:type="dxa"/>
            <w:vAlign w:val="bottom"/>
            <w:shd w:val="clear" w:color="auto" w:fill="732282"/>
          </w:tcPr>
          <w:p>
            <w:pPr>
              <w:spacing w:after="0"/>
              <w:rPr>
                <w:sz w:val="6"/>
                <w:szCs w:val="6"/>
                <w:color w:val="auto"/>
              </w:rPr>
            </w:pPr>
          </w:p>
        </w:tc>
        <w:tc>
          <w:tcPr>
            <w:tcW w:w="15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0" w:type="dxa"/>
            <w:vAlign w:val="bottom"/>
            <w:tcBorders>
              <w:bottom w:val="single" w:sz="8" w:color="E5E5E5"/>
            </w:tcBorders>
            <w:vMerge w:val="continue"/>
            <w:shd w:val="clear" w:color="auto" w:fill="E5E5E5"/>
          </w:tcPr>
          <w:p>
            <w:pPr>
              <w:spacing w:after="0"/>
              <w:rPr>
                <w:sz w:val="7"/>
                <w:szCs w:val="7"/>
                <w:color w:val="auto"/>
              </w:rPr>
            </w:pPr>
          </w:p>
        </w:tc>
        <w:tc>
          <w:tcPr>
            <w:tcW w:w="3360" w:type="dxa"/>
            <w:vAlign w:val="bottom"/>
            <w:tcBorders>
              <w:bottom w:val="single" w:sz="8" w:color="732282"/>
            </w:tcBorders>
            <w:shd w:val="clear" w:color="auto" w:fill="732282"/>
          </w:tcPr>
          <w:p>
            <w:pPr>
              <w:spacing w:after="0"/>
              <w:rPr>
                <w:sz w:val="7"/>
                <w:szCs w:val="7"/>
                <w:color w:val="auto"/>
              </w:rPr>
            </w:pPr>
          </w:p>
        </w:tc>
        <w:tc>
          <w:tcPr>
            <w:tcW w:w="420" w:type="dxa"/>
            <w:vAlign w:val="bottom"/>
            <w:tcBorders>
              <w:bottom w:val="single" w:sz="8" w:color="732282"/>
            </w:tcBorders>
            <w:shd w:val="clear" w:color="auto" w:fill="732282"/>
          </w:tcPr>
          <w:p>
            <w:pPr>
              <w:spacing w:after="0"/>
              <w:rPr>
                <w:sz w:val="7"/>
                <w:szCs w:val="7"/>
                <w:color w:val="auto"/>
              </w:rPr>
            </w:pPr>
          </w:p>
        </w:tc>
        <w:tc>
          <w:tcPr>
            <w:tcW w:w="158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360" w:type="dxa"/>
            <w:vAlign w:val="bottom"/>
            <w:gridSpan w:val="3"/>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w:t>
            </w:r>
          </w:p>
        </w:tc>
        <w:tc>
          <w:tcPr>
            <w:tcW w:w="0" w:type="dxa"/>
            <w:vAlign w:val="bottom"/>
          </w:tcPr>
          <w:p>
            <w:pPr>
              <w:spacing w:after="0"/>
              <w:rPr>
                <w:sz w:val="1"/>
                <w:szCs w:val="1"/>
                <w:color w:val="auto"/>
              </w:rPr>
            </w:pPr>
          </w:p>
        </w:tc>
      </w:tr>
      <w:tr>
        <w:trPr>
          <w:trHeight w:val="249"/>
        </w:trPr>
        <w:tc>
          <w:tcPr>
            <w:tcW w:w="100" w:type="dxa"/>
            <w:vAlign w:val="bottom"/>
            <w:shd w:val="clear" w:color="auto" w:fill="E5E5E5"/>
          </w:tcPr>
          <w:p>
            <w:pPr>
              <w:spacing w:after="0"/>
              <w:rPr>
                <w:sz w:val="21"/>
                <w:szCs w:val="21"/>
                <w:color w:val="auto"/>
              </w:rPr>
            </w:pPr>
          </w:p>
        </w:tc>
        <w:tc>
          <w:tcPr>
            <w:tcW w:w="5360" w:type="dxa"/>
            <w:vAlign w:val="bottom"/>
            <w:gridSpan w:val="3"/>
            <w:shd w:val="clear" w:color="auto" w:fill="E5E5E5"/>
          </w:tcPr>
          <w:p>
            <w:pPr>
              <w:ind w:left="60"/>
              <w:spacing w:after="0"/>
              <w:rPr>
                <w:sz w:val="20"/>
                <w:szCs w:val="20"/>
                <w:color w:val="auto"/>
              </w:rPr>
            </w:pPr>
            <w:r>
              <w:rPr>
                <w:rFonts w:ascii="Arial" w:cs="Arial" w:eastAsia="Arial" w:hAnsi="Arial"/>
                <w:sz w:val="16"/>
                <w:szCs w:val="16"/>
                <w:color w:val="3F3F3F"/>
              </w:rPr>
              <w:t>Deloitte as the Company’s independent registered public accounting firm</w:t>
            </w:r>
          </w:p>
        </w:tc>
        <w:tc>
          <w:tcPr>
            <w:tcW w:w="0" w:type="dxa"/>
            <w:vAlign w:val="bottom"/>
          </w:tcPr>
          <w:p>
            <w:pPr>
              <w:spacing w:after="0"/>
              <w:rPr>
                <w:sz w:val="1"/>
                <w:szCs w:val="1"/>
                <w:color w:val="auto"/>
              </w:rPr>
            </w:pPr>
          </w:p>
        </w:tc>
      </w:tr>
      <w:tr>
        <w:trPr>
          <w:trHeight w:val="243"/>
        </w:trPr>
        <w:tc>
          <w:tcPr>
            <w:tcW w:w="100" w:type="dxa"/>
            <w:vAlign w:val="bottom"/>
            <w:shd w:val="clear" w:color="auto" w:fill="E5E5E5"/>
          </w:tcPr>
          <w:p>
            <w:pPr>
              <w:spacing w:after="0"/>
              <w:rPr>
                <w:sz w:val="21"/>
                <w:szCs w:val="21"/>
                <w:color w:val="auto"/>
              </w:rPr>
            </w:pPr>
          </w:p>
        </w:tc>
        <w:tc>
          <w:tcPr>
            <w:tcW w:w="336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for the fiscal year ending December 31, 2024.</w:t>
            </w:r>
          </w:p>
        </w:tc>
        <w:tc>
          <w:tcPr>
            <w:tcW w:w="420" w:type="dxa"/>
            <w:vAlign w:val="bottom"/>
            <w:shd w:val="clear" w:color="auto" w:fill="E5E5E5"/>
          </w:tcPr>
          <w:p>
            <w:pPr>
              <w:spacing w:after="0"/>
              <w:rPr>
                <w:sz w:val="21"/>
                <w:szCs w:val="21"/>
                <w:color w:val="auto"/>
              </w:rPr>
            </w:pPr>
          </w:p>
        </w:tc>
        <w:tc>
          <w:tcPr>
            <w:tcW w:w="158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00" w:type="dxa"/>
            <w:vAlign w:val="bottom"/>
            <w:shd w:val="clear" w:color="auto" w:fill="E5E5E5"/>
          </w:tcPr>
          <w:p>
            <w:pPr>
              <w:spacing w:after="0"/>
              <w:rPr>
                <w:sz w:val="14"/>
                <w:szCs w:val="14"/>
                <w:color w:val="auto"/>
              </w:rPr>
            </w:pPr>
          </w:p>
        </w:tc>
        <w:tc>
          <w:tcPr>
            <w:tcW w:w="3360" w:type="dxa"/>
            <w:vAlign w:val="bottom"/>
            <w:shd w:val="clear" w:color="auto" w:fill="E5E5E5"/>
          </w:tcPr>
          <w:p>
            <w:pPr>
              <w:spacing w:after="0"/>
              <w:rPr>
                <w:sz w:val="14"/>
                <w:szCs w:val="14"/>
                <w:color w:val="auto"/>
              </w:rPr>
            </w:pPr>
          </w:p>
        </w:tc>
        <w:tc>
          <w:tcPr>
            <w:tcW w:w="420" w:type="dxa"/>
            <w:vAlign w:val="bottom"/>
            <w:shd w:val="clear" w:color="auto" w:fill="E5E5E5"/>
          </w:tcPr>
          <w:p>
            <w:pPr>
              <w:spacing w:after="0"/>
              <w:rPr>
                <w:sz w:val="14"/>
                <w:szCs w:val="14"/>
                <w:color w:val="auto"/>
              </w:rPr>
            </w:pPr>
          </w:p>
        </w:tc>
        <w:tc>
          <w:tcPr>
            <w:tcW w:w="15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578"/>
        </w:trPr>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6"/>
                <w:szCs w:val="16"/>
                <w:color w:val="3F3F3F"/>
                <w:w w:val="98"/>
              </w:rPr>
              <w:t>2024 Proxy Statement  |  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7029450" cy="68580"/>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-127000</wp:posOffset>
            </wp:positionV>
            <wp:extent cx="865505" cy="23177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Principal Accounting Fees and Services</w:t>
      </w:r>
    </w:p>
    <w:p>
      <w:pPr>
        <w:spacing w:after="0" w:line="14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3F3F3F"/>
        </w:rPr>
        <w:t>Deloitte served as Viatris’ independent registered public accounting firm during 2023 and 2022 and audited Viatris’ financial statements for the fiscal years ended December 31, 2023 and 2022. No relationships exist with Deloitte other than the usual relationship between such a firm and its client. Details about the nature of the services provided by, and fees Viatris paid to, Deloitte and affiliated firms for such services during 2023 and 2022 are set forth below.</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9460" w:type="dxa"/>
            <w:vAlign w:val="bottom"/>
            <w:shd w:val="clear" w:color="auto" w:fill="732282"/>
          </w:tcPr>
          <w:p>
            <w:pPr>
              <w:spacing w:after="0"/>
              <w:rPr>
                <w:sz w:val="18"/>
                <w:szCs w:val="18"/>
                <w:color w:val="auto"/>
              </w:rPr>
            </w:pPr>
          </w:p>
        </w:tc>
        <w:tc>
          <w:tcPr>
            <w:tcW w:w="1560" w:type="dxa"/>
            <w:vAlign w:val="bottom"/>
            <w:gridSpan w:val="2"/>
            <w:shd w:val="clear" w:color="auto" w:fill="732282"/>
          </w:tcPr>
          <w:p>
            <w:pPr>
              <w:jc w:val="right"/>
              <w:ind w:right="250"/>
              <w:spacing w:after="0"/>
              <w:rPr>
                <w:sz w:val="20"/>
                <w:szCs w:val="20"/>
                <w:color w:val="auto"/>
              </w:rPr>
            </w:pPr>
            <w:r>
              <w:rPr>
                <w:rFonts w:ascii="Arial" w:cs="Arial" w:eastAsia="Arial" w:hAnsi="Arial"/>
                <w:sz w:val="18"/>
                <w:szCs w:val="18"/>
                <w:b w:val="1"/>
                <w:bCs w:val="1"/>
                <w:color w:val="FFFFFF"/>
              </w:rPr>
              <w:t>In Millions</w:t>
            </w:r>
          </w:p>
        </w:tc>
      </w:tr>
      <w:tr>
        <w:trPr>
          <w:trHeight w:val="248"/>
        </w:trPr>
        <w:tc>
          <w:tcPr>
            <w:tcW w:w="9460" w:type="dxa"/>
            <w:vAlign w:val="bottom"/>
            <w:shd w:val="clear" w:color="auto" w:fill="732282"/>
          </w:tcPr>
          <w:p>
            <w:pPr>
              <w:spacing w:after="0"/>
              <w:rPr>
                <w:sz w:val="21"/>
                <w:szCs w:val="21"/>
                <w:color w:val="auto"/>
              </w:rPr>
            </w:pPr>
          </w:p>
        </w:tc>
        <w:tc>
          <w:tcPr>
            <w:tcW w:w="780" w:type="dxa"/>
            <w:vAlign w:val="bottom"/>
            <w:shd w:val="clear" w:color="auto" w:fill="732282"/>
          </w:tcPr>
          <w:p>
            <w:pPr>
              <w:jc w:val="right"/>
              <w:ind w:right="90"/>
              <w:spacing w:after="0"/>
              <w:rPr>
                <w:sz w:val="20"/>
                <w:szCs w:val="20"/>
                <w:color w:val="auto"/>
              </w:rPr>
            </w:pPr>
            <w:r>
              <w:rPr>
                <w:rFonts w:ascii="Arial" w:cs="Arial" w:eastAsia="Arial" w:hAnsi="Arial"/>
                <w:sz w:val="18"/>
                <w:szCs w:val="18"/>
                <w:b w:val="1"/>
                <w:bCs w:val="1"/>
                <w:color w:val="FFFFFF"/>
              </w:rPr>
              <w:t>2023</w:t>
            </w:r>
          </w:p>
        </w:tc>
        <w:tc>
          <w:tcPr>
            <w:tcW w:w="780" w:type="dxa"/>
            <w:vAlign w:val="bottom"/>
            <w:shd w:val="clear" w:color="auto" w:fill="732282"/>
          </w:tcPr>
          <w:p>
            <w:pPr>
              <w:jc w:val="right"/>
              <w:ind w:right="130"/>
              <w:spacing w:after="0"/>
              <w:rPr>
                <w:sz w:val="20"/>
                <w:szCs w:val="20"/>
                <w:color w:val="auto"/>
              </w:rPr>
            </w:pPr>
            <w:r>
              <w:rPr>
                <w:rFonts w:ascii="Arial" w:cs="Arial" w:eastAsia="Arial" w:hAnsi="Arial"/>
                <w:sz w:val="18"/>
                <w:szCs w:val="18"/>
                <w:b w:val="1"/>
                <w:bCs w:val="1"/>
                <w:color w:val="FFFFFF"/>
              </w:rPr>
              <w:t>2022</w:t>
            </w:r>
          </w:p>
        </w:tc>
      </w:tr>
      <w:tr>
        <w:trPr>
          <w:trHeight w:val="283"/>
        </w:trPr>
        <w:tc>
          <w:tcPr>
            <w:tcW w:w="9460" w:type="dxa"/>
            <w:vAlign w:val="bottom"/>
            <w:shd w:val="clear" w:color="auto" w:fill="E5E5E5"/>
          </w:tcPr>
          <w:p>
            <w:pPr>
              <w:ind w:left="60"/>
              <w:spacing w:after="0" w:line="28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7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$18.03</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$15.41</w:t>
            </w:r>
          </w:p>
        </w:tc>
      </w:tr>
      <w:tr>
        <w:trPr>
          <w:trHeight w:val="283"/>
        </w:trPr>
        <w:tc>
          <w:tcPr>
            <w:tcW w:w="9460" w:type="dxa"/>
            <w:vAlign w:val="bottom"/>
          </w:tcPr>
          <w:p>
            <w:pPr>
              <w:ind w:left="60"/>
              <w:spacing w:after="0" w:line="283"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0.35</w:t>
            </w:r>
          </w:p>
        </w:tc>
      </w:tr>
      <w:tr>
        <w:trPr>
          <w:trHeight w:val="283"/>
        </w:trPr>
        <w:tc>
          <w:tcPr>
            <w:tcW w:w="9460" w:type="dxa"/>
            <w:vAlign w:val="bottom"/>
            <w:shd w:val="clear" w:color="auto" w:fill="E5E5E5"/>
          </w:tcPr>
          <w:p>
            <w:pPr>
              <w:ind w:left="60"/>
              <w:spacing w:after="0" w:line="28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7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1.82</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0.15</w:t>
            </w:r>
          </w:p>
        </w:tc>
      </w:tr>
      <w:tr>
        <w:trPr>
          <w:trHeight w:val="261"/>
        </w:trPr>
        <w:tc>
          <w:tcPr>
            <w:tcW w:w="9460" w:type="dxa"/>
            <w:vAlign w:val="bottom"/>
          </w:tcPr>
          <w:p>
            <w:pPr>
              <w:ind w:left="60"/>
              <w:spacing w:after="0"/>
              <w:rPr>
                <w:sz w:val="20"/>
                <w:szCs w:val="20"/>
                <w:color w:val="auto"/>
              </w:rPr>
            </w:pPr>
            <w:r>
              <w:rPr>
                <w:rFonts w:ascii="Arial" w:cs="Arial" w:eastAsia="Arial" w:hAnsi="Arial"/>
                <w:sz w:val="18"/>
                <w:szCs w:val="18"/>
                <w:color w:val="auto"/>
              </w:rPr>
              <w:t>All Other Fees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
        </w:trPr>
        <w:tc>
          <w:tcPr>
            <w:tcW w:w="9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7"/>
        </w:trPr>
        <w:tc>
          <w:tcPr>
            <w:tcW w:w="94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Total Fees</w:t>
            </w:r>
          </w:p>
        </w:tc>
        <w:tc>
          <w:tcPr>
            <w:tcW w:w="780" w:type="dxa"/>
            <w:vAlign w:val="bottom"/>
            <w:tcBorders>
              <w:bottom w:val="single" w:sz="8" w:color="732282"/>
            </w:tcBorders>
            <w:shd w:val="clear" w:color="auto" w:fill="E5E5E5"/>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780" w:type="dxa"/>
            <w:vAlign w:val="bottom"/>
            <w:tcBorders>
              <w:bottom w:val="single" w:sz="8" w:color="732282"/>
            </w:tcBorders>
            <w:shd w:val="clear" w:color="auto" w:fill="E5E5E5"/>
          </w:tcPr>
          <w:p>
            <w:pPr>
              <w:jc w:val="right"/>
              <w:ind w:right="30"/>
              <w:spacing w:after="0"/>
              <w:rPr>
                <w:sz w:val="20"/>
                <w:szCs w:val="20"/>
                <w:color w:val="auto"/>
              </w:rPr>
            </w:pPr>
            <w:r>
              <w:rPr>
                <w:rFonts w:ascii="Arial" w:cs="Arial" w:eastAsia="Arial" w:hAnsi="Arial"/>
                <w:sz w:val="18"/>
                <w:szCs w:val="18"/>
                <w:b w:val="1"/>
                <w:bCs w:val="1"/>
                <w:color w:val="auto"/>
              </w:rPr>
              <w:t>$15.91</w:t>
            </w:r>
          </w:p>
        </w:tc>
      </w:tr>
    </w:tbl>
    <w:p>
      <w:pPr>
        <w:spacing w:after="0" w:line="107" w:lineRule="exact"/>
        <w:rPr>
          <w:sz w:val="20"/>
          <w:szCs w:val="20"/>
          <w:color w:val="auto"/>
        </w:rPr>
      </w:pPr>
    </w:p>
    <w:p>
      <w:pPr>
        <w:ind w:left="540" w:right="520" w:hanging="424"/>
        <w:spacing w:after="0" w:line="251" w:lineRule="auto"/>
        <w:tabs>
          <w:tab w:leader="none" w:pos="540" w:val="left"/>
        </w:tabs>
        <w:numPr>
          <w:ilvl w:val="0"/>
          <w:numId w:val="65"/>
        </w:numPr>
        <w:rPr>
          <w:rFonts w:ascii="Arial" w:cs="Arial" w:eastAsia="Arial" w:hAnsi="Arial"/>
          <w:sz w:val="16"/>
          <w:szCs w:val="16"/>
          <w:color w:val="3F3F3F"/>
        </w:rPr>
      </w:pPr>
      <w:r>
        <w:rPr>
          <w:rFonts w:ascii="Arial" w:cs="Arial" w:eastAsia="Arial" w:hAnsi="Arial"/>
          <w:sz w:val="16"/>
          <w:szCs w:val="16"/>
          <w:color w:val="3F3F3F"/>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spacing w:after="0" w:line="2" w:lineRule="exact"/>
        <w:rPr>
          <w:rFonts w:ascii="Arial" w:cs="Arial" w:eastAsia="Arial" w:hAnsi="Arial"/>
          <w:sz w:val="16"/>
          <w:szCs w:val="16"/>
          <w:color w:val="3F3F3F"/>
        </w:rPr>
      </w:pPr>
    </w:p>
    <w:p>
      <w:pPr>
        <w:ind w:left="540" w:right="180" w:hanging="424"/>
        <w:spacing w:after="0" w:line="246" w:lineRule="auto"/>
        <w:tabs>
          <w:tab w:leader="none" w:pos="540" w:val="left"/>
        </w:tabs>
        <w:numPr>
          <w:ilvl w:val="0"/>
          <w:numId w:val="65"/>
        </w:numPr>
        <w:rPr>
          <w:rFonts w:ascii="Arial" w:cs="Arial" w:eastAsia="Arial" w:hAnsi="Arial"/>
          <w:sz w:val="16"/>
          <w:szCs w:val="16"/>
          <w:color w:val="3F3F3F"/>
        </w:rPr>
      </w:pPr>
      <w:r>
        <w:rPr>
          <w:rFonts w:ascii="Arial" w:cs="Arial" w:eastAsia="Arial" w:hAnsi="Arial"/>
          <w:sz w:val="16"/>
          <w:szCs w:val="16"/>
          <w:color w:val="3F3F3F"/>
        </w:rPr>
        <w:t>Represents fees for assurance services related to the audit of the Company’s annual consolidated financial statements, including audits of certain of the Company’s subsidiaries, comfort letters, certain SEC filings and other agreed-upon procedures.</w:t>
      </w:r>
    </w:p>
    <w:p>
      <w:pPr>
        <w:ind w:left="540" w:right="160" w:hanging="424"/>
        <w:spacing w:after="0" w:line="265" w:lineRule="auto"/>
        <w:tabs>
          <w:tab w:leader="none" w:pos="540" w:val="left"/>
        </w:tabs>
        <w:numPr>
          <w:ilvl w:val="0"/>
          <w:numId w:val="65"/>
        </w:numPr>
        <w:rPr>
          <w:rFonts w:ascii="Arial" w:cs="Arial" w:eastAsia="Arial" w:hAnsi="Arial"/>
          <w:sz w:val="16"/>
          <w:szCs w:val="16"/>
          <w:color w:val="3F3F3F"/>
        </w:rPr>
      </w:pPr>
      <w:r>
        <w:rPr>
          <w:rFonts w:ascii="Arial" w:cs="Arial" w:eastAsia="Arial" w:hAnsi="Arial"/>
          <w:sz w:val="16"/>
          <w:szCs w:val="16"/>
          <w:color w:val="3F3F3F"/>
        </w:rPr>
        <w:t>Represents fees primarily related to tax return preparation, tax planning and tax compliance support services, as well as fees related to tax advice provided in connection with the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220980</wp:posOffset>
            </wp:positionV>
            <wp:extent cx="488315" cy="8890"/>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Audit Committee Pre-Approval Policy</w:t>
      </w:r>
    </w:p>
    <w:p>
      <w:pPr>
        <w:spacing w:after="0" w:line="135"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3F3F3F"/>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2023 and 2022 were pre-approved by the Audit Committee in accordance with its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85 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890"/>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Report of the Audit Committee of Viatris’ Board</w:t>
      </w:r>
    </w:p>
    <w:p>
      <w:pPr>
        <w:spacing w:after="0" w:line="137" w:lineRule="exact"/>
        <w:rPr>
          <w:sz w:val="20"/>
          <w:szCs w:val="20"/>
          <w:color w:val="auto"/>
        </w:rPr>
      </w:pPr>
    </w:p>
    <w:p>
      <w:pPr>
        <w:ind w:left="120" w:right="540"/>
        <w:spacing w:after="0" w:line="252" w:lineRule="auto"/>
        <w:rPr>
          <w:sz w:val="20"/>
          <w:szCs w:val="20"/>
          <w:color w:val="auto"/>
        </w:rPr>
      </w:pPr>
      <w:r>
        <w:rPr>
          <w:rFonts w:ascii="Arial" w:cs="Arial" w:eastAsia="Arial" w:hAnsi="Arial"/>
          <w:sz w:val="18"/>
          <w:szCs w:val="18"/>
          <w:i w:val="1"/>
          <w:iCs w:val="1"/>
          <w:color w:val="3F3F3F"/>
        </w:rPr>
        <w:t>The following Report of the Audit Committee of the Board does not constitute soliciting material and shall not be deemed filed or incorporated by reference into any filing under the Securities Act of 1933, as amended, or the Exchange Act except to the extent the Company specifically incorporates such information by reference.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231161"/>
        </w:rPr>
        <w:t>August 15, 2024</w:t>
      </w:r>
    </w:p>
    <w:p>
      <w:pPr>
        <w:spacing w:after="0" w:line="144"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3F3F3F"/>
        </w:rPr>
        <w:t>The Audit Committee is currently comprised of five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w:t>
      </w:r>
    </w:p>
    <w:p>
      <w:pPr>
        <w:spacing w:after="0" w:line="9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3F3F3F"/>
        </w:rPr>
        <w:t>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w:t>
      </w:r>
    </w:p>
    <w:p>
      <w:pPr>
        <w:spacing w:after="0" w:line="1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In this context, the Audit Committee met a total of ten (10) times in 2023 and five (5) times in 2024 as of August 15, 2024,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w:t>
      </w:r>
    </w:p>
    <w:p>
      <w:pPr>
        <w:spacing w:after="0" w:line="11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3F3F3F"/>
        </w:rPr>
        <w:t>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w:t>
      </w:r>
    </w:p>
    <w:p>
      <w:pPr>
        <w:spacing w:after="0" w:line="98"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3F3F3F"/>
        </w:rPr>
        <w:t>Based upon the review and discussions referred to above, the Audit Committee recommended to the Board that the audited consolidated financial statements be included in Viatris’ Annual Report on Form 10-K for 2023, which was filed with the SEC.</w:t>
      </w:r>
    </w:p>
    <w:p>
      <w:pPr>
        <w:spacing w:after="0" w:line="154" w:lineRule="exact"/>
        <w:rPr>
          <w:sz w:val="20"/>
          <w:szCs w:val="20"/>
          <w:color w:val="auto"/>
        </w:rPr>
      </w:pPr>
    </w:p>
    <w:p>
      <w:pPr>
        <w:ind w:left="7380"/>
        <w:spacing w:after="0"/>
        <w:rPr>
          <w:sz w:val="20"/>
          <w:szCs w:val="20"/>
          <w:color w:val="auto"/>
        </w:rPr>
      </w:pPr>
      <w:r>
        <w:rPr>
          <w:rFonts w:ascii="Arial" w:cs="Arial" w:eastAsia="Arial" w:hAnsi="Arial"/>
          <w:sz w:val="18"/>
          <w:szCs w:val="18"/>
          <w:color w:val="3F3F3F"/>
        </w:rPr>
        <w:t>BY THE AUDIT COMMITTEE:</w:t>
      </w:r>
    </w:p>
    <w:p>
      <w:pPr>
        <w:spacing w:after="0" w:line="144" w:lineRule="exact"/>
        <w:rPr>
          <w:sz w:val="20"/>
          <w:szCs w:val="20"/>
          <w:color w:val="auto"/>
        </w:rPr>
      </w:pPr>
    </w:p>
    <w:p>
      <w:pPr>
        <w:ind w:left="7380"/>
        <w:spacing w:after="0"/>
        <w:rPr>
          <w:sz w:val="20"/>
          <w:szCs w:val="20"/>
          <w:color w:val="auto"/>
        </w:rPr>
      </w:pPr>
      <w:r>
        <w:rPr>
          <w:rFonts w:ascii="Arial" w:cs="Arial" w:eastAsia="Arial" w:hAnsi="Arial"/>
          <w:sz w:val="18"/>
          <w:szCs w:val="18"/>
          <w:color w:val="3F3F3F"/>
        </w:rPr>
        <w:t>Richard Mark, Chair</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3F3F3F"/>
        </w:rPr>
        <w:t>W. Don Cornwell</w:t>
      </w:r>
    </w:p>
    <w:p>
      <w:pPr>
        <w:ind w:left="7380"/>
        <w:spacing w:after="0" w:line="234" w:lineRule="auto"/>
        <w:rPr>
          <w:sz w:val="20"/>
          <w:szCs w:val="20"/>
          <w:color w:val="auto"/>
        </w:rPr>
      </w:pPr>
      <w:r>
        <w:rPr>
          <w:rFonts w:ascii="Arial" w:cs="Arial" w:eastAsia="Arial" w:hAnsi="Arial"/>
          <w:sz w:val="18"/>
          <w:szCs w:val="18"/>
          <w:color w:val="3F3F3F"/>
        </w:rPr>
        <w:t>JoEllen Lyons Dillon</w:t>
      </w:r>
    </w:p>
    <w:p>
      <w:pPr>
        <w:ind w:left="7380"/>
        <w:spacing w:after="0" w:line="235" w:lineRule="auto"/>
        <w:rPr>
          <w:sz w:val="20"/>
          <w:szCs w:val="20"/>
          <w:color w:val="auto"/>
        </w:rPr>
      </w:pPr>
      <w:r>
        <w:rPr>
          <w:rFonts w:ascii="Arial" w:cs="Arial" w:eastAsia="Arial" w:hAnsi="Arial"/>
          <w:sz w:val="18"/>
          <w:szCs w:val="18"/>
          <w:color w:val="3F3F3F"/>
        </w:rPr>
        <w:t>Elisha Finney</w:t>
      </w:r>
    </w:p>
    <w:p>
      <w:pPr>
        <w:spacing w:after="0" w:line="1" w:lineRule="exact"/>
        <w:rPr>
          <w:sz w:val="20"/>
          <w:szCs w:val="20"/>
          <w:color w:val="auto"/>
        </w:rPr>
      </w:pPr>
    </w:p>
    <w:p>
      <w:pPr>
        <w:ind w:left="7380"/>
        <w:spacing w:after="0"/>
        <w:rPr>
          <w:sz w:val="20"/>
          <w:szCs w:val="20"/>
          <w:color w:val="auto"/>
        </w:rPr>
      </w:pPr>
      <w:r>
        <w:rPr>
          <w:rFonts w:ascii="Arial" w:cs="Arial" w:eastAsia="Arial" w:hAnsi="Arial"/>
          <w:sz w:val="18"/>
          <w:szCs w:val="18"/>
          <w:color w:val="3F3F3F"/>
        </w:rPr>
        <w:t>Mark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29450" cy="68580"/>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4</w:t>
      </w:r>
    </w:p>
    <w:p>
      <w:pPr>
        <w:spacing w:after="0" w:line="23" w:lineRule="exact"/>
        <w:rPr>
          <w:sz w:val="20"/>
          <w:szCs w:val="20"/>
          <w:color w:val="auto"/>
        </w:rPr>
      </w:pPr>
    </w:p>
    <w:p>
      <w:pPr>
        <w:ind w:left="120" w:right="1060"/>
        <w:spacing w:after="0" w:line="253" w:lineRule="auto"/>
        <w:rPr>
          <w:sz w:val="20"/>
          <w:szCs w:val="20"/>
          <w:color w:val="auto"/>
        </w:rPr>
      </w:pPr>
      <w:r>
        <w:rPr>
          <w:rFonts w:ascii="Arial" w:cs="Arial" w:eastAsia="Arial" w:hAnsi="Arial"/>
          <w:sz w:val="40"/>
          <w:szCs w:val="40"/>
          <w:color w:val="3F3F3F"/>
        </w:rPr>
        <w:t>Approval of an Amendment to the Viatris Inc. 2020 Stock Incentive Plan</w:t>
      </w:r>
    </w:p>
    <w:p>
      <w:pPr>
        <w:spacing w:after="0" w:line="355" w:lineRule="exact"/>
        <w:rPr>
          <w:sz w:val="20"/>
          <w:szCs w:val="20"/>
          <w:color w:val="auto"/>
        </w:rPr>
      </w:pPr>
    </w:p>
    <w:p>
      <w:pPr>
        <w:jc w:val="both"/>
        <w:ind w:left="120" w:right="280"/>
        <w:spacing w:after="0" w:line="247" w:lineRule="auto"/>
        <w:rPr>
          <w:sz w:val="20"/>
          <w:szCs w:val="20"/>
          <w:color w:val="auto"/>
        </w:rPr>
      </w:pPr>
      <w:r>
        <w:rPr>
          <w:rFonts w:ascii="Arial" w:cs="Arial" w:eastAsia="Arial" w:hAnsi="Arial"/>
          <w:sz w:val="18"/>
          <w:szCs w:val="18"/>
          <w:color w:val="3F3F3F"/>
        </w:rPr>
        <w:t>The Board has approved an amendment to the Viatris Inc. 2020 Stock Incentive Plan (the “2020 Plan” and such amendment, the “2020 Plan Amendment”) in the form attached hereto as Appendix C, subject to the approval of our shareholders at the 2024 Annual Meeting. The 2020 Plan was originally adopted by Viatris in connection with the Combination, and approved by Pfizer, in the capacity as Viatris’ sole stockholder at such time. The 2020 Plan initially reserved 72,500,000 shares of common stock for issuance.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If approved by our shareholders, the 2020 Plan Amendment would (i) increase the maximum aggregate number of shares of Viatris common stock reserved and available for issuance for awards pursuant to the 2020 Plan by 49,000,000 shares, subject to adjustment as provided in the 2020 Plan, and (ii) eliminate an exception to the 12-month minimum vesting requirement described below for awards granted on an ad hoc basis in order to achieve a specified business objective, such as an inducement to a new hire or a retention award to a key employee or group of key employees. As a result, the 2020 Plan Amendment would clarify that awards granted under the 2020 Plan are generally subject to a 12-month minimum vesting period, provided that the Compensation Committee may exclude up to 5% of the shares of Viatris common stock reserved for issuance under the 2020 Plan from such minimum vesting requirement.</w:t>
      </w:r>
    </w:p>
    <w:p>
      <w:pPr>
        <w:spacing w:after="0" w:line="117" w:lineRule="exact"/>
        <w:rPr>
          <w:sz w:val="20"/>
          <w:szCs w:val="20"/>
          <w:color w:val="auto"/>
        </w:rPr>
      </w:pPr>
    </w:p>
    <w:p>
      <w:pPr>
        <w:ind w:left="120" w:right="140"/>
        <w:spacing w:after="0"/>
        <w:rPr>
          <w:sz w:val="20"/>
          <w:szCs w:val="20"/>
          <w:color w:val="auto"/>
        </w:rPr>
      </w:pPr>
      <w:r>
        <w:rPr>
          <w:rFonts w:ascii="Arial" w:cs="Arial" w:eastAsia="Arial" w:hAnsi="Arial"/>
          <w:sz w:val="18"/>
          <w:szCs w:val="18"/>
          <w:color w:val="3F3F3F"/>
        </w:rPr>
        <w:t>In determining the number of shares requested, the Company considered a number of factors, such as market trends, investor feedback, anticipated compensation levels, the types of awards that may be granted under the 2020 Plan, volatility, burn rate, the potential dilution, and the number of shares currently remaining under the 2020 Plan. As of the Record Date, the closing price of our common stock on the NASDAQ Stock Market was $11.38. Based on our historical practices, the requested shares under the 2020 Plan Amendment, plus the remaining shares available for issuance under the 2020 Plan would be sufficient for a period of three to four years. The actual rate at which we use shares under the 2020 Plan may be more or less than our anticipated future usage and will depend upon various unknown factors, such as our future stock price, plan participation levels, hiring and promotion activity, award mix and vehicles, competitive market practices, acquisitions and divestitures, and rates of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488315" cy="8890"/>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Reasons to Vote for This Proposal</w:t>
      </w:r>
    </w:p>
    <w:p>
      <w:pPr>
        <w:spacing w:after="0" w:line="108" w:lineRule="exact"/>
        <w:rPr>
          <w:sz w:val="20"/>
          <w:szCs w:val="20"/>
          <w:color w:val="auto"/>
        </w:rPr>
      </w:pPr>
    </w:p>
    <w:p>
      <w:pPr>
        <w:ind w:left="120" w:right="40"/>
        <w:spacing w:after="0"/>
        <w:rPr>
          <w:sz w:val="20"/>
          <w:szCs w:val="20"/>
          <w:color w:val="auto"/>
        </w:rPr>
      </w:pPr>
      <w:r>
        <w:rPr>
          <w:rFonts w:ascii="Arial" w:cs="Arial" w:eastAsia="Arial" w:hAnsi="Arial"/>
          <w:sz w:val="18"/>
          <w:szCs w:val="18"/>
          <w:color w:val="3F3F3F"/>
        </w:rPr>
        <w:t>If our shareholders do not approve the 2020 Plan Amendment, the 2020 Plan will remain in effect in accordance with its terms. However, there eventually will be insufficient shares available under the 2020 Plan to grant new awards, which is important to recruit, retain and incentivize our employees and other service providers. In such event, the Compensation Committee would be required to revise its compensation philosophy and formulate cash-based programs to attract, motivate, and retain top-tier talent in a competitive labor market. The Board believes that an effective equity-based compensation program is important to align the interests of our employees with those of the shareholders, including our goal to increase shareholder value and our ability to achieve our short- and long-term business objectives, and serves as an important component of total compensation deep within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87 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Our equity-based compensation program has historically consisted primarily of RSUs and PRSUs, as described in more detail in our CD&amp;A above. RSUs primarily serve as a retention vehicle as they typically require continued employment over a specified vesting schedule to fully vest in the award. PRSUs are eligible to be earned and vest based on our achievement of specified multiyear performance goals. PRSUs not only serve as a retention tool, but are a critical element of our performance-based compensation program, strengthening our pay-for-performance compensation philosophy and incentivizing strong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7003415" cy="396049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7003415" cy="3960495"/>
                    </a:xfrm>
                    <a:prstGeom prst="rect">
                      <a:avLst/>
                    </a:prstGeom>
                    <a:noFill/>
                  </pic:spPr>
                </pic:pic>
              </a:graphicData>
            </a:graphic>
          </wp:anchor>
        </w:drawing>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 The 2020 Plan is Consistent With Market Standards and Principles of Good Corporate Governance</w:t>
      </w:r>
    </w:p>
    <w:p>
      <w:pPr>
        <w:spacing w:after="0" w:line="64" w:lineRule="exact"/>
        <w:rPr>
          <w:sz w:val="20"/>
          <w:szCs w:val="20"/>
          <w:color w:val="auto"/>
        </w:rPr>
      </w:pPr>
    </w:p>
    <w:p>
      <w:pPr>
        <w:ind w:left="680" w:right="20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Evergreen Provision.</w:t>
      </w:r>
      <w:r>
        <w:rPr>
          <w:rFonts w:ascii="Arial" w:cs="Arial" w:eastAsia="Arial" w:hAnsi="Arial"/>
          <w:sz w:val="16"/>
          <w:szCs w:val="16"/>
          <w:color w:val="3F3F3F"/>
        </w:rPr>
        <w:t xml:space="preserve"> The 2020 Plan does not include an “evergreen” share pool that would increase the number of shares available without shareholder approval.</w:t>
      </w:r>
    </w:p>
    <w:p>
      <w:pPr>
        <w:spacing w:after="0" w:line="34" w:lineRule="exact"/>
        <w:rPr>
          <w:sz w:val="20"/>
          <w:szCs w:val="20"/>
          <w:color w:val="auto"/>
        </w:rPr>
      </w:pPr>
    </w:p>
    <w:p>
      <w:pPr>
        <w:ind w:left="680" w:right="30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Liberal Share Recycling Provisions</w:t>
      </w:r>
      <w:r>
        <w:rPr>
          <w:rFonts w:ascii="Arial" w:cs="Arial" w:eastAsia="Arial" w:hAnsi="Arial"/>
          <w:sz w:val="16"/>
          <w:szCs w:val="16"/>
          <w:color w:val="3F3F3F"/>
        </w:rPr>
        <w:t>. Shares used to satisfy tax withholding and the exercise price for stock options do not recycle back into the plan.</w:t>
      </w:r>
    </w:p>
    <w:p>
      <w:pPr>
        <w:spacing w:after="0" w:line="34" w:lineRule="exact"/>
        <w:rPr>
          <w:sz w:val="20"/>
          <w:szCs w:val="20"/>
          <w:color w:val="auto"/>
        </w:rPr>
      </w:pPr>
    </w:p>
    <w:p>
      <w:pPr>
        <w:ind w:left="680" w:right="50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Repricing of Stock Options or Stock Appreciation Rights (“SARs”)</w:t>
      </w:r>
      <w:r>
        <w:rPr>
          <w:rFonts w:ascii="Arial" w:cs="Arial" w:eastAsia="Arial" w:hAnsi="Arial"/>
          <w:sz w:val="16"/>
          <w:szCs w:val="16"/>
          <w:color w:val="3F3F3F"/>
        </w:rPr>
        <w:t>. The plan prohibits any repricing or cash buybacks of stock options or SARs, except in limited circumstances.</w:t>
      </w:r>
    </w:p>
    <w:p>
      <w:pPr>
        <w:spacing w:after="0" w:line="34" w:lineRule="exact"/>
        <w:rPr>
          <w:sz w:val="20"/>
          <w:szCs w:val="20"/>
          <w:color w:val="auto"/>
        </w:rPr>
      </w:pPr>
    </w:p>
    <w:p>
      <w:pPr>
        <w:ind w:left="680" w:right="180" w:hanging="323"/>
        <w:spacing w:after="0" w:line="21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Automatic “Single-Trigger” Accelerated Vesting.</w:t>
      </w:r>
      <w:r>
        <w:rPr>
          <w:rFonts w:ascii="Arial" w:cs="Arial" w:eastAsia="Arial" w:hAnsi="Arial"/>
          <w:sz w:val="16"/>
          <w:szCs w:val="16"/>
          <w:color w:val="3F3F3F"/>
        </w:rPr>
        <w:t xml:space="preserve"> The 2020 Plan does not provide for automatic accelerated vesting of awards upon a change in control. Instead, the 2020 Plan provides the Compensation Committee discretion to cash out or accelerate vesting of outstanding equity awards upon a change in control.</w:t>
      </w:r>
    </w:p>
    <w:p>
      <w:pPr>
        <w:spacing w:after="0" w:line="33" w:lineRule="exact"/>
        <w:rPr>
          <w:sz w:val="20"/>
          <w:szCs w:val="20"/>
          <w:color w:val="auto"/>
        </w:rPr>
      </w:pPr>
    </w:p>
    <w:p>
      <w:pPr>
        <w:ind w:left="680" w:right="18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Dividends on Unvested Awards</w:t>
      </w:r>
      <w:r>
        <w:rPr>
          <w:rFonts w:ascii="Arial" w:cs="Arial" w:eastAsia="Arial" w:hAnsi="Arial"/>
          <w:sz w:val="16"/>
          <w:szCs w:val="16"/>
          <w:color w:val="3F3F3F"/>
        </w:rPr>
        <w:t>. The 2020 Plan prohibits the payment of dividends and dividend equivalents on unvested awards. Dividends and dividend equivalents will accrue during the vesting period and will only be paid if, and to the extent, the underlying award vests.</w:t>
      </w:r>
    </w:p>
    <w:p>
      <w:pPr>
        <w:spacing w:after="0" w:line="34"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Excise Tax Gross-Ups.</w:t>
      </w:r>
      <w:r>
        <w:rPr>
          <w:rFonts w:ascii="Arial" w:cs="Arial" w:eastAsia="Arial" w:hAnsi="Arial"/>
          <w:sz w:val="16"/>
          <w:szCs w:val="16"/>
          <w:color w:val="3F3F3F"/>
        </w:rPr>
        <w:t xml:space="preserve"> The 2020 Plan does not provide for excise tax gross-ups upon a change in control.</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Minimum Vesting Period.</w:t>
      </w:r>
      <w:r>
        <w:rPr>
          <w:rFonts w:ascii="Arial" w:cs="Arial" w:eastAsia="Arial" w:hAnsi="Arial"/>
          <w:sz w:val="16"/>
          <w:szCs w:val="16"/>
          <w:color w:val="3F3F3F"/>
        </w:rPr>
        <w:t xml:space="preserve"> Awards are generally subject to a 12-month minimum vesting period, subject to limited exceptions.</w:t>
      </w:r>
    </w:p>
    <w:p>
      <w:pPr>
        <w:spacing w:after="0" w:line="113" w:lineRule="exact"/>
        <w:rPr>
          <w:sz w:val="20"/>
          <w:szCs w:val="20"/>
          <w:color w:val="auto"/>
        </w:rPr>
      </w:pPr>
    </w:p>
    <w:p>
      <w:pPr>
        <w:ind w:left="680" w:right="34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Clawback and Anti-Hedging.</w:t>
      </w:r>
      <w:r>
        <w:rPr>
          <w:rFonts w:ascii="Arial" w:cs="Arial" w:eastAsia="Arial" w:hAnsi="Arial"/>
          <w:sz w:val="16"/>
          <w:szCs w:val="16"/>
          <w:color w:val="3F3F3F"/>
        </w:rPr>
        <w:t xml:space="preserve"> Any awards granted under the 2020 Plan are subject to the Company’s clawback and anti-hedging and pledging policies.</w:t>
      </w:r>
    </w:p>
    <w:p>
      <w:pPr>
        <w:spacing w:after="0" w:line="34" w:lineRule="exact"/>
        <w:rPr>
          <w:sz w:val="20"/>
          <w:szCs w:val="20"/>
          <w:color w:val="auto"/>
        </w:rPr>
      </w:pPr>
    </w:p>
    <w:p>
      <w:pPr>
        <w:ind w:left="680" w:right="112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Director Compensation Limit.</w:t>
      </w:r>
      <w:r>
        <w:rPr>
          <w:rFonts w:ascii="Arial" w:cs="Arial" w:eastAsia="Arial" w:hAnsi="Arial"/>
          <w:sz w:val="16"/>
          <w:szCs w:val="16"/>
          <w:color w:val="3F3F3F"/>
        </w:rPr>
        <w:t xml:space="preserve"> The 2020 Plan limits the number of shares and the cash amounts that may be granted or paid to any Non-Employee Director in a calendar year.</w:t>
      </w:r>
    </w:p>
    <w:p>
      <w:pPr>
        <w:spacing w:after="0" w:line="34" w:lineRule="exact"/>
        <w:rPr>
          <w:sz w:val="20"/>
          <w:szCs w:val="20"/>
          <w:color w:val="auto"/>
        </w:rPr>
      </w:pPr>
    </w:p>
    <w:p>
      <w:pPr>
        <w:ind w:left="680" w:right="40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Liberal Definition of Change in Control.</w:t>
      </w:r>
      <w:r>
        <w:rPr>
          <w:rFonts w:ascii="Arial" w:cs="Arial" w:eastAsia="Arial" w:hAnsi="Arial"/>
          <w:sz w:val="16"/>
          <w:szCs w:val="16"/>
          <w:color w:val="3F3F3F"/>
        </w:rPr>
        <w:t xml:space="preserve"> The 2020 Plan provides that any award benefits triggered by a “change in control” transaction are contingent upon the actual consummation of the transaction, not merely its approval by our Board or shareholders.</w:t>
      </w:r>
    </w:p>
    <w:p>
      <w:pPr>
        <w:spacing w:after="0" w:line="34" w:lineRule="exact"/>
        <w:rPr>
          <w:sz w:val="20"/>
          <w:szCs w:val="20"/>
          <w:color w:val="auto"/>
        </w:rPr>
      </w:pPr>
    </w:p>
    <w:p>
      <w:pPr>
        <w:ind w:left="680" w:right="46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No Discount Awards.</w:t>
      </w:r>
      <w:r>
        <w:rPr>
          <w:rFonts w:ascii="Arial" w:cs="Arial" w:eastAsia="Arial" w:hAnsi="Arial"/>
          <w:sz w:val="16"/>
          <w:szCs w:val="16"/>
          <w:color w:val="3F3F3F"/>
        </w:rPr>
        <w:t xml:space="preserve"> Stock options and SARs must have an exercise price no less than the closing price per share on the date the award is granted.</w:t>
      </w:r>
    </w:p>
    <w:p>
      <w:pPr>
        <w:spacing w:after="0" w:line="34" w:lineRule="exact"/>
        <w:rPr>
          <w:sz w:val="20"/>
          <w:szCs w:val="20"/>
          <w:color w:val="auto"/>
        </w:rPr>
      </w:pPr>
    </w:p>
    <w:p>
      <w:pPr>
        <w:ind w:left="680" w:right="60" w:hanging="323"/>
        <w:spacing w:after="0" w:line="227"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Administered by an Independent Compensation Committee.</w:t>
      </w:r>
      <w:r>
        <w:rPr>
          <w:rFonts w:ascii="Arial" w:cs="Arial" w:eastAsia="Arial" w:hAnsi="Arial"/>
          <w:sz w:val="16"/>
          <w:szCs w:val="16"/>
          <w:color w:val="3F3F3F"/>
        </w:rPr>
        <w:t xml:space="preserve"> The 2020 Plan is administered by the Compensation Committee, which is comprised entirely of independent Non-Employee Directors.</w:t>
      </w:r>
    </w:p>
    <w:p>
      <w:pPr>
        <w:spacing w:after="0" w:line="34"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xml:space="preserve">    </w:t>
      </w:r>
      <w:r>
        <w:rPr>
          <w:rFonts w:ascii="Arial" w:cs="Arial" w:eastAsia="Arial" w:hAnsi="Arial"/>
          <w:sz w:val="16"/>
          <w:szCs w:val="16"/>
          <w:i w:val="1"/>
          <w:iCs w:val="1"/>
          <w:color w:val="3F3F3F"/>
        </w:rPr>
        <w:t>Per-Participant Limits on Awards.</w:t>
      </w:r>
      <w:r>
        <w:rPr>
          <w:rFonts w:ascii="Arial" w:cs="Arial" w:eastAsia="Arial" w:hAnsi="Arial"/>
          <w:sz w:val="16"/>
          <w:szCs w:val="16"/>
          <w:color w:val="3F3F3F"/>
        </w:rPr>
        <w:t xml:space="preserve"> The 2020 Plan limits the size of awards that may be granted during any one year to any one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29450" cy="68580"/>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Historical Share Usage and Potential Dilution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table below provides a summary of outstanding equity awards and shares available as of September 30, 2024.</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Current Equity Usage</w:t>
            </w:r>
          </w:p>
        </w:tc>
        <w:tc>
          <w:tcPr>
            <w:tcW w:w="3620" w:type="dxa"/>
            <w:vAlign w:val="bottom"/>
            <w:shd w:val="clear" w:color="auto" w:fill="732282"/>
          </w:tcPr>
          <w:p>
            <w:pPr>
              <w:jc w:val="right"/>
              <w:ind w:right="400"/>
              <w:spacing w:after="0"/>
              <w:rPr>
                <w:sz w:val="20"/>
                <w:szCs w:val="20"/>
                <w:color w:val="auto"/>
              </w:rPr>
            </w:pPr>
            <w:r>
              <w:rPr>
                <w:rFonts w:ascii="Arial" w:cs="Arial" w:eastAsia="Arial" w:hAnsi="Arial"/>
                <w:sz w:val="14"/>
                <w:szCs w:val="14"/>
                <w:b w:val="1"/>
                <w:bCs w:val="1"/>
                <w:color w:val="FFFFFF"/>
              </w:rPr>
              <w:t>As of September 30, 2024</w:t>
            </w:r>
          </w:p>
        </w:tc>
      </w:tr>
      <w:tr>
        <w:trPr>
          <w:trHeight w:val="311"/>
        </w:trPr>
        <w:tc>
          <w:tcPr>
            <w:tcW w:w="7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Stock Options Outstanding</w:t>
            </w:r>
            <w:r>
              <w:rPr>
                <w:rFonts w:ascii="Arial" w:cs="Arial" w:eastAsia="Arial" w:hAnsi="Arial"/>
                <w:sz w:val="24"/>
                <w:szCs w:val="24"/>
                <w:color w:val="auto"/>
                <w:vertAlign w:val="superscript"/>
              </w:rPr>
              <w:t>(1)(2)</w:t>
            </w:r>
          </w:p>
        </w:tc>
        <w:tc>
          <w:tcPr>
            <w:tcW w:w="3620" w:type="dxa"/>
            <w:vAlign w:val="bottom"/>
            <w:shd w:val="clear" w:color="auto" w:fill="E5E5E5"/>
          </w:tcPr>
          <w:p>
            <w:pPr>
              <w:jc w:val="right"/>
              <w:ind w:right="800"/>
              <w:spacing w:after="0"/>
              <w:rPr>
                <w:sz w:val="20"/>
                <w:szCs w:val="20"/>
                <w:color w:val="auto"/>
              </w:rPr>
            </w:pPr>
            <w:r>
              <w:rPr>
                <w:rFonts w:ascii="Arial" w:cs="Arial" w:eastAsia="Arial" w:hAnsi="Arial"/>
                <w:sz w:val="16"/>
                <w:szCs w:val="16"/>
                <w:color w:val="auto"/>
              </w:rPr>
              <w:t>3,434,489</w:t>
            </w:r>
          </w:p>
        </w:tc>
      </w:tr>
      <w:tr>
        <w:trPr>
          <w:trHeight w:val="235"/>
        </w:trPr>
        <w:tc>
          <w:tcPr>
            <w:tcW w:w="7400" w:type="dxa"/>
            <w:vAlign w:val="bottom"/>
          </w:tcPr>
          <w:p>
            <w:pPr>
              <w:ind w:left="320"/>
              <w:spacing w:after="0"/>
              <w:rPr>
                <w:sz w:val="20"/>
                <w:szCs w:val="20"/>
                <w:color w:val="auto"/>
              </w:rPr>
            </w:pPr>
            <w:r>
              <w:rPr>
                <w:rFonts w:ascii="Arial" w:cs="Arial" w:eastAsia="Arial" w:hAnsi="Arial"/>
                <w:sz w:val="16"/>
                <w:szCs w:val="16"/>
                <w:color w:val="auto"/>
              </w:rPr>
              <w:t>Vested and Unexercised</w:t>
            </w:r>
          </w:p>
        </w:tc>
        <w:tc>
          <w:tcPr>
            <w:tcW w:w="3620" w:type="dxa"/>
            <w:vAlign w:val="bottom"/>
          </w:tcPr>
          <w:p>
            <w:pPr>
              <w:jc w:val="right"/>
              <w:ind w:right="800"/>
              <w:spacing w:after="0"/>
              <w:rPr>
                <w:sz w:val="20"/>
                <w:szCs w:val="20"/>
                <w:color w:val="auto"/>
              </w:rPr>
            </w:pPr>
            <w:r>
              <w:rPr>
                <w:rFonts w:ascii="Arial" w:cs="Arial" w:eastAsia="Arial" w:hAnsi="Arial"/>
                <w:sz w:val="16"/>
                <w:szCs w:val="16"/>
                <w:color w:val="auto"/>
              </w:rPr>
              <w:t>3,374,710</w:t>
            </w:r>
          </w:p>
        </w:tc>
      </w:tr>
      <w:tr>
        <w:trPr>
          <w:trHeight w:val="251"/>
        </w:trPr>
        <w:tc>
          <w:tcPr>
            <w:tcW w:w="7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Unvested</w:t>
            </w:r>
          </w:p>
        </w:tc>
        <w:tc>
          <w:tcPr>
            <w:tcW w:w="3620" w:type="dxa"/>
            <w:vAlign w:val="bottom"/>
            <w:shd w:val="clear" w:color="auto" w:fill="E5E5E5"/>
          </w:tcPr>
          <w:p>
            <w:pPr>
              <w:jc w:val="right"/>
              <w:ind w:right="800"/>
              <w:spacing w:after="0"/>
              <w:rPr>
                <w:sz w:val="20"/>
                <w:szCs w:val="20"/>
                <w:color w:val="auto"/>
              </w:rPr>
            </w:pPr>
            <w:r>
              <w:rPr>
                <w:rFonts w:ascii="Arial" w:cs="Arial" w:eastAsia="Arial" w:hAnsi="Arial"/>
                <w:sz w:val="16"/>
                <w:szCs w:val="16"/>
                <w:color w:val="auto"/>
              </w:rPr>
              <w:t>59,779</w:t>
            </w:r>
          </w:p>
        </w:tc>
      </w:tr>
      <w:tr>
        <w:trPr>
          <w:trHeight w:val="235"/>
        </w:trPr>
        <w:tc>
          <w:tcPr>
            <w:tcW w:w="7400" w:type="dxa"/>
            <w:vAlign w:val="bottom"/>
          </w:tcPr>
          <w:p>
            <w:pPr>
              <w:ind w:left="60"/>
              <w:spacing w:after="0"/>
              <w:rPr>
                <w:sz w:val="20"/>
                <w:szCs w:val="20"/>
                <w:color w:val="auto"/>
              </w:rPr>
            </w:pPr>
            <w:r>
              <w:rPr>
                <w:rFonts w:ascii="Arial" w:cs="Arial" w:eastAsia="Arial" w:hAnsi="Arial"/>
                <w:sz w:val="16"/>
                <w:szCs w:val="16"/>
                <w:color w:val="auto"/>
              </w:rPr>
              <w:t>Weighted Average Exercise Price of Outstanding Stock Options</w:t>
            </w:r>
          </w:p>
        </w:tc>
        <w:tc>
          <w:tcPr>
            <w:tcW w:w="3620" w:type="dxa"/>
            <w:vAlign w:val="bottom"/>
          </w:tcPr>
          <w:p>
            <w:pPr>
              <w:jc w:val="right"/>
              <w:ind w:right="800"/>
              <w:spacing w:after="0"/>
              <w:rPr>
                <w:sz w:val="20"/>
                <w:szCs w:val="20"/>
                <w:color w:val="auto"/>
              </w:rPr>
            </w:pPr>
            <w:r>
              <w:rPr>
                <w:rFonts w:ascii="Arial" w:cs="Arial" w:eastAsia="Arial" w:hAnsi="Arial"/>
                <w:sz w:val="16"/>
                <w:szCs w:val="16"/>
                <w:color w:val="auto"/>
              </w:rPr>
              <w:t>$35.93</w:t>
            </w:r>
          </w:p>
        </w:tc>
      </w:tr>
      <w:tr>
        <w:trPr>
          <w:trHeight w:val="251"/>
        </w:trPr>
        <w:tc>
          <w:tcPr>
            <w:tcW w:w="7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Weighted Average Remaining Term of Outstanding Stock Options</w:t>
            </w:r>
          </w:p>
        </w:tc>
        <w:tc>
          <w:tcPr>
            <w:tcW w:w="3620" w:type="dxa"/>
            <w:vAlign w:val="bottom"/>
            <w:shd w:val="clear" w:color="auto" w:fill="E5E5E5"/>
          </w:tcPr>
          <w:p>
            <w:pPr>
              <w:jc w:val="right"/>
              <w:ind w:right="800"/>
              <w:spacing w:after="0"/>
              <w:rPr>
                <w:sz w:val="20"/>
                <w:szCs w:val="20"/>
                <w:color w:val="auto"/>
              </w:rPr>
            </w:pPr>
            <w:r>
              <w:rPr>
                <w:rFonts w:ascii="Arial" w:cs="Arial" w:eastAsia="Arial" w:hAnsi="Arial"/>
                <w:sz w:val="16"/>
                <w:szCs w:val="16"/>
                <w:color w:val="auto"/>
              </w:rPr>
              <w:t>3.4 years</w:t>
            </w:r>
          </w:p>
        </w:tc>
      </w:tr>
      <w:tr>
        <w:trPr>
          <w:trHeight w:val="311"/>
        </w:trPr>
        <w:tc>
          <w:tcPr>
            <w:tcW w:w="7400" w:type="dxa"/>
            <w:vAlign w:val="bottom"/>
          </w:tcPr>
          <w:p>
            <w:pPr>
              <w:ind w:left="60"/>
              <w:spacing w:after="0"/>
              <w:rPr>
                <w:sz w:val="20"/>
                <w:szCs w:val="20"/>
                <w:color w:val="auto"/>
              </w:rPr>
            </w:pPr>
            <w:r>
              <w:rPr>
                <w:rFonts w:ascii="Arial" w:cs="Arial" w:eastAsia="Arial" w:hAnsi="Arial"/>
                <w:sz w:val="16"/>
                <w:szCs w:val="16"/>
                <w:color w:val="auto"/>
              </w:rPr>
              <w:t>Number of Full Value Awards Outstanding</w:t>
            </w:r>
            <w:r>
              <w:rPr>
                <w:rFonts w:ascii="Arial" w:cs="Arial" w:eastAsia="Arial" w:hAnsi="Arial"/>
                <w:sz w:val="24"/>
                <w:szCs w:val="24"/>
                <w:color w:val="auto"/>
                <w:vertAlign w:val="superscript"/>
              </w:rPr>
              <w:t>(3)</w:t>
            </w:r>
          </w:p>
        </w:tc>
        <w:tc>
          <w:tcPr>
            <w:tcW w:w="3620" w:type="dxa"/>
            <w:vAlign w:val="bottom"/>
          </w:tcPr>
          <w:p>
            <w:pPr>
              <w:jc w:val="right"/>
              <w:ind w:right="800"/>
              <w:spacing w:after="0"/>
              <w:rPr>
                <w:sz w:val="20"/>
                <w:szCs w:val="20"/>
                <w:color w:val="auto"/>
              </w:rPr>
            </w:pPr>
            <w:r>
              <w:rPr>
                <w:rFonts w:ascii="Arial" w:cs="Arial" w:eastAsia="Arial" w:hAnsi="Arial"/>
                <w:sz w:val="16"/>
                <w:szCs w:val="16"/>
                <w:color w:val="auto"/>
              </w:rPr>
              <w:t>42,906,153</w:t>
            </w:r>
          </w:p>
        </w:tc>
      </w:tr>
      <w:tr>
        <w:trPr>
          <w:trHeight w:val="243"/>
        </w:trPr>
        <w:tc>
          <w:tcPr>
            <w:tcW w:w="7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Outstanding RSUs</w:t>
            </w:r>
          </w:p>
        </w:tc>
        <w:tc>
          <w:tcPr>
            <w:tcW w:w="3620" w:type="dxa"/>
            <w:vAlign w:val="bottom"/>
            <w:shd w:val="clear" w:color="auto" w:fill="E5E5E5"/>
          </w:tcPr>
          <w:p>
            <w:pPr>
              <w:jc w:val="right"/>
              <w:ind w:right="800"/>
              <w:spacing w:after="0"/>
              <w:rPr>
                <w:sz w:val="20"/>
                <w:szCs w:val="20"/>
                <w:color w:val="auto"/>
              </w:rPr>
            </w:pPr>
            <w:r>
              <w:rPr>
                <w:rFonts w:ascii="Arial" w:cs="Arial" w:eastAsia="Arial" w:hAnsi="Arial"/>
                <w:sz w:val="16"/>
                <w:szCs w:val="16"/>
                <w:color w:val="auto"/>
              </w:rPr>
              <w:t>19,198,567</w:t>
            </w:r>
          </w:p>
        </w:tc>
      </w:tr>
      <w:tr>
        <w:trPr>
          <w:trHeight w:val="235"/>
        </w:trPr>
        <w:tc>
          <w:tcPr>
            <w:tcW w:w="7400" w:type="dxa"/>
            <w:vAlign w:val="bottom"/>
          </w:tcPr>
          <w:p>
            <w:pPr>
              <w:ind w:left="320"/>
              <w:spacing w:after="0"/>
              <w:rPr>
                <w:sz w:val="20"/>
                <w:szCs w:val="20"/>
                <w:color w:val="auto"/>
              </w:rPr>
            </w:pPr>
            <w:r>
              <w:rPr>
                <w:rFonts w:ascii="Arial" w:cs="Arial" w:eastAsia="Arial" w:hAnsi="Arial"/>
                <w:sz w:val="16"/>
                <w:szCs w:val="16"/>
                <w:color w:val="auto"/>
              </w:rPr>
              <w:t>Outstanding PRSUs (at maximum performance level achievement)</w:t>
            </w:r>
          </w:p>
        </w:tc>
        <w:tc>
          <w:tcPr>
            <w:tcW w:w="3620" w:type="dxa"/>
            <w:vAlign w:val="bottom"/>
          </w:tcPr>
          <w:p>
            <w:pPr>
              <w:jc w:val="right"/>
              <w:ind w:right="800"/>
              <w:spacing w:after="0"/>
              <w:rPr>
                <w:sz w:val="20"/>
                <w:szCs w:val="20"/>
                <w:color w:val="auto"/>
              </w:rPr>
            </w:pPr>
            <w:r>
              <w:rPr>
                <w:rFonts w:ascii="Arial" w:cs="Arial" w:eastAsia="Arial" w:hAnsi="Arial"/>
                <w:sz w:val="16"/>
                <w:szCs w:val="16"/>
                <w:color w:val="auto"/>
              </w:rPr>
              <w:t>23,707,586</w:t>
            </w:r>
          </w:p>
        </w:tc>
      </w:tr>
      <w:tr>
        <w:trPr>
          <w:trHeight w:val="251"/>
        </w:trPr>
        <w:tc>
          <w:tcPr>
            <w:tcW w:w="7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Total Awards Outstanding</w:t>
            </w:r>
          </w:p>
        </w:tc>
        <w:tc>
          <w:tcPr>
            <w:tcW w:w="3620" w:type="dxa"/>
            <w:vAlign w:val="bottom"/>
            <w:shd w:val="clear" w:color="auto" w:fill="E5E5E5"/>
          </w:tcPr>
          <w:p>
            <w:pPr>
              <w:jc w:val="right"/>
              <w:ind w:right="800"/>
              <w:spacing w:after="0"/>
              <w:rPr>
                <w:sz w:val="20"/>
                <w:szCs w:val="20"/>
                <w:color w:val="auto"/>
              </w:rPr>
            </w:pPr>
            <w:r>
              <w:rPr>
                <w:rFonts w:ascii="Arial" w:cs="Arial" w:eastAsia="Arial" w:hAnsi="Arial"/>
                <w:sz w:val="16"/>
                <w:szCs w:val="16"/>
                <w:color w:val="auto"/>
              </w:rPr>
              <w:t>46,340,642</w:t>
            </w:r>
          </w:p>
        </w:tc>
      </w:tr>
      <w:tr>
        <w:trPr>
          <w:trHeight w:val="311"/>
        </w:trPr>
        <w:tc>
          <w:tcPr>
            <w:tcW w:w="7400" w:type="dxa"/>
            <w:vAlign w:val="bottom"/>
          </w:tcPr>
          <w:p>
            <w:pPr>
              <w:ind w:left="60"/>
              <w:spacing w:after="0"/>
              <w:rPr>
                <w:sz w:val="20"/>
                <w:szCs w:val="20"/>
                <w:color w:val="auto"/>
              </w:rPr>
            </w:pPr>
            <w:r>
              <w:rPr>
                <w:rFonts w:ascii="Arial" w:cs="Arial" w:eastAsia="Arial" w:hAnsi="Arial"/>
                <w:sz w:val="16"/>
                <w:szCs w:val="16"/>
                <w:color w:val="auto"/>
              </w:rPr>
              <w:t>Shares Remaining Available under the 2020 Plan</w:t>
            </w:r>
            <w:r>
              <w:rPr>
                <w:rFonts w:ascii="Arial" w:cs="Arial" w:eastAsia="Arial" w:hAnsi="Arial"/>
                <w:sz w:val="24"/>
                <w:szCs w:val="24"/>
                <w:color w:val="auto"/>
                <w:vertAlign w:val="superscript"/>
              </w:rPr>
              <w:t>(4)</w:t>
            </w:r>
            <w:r>
              <w:rPr>
                <w:rFonts w:ascii="Arial" w:cs="Arial" w:eastAsia="Arial" w:hAnsi="Arial"/>
                <w:sz w:val="16"/>
                <w:szCs w:val="16"/>
                <w:color w:val="auto"/>
              </w:rPr>
              <w:t xml:space="preserve"> (at maximum payout level)</w:t>
            </w:r>
          </w:p>
        </w:tc>
        <w:tc>
          <w:tcPr>
            <w:tcW w:w="3620" w:type="dxa"/>
            <w:vAlign w:val="bottom"/>
          </w:tcPr>
          <w:p>
            <w:pPr>
              <w:jc w:val="right"/>
              <w:ind w:right="800"/>
              <w:spacing w:after="0"/>
              <w:rPr>
                <w:sz w:val="20"/>
                <w:szCs w:val="20"/>
                <w:color w:val="auto"/>
              </w:rPr>
            </w:pPr>
            <w:r>
              <w:rPr>
                <w:rFonts w:ascii="Arial" w:cs="Arial" w:eastAsia="Arial" w:hAnsi="Arial"/>
                <w:sz w:val="16"/>
                <w:szCs w:val="16"/>
                <w:color w:val="auto"/>
              </w:rPr>
              <w:t>5,548,681</w:t>
            </w:r>
          </w:p>
        </w:tc>
      </w:tr>
      <w:tr>
        <w:trPr>
          <w:trHeight w:val="243"/>
        </w:trPr>
        <w:tc>
          <w:tcPr>
            <w:tcW w:w="7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Additional shares available to be granted under the 2020 Plan Amendment</w:t>
            </w:r>
          </w:p>
        </w:tc>
        <w:tc>
          <w:tcPr>
            <w:tcW w:w="3620" w:type="dxa"/>
            <w:vAlign w:val="bottom"/>
            <w:shd w:val="clear" w:color="auto" w:fill="E5E5E5"/>
          </w:tcPr>
          <w:p>
            <w:pPr>
              <w:jc w:val="right"/>
              <w:ind w:right="800"/>
              <w:spacing w:after="0"/>
              <w:rPr>
                <w:sz w:val="20"/>
                <w:szCs w:val="20"/>
                <w:color w:val="auto"/>
              </w:rPr>
            </w:pPr>
            <w:r>
              <w:rPr>
                <w:rFonts w:ascii="Arial" w:cs="Arial" w:eastAsia="Arial" w:hAnsi="Arial"/>
                <w:sz w:val="16"/>
                <w:szCs w:val="16"/>
                <w:color w:val="auto"/>
              </w:rPr>
              <w:t>49,000,000</w:t>
            </w:r>
          </w:p>
        </w:tc>
      </w:tr>
      <w:tr>
        <w:trPr>
          <w:trHeight w:val="239"/>
        </w:trPr>
        <w:tc>
          <w:tcPr>
            <w:tcW w:w="7400" w:type="dxa"/>
            <w:vAlign w:val="bottom"/>
            <w:tcBorders>
              <w:bottom w:val="single" w:sz="8" w:color="732282"/>
            </w:tcBorders>
          </w:tcPr>
          <w:p>
            <w:pPr>
              <w:ind w:left="60"/>
              <w:spacing w:after="0"/>
              <w:rPr>
                <w:sz w:val="20"/>
                <w:szCs w:val="20"/>
                <w:color w:val="auto"/>
              </w:rPr>
            </w:pPr>
            <w:r>
              <w:rPr>
                <w:rFonts w:ascii="Arial" w:cs="Arial" w:eastAsia="Arial" w:hAnsi="Arial"/>
                <w:sz w:val="16"/>
                <w:szCs w:val="16"/>
                <w:b w:val="1"/>
                <w:bCs w:val="1"/>
                <w:color w:val="auto"/>
              </w:rPr>
              <w:t>Total shares available to be granted under the 2020 Plan (as amended)</w:t>
            </w:r>
          </w:p>
        </w:tc>
        <w:tc>
          <w:tcPr>
            <w:tcW w:w="3620" w:type="dxa"/>
            <w:vAlign w:val="bottom"/>
            <w:tcBorders>
              <w:bottom w:val="single" w:sz="8" w:color="732282"/>
            </w:tcBorders>
          </w:tcPr>
          <w:p>
            <w:pPr>
              <w:jc w:val="right"/>
              <w:ind w:right="800"/>
              <w:spacing w:after="0"/>
              <w:rPr>
                <w:sz w:val="20"/>
                <w:szCs w:val="20"/>
                <w:color w:val="auto"/>
              </w:rPr>
            </w:pPr>
            <w:r>
              <w:rPr>
                <w:rFonts w:ascii="Arial" w:cs="Arial" w:eastAsia="Arial" w:hAnsi="Arial"/>
                <w:sz w:val="16"/>
                <w:szCs w:val="16"/>
                <w:b w:val="1"/>
                <w:bCs w:val="1"/>
                <w:color w:val="auto"/>
              </w:rPr>
              <w:t>54,548,681</w:t>
            </w:r>
          </w:p>
        </w:tc>
      </w:tr>
    </w:tbl>
    <w:p>
      <w:pPr>
        <w:spacing w:after="0" w:line="107" w:lineRule="exact"/>
        <w:rPr>
          <w:sz w:val="20"/>
          <w:szCs w:val="20"/>
          <w:color w:val="auto"/>
        </w:rPr>
      </w:pPr>
    </w:p>
    <w:p>
      <w:pPr>
        <w:ind w:left="540" w:right="200" w:hanging="424"/>
        <w:spacing w:after="0" w:line="256" w:lineRule="auto"/>
        <w:tabs>
          <w:tab w:leader="none" w:pos="54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Inclusive of 142,086 stock options outstanding under the Oyster Point Pharma, Inc. 2019 Equity Incentive Plan (the “Oyster Point Plan”), of which 59,779 remain unvested.</w:t>
      </w:r>
    </w:p>
    <w:p>
      <w:pPr>
        <w:spacing w:after="0" w:line="1" w:lineRule="exact"/>
        <w:rPr>
          <w:rFonts w:ascii="Arial" w:cs="Arial" w:eastAsia="Arial" w:hAnsi="Arial"/>
          <w:sz w:val="16"/>
          <w:szCs w:val="16"/>
          <w:color w:val="3F3F3F"/>
        </w:rPr>
      </w:pPr>
    </w:p>
    <w:p>
      <w:pPr>
        <w:ind w:left="540" w:hanging="424"/>
        <w:spacing w:after="0"/>
        <w:tabs>
          <w:tab w:leader="none" w:pos="54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Includes 1,171 SARs outstanding as of September 30, 2024.</w:t>
      </w:r>
    </w:p>
    <w:p>
      <w:pPr>
        <w:spacing w:after="0" w:line="5" w:lineRule="exact"/>
        <w:rPr>
          <w:rFonts w:ascii="Arial" w:cs="Arial" w:eastAsia="Arial" w:hAnsi="Arial"/>
          <w:sz w:val="16"/>
          <w:szCs w:val="16"/>
          <w:color w:val="3F3F3F"/>
        </w:rPr>
      </w:pPr>
    </w:p>
    <w:p>
      <w:pPr>
        <w:ind w:left="540" w:right="240" w:hanging="424"/>
        <w:spacing w:after="0" w:line="246" w:lineRule="auto"/>
        <w:tabs>
          <w:tab w:leader="none" w:pos="54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Inclusive of 1,294,040 full value awards outstanding under the Oyster Point Plan (consisting of 899,897 RSUs and 394,143 PRSUs (at maximum payout level)).</w:t>
      </w:r>
    </w:p>
    <w:p>
      <w:pPr>
        <w:ind w:left="540" w:right="100" w:hanging="424"/>
        <w:spacing w:after="0" w:line="265" w:lineRule="auto"/>
        <w:tabs>
          <w:tab w:leader="none" w:pos="54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The 2020 Plan was our only active equity compensation plan as of September 30, 2024. The Oyster Plan, which was assumed by us as part of the Oyster Point acquisition has been frozen and no further grants will be made from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220980</wp:posOffset>
            </wp:positionV>
            <wp:extent cx="488315" cy="8890"/>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Overhang</w:t>
      </w:r>
    </w:p>
    <w:p>
      <w:pPr>
        <w:spacing w:after="0" w:line="21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3F3F3F"/>
        </w:rPr>
        <w:t>As of September 30, 2024, there were 46,340,642 shares subject to outstanding equity awards under the 2020 Plan and, as of this same date, the shares subject to outstanding equity awards and available for issuance under the 2020 Plan represented 3.85% of our outstanding common stock on a fully-diluted basis (commonly referred to as the “overhang”), in each case, assuming maximum performance for awards that were subject to performance-based vesting. The 49,000,000 new shares proposed to be included in the 2020 Plan pursuant to the 2020 Plan Amendment would increase the overhang percentage by an additional 4.07% to 7.93% on a fully-diluted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488315" cy="8890"/>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Burn Rate</w:t>
      </w:r>
    </w:p>
    <w:p>
      <w:pPr>
        <w:spacing w:after="0" w:line="216"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3F3F3F"/>
        </w:rPr>
        <w:t>The annual share usage under the 2020 Plan for the last three fiscal years is presented below. The burn rate may increase in future years as the number of our employees who are eligible to receive equity awards grows, and if Viatris continues with its existing compensation practices to have equity awards as an important component of the overall compensation of our employees, including our executives and other key employees.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538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1240" w:type="dxa"/>
            <w:vAlign w:val="bottom"/>
            <w:shd w:val="clear" w:color="auto" w:fill="732282"/>
          </w:tcPr>
          <w:p>
            <w:pPr>
              <w:spacing w:after="0"/>
              <w:rPr>
                <w:sz w:val="14"/>
                <w:szCs w:val="14"/>
                <w:color w:val="auto"/>
              </w:rPr>
            </w:pPr>
          </w:p>
        </w:tc>
        <w:tc>
          <w:tcPr>
            <w:tcW w:w="1080" w:type="dxa"/>
            <w:vAlign w:val="bottom"/>
            <w:shd w:val="clear" w:color="auto" w:fill="732282"/>
          </w:tcPr>
          <w:p>
            <w:pPr>
              <w:spacing w:after="0"/>
              <w:rPr>
                <w:sz w:val="14"/>
                <w:szCs w:val="14"/>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Basic Weighted</w:t>
            </w:r>
          </w:p>
        </w:tc>
        <w:tc>
          <w:tcPr>
            <w:tcW w:w="1040" w:type="dxa"/>
            <w:vAlign w:val="bottom"/>
            <w:shd w:val="clear" w:color="auto" w:fill="732282"/>
          </w:tcPr>
          <w:p>
            <w:pPr>
              <w:spacing w:after="0"/>
              <w:rPr>
                <w:sz w:val="14"/>
                <w:szCs w:val="14"/>
                <w:color w:val="auto"/>
              </w:rPr>
            </w:pPr>
          </w:p>
        </w:tc>
      </w:tr>
      <w:tr>
        <w:trPr>
          <w:trHeight w:val="162"/>
        </w:trPr>
        <w:tc>
          <w:tcPr>
            <w:tcW w:w="5380" w:type="dxa"/>
            <w:vAlign w:val="bottom"/>
            <w:shd w:val="clear" w:color="auto" w:fill="732282"/>
          </w:tcPr>
          <w:p>
            <w:pPr>
              <w:spacing w:after="0"/>
              <w:rPr>
                <w:sz w:val="14"/>
                <w:szCs w:val="14"/>
                <w:color w:val="auto"/>
              </w:rPr>
            </w:pPr>
          </w:p>
        </w:tc>
        <w:tc>
          <w:tcPr>
            <w:tcW w:w="1040" w:type="dxa"/>
            <w:vAlign w:val="bottom"/>
            <w:shd w:val="clear" w:color="auto" w:fill="732282"/>
          </w:tcPr>
          <w:p>
            <w:pPr>
              <w:spacing w:after="0"/>
              <w:rPr>
                <w:sz w:val="14"/>
                <w:szCs w:val="14"/>
                <w:color w:val="auto"/>
              </w:rPr>
            </w:pPr>
          </w:p>
        </w:tc>
        <w:tc>
          <w:tcPr>
            <w:tcW w:w="1240" w:type="dxa"/>
            <w:vAlign w:val="bottom"/>
            <w:shd w:val="clear" w:color="auto" w:fill="732282"/>
          </w:tcPr>
          <w:p>
            <w:pPr>
              <w:spacing w:after="0"/>
              <w:rPr>
                <w:sz w:val="14"/>
                <w:szCs w:val="14"/>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Performance-</w:t>
            </w: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Average</w:t>
            </w:r>
          </w:p>
        </w:tc>
        <w:tc>
          <w:tcPr>
            <w:tcW w:w="1040" w:type="dxa"/>
            <w:vAlign w:val="bottom"/>
            <w:shd w:val="clear" w:color="auto" w:fill="732282"/>
          </w:tcPr>
          <w:p>
            <w:pPr>
              <w:spacing w:after="0"/>
              <w:rPr>
                <w:sz w:val="14"/>
                <w:szCs w:val="14"/>
                <w:color w:val="auto"/>
              </w:rPr>
            </w:pPr>
          </w:p>
        </w:tc>
      </w:tr>
      <w:tr>
        <w:trPr>
          <w:trHeight w:val="162"/>
        </w:trPr>
        <w:tc>
          <w:tcPr>
            <w:tcW w:w="5380" w:type="dxa"/>
            <w:vAlign w:val="bottom"/>
            <w:shd w:val="clear" w:color="auto" w:fill="732282"/>
          </w:tcPr>
          <w:p>
            <w:pPr>
              <w:spacing w:after="0"/>
              <w:rPr>
                <w:sz w:val="14"/>
                <w:szCs w:val="14"/>
                <w:color w:val="auto"/>
              </w:rPr>
            </w:pPr>
          </w:p>
        </w:tc>
        <w:tc>
          <w:tcPr>
            <w:tcW w:w="1040" w:type="dxa"/>
            <w:vAlign w:val="bottom"/>
            <w:shd w:val="clear" w:color="auto" w:fill="732282"/>
          </w:tcPr>
          <w:p>
            <w:pPr>
              <w:jc w:val="right"/>
              <w:ind w:right="203"/>
              <w:spacing w:after="0"/>
              <w:rPr>
                <w:sz w:val="20"/>
                <w:szCs w:val="20"/>
                <w:color w:val="auto"/>
              </w:rPr>
            </w:pPr>
            <w:r>
              <w:rPr>
                <w:rFonts w:ascii="Arial" w:cs="Arial" w:eastAsia="Arial" w:hAnsi="Arial"/>
                <w:sz w:val="14"/>
                <w:szCs w:val="14"/>
                <w:b w:val="1"/>
                <w:bCs w:val="1"/>
                <w:color w:val="FFFFFF"/>
              </w:rPr>
              <w:t>Stock</w:t>
            </w: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Time-Based Full</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Based</w:t>
            </w: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Common</w:t>
            </w:r>
          </w:p>
        </w:tc>
        <w:tc>
          <w:tcPr>
            <w:tcW w:w="1040" w:type="dxa"/>
            <w:vAlign w:val="bottom"/>
            <w:shd w:val="clear" w:color="auto" w:fill="732282"/>
          </w:tcPr>
          <w:p>
            <w:pPr>
              <w:ind w:left="520"/>
              <w:spacing w:after="0"/>
              <w:rPr>
                <w:sz w:val="20"/>
                <w:szCs w:val="20"/>
                <w:color w:val="auto"/>
              </w:rPr>
            </w:pPr>
            <w:r>
              <w:rPr>
                <w:rFonts w:ascii="Arial" w:cs="Arial" w:eastAsia="Arial" w:hAnsi="Arial"/>
                <w:sz w:val="14"/>
                <w:szCs w:val="14"/>
                <w:b w:val="1"/>
                <w:bCs w:val="1"/>
                <w:color w:val="FFFFFF"/>
              </w:rPr>
              <w:t> </w:t>
            </w:r>
          </w:p>
        </w:tc>
      </w:tr>
      <w:tr>
        <w:trPr>
          <w:trHeight w:val="158"/>
        </w:trPr>
        <w:tc>
          <w:tcPr>
            <w:tcW w:w="5380" w:type="dxa"/>
            <w:vAlign w:val="bottom"/>
            <w:shd w:val="clear" w:color="auto" w:fill="732282"/>
          </w:tcPr>
          <w:p>
            <w:pPr>
              <w:spacing w:after="0"/>
              <w:rPr>
                <w:sz w:val="13"/>
                <w:szCs w:val="13"/>
                <w:color w:val="auto"/>
              </w:rPr>
            </w:pPr>
          </w:p>
        </w:tc>
        <w:tc>
          <w:tcPr>
            <w:tcW w:w="1040" w:type="dxa"/>
            <w:vAlign w:val="bottom"/>
            <w:shd w:val="clear" w:color="auto" w:fill="732282"/>
          </w:tcPr>
          <w:p>
            <w:pPr>
              <w:jc w:val="right"/>
              <w:ind w:right="123"/>
              <w:spacing w:after="0" w:line="158" w:lineRule="exact"/>
              <w:rPr>
                <w:sz w:val="20"/>
                <w:szCs w:val="20"/>
                <w:color w:val="auto"/>
              </w:rPr>
            </w:pPr>
            <w:r>
              <w:rPr>
                <w:rFonts w:ascii="Arial" w:cs="Arial" w:eastAsia="Arial" w:hAnsi="Arial"/>
                <w:sz w:val="14"/>
                <w:szCs w:val="14"/>
                <w:b w:val="1"/>
                <w:bCs w:val="1"/>
                <w:color w:val="FFFFFF"/>
              </w:rPr>
              <w:t>Options</w:t>
            </w:r>
          </w:p>
        </w:tc>
        <w:tc>
          <w:tcPr>
            <w:tcW w:w="124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Value Awards</w:t>
            </w:r>
          </w:p>
        </w:tc>
        <w:tc>
          <w:tcPr>
            <w:tcW w:w="108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Awards</w:t>
            </w:r>
          </w:p>
        </w:tc>
        <w:tc>
          <w:tcPr>
            <w:tcW w:w="1240" w:type="dxa"/>
            <w:vAlign w:val="bottom"/>
            <w:shd w:val="clear" w:color="auto" w:fill="732282"/>
          </w:tcPr>
          <w:p>
            <w:pPr>
              <w:jc w:val="center"/>
              <w:spacing w:after="0" w:line="158" w:lineRule="exact"/>
              <w:rPr>
                <w:sz w:val="20"/>
                <w:szCs w:val="20"/>
                <w:color w:val="auto"/>
              </w:rPr>
            </w:pPr>
            <w:r>
              <w:rPr>
                <w:rFonts w:ascii="Arial" w:cs="Arial" w:eastAsia="Arial" w:hAnsi="Arial"/>
                <w:sz w:val="14"/>
                <w:szCs w:val="14"/>
                <w:b w:val="1"/>
                <w:bCs w:val="1"/>
                <w:color w:val="FFFFFF"/>
              </w:rPr>
              <w:t>Shares</w:t>
            </w:r>
          </w:p>
        </w:tc>
        <w:tc>
          <w:tcPr>
            <w:tcW w:w="1040" w:type="dxa"/>
            <w:vAlign w:val="bottom"/>
            <w:shd w:val="clear" w:color="auto" w:fill="732282"/>
          </w:tcPr>
          <w:p>
            <w:pPr>
              <w:ind w:left="100"/>
              <w:spacing w:after="0" w:line="158" w:lineRule="exact"/>
              <w:rPr>
                <w:sz w:val="20"/>
                <w:szCs w:val="20"/>
                <w:color w:val="auto"/>
              </w:rPr>
            </w:pPr>
            <w:r>
              <w:rPr>
                <w:rFonts w:ascii="Arial" w:cs="Arial" w:eastAsia="Arial" w:hAnsi="Arial"/>
                <w:sz w:val="14"/>
                <w:szCs w:val="14"/>
                <w:b w:val="1"/>
                <w:bCs w:val="1"/>
                <w:color w:val="FFFFFF"/>
              </w:rPr>
              <w:t>Annual Burn</w:t>
            </w:r>
          </w:p>
        </w:tc>
      </w:tr>
      <w:tr>
        <w:trPr>
          <w:trHeight w:val="202"/>
        </w:trPr>
        <w:tc>
          <w:tcPr>
            <w:tcW w:w="538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Fiscal Year</w:t>
            </w:r>
          </w:p>
        </w:tc>
        <w:tc>
          <w:tcPr>
            <w:tcW w:w="1040" w:type="dxa"/>
            <w:vAlign w:val="bottom"/>
            <w:shd w:val="clear" w:color="auto" w:fill="732282"/>
          </w:tcPr>
          <w:p>
            <w:pPr>
              <w:jc w:val="right"/>
              <w:ind w:right="123"/>
              <w:spacing w:after="0"/>
              <w:rPr>
                <w:sz w:val="20"/>
                <w:szCs w:val="20"/>
                <w:color w:val="auto"/>
              </w:rPr>
            </w:pPr>
            <w:r>
              <w:rPr>
                <w:rFonts w:ascii="Arial" w:cs="Arial" w:eastAsia="Arial" w:hAnsi="Arial"/>
                <w:sz w:val="14"/>
                <w:szCs w:val="14"/>
                <w:b w:val="1"/>
                <w:bCs w:val="1"/>
                <w:color w:val="FFFFFF"/>
              </w:rPr>
              <w:t>Granted</w:t>
            </w: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Granted</w:t>
            </w:r>
          </w:p>
        </w:tc>
        <w:tc>
          <w:tcPr>
            <w:tcW w:w="108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Earned</w:t>
            </w:r>
          </w:p>
        </w:tc>
        <w:tc>
          <w:tcPr>
            <w:tcW w:w="12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Outstanding</w:t>
            </w:r>
          </w:p>
        </w:tc>
        <w:tc>
          <w:tcPr>
            <w:tcW w:w="1040" w:type="dxa"/>
            <w:vAlign w:val="bottom"/>
            <w:shd w:val="clear" w:color="auto" w:fill="732282"/>
          </w:tcPr>
          <w:p>
            <w:pPr>
              <w:ind w:left="340"/>
              <w:spacing w:after="0" w:line="202" w:lineRule="exact"/>
              <w:rPr>
                <w:sz w:val="20"/>
                <w:szCs w:val="20"/>
                <w:color w:val="auto"/>
              </w:rPr>
            </w:pPr>
            <w:r>
              <w:rPr>
                <w:rFonts w:ascii="Arial" w:cs="Arial" w:eastAsia="Arial" w:hAnsi="Arial"/>
                <w:sz w:val="14"/>
                <w:szCs w:val="14"/>
                <w:b w:val="1"/>
                <w:bCs w:val="1"/>
                <w:color w:val="FFFFFF"/>
              </w:rPr>
              <w:t>Rate</w:t>
            </w:r>
            <w:r>
              <w:rPr>
                <w:rFonts w:ascii="Arial" w:cs="Arial" w:eastAsia="Arial" w:hAnsi="Arial"/>
                <w:sz w:val="21"/>
                <w:szCs w:val="21"/>
                <w:b w:val="1"/>
                <w:bCs w:val="1"/>
                <w:color w:val="FFFFFF"/>
                <w:vertAlign w:val="superscript"/>
              </w:rPr>
              <w:t>(1)</w:t>
            </w:r>
          </w:p>
        </w:tc>
      </w:tr>
      <w:tr>
        <w:trPr>
          <w:trHeight w:val="310"/>
        </w:trPr>
        <w:tc>
          <w:tcPr>
            <w:tcW w:w="5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2023</w:t>
            </w:r>
          </w:p>
        </w:tc>
        <w:tc>
          <w:tcPr>
            <w:tcW w:w="104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283,361</w:t>
            </w:r>
            <w:r>
              <w:rPr>
                <w:rFonts w:ascii="Arial" w:cs="Arial" w:eastAsia="Arial" w:hAnsi="Arial"/>
                <w:sz w:val="24"/>
                <w:szCs w:val="24"/>
                <w:b w:val="1"/>
                <w:bCs w:val="1"/>
                <w:color w:val="auto"/>
                <w:vertAlign w:val="superscript"/>
              </w:rPr>
              <w:t>(2)</w:t>
            </w:r>
          </w:p>
        </w:tc>
        <w:tc>
          <w:tcPr>
            <w:tcW w:w="124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14,403,414</w:t>
            </w:r>
            <w:r>
              <w:rPr>
                <w:rFonts w:ascii="Arial" w:cs="Arial" w:eastAsia="Arial" w:hAnsi="Arial"/>
                <w:sz w:val="24"/>
                <w:szCs w:val="24"/>
                <w:b w:val="1"/>
                <w:bCs w:val="1"/>
                <w:color w:val="auto"/>
                <w:vertAlign w:val="superscript"/>
              </w:rPr>
              <w:t>(3)</w:t>
            </w:r>
          </w:p>
        </w:tc>
        <w:tc>
          <w:tcPr>
            <w:tcW w:w="1080" w:type="dxa"/>
            <w:vAlign w:val="bottom"/>
            <w:shd w:val="clear" w:color="auto" w:fill="E5E5E5"/>
          </w:tcPr>
          <w:p>
            <w:pPr>
              <w:jc w:val="right"/>
              <w:ind w:right="64"/>
              <w:spacing w:after="0"/>
              <w:rPr>
                <w:sz w:val="20"/>
                <w:szCs w:val="20"/>
                <w:color w:val="auto"/>
              </w:rPr>
            </w:pPr>
            <w:r>
              <w:rPr>
                <w:rFonts w:ascii="Arial" w:cs="Arial" w:eastAsia="Arial" w:hAnsi="Arial"/>
                <w:sz w:val="16"/>
                <w:szCs w:val="16"/>
                <w:color w:val="auto"/>
              </w:rPr>
              <w:t>4,449,574</w:t>
            </w:r>
          </w:p>
        </w:tc>
        <w:tc>
          <w:tcPr>
            <w:tcW w:w="124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1,200,300,000</w:t>
            </w:r>
          </w:p>
        </w:tc>
        <w:tc>
          <w:tcPr>
            <w:tcW w:w="1040" w:type="dxa"/>
            <w:vAlign w:val="bottom"/>
            <w:shd w:val="clear" w:color="auto" w:fill="E5E5E5"/>
          </w:tcPr>
          <w:p>
            <w:pPr>
              <w:ind w:left="520"/>
              <w:spacing w:after="0"/>
              <w:rPr>
                <w:sz w:val="20"/>
                <w:szCs w:val="20"/>
                <w:color w:val="auto"/>
              </w:rPr>
            </w:pPr>
            <w:r>
              <w:rPr>
                <w:rFonts w:ascii="Arial" w:cs="Arial" w:eastAsia="Arial" w:hAnsi="Arial"/>
                <w:sz w:val="16"/>
                <w:szCs w:val="16"/>
                <w:color w:val="auto"/>
              </w:rPr>
              <w:t>1.59%</w:t>
            </w:r>
          </w:p>
        </w:tc>
      </w:tr>
      <w:tr>
        <w:trPr>
          <w:trHeight w:val="239"/>
        </w:trPr>
        <w:tc>
          <w:tcPr>
            <w:tcW w:w="5380" w:type="dxa"/>
            <w:vAlign w:val="bottom"/>
          </w:tcPr>
          <w:p>
            <w:pPr>
              <w:ind w:left="60"/>
              <w:spacing w:after="0"/>
              <w:rPr>
                <w:sz w:val="20"/>
                <w:szCs w:val="20"/>
                <w:color w:val="auto"/>
              </w:rPr>
            </w:pPr>
            <w:r>
              <w:rPr>
                <w:rFonts w:ascii="Arial" w:cs="Arial" w:eastAsia="Arial" w:hAnsi="Arial"/>
                <w:sz w:val="16"/>
                <w:szCs w:val="16"/>
                <w:b w:val="1"/>
                <w:bCs w:val="1"/>
                <w:color w:val="auto"/>
              </w:rPr>
              <w:t>2022</w:t>
            </w:r>
          </w:p>
        </w:tc>
        <w:tc>
          <w:tcPr>
            <w:tcW w:w="1040" w:type="dxa"/>
            <w:vAlign w:val="bottom"/>
          </w:tcPr>
          <w:p>
            <w:pPr>
              <w:jc w:val="right"/>
              <w:ind w:right="143"/>
              <w:spacing w:after="0"/>
              <w:rPr>
                <w:sz w:val="20"/>
                <w:szCs w:val="20"/>
                <w:color w:val="auto"/>
              </w:rPr>
            </w:pPr>
            <w:r>
              <w:rPr>
                <w:rFonts w:ascii="Arial" w:cs="Arial" w:eastAsia="Arial" w:hAnsi="Arial"/>
                <w:sz w:val="16"/>
                <w:szCs w:val="16"/>
                <w:color w:val="auto"/>
              </w:rPr>
              <w:t>0</w:t>
            </w:r>
          </w:p>
        </w:tc>
        <w:tc>
          <w:tcPr>
            <w:tcW w:w="1240" w:type="dxa"/>
            <w:vAlign w:val="bottom"/>
          </w:tcPr>
          <w:p>
            <w:pPr>
              <w:jc w:val="right"/>
              <w:ind w:right="163"/>
              <w:spacing w:after="0"/>
              <w:rPr>
                <w:sz w:val="20"/>
                <w:szCs w:val="20"/>
                <w:color w:val="auto"/>
              </w:rPr>
            </w:pPr>
            <w:r>
              <w:rPr>
                <w:rFonts w:ascii="Arial" w:cs="Arial" w:eastAsia="Arial" w:hAnsi="Arial"/>
                <w:sz w:val="16"/>
                <w:szCs w:val="16"/>
                <w:color w:val="auto"/>
              </w:rPr>
              <w:t>11,761,481</w:t>
            </w:r>
          </w:p>
        </w:tc>
        <w:tc>
          <w:tcPr>
            <w:tcW w:w="1080" w:type="dxa"/>
            <w:vAlign w:val="bottom"/>
          </w:tcPr>
          <w:p>
            <w:pPr>
              <w:jc w:val="right"/>
              <w:ind w:right="64"/>
              <w:spacing w:after="0"/>
              <w:rPr>
                <w:sz w:val="20"/>
                <w:szCs w:val="20"/>
                <w:color w:val="auto"/>
              </w:rPr>
            </w:pPr>
            <w:r>
              <w:rPr>
                <w:rFonts w:ascii="Arial" w:cs="Arial" w:eastAsia="Arial" w:hAnsi="Arial"/>
                <w:sz w:val="16"/>
                <w:szCs w:val="16"/>
                <w:color w:val="auto"/>
              </w:rPr>
              <w:t>547,527</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1,212,100,000</w:t>
            </w:r>
          </w:p>
        </w:tc>
        <w:tc>
          <w:tcPr>
            <w:tcW w:w="1040" w:type="dxa"/>
            <w:vAlign w:val="bottom"/>
          </w:tcPr>
          <w:p>
            <w:pPr>
              <w:ind w:left="520"/>
              <w:spacing w:after="0"/>
              <w:rPr>
                <w:sz w:val="20"/>
                <w:szCs w:val="20"/>
                <w:color w:val="auto"/>
              </w:rPr>
            </w:pPr>
            <w:r>
              <w:rPr>
                <w:rFonts w:ascii="Arial" w:cs="Arial" w:eastAsia="Arial" w:hAnsi="Arial"/>
                <w:sz w:val="16"/>
                <w:szCs w:val="16"/>
                <w:color w:val="auto"/>
              </w:rPr>
              <w:t>1.02%</w:t>
            </w:r>
          </w:p>
        </w:tc>
      </w:tr>
      <w:tr>
        <w:trPr>
          <w:trHeight w:val="247"/>
        </w:trPr>
        <w:tc>
          <w:tcPr>
            <w:tcW w:w="53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2021</w:t>
            </w:r>
          </w:p>
        </w:tc>
        <w:tc>
          <w:tcPr>
            <w:tcW w:w="104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0</w:t>
            </w:r>
          </w:p>
        </w:tc>
        <w:tc>
          <w:tcPr>
            <w:tcW w:w="124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6,644,627</w:t>
            </w:r>
          </w:p>
        </w:tc>
        <w:tc>
          <w:tcPr>
            <w:tcW w:w="1080" w:type="dxa"/>
            <w:vAlign w:val="bottom"/>
            <w:shd w:val="clear" w:color="auto" w:fill="E5E5E5"/>
          </w:tcPr>
          <w:p>
            <w:pPr>
              <w:jc w:val="right"/>
              <w:ind w:right="64"/>
              <w:spacing w:after="0"/>
              <w:rPr>
                <w:sz w:val="20"/>
                <w:szCs w:val="20"/>
                <w:color w:val="auto"/>
              </w:rPr>
            </w:pPr>
            <w:r>
              <w:rPr>
                <w:rFonts w:ascii="Arial" w:cs="Arial" w:eastAsia="Arial" w:hAnsi="Arial"/>
                <w:sz w:val="16"/>
                <w:szCs w:val="16"/>
                <w:color w:val="auto"/>
              </w:rPr>
              <w:t>552,234</w:t>
            </w:r>
          </w:p>
        </w:tc>
        <w:tc>
          <w:tcPr>
            <w:tcW w:w="124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1,208,800,000</w:t>
            </w:r>
          </w:p>
        </w:tc>
        <w:tc>
          <w:tcPr>
            <w:tcW w:w="1040" w:type="dxa"/>
            <w:vAlign w:val="bottom"/>
            <w:shd w:val="clear" w:color="auto" w:fill="E5E5E5"/>
          </w:tcPr>
          <w:p>
            <w:pPr>
              <w:ind w:left="520"/>
              <w:spacing w:after="0"/>
              <w:rPr>
                <w:sz w:val="20"/>
                <w:szCs w:val="20"/>
                <w:color w:val="auto"/>
              </w:rPr>
            </w:pPr>
            <w:r>
              <w:rPr>
                <w:rFonts w:ascii="Arial" w:cs="Arial" w:eastAsia="Arial" w:hAnsi="Arial"/>
                <w:sz w:val="16"/>
                <w:szCs w:val="16"/>
                <w:color w:val="auto"/>
              </w:rPr>
              <w:t>0.60%</w:t>
            </w:r>
          </w:p>
        </w:tc>
      </w:tr>
      <w:tr>
        <w:trPr>
          <w:trHeight w:val="239"/>
        </w:trPr>
        <w:tc>
          <w:tcPr>
            <w:tcW w:w="5380" w:type="dxa"/>
            <w:vAlign w:val="bottom"/>
            <w:tcBorders>
              <w:bottom w:val="single" w:sz="8" w:color="732282"/>
            </w:tcBorders>
          </w:tcPr>
          <w:p>
            <w:pPr>
              <w:ind w:left="60"/>
              <w:spacing w:after="0"/>
              <w:rPr>
                <w:sz w:val="20"/>
                <w:szCs w:val="20"/>
                <w:color w:val="auto"/>
              </w:rPr>
            </w:pPr>
            <w:r>
              <w:rPr>
                <w:rFonts w:ascii="Arial" w:cs="Arial" w:eastAsia="Arial" w:hAnsi="Arial"/>
                <w:sz w:val="16"/>
                <w:szCs w:val="16"/>
                <w:b w:val="1"/>
                <w:bCs w:val="1"/>
                <w:color w:val="auto"/>
              </w:rPr>
              <w:t>Three-Year Average Burn Rate</w:t>
            </w:r>
          </w:p>
        </w:tc>
        <w:tc>
          <w:tcPr>
            <w:tcW w:w="1040" w:type="dxa"/>
            <w:vAlign w:val="bottom"/>
            <w:tcBorders>
              <w:bottom w:val="single" w:sz="8" w:color="732282"/>
            </w:tcBorders>
          </w:tcPr>
          <w:p>
            <w:pPr>
              <w:jc w:val="right"/>
              <w:ind w:right="14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32282"/>
            </w:tcBorders>
          </w:tcPr>
          <w:p>
            <w:pPr>
              <w:jc w:val="right"/>
              <w:ind w:right="16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732282"/>
            </w:tcBorders>
          </w:tcPr>
          <w:p>
            <w:pPr>
              <w:jc w:val="right"/>
              <w:ind w:right="6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32282"/>
            </w:tcBorders>
          </w:tcPr>
          <w:p>
            <w:pPr>
              <w:jc w:val="right"/>
              <w:ind w:right="4"/>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32282"/>
            </w:tcBorders>
          </w:tcPr>
          <w:p>
            <w:pPr>
              <w:ind w:left="520"/>
              <w:spacing w:after="0"/>
              <w:rPr>
                <w:sz w:val="20"/>
                <w:szCs w:val="20"/>
                <w:color w:val="auto"/>
              </w:rPr>
            </w:pPr>
            <w:r>
              <w:rPr>
                <w:rFonts w:ascii="Arial" w:cs="Arial" w:eastAsia="Arial" w:hAnsi="Arial"/>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89 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540" w:right="40" w:hanging="424"/>
        <w:spacing w:after="0" w:line="253" w:lineRule="auto"/>
        <w:tabs>
          <w:tab w:leader="none" w:pos="540" w:val="left"/>
        </w:tabs>
        <w:numPr>
          <w:ilvl w:val="0"/>
          <w:numId w:val="67"/>
        </w:numPr>
        <w:rPr>
          <w:rFonts w:ascii="Arial" w:cs="Arial" w:eastAsia="Arial" w:hAnsi="Arial"/>
          <w:sz w:val="16"/>
          <w:szCs w:val="16"/>
          <w:color w:val="3F3F3F"/>
        </w:rPr>
      </w:pPr>
      <w:r>
        <w:rPr>
          <w:rFonts w:ascii="Arial" w:cs="Arial" w:eastAsia="Arial" w:hAnsi="Arial"/>
          <w:sz w:val="16"/>
          <w:szCs w:val="16"/>
          <w:color w:val="3F3F3F"/>
        </w:rPr>
        <w:t>Burn rate is calculated by dividing (a) the sum of the number of shares of our common stock subject to stock options granted, time-based full value awards (consisting of RSUs) granted and performance-based awards (consisting of PRSUs) earned (inclusive of DEUs), each during the applicable annual measurement period, by (b) the weighted-average number of shares outstanding at the applicable fiscal year-end.</w:t>
      </w:r>
    </w:p>
    <w:p>
      <w:pPr>
        <w:spacing w:after="0" w:line="1" w:lineRule="exact"/>
        <w:rPr>
          <w:rFonts w:ascii="Arial" w:cs="Arial" w:eastAsia="Arial" w:hAnsi="Arial"/>
          <w:sz w:val="16"/>
          <w:szCs w:val="16"/>
          <w:color w:val="3F3F3F"/>
        </w:rPr>
      </w:pPr>
    </w:p>
    <w:p>
      <w:pPr>
        <w:ind w:left="540" w:hanging="424"/>
        <w:spacing w:after="0"/>
        <w:tabs>
          <w:tab w:leader="none" w:pos="540" w:val="left"/>
        </w:tabs>
        <w:numPr>
          <w:ilvl w:val="0"/>
          <w:numId w:val="67"/>
        </w:numPr>
        <w:rPr>
          <w:rFonts w:ascii="Arial" w:cs="Arial" w:eastAsia="Arial" w:hAnsi="Arial"/>
          <w:sz w:val="16"/>
          <w:szCs w:val="16"/>
          <w:color w:val="3F3F3F"/>
        </w:rPr>
      </w:pPr>
      <w:r>
        <w:rPr>
          <w:rFonts w:ascii="Arial" w:cs="Arial" w:eastAsia="Arial" w:hAnsi="Arial"/>
          <w:sz w:val="16"/>
          <w:szCs w:val="16"/>
          <w:color w:val="3F3F3F"/>
        </w:rPr>
        <w:t>Inclusive of 281,657 stock options granted exclusively under Oyster Point Plan.</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67"/>
        </w:numPr>
        <w:rPr>
          <w:rFonts w:ascii="Arial" w:cs="Arial" w:eastAsia="Arial" w:hAnsi="Arial"/>
          <w:sz w:val="16"/>
          <w:szCs w:val="16"/>
          <w:color w:val="3F3F3F"/>
        </w:rPr>
      </w:pPr>
      <w:r>
        <w:rPr>
          <w:rFonts w:ascii="Arial" w:cs="Arial" w:eastAsia="Arial" w:hAnsi="Arial"/>
          <w:sz w:val="16"/>
          <w:szCs w:val="16"/>
          <w:color w:val="3F3F3F"/>
        </w:rPr>
        <w:t>Inclusive of 4,068,637 time-based full value awards granted under the Oyster Point Plan.</w:t>
      </w:r>
    </w:p>
    <w:p>
      <w:pPr>
        <w:spacing w:after="0" w:line="11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3F3F3F"/>
        </w:rPr>
        <w:t>The following table details the amounts of performance-based awards granted, vested or earned, and forfeited in the last three fiscal years to all eligible participants: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9640" w:type="dxa"/>
            <w:vAlign w:val="bottom"/>
            <w:shd w:val="clear" w:color="auto" w:fill="732282"/>
          </w:tcPr>
          <w:p>
            <w:pPr>
              <w:spacing w:after="0"/>
              <w:rPr>
                <w:sz w:val="14"/>
                <w:szCs w:val="14"/>
                <w:color w:val="auto"/>
              </w:rPr>
            </w:pPr>
          </w:p>
        </w:tc>
        <w:tc>
          <w:tcPr>
            <w:tcW w:w="1380" w:type="dxa"/>
            <w:vAlign w:val="bottom"/>
            <w:shd w:val="clear" w:color="auto" w:fill="732282"/>
          </w:tcPr>
          <w:p>
            <w:pPr>
              <w:jc w:val="right"/>
              <w:ind w:right="340"/>
              <w:spacing w:after="0"/>
              <w:rPr>
                <w:sz w:val="20"/>
                <w:szCs w:val="20"/>
                <w:color w:val="auto"/>
              </w:rPr>
            </w:pPr>
            <w:r>
              <w:rPr>
                <w:rFonts w:ascii="Arial" w:cs="Arial" w:eastAsia="Arial" w:hAnsi="Arial"/>
                <w:sz w:val="14"/>
                <w:szCs w:val="14"/>
                <w:b w:val="1"/>
                <w:bCs w:val="1"/>
                <w:color w:val="FFFFFF"/>
              </w:rPr>
              <w:t># of</w:t>
            </w:r>
          </w:p>
        </w:tc>
      </w:tr>
      <w:tr>
        <w:trPr>
          <w:trHeight w:val="198"/>
        </w:trPr>
        <w:tc>
          <w:tcPr>
            <w:tcW w:w="964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Performance-Based Awards</w:t>
            </w:r>
          </w:p>
        </w:tc>
        <w:tc>
          <w:tcPr>
            <w:tcW w:w="1380" w:type="dxa"/>
            <w:vAlign w:val="bottom"/>
            <w:shd w:val="clear" w:color="auto" w:fill="732282"/>
          </w:tcPr>
          <w:p>
            <w:pPr>
              <w:jc w:val="right"/>
              <w:ind w:right="40"/>
              <w:spacing w:after="0"/>
              <w:rPr>
                <w:sz w:val="20"/>
                <w:szCs w:val="20"/>
                <w:color w:val="auto"/>
              </w:rPr>
            </w:pPr>
            <w:r>
              <w:rPr>
                <w:rFonts w:ascii="Arial" w:cs="Arial" w:eastAsia="Arial" w:hAnsi="Arial"/>
                <w:sz w:val="14"/>
                <w:szCs w:val="14"/>
                <w:b w:val="1"/>
                <w:bCs w:val="1"/>
                <w:color w:val="FFFFFF"/>
              </w:rPr>
              <w:t>Shares/Units</w:t>
            </w:r>
          </w:p>
        </w:tc>
      </w:tr>
      <w:tr>
        <w:trPr>
          <w:trHeight w:val="311"/>
        </w:trPr>
        <w:tc>
          <w:tcPr>
            <w:tcW w:w="9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Non-vested at December 31, 2020</w:t>
            </w:r>
            <w:r>
              <w:rPr>
                <w:rFonts w:ascii="Arial" w:cs="Arial" w:eastAsia="Arial" w:hAnsi="Arial"/>
                <w:sz w:val="24"/>
                <w:szCs w:val="24"/>
                <w:b w:val="1"/>
                <w:bCs w:val="1"/>
                <w:color w:val="auto"/>
                <w:vertAlign w:val="superscript"/>
              </w:rPr>
              <w:t>(1)</w:t>
            </w:r>
          </w:p>
        </w:tc>
        <w:tc>
          <w:tcPr>
            <w:tcW w:w="13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3,647,192</w:t>
            </w:r>
          </w:p>
        </w:tc>
      </w:tr>
      <w:tr>
        <w:trPr>
          <w:trHeight w:val="235"/>
        </w:trPr>
        <w:tc>
          <w:tcPr>
            <w:tcW w:w="9640" w:type="dxa"/>
            <w:vAlign w:val="bottom"/>
          </w:tcPr>
          <w:p>
            <w:pPr>
              <w:ind w:left="6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3,205,816</w:t>
            </w:r>
          </w:p>
        </w:tc>
      </w:tr>
      <w:tr>
        <w:trPr>
          <w:trHeight w:val="318"/>
        </w:trPr>
        <w:tc>
          <w:tcPr>
            <w:tcW w:w="9640" w:type="dxa"/>
            <w:vAlign w:val="bottom"/>
            <w:shd w:val="clear" w:color="auto" w:fill="E5E5E5"/>
          </w:tcPr>
          <w:p>
            <w:pPr>
              <w:ind w:left="60"/>
              <w:spacing w:after="0"/>
              <w:rPr>
                <w:sz w:val="20"/>
                <w:szCs w:val="20"/>
                <w:color w:val="auto"/>
              </w:rPr>
            </w:pPr>
            <w:r>
              <w:rPr>
                <w:rFonts w:ascii="Arial" w:cs="Arial" w:eastAsia="Arial" w:hAnsi="Arial"/>
                <w:sz w:val="16"/>
                <w:szCs w:val="16"/>
                <w:color w:val="auto"/>
              </w:rPr>
              <w:t>Vested or Earned</w:t>
            </w:r>
            <w:r>
              <w:rPr>
                <w:rFonts w:ascii="Arial" w:cs="Arial" w:eastAsia="Arial" w:hAnsi="Arial"/>
                <w:sz w:val="24"/>
                <w:szCs w:val="24"/>
                <w:color w:val="auto"/>
                <w:vertAlign w:val="superscript"/>
              </w:rPr>
              <w:t>(2)</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(552,234)</w:t>
            </w:r>
          </w:p>
        </w:tc>
      </w:tr>
      <w:tr>
        <w:trPr>
          <w:trHeight w:val="310"/>
        </w:trPr>
        <w:tc>
          <w:tcPr>
            <w:tcW w:w="9640" w:type="dxa"/>
            <w:vAlign w:val="bottom"/>
          </w:tcPr>
          <w:p>
            <w:pPr>
              <w:ind w:left="60"/>
              <w:spacing w:after="0"/>
              <w:rPr>
                <w:sz w:val="20"/>
                <w:szCs w:val="20"/>
                <w:color w:val="auto"/>
              </w:rPr>
            </w:pPr>
            <w:r>
              <w:rPr>
                <w:rFonts w:ascii="Arial" w:cs="Arial" w:eastAsia="Arial" w:hAnsi="Arial"/>
                <w:sz w:val="16"/>
                <w:szCs w:val="16"/>
                <w:color w:val="auto"/>
              </w:rPr>
              <w:t>Forfeited</w:t>
            </w:r>
            <w:r>
              <w:rPr>
                <w:rFonts w:ascii="Arial" w:cs="Arial" w:eastAsia="Arial" w:hAnsi="Arial"/>
                <w:sz w:val="24"/>
                <w:szCs w:val="24"/>
                <w:color w:val="auto"/>
                <w:vertAlign w:val="superscript"/>
              </w:rPr>
              <w:t>(3)</w:t>
            </w:r>
          </w:p>
        </w:tc>
        <w:tc>
          <w:tcPr>
            <w:tcW w:w="1380" w:type="dxa"/>
            <w:vAlign w:val="bottom"/>
          </w:tcPr>
          <w:p>
            <w:pPr>
              <w:jc w:val="right"/>
              <w:spacing w:after="0"/>
              <w:rPr>
                <w:sz w:val="20"/>
                <w:szCs w:val="20"/>
                <w:color w:val="auto"/>
              </w:rPr>
            </w:pPr>
            <w:r>
              <w:rPr>
                <w:rFonts w:ascii="Arial" w:cs="Arial" w:eastAsia="Arial" w:hAnsi="Arial"/>
                <w:sz w:val="16"/>
                <w:szCs w:val="16"/>
                <w:color w:val="auto"/>
              </w:rPr>
              <w:t>(332,991)</w:t>
            </w:r>
          </w:p>
        </w:tc>
      </w:tr>
      <w:tr>
        <w:trPr>
          <w:trHeight w:val="311"/>
        </w:trPr>
        <w:tc>
          <w:tcPr>
            <w:tcW w:w="9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Non-vested at December 31, 2021</w:t>
            </w:r>
            <w:r>
              <w:rPr>
                <w:rFonts w:ascii="Arial" w:cs="Arial" w:eastAsia="Arial" w:hAnsi="Arial"/>
                <w:sz w:val="24"/>
                <w:szCs w:val="24"/>
                <w:b w:val="1"/>
                <w:bCs w:val="1"/>
                <w:color w:val="auto"/>
                <w:vertAlign w:val="superscript"/>
              </w:rPr>
              <w:t>(1)(4)</w:t>
            </w:r>
          </w:p>
        </w:tc>
        <w:tc>
          <w:tcPr>
            <w:tcW w:w="13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5,967,783</w:t>
            </w:r>
          </w:p>
        </w:tc>
      </w:tr>
      <w:tr>
        <w:trPr>
          <w:trHeight w:val="235"/>
        </w:trPr>
        <w:tc>
          <w:tcPr>
            <w:tcW w:w="9640" w:type="dxa"/>
            <w:vAlign w:val="bottom"/>
          </w:tcPr>
          <w:p>
            <w:pPr>
              <w:ind w:left="6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5,118,664</w:t>
            </w:r>
          </w:p>
        </w:tc>
      </w:tr>
      <w:tr>
        <w:trPr>
          <w:trHeight w:val="318"/>
        </w:trPr>
        <w:tc>
          <w:tcPr>
            <w:tcW w:w="9640" w:type="dxa"/>
            <w:vAlign w:val="bottom"/>
            <w:shd w:val="clear" w:color="auto" w:fill="E5E5E5"/>
          </w:tcPr>
          <w:p>
            <w:pPr>
              <w:ind w:left="60"/>
              <w:spacing w:after="0"/>
              <w:rPr>
                <w:sz w:val="20"/>
                <w:szCs w:val="20"/>
                <w:color w:val="auto"/>
              </w:rPr>
            </w:pPr>
            <w:r>
              <w:rPr>
                <w:rFonts w:ascii="Arial" w:cs="Arial" w:eastAsia="Arial" w:hAnsi="Arial"/>
                <w:sz w:val="16"/>
                <w:szCs w:val="16"/>
                <w:color w:val="auto"/>
              </w:rPr>
              <w:t>Vested or Earned</w:t>
            </w:r>
            <w:r>
              <w:rPr>
                <w:rFonts w:ascii="Arial" w:cs="Arial" w:eastAsia="Arial" w:hAnsi="Arial"/>
                <w:sz w:val="24"/>
                <w:szCs w:val="24"/>
                <w:color w:val="auto"/>
                <w:vertAlign w:val="superscript"/>
              </w:rPr>
              <w:t>(2)</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(547,527)</w:t>
            </w:r>
          </w:p>
        </w:tc>
      </w:tr>
      <w:tr>
        <w:trPr>
          <w:trHeight w:val="311"/>
        </w:trPr>
        <w:tc>
          <w:tcPr>
            <w:tcW w:w="9640" w:type="dxa"/>
            <w:vAlign w:val="bottom"/>
          </w:tcPr>
          <w:p>
            <w:pPr>
              <w:ind w:left="60"/>
              <w:spacing w:after="0"/>
              <w:rPr>
                <w:sz w:val="20"/>
                <w:szCs w:val="20"/>
                <w:color w:val="auto"/>
              </w:rPr>
            </w:pPr>
            <w:r>
              <w:rPr>
                <w:rFonts w:ascii="Arial" w:cs="Arial" w:eastAsia="Arial" w:hAnsi="Arial"/>
                <w:sz w:val="16"/>
                <w:szCs w:val="16"/>
                <w:color w:val="auto"/>
              </w:rPr>
              <w:t>Forfeited</w:t>
            </w:r>
            <w:r>
              <w:rPr>
                <w:rFonts w:ascii="Arial" w:cs="Arial" w:eastAsia="Arial" w:hAnsi="Arial"/>
                <w:sz w:val="24"/>
                <w:szCs w:val="24"/>
                <w:color w:val="auto"/>
                <w:vertAlign w:val="superscript"/>
              </w:rPr>
              <w:t>(3)</w:t>
            </w:r>
          </w:p>
        </w:tc>
        <w:tc>
          <w:tcPr>
            <w:tcW w:w="1380" w:type="dxa"/>
            <w:vAlign w:val="bottom"/>
          </w:tcPr>
          <w:p>
            <w:pPr>
              <w:jc w:val="right"/>
              <w:spacing w:after="0"/>
              <w:rPr>
                <w:sz w:val="20"/>
                <w:szCs w:val="20"/>
                <w:color w:val="auto"/>
              </w:rPr>
            </w:pPr>
            <w:r>
              <w:rPr>
                <w:rFonts w:ascii="Arial" w:cs="Arial" w:eastAsia="Arial" w:hAnsi="Arial"/>
                <w:sz w:val="16"/>
                <w:szCs w:val="16"/>
                <w:color w:val="auto"/>
              </w:rPr>
              <w:t>(264,427)</w:t>
            </w:r>
          </w:p>
        </w:tc>
      </w:tr>
      <w:tr>
        <w:trPr>
          <w:trHeight w:val="310"/>
        </w:trPr>
        <w:tc>
          <w:tcPr>
            <w:tcW w:w="96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Non-vested at December 31, 2022</w:t>
            </w:r>
            <w:r>
              <w:rPr>
                <w:rFonts w:ascii="Arial" w:cs="Arial" w:eastAsia="Arial" w:hAnsi="Arial"/>
                <w:sz w:val="24"/>
                <w:szCs w:val="24"/>
                <w:b w:val="1"/>
                <w:bCs w:val="1"/>
                <w:color w:val="auto"/>
                <w:vertAlign w:val="superscript"/>
              </w:rPr>
              <w:t>(1)(4)</w:t>
            </w:r>
          </w:p>
        </w:tc>
        <w:tc>
          <w:tcPr>
            <w:tcW w:w="13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10,274,493</w:t>
            </w:r>
          </w:p>
        </w:tc>
      </w:tr>
      <w:tr>
        <w:trPr>
          <w:trHeight w:val="235"/>
        </w:trPr>
        <w:tc>
          <w:tcPr>
            <w:tcW w:w="9640" w:type="dxa"/>
            <w:vAlign w:val="bottom"/>
          </w:tcPr>
          <w:p>
            <w:pPr>
              <w:ind w:left="6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5,999,207</w:t>
            </w:r>
          </w:p>
        </w:tc>
      </w:tr>
      <w:tr>
        <w:trPr>
          <w:trHeight w:val="318"/>
        </w:trPr>
        <w:tc>
          <w:tcPr>
            <w:tcW w:w="9640" w:type="dxa"/>
            <w:vAlign w:val="bottom"/>
            <w:shd w:val="clear" w:color="auto" w:fill="E5E5E5"/>
          </w:tcPr>
          <w:p>
            <w:pPr>
              <w:ind w:left="60"/>
              <w:spacing w:after="0"/>
              <w:rPr>
                <w:sz w:val="20"/>
                <w:szCs w:val="20"/>
                <w:color w:val="auto"/>
              </w:rPr>
            </w:pPr>
            <w:r>
              <w:rPr>
                <w:rFonts w:ascii="Arial" w:cs="Arial" w:eastAsia="Arial" w:hAnsi="Arial"/>
                <w:sz w:val="16"/>
                <w:szCs w:val="16"/>
                <w:color w:val="auto"/>
              </w:rPr>
              <w:t>Vested or Earned</w:t>
            </w:r>
            <w:r>
              <w:rPr>
                <w:rFonts w:ascii="Arial" w:cs="Arial" w:eastAsia="Arial" w:hAnsi="Arial"/>
                <w:sz w:val="24"/>
                <w:szCs w:val="24"/>
                <w:color w:val="auto"/>
                <w:vertAlign w:val="superscript"/>
              </w:rPr>
              <w:t>(2)</w:t>
            </w:r>
          </w:p>
        </w:tc>
        <w:tc>
          <w:tcPr>
            <w:tcW w:w="13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4,449,574</w:t>
            </w:r>
          </w:p>
        </w:tc>
      </w:tr>
      <w:tr>
        <w:trPr>
          <w:trHeight w:val="311"/>
        </w:trPr>
        <w:tc>
          <w:tcPr>
            <w:tcW w:w="9640" w:type="dxa"/>
            <w:vAlign w:val="bottom"/>
          </w:tcPr>
          <w:p>
            <w:pPr>
              <w:ind w:left="60"/>
              <w:spacing w:after="0"/>
              <w:rPr>
                <w:sz w:val="20"/>
                <w:szCs w:val="20"/>
                <w:color w:val="auto"/>
              </w:rPr>
            </w:pPr>
            <w:r>
              <w:rPr>
                <w:rFonts w:ascii="Arial" w:cs="Arial" w:eastAsia="Arial" w:hAnsi="Arial"/>
                <w:sz w:val="16"/>
                <w:szCs w:val="16"/>
                <w:color w:val="auto"/>
              </w:rPr>
              <w:t>Forfeited</w:t>
            </w:r>
            <w:r>
              <w:rPr>
                <w:rFonts w:ascii="Arial" w:cs="Arial" w:eastAsia="Arial" w:hAnsi="Arial"/>
                <w:sz w:val="24"/>
                <w:szCs w:val="24"/>
                <w:color w:val="auto"/>
                <w:vertAlign w:val="superscript"/>
              </w:rPr>
              <w:t>(3)</w:t>
            </w:r>
          </w:p>
        </w:tc>
        <w:tc>
          <w:tcPr>
            <w:tcW w:w="1380" w:type="dxa"/>
            <w:vAlign w:val="bottom"/>
          </w:tcPr>
          <w:p>
            <w:pPr>
              <w:jc w:val="right"/>
              <w:spacing w:after="0"/>
              <w:rPr>
                <w:sz w:val="20"/>
                <w:szCs w:val="20"/>
                <w:color w:val="auto"/>
              </w:rPr>
            </w:pPr>
            <w:r>
              <w:rPr>
                <w:rFonts w:ascii="Arial" w:cs="Arial" w:eastAsia="Arial" w:hAnsi="Arial"/>
                <w:sz w:val="16"/>
                <w:szCs w:val="16"/>
                <w:color w:val="auto"/>
              </w:rPr>
              <w:t>(1,313,604)</w:t>
            </w:r>
          </w:p>
        </w:tc>
      </w:tr>
      <w:tr>
        <w:trPr>
          <w:trHeight w:val="310"/>
        </w:trPr>
        <w:tc>
          <w:tcPr>
            <w:tcW w:w="964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Non-vested at December 31, 2023</w:t>
            </w:r>
            <w:r>
              <w:rPr>
                <w:rFonts w:ascii="Arial" w:cs="Arial" w:eastAsia="Arial" w:hAnsi="Arial"/>
                <w:sz w:val="24"/>
                <w:szCs w:val="24"/>
                <w:b w:val="1"/>
                <w:bCs w:val="1"/>
                <w:color w:val="auto"/>
                <w:vertAlign w:val="superscript"/>
              </w:rPr>
              <w:t>(1)(4)</w:t>
            </w:r>
          </w:p>
        </w:tc>
        <w:tc>
          <w:tcPr>
            <w:tcW w:w="1380" w:type="dxa"/>
            <w:vAlign w:val="bottom"/>
            <w:tcBorders>
              <w:bottom w:val="single" w:sz="8" w:color="732282"/>
            </w:tcBorders>
            <w:shd w:val="clear" w:color="auto" w:fill="E5E5E5"/>
          </w:tcPr>
          <w:p>
            <w:pPr>
              <w:jc w:val="right"/>
              <w:ind w:right="40"/>
              <w:spacing w:after="0"/>
              <w:rPr>
                <w:sz w:val="20"/>
                <w:szCs w:val="20"/>
                <w:color w:val="auto"/>
              </w:rPr>
            </w:pPr>
            <w:r>
              <w:rPr>
                <w:rFonts w:ascii="Arial" w:cs="Arial" w:eastAsia="Arial" w:hAnsi="Arial"/>
                <w:sz w:val="16"/>
                <w:szCs w:val="16"/>
                <w:color w:val="auto"/>
              </w:rPr>
              <w:t>10,510,522</w:t>
            </w:r>
          </w:p>
        </w:tc>
      </w:tr>
    </w:tbl>
    <w:p>
      <w:pPr>
        <w:spacing w:after="0" w:line="107"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6"/>
          <w:szCs w:val="16"/>
          <w:color w:val="3F3F3F"/>
        </w:rPr>
      </w:pPr>
      <w:r>
        <w:rPr>
          <w:rFonts w:ascii="Arial" w:cs="Arial" w:eastAsia="Arial" w:hAnsi="Arial"/>
          <w:sz w:val="16"/>
          <w:szCs w:val="16"/>
          <w:color w:val="3F3F3F"/>
        </w:rPr>
        <w:t>Amounts listed exclude awards vested at year end to be paid in the following year after performance is determined.</w:t>
      </w:r>
    </w:p>
    <w:p>
      <w:pPr>
        <w:spacing w:after="0" w:line="21" w:lineRule="exact"/>
        <w:rPr>
          <w:rFonts w:ascii="Arial" w:cs="Arial" w:eastAsia="Arial" w:hAnsi="Arial"/>
          <w:sz w:val="16"/>
          <w:szCs w:val="16"/>
          <w:color w:val="3F3F3F"/>
        </w:rPr>
      </w:pPr>
    </w:p>
    <w:p>
      <w:pPr>
        <w:ind w:left="540" w:hanging="424"/>
        <w:spacing w:after="0"/>
        <w:tabs>
          <w:tab w:leader="none" w:pos="540" w:val="left"/>
        </w:tabs>
        <w:numPr>
          <w:ilvl w:val="0"/>
          <w:numId w:val="68"/>
        </w:numPr>
        <w:rPr>
          <w:rFonts w:ascii="Arial" w:cs="Arial" w:eastAsia="Arial" w:hAnsi="Arial"/>
          <w:sz w:val="16"/>
          <w:szCs w:val="16"/>
          <w:color w:val="3F3F3F"/>
        </w:rPr>
      </w:pPr>
      <w:r>
        <w:rPr>
          <w:rFonts w:ascii="Arial" w:cs="Arial" w:eastAsia="Arial" w:hAnsi="Arial"/>
          <w:sz w:val="16"/>
          <w:szCs w:val="16"/>
          <w:color w:val="3F3F3F"/>
        </w:rPr>
        <w:t>As part of the Combination, PRSUs were converted, assuming achievement of performance goals at target level.</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68"/>
        </w:numPr>
        <w:rPr>
          <w:rFonts w:ascii="Arial" w:cs="Arial" w:eastAsia="Arial" w:hAnsi="Arial"/>
          <w:sz w:val="16"/>
          <w:szCs w:val="16"/>
          <w:color w:val="3F3F3F"/>
        </w:rPr>
      </w:pPr>
      <w:r>
        <w:rPr>
          <w:rFonts w:ascii="Arial" w:cs="Arial" w:eastAsia="Arial" w:hAnsi="Arial"/>
          <w:sz w:val="16"/>
          <w:szCs w:val="16"/>
          <w:color w:val="3F3F3F"/>
        </w:rPr>
        <w:t>Represents PRSUs forfeited due to performance, terminations, and recoupment.</w:t>
      </w:r>
    </w:p>
    <w:p>
      <w:pPr>
        <w:spacing w:after="0" w:line="5" w:lineRule="exact"/>
        <w:rPr>
          <w:rFonts w:ascii="Arial" w:cs="Arial" w:eastAsia="Arial" w:hAnsi="Arial"/>
          <w:sz w:val="16"/>
          <w:szCs w:val="16"/>
          <w:color w:val="3F3F3F"/>
        </w:rPr>
      </w:pPr>
    </w:p>
    <w:p>
      <w:pPr>
        <w:ind w:left="540" w:right="620" w:hanging="424"/>
        <w:spacing w:after="0" w:line="265" w:lineRule="auto"/>
        <w:tabs>
          <w:tab w:leader="none" w:pos="540" w:val="left"/>
        </w:tabs>
        <w:numPr>
          <w:ilvl w:val="0"/>
          <w:numId w:val="68"/>
        </w:numPr>
        <w:rPr>
          <w:rFonts w:ascii="Arial" w:cs="Arial" w:eastAsia="Arial" w:hAnsi="Arial"/>
          <w:sz w:val="16"/>
          <w:szCs w:val="16"/>
          <w:color w:val="3F3F3F"/>
        </w:rPr>
      </w:pPr>
      <w:r>
        <w:rPr>
          <w:rFonts w:ascii="Arial" w:cs="Arial" w:eastAsia="Arial" w:hAnsi="Arial"/>
          <w:sz w:val="16"/>
          <w:szCs w:val="16"/>
          <w:color w:val="3F3F3F"/>
        </w:rPr>
        <w:t>Amounts listed exclude accrued non-vested DEUs, which were 448,619, 939,666 and 1,291,092 as of December 31, 2021,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488315"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Summary of the 2020 Plan</w:t>
      </w:r>
    </w:p>
    <w:p>
      <w:pPr>
        <w:spacing w:after="0" w:line="108"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3F3F3F"/>
        </w:rPr>
        <w:t>The following is a brief summary of the material terms and features of the 2020 Plan, as proposed to be amended. The following description of certain terms and features of the 2020 Plan is qualified in its entirety by reference to the full text of the 2020 Plan Amendment, as set forth in Appendix C, as well as the full text of the 2020 Plan, which was filed as Exhibit 10.1 to Amendment No. 1 to the Form 10 filed by Upjohn Inc. with the SEC on February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488315" cy="8890"/>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Purpose</w:t>
      </w:r>
    </w:p>
    <w:p>
      <w:pPr>
        <w:spacing w:after="0" w:line="108"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3F3F3F"/>
        </w:rPr>
        <w:t>The general purpose of the 2020 Plan is to allow Viatris to utilize equity awards to attract, retain and motivate Non-Employee Directors, officers, employees and other service providers and to further align the interests of Viatris’ employees, Non-Employee Directors, officers and other service providers with those of Viatris’ shareholders. Non-qualified stock options, incentive stock options, total shareholder return units (“TSRUs”), SARs, RSUs, performance awards (including performance share awards and performance cash awards) and other stock unit awards, as well as dividend equivalents and DEUs with respect to any of the foregoing, if applicable, may be granted under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488315"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Administration and Plan Term</w:t>
      </w:r>
    </w:p>
    <w:p>
      <w:pPr>
        <w:spacing w:after="0" w:line="108"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3F3F3F"/>
        </w:rPr>
        <w:t>The selection of participants in the 2020 Plan and the level of participation of each such participant is determined by the Compensation Committee. The Compensation Committee may delegate any or all of its authority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3F3F3F"/>
        </w:rPr>
        <w:t>administer the 2020 Plan as it deems appropriate, except that no delegation may be made to an employee of Viatris in the case of awards made to individuals who are subject to Section 16 of the Exchange Act.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2020 Plan will terminate on November 16, 2030, unless terminated earlier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257810</wp:posOffset>
            </wp:positionV>
            <wp:extent cx="488315"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Shares Subject to the Plan</w:t>
      </w:r>
    </w:p>
    <w:p>
      <w:pPr>
        <w:spacing w:after="0" w:line="10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3F3F3F"/>
        </w:rPr>
        <w:t>The 2020 Plan initially authorized a pool of 72,500,000 shares of common stock when it was approved in 2020. If the 2020 Plan Amendment is approved by our shareholders, an additional 49,000,000 shares of our common stock will be authorized for issuance under the 2020 Plan, effective December 6, 2024.</w:t>
      </w:r>
    </w:p>
    <w:p>
      <w:pPr>
        <w:spacing w:after="0" w:line="16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3F3F3F"/>
        </w:rPr>
        <w:t>Any shares that terminate, expire, or are forfeited, cancelled or settled in cash, may be used for the future grant of awards to the extent of such termination, expiration, forfeiture, cancellation or settlement, except that such shares may not be granted as incentive stock options. Shares subject to awards under the 2020 Plan may not again be made available for issuance or delivery if such shares are (i) shares that were subject to a stock-settled TSRU/SAR and were not issued upon the net settlement or net exercise of such TSRU/SAR, (ii) shares delivered or withheld by Viatris to pay the exercise price of an option, (iii) shares delivered to or withheld by Viatris to pay the withholding taxes related to an award, (iv) shares withheld by Viatris in connection with the net settlement of an award or (v) shares repurchased on the open market with the proceeds of an option exercise. The shares to be delivered under the 2020 Plan will be made available from authorized but unissued shares of Viatris common stock, from treasury shares and/or from shares purchased in the open market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488315"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Limitations on Awards under the 2020 Plan</w:t>
      </w:r>
    </w:p>
    <w:p>
      <w:pPr>
        <w:spacing w:after="0" w:line="108" w:lineRule="exact"/>
        <w:rPr>
          <w:sz w:val="20"/>
          <w:szCs w:val="20"/>
          <w:color w:val="auto"/>
        </w:rPr>
      </w:pPr>
    </w:p>
    <w:p>
      <w:pPr>
        <w:jc w:val="both"/>
        <w:ind w:left="120" w:right="220"/>
        <w:spacing w:after="0" w:line="271" w:lineRule="auto"/>
        <w:rPr>
          <w:sz w:val="20"/>
          <w:szCs w:val="20"/>
          <w:color w:val="auto"/>
        </w:rPr>
      </w:pPr>
      <w:r>
        <w:rPr>
          <w:rFonts w:ascii="Arial" w:cs="Arial" w:eastAsia="Arial" w:hAnsi="Arial"/>
          <w:sz w:val="18"/>
          <w:szCs w:val="18"/>
          <w:color w:val="3F3F3F"/>
        </w:rPr>
        <w:t>During the term of the 2020 Plan, no individual may be granted stock options, TSRUs, SARs or other equity awards covering more than 7,500,000 shares during any consecutive 36-month period.</w:t>
      </w:r>
    </w:p>
    <w:p>
      <w:pPr>
        <w:spacing w:after="0" w:line="46"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3F3F3F"/>
        </w:rPr>
        <w:t>No participant under the 2020 Plan will be paid a performance cash award in any calendar year in an amount in excess of $15,000,000. The maximum number of shares reserved for issuance under the 2020 Plan may be granted as incentive stock options under the 2020 Plan.</w:t>
      </w:r>
    </w:p>
    <w:p>
      <w:pPr>
        <w:spacing w:after="0" w:line="61" w:lineRule="exact"/>
        <w:rPr>
          <w:sz w:val="20"/>
          <w:szCs w:val="20"/>
          <w:color w:val="auto"/>
        </w:rPr>
      </w:pPr>
    </w:p>
    <w:p>
      <w:pPr>
        <w:ind w:left="120" w:right="500"/>
        <w:spacing w:after="0" w:line="253" w:lineRule="auto"/>
        <w:rPr>
          <w:sz w:val="20"/>
          <w:szCs w:val="20"/>
          <w:color w:val="auto"/>
        </w:rPr>
      </w:pPr>
      <w:r>
        <w:rPr>
          <w:rFonts w:ascii="Arial" w:cs="Arial" w:eastAsia="Arial" w:hAnsi="Arial"/>
          <w:sz w:val="18"/>
          <w:szCs w:val="18"/>
          <w:color w:val="3F3F3F"/>
        </w:rPr>
        <w:t>Pursuant to the 2020 Plan, the dollar value of equity awards and/or the cash retainer that may be granted to any one Non-Employee Director under the 2020 Plan or otherwise for service in such capacity is limited to an aggregate value (at grant) of $750,000 in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222250</wp:posOffset>
            </wp:positionV>
            <wp:extent cx="488315"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Eligibility</w:t>
      </w:r>
    </w:p>
    <w:p>
      <w:pPr>
        <w:spacing w:after="0" w:line="10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3F3F3F"/>
        </w:rPr>
        <w:t>All employees of Viatris and its affiliates, as well as Viatris’ Non-Employee Directors, officers, employees and other service providers of Viatris and its affiliates are eligible to participate in the 2020 Plan. In general, the Compensation Committee will determine who will be granted awards, the number of shares subject to such grants and the terms and conditions applicable to such grants. As of September 30, 2024, Viatris currently has approximately 32,000 employees and the Board currently has 12 Directors, each of whom is nominated for re-election at the Annual Meeting and may be eligible to participate in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226695</wp:posOffset>
            </wp:positionV>
            <wp:extent cx="488315"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Minimum Vesting Period</w:t>
      </w:r>
    </w:p>
    <w:p>
      <w:pPr>
        <w:spacing w:after="0" w:line="108"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3F3F3F"/>
        </w:rPr>
        <w:t>The 2020 Plan provides that awards may be granted with a minimum vesting period of at least 12 months, provided that the Compensation Committee may grant awards without regard to the foregoing minimum vesting requirement with respect to up to five percent of the shares subject to the 2020 Plan described above and provide for accelerated vesting of awards to the extent permitted by the 2020 Plan (e.g., in connection with a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91 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3F3F3F"/>
        </w:rPr>
        <w:t>of employment). Any substitute awards, shares delivered in lieu of fully vested cash-denominated awards and awards to Non-Employee Directors that vest on the earlier of the first anniversary of the date of grant or the next annual meeting of shareholders which is at least 50 weeks after the immediately preceding annual meeting are excluded from such minimum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222250</wp:posOffset>
            </wp:positionV>
            <wp:extent cx="488315"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No Dividends or Dividend Equivalents on Awards Until Vesting</w:t>
      </w:r>
    </w:p>
    <w:p>
      <w:pPr>
        <w:spacing w:after="0" w:line="10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3F3F3F"/>
        </w:rPr>
        <w:t>Notwithstanding any provision of the 2020 Plan to the contrary, dividends, dividend equivalents and DEUs will only be paid if, and to the extent, the underlying award vests, regardless of whether vesting is contingent upon the achievement of performance goals or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488315" cy="8890"/>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Prohibition on Repricing</w:t>
      </w:r>
    </w:p>
    <w:p>
      <w:pPr>
        <w:spacing w:after="0" w:line="10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3F3F3F"/>
        </w:rPr>
        <w:t>The 2020 Plan does not permit the repricing of options, TSRUs or SARs, or the exchange of underwater options, TSRUs or SARs for cash or stock/units, in each case without shareholder approval, and options, TSRUs and SARs may not be granted at a discount to the fair market value of Viatris common stock on the grant date (with an exercise price lower than the fair market value). The limited circumstance of the assumption or substitution of awards in a transaction that involves the adjustment of awards in order to preserve the aggregate value of such awards would not be considered a repricing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226695</wp:posOffset>
            </wp:positionV>
            <wp:extent cx="488315"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Transferability</w:t>
      </w:r>
    </w:p>
    <w:p>
      <w:pPr>
        <w:spacing w:after="0" w:line="108"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3F3F3F"/>
        </w:rPr>
        <w:t>Unless otherwise determined by the Compensation Committee, awards granted under the 2020 Plan may not be transferred except by will or the laws of descent and distribution and, during a participant’s lifetime, any options or awards may be exercised only by the participant. The 2020 Plan explicitly prohibits the transfer of awards to third parties for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488315" cy="8890"/>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Certain Adjustments</w:t>
      </w:r>
    </w:p>
    <w:p>
      <w:pPr>
        <w:spacing w:after="0" w:line="10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3F3F3F"/>
        </w:rPr>
        <w:t>In the event of any change in the number or kind of outstanding shares of Viatris common stock by reason of a recapitalization, merger, consolidation, reorganization, stock split, reverse stock split, spin-off, split-off, stock dividend, extraordinary cash dividend or similar transaction or other change in the corporate structure or shares of Viatris common stock, an appropriate adjustment will be made consistent with applicable provisions of the Code and Treasury Department rulings and regulations, and as the Compensation Committee, in its sole and absolute discretion deems equitable or appropriate, including:</w:t>
      </w:r>
    </w:p>
    <w:p>
      <w:pPr>
        <w:spacing w:after="0" w:line="82" w:lineRule="exact"/>
        <w:rPr>
          <w:sz w:val="20"/>
          <w:szCs w:val="20"/>
          <w:color w:val="auto"/>
        </w:rPr>
      </w:pPr>
    </w:p>
    <w:p>
      <w:pPr>
        <w:ind w:left="340" w:right="380" w:hanging="224"/>
        <w:spacing w:after="0" w:line="271" w:lineRule="auto"/>
        <w:tabs>
          <w:tab w:leader="none" w:pos="340" w:val="left"/>
        </w:tabs>
        <w:numPr>
          <w:ilvl w:val="0"/>
          <w:numId w:val="69"/>
        </w:numPr>
        <w:rPr>
          <w:rFonts w:ascii="Arial" w:cs="Arial" w:eastAsia="Arial" w:hAnsi="Arial"/>
          <w:sz w:val="18"/>
          <w:szCs w:val="18"/>
          <w:color w:val="3F3F3F"/>
        </w:rPr>
      </w:pPr>
      <w:r>
        <w:rPr>
          <w:rFonts w:ascii="Arial" w:cs="Arial" w:eastAsia="Arial" w:hAnsi="Arial"/>
          <w:sz w:val="18"/>
          <w:szCs w:val="18"/>
          <w:color w:val="3F3F3F"/>
        </w:rPr>
        <w:t>In the number, class and kind of shares for which any options or awards may thereafter be granted, both in the aggregate and as to each optionee or award holder;</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69"/>
        </w:numPr>
        <w:rPr>
          <w:rFonts w:ascii="Arial" w:cs="Arial" w:eastAsia="Arial" w:hAnsi="Arial"/>
          <w:sz w:val="18"/>
          <w:szCs w:val="18"/>
          <w:color w:val="3F3F3F"/>
        </w:rPr>
      </w:pPr>
      <w:r>
        <w:rPr>
          <w:rFonts w:ascii="Arial" w:cs="Arial" w:eastAsia="Arial" w:hAnsi="Arial"/>
          <w:sz w:val="18"/>
          <w:szCs w:val="18"/>
          <w:color w:val="3F3F3F"/>
        </w:rPr>
        <w:t>In the number, class and kind of shares or other property, including cash, subject to outstanding options and awards;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69"/>
        </w:numPr>
        <w:rPr>
          <w:rFonts w:ascii="Arial" w:cs="Arial" w:eastAsia="Arial" w:hAnsi="Arial"/>
          <w:sz w:val="18"/>
          <w:szCs w:val="18"/>
          <w:color w:val="3F3F3F"/>
        </w:rPr>
      </w:pPr>
      <w:r>
        <w:rPr>
          <w:rFonts w:ascii="Arial" w:cs="Arial" w:eastAsia="Arial" w:hAnsi="Arial"/>
          <w:sz w:val="18"/>
          <w:szCs w:val="18"/>
          <w:color w:val="3F3F3F"/>
        </w:rPr>
        <w:t>In the option or exercise price, if applicable; and</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69"/>
        </w:numPr>
        <w:rPr>
          <w:rFonts w:ascii="Arial" w:cs="Arial" w:eastAsia="Arial" w:hAnsi="Arial"/>
          <w:sz w:val="18"/>
          <w:szCs w:val="18"/>
          <w:color w:val="3F3F3F"/>
        </w:rPr>
      </w:pPr>
      <w:r>
        <w:rPr>
          <w:rFonts w:ascii="Arial" w:cs="Arial" w:eastAsia="Arial" w:hAnsi="Arial"/>
          <w:sz w:val="18"/>
          <w:szCs w:val="18"/>
          <w:color w:val="3F3F3F"/>
        </w:rPr>
        <w:t>Other adjustments as the Compensation Committee deems appropriate.</w:t>
      </w:r>
    </w:p>
    <w:p>
      <w:pPr>
        <w:spacing w:after="0" w:line="212"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3F3F3F"/>
        </w:rPr>
        <w:t>Unless the Compensation Committee or the Board determines otherwise at the time of grant, in the event a participant’s employment is involuntarily terminated without “cause” (as defined in the 2020 Plan) during the 24-month period following a “change in control” (as defined in the 2020 Plan):</w:t>
      </w:r>
    </w:p>
    <w:p>
      <w:pPr>
        <w:spacing w:after="0" w:line="74" w:lineRule="exact"/>
        <w:rPr>
          <w:sz w:val="20"/>
          <w:szCs w:val="20"/>
          <w:color w:val="auto"/>
        </w:rPr>
      </w:pPr>
    </w:p>
    <w:p>
      <w:pPr>
        <w:ind w:left="340" w:right="700" w:hanging="224"/>
        <w:spacing w:after="0" w:line="271" w:lineRule="auto"/>
        <w:tabs>
          <w:tab w:leader="none" w:pos="340" w:val="left"/>
        </w:tabs>
        <w:numPr>
          <w:ilvl w:val="0"/>
          <w:numId w:val="70"/>
        </w:numPr>
        <w:rPr>
          <w:rFonts w:ascii="Arial" w:cs="Arial" w:eastAsia="Arial" w:hAnsi="Arial"/>
          <w:sz w:val="18"/>
          <w:szCs w:val="18"/>
          <w:color w:val="3F3F3F"/>
        </w:rPr>
      </w:pPr>
      <w:r>
        <w:rPr>
          <w:rFonts w:ascii="Arial" w:cs="Arial" w:eastAsia="Arial" w:hAnsi="Arial"/>
          <w:sz w:val="18"/>
          <w:szCs w:val="18"/>
          <w:color w:val="3F3F3F"/>
        </w:rPr>
        <w:t>Any unvested options and SARs will vest and remain exercisable for their full term in accordance with the terms of the grant,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71"/>
        </w:numPr>
        <w:rPr>
          <w:rFonts w:ascii="Arial" w:cs="Arial" w:eastAsia="Arial" w:hAnsi="Arial"/>
          <w:sz w:val="18"/>
          <w:szCs w:val="18"/>
          <w:color w:val="3F3F3F"/>
        </w:rPr>
      </w:pPr>
      <w:r>
        <w:rPr>
          <w:rFonts w:ascii="Arial" w:cs="Arial" w:eastAsia="Arial" w:hAnsi="Arial"/>
          <w:sz w:val="18"/>
          <w:szCs w:val="18"/>
          <w:color w:val="3F3F3F"/>
        </w:rPr>
        <w:t>Any unvested RSUs will fully vest and be settled at the time of the termination;</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71"/>
        </w:numPr>
        <w:rPr>
          <w:rFonts w:ascii="Arial" w:cs="Arial" w:eastAsia="Arial" w:hAnsi="Arial"/>
          <w:sz w:val="18"/>
          <w:szCs w:val="18"/>
          <w:color w:val="3F3F3F"/>
        </w:rPr>
      </w:pPr>
      <w:r>
        <w:rPr>
          <w:rFonts w:ascii="Arial" w:cs="Arial" w:eastAsia="Arial" w:hAnsi="Arial"/>
          <w:sz w:val="18"/>
          <w:szCs w:val="18"/>
          <w:color w:val="3F3F3F"/>
        </w:rPr>
        <w:t>Any unvested TSRUs will continue to vest and will be settled in accordance with the terms of the grant, as applicable;</w:t>
      </w:r>
    </w:p>
    <w:p>
      <w:pPr>
        <w:spacing w:after="0" w:line="117" w:lineRule="exact"/>
        <w:rPr>
          <w:rFonts w:ascii="Arial" w:cs="Arial" w:eastAsia="Arial" w:hAnsi="Arial"/>
          <w:sz w:val="18"/>
          <w:szCs w:val="18"/>
          <w:color w:val="3F3F3F"/>
        </w:rPr>
      </w:pPr>
    </w:p>
    <w:p>
      <w:pPr>
        <w:ind w:left="340" w:right="80" w:hanging="224"/>
        <w:spacing w:after="0" w:line="271" w:lineRule="auto"/>
        <w:tabs>
          <w:tab w:leader="none" w:pos="340" w:val="left"/>
        </w:tabs>
        <w:numPr>
          <w:ilvl w:val="0"/>
          <w:numId w:val="71"/>
        </w:numPr>
        <w:rPr>
          <w:rFonts w:ascii="Arial" w:cs="Arial" w:eastAsia="Arial" w:hAnsi="Arial"/>
          <w:sz w:val="18"/>
          <w:szCs w:val="18"/>
          <w:color w:val="3F3F3F"/>
        </w:rPr>
      </w:pPr>
      <w:r>
        <w:rPr>
          <w:rFonts w:ascii="Arial" w:cs="Arial" w:eastAsia="Arial" w:hAnsi="Arial"/>
          <w:sz w:val="18"/>
          <w:szCs w:val="18"/>
          <w:color w:val="3F3F3F"/>
        </w:rPr>
        <w:t>Any vested options, TSRUs, and SARs will remain exercisable for their full term or be settled in accordance with the terms of the grant, as applicable;</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71"/>
        </w:numPr>
        <w:rPr>
          <w:rFonts w:ascii="Arial" w:cs="Arial" w:eastAsia="Arial" w:hAnsi="Arial"/>
          <w:sz w:val="18"/>
          <w:szCs w:val="18"/>
          <w:color w:val="3F3F3F"/>
        </w:rPr>
      </w:pPr>
      <w:r>
        <w:rPr>
          <w:rFonts w:ascii="Arial" w:cs="Arial" w:eastAsia="Arial" w:hAnsi="Arial"/>
          <w:sz w:val="18"/>
          <w:szCs w:val="18"/>
          <w:color w:val="3F3F3F"/>
        </w:rPr>
        <w:t>In general, performance awards will continue to vest and become payable in accordance with the terms of the grant, as applicable;</w:t>
      </w:r>
    </w:p>
    <w:p>
      <w:pPr>
        <w:spacing w:after="0" w:line="117" w:lineRule="exact"/>
        <w:rPr>
          <w:rFonts w:ascii="Arial" w:cs="Arial" w:eastAsia="Arial" w:hAnsi="Arial"/>
          <w:sz w:val="18"/>
          <w:szCs w:val="18"/>
          <w:color w:val="3F3F3F"/>
        </w:rPr>
      </w:pPr>
    </w:p>
    <w:p>
      <w:pPr>
        <w:ind w:left="340" w:right="20" w:hanging="224"/>
        <w:spacing w:after="0" w:line="271" w:lineRule="auto"/>
        <w:tabs>
          <w:tab w:leader="none" w:pos="340" w:val="left"/>
        </w:tabs>
        <w:numPr>
          <w:ilvl w:val="0"/>
          <w:numId w:val="71"/>
        </w:numPr>
        <w:rPr>
          <w:rFonts w:ascii="Arial" w:cs="Arial" w:eastAsia="Arial" w:hAnsi="Arial"/>
          <w:sz w:val="18"/>
          <w:szCs w:val="18"/>
          <w:color w:val="3F3F3F"/>
        </w:rPr>
      </w:pPr>
      <w:r>
        <w:rPr>
          <w:rFonts w:ascii="Arial" w:cs="Arial" w:eastAsia="Arial" w:hAnsi="Arial"/>
          <w:sz w:val="18"/>
          <w:szCs w:val="18"/>
          <w:color w:val="3F3F3F"/>
        </w:rPr>
        <w:t>The restrictions on any restricted stock awards will lapse, and such awards will become fully vested and transferable to the full extent of the original grant, as applicable; and</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71"/>
        </w:numPr>
        <w:rPr>
          <w:rFonts w:ascii="Arial" w:cs="Arial" w:eastAsia="Arial" w:hAnsi="Arial"/>
          <w:sz w:val="18"/>
          <w:szCs w:val="18"/>
          <w:color w:val="3F3F3F"/>
        </w:rPr>
      </w:pPr>
      <w:r>
        <w:rPr>
          <w:rFonts w:ascii="Arial" w:cs="Arial" w:eastAsia="Arial" w:hAnsi="Arial"/>
          <w:sz w:val="18"/>
          <w:szCs w:val="18"/>
          <w:color w:val="3F3F3F"/>
        </w:rPr>
        <w:t>Any other awards will continue to vest and become payable in accordance with the terms of the grant, as applicable.</w:t>
      </w:r>
    </w:p>
    <w:p>
      <w:pPr>
        <w:spacing w:after="0" w:line="13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3F3F3F"/>
        </w:rPr>
        <w:t>Additionally, the Compensation Committee or the Board may provide for awards to be cancelled in exchange for a payment in connection with a change in control. However, if the exercise price per share under any outstanding option is equal to or greater than the fair market value of a share, or the value (change in stock price plus projected dividend equivalents) of any outstanding TSRU or SAR is negative, the Board may cancel such award without the payment of any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488315"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Recoupment Policy</w:t>
      </w:r>
    </w:p>
    <w:p>
      <w:pPr>
        <w:spacing w:after="0" w:line="10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3F3F3F"/>
        </w:rPr>
        <w:t>Awards under the 2020 Plan are subject to Viatris’ clawback policy relating to incentive compensation programs which provides that Viatris may take action to recoup annual incentive compensation and equity-based incentive compensation gains resulting from misconduct. Awards under the 2020 Plan are also subject to Viatris’ clawback policy which requires recoupment of excess compensation paid to our executive officers if amounts are based on material noncompliance with any financial reporting requirement that causes an accounting restatement, without regard to any fault or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235585</wp:posOffset>
            </wp:positionV>
            <wp:extent cx="488315" cy="8890"/>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Amendment and Termination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Board may amend or terminate the 2020 Plan, but may not, without prior approval of the Viatris shareholders:</w:t>
      </w:r>
    </w:p>
    <w:p>
      <w:pPr>
        <w:spacing w:after="0" w:line="117" w:lineRule="exact"/>
        <w:rPr>
          <w:sz w:val="20"/>
          <w:szCs w:val="20"/>
          <w:color w:val="auto"/>
        </w:rPr>
      </w:pPr>
    </w:p>
    <w:p>
      <w:pPr>
        <w:ind w:left="340" w:hanging="224"/>
        <w:spacing w:after="0"/>
        <w:tabs>
          <w:tab w:leader="none" w:pos="340" w:val="left"/>
        </w:tabs>
        <w:numPr>
          <w:ilvl w:val="0"/>
          <w:numId w:val="72"/>
        </w:numPr>
        <w:rPr>
          <w:rFonts w:ascii="Arial" w:cs="Arial" w:eastAsia="Arial" w:hAnsi="Arial"/>
          <w:sz w:val="18"/>
          <w:szCs w:val="18"/>
          <w:color w:val="3F3F3F"/>
        </w:rPr>
      </w:pPr>
      <w:r>
        <w:rPr>
          <w:rFonts w:ascii="Arial" w:cs="Arial" w:eastAsia="Arial" w:hAnsi="Arial"/>
          <w:sz w:val="18"/>
          <w:szCs w:val="18"/>
          <w:color w:val="3F3F3F"/>
        </w:rPr>
        <w:t>Increase the maximum number of shares of Viatris common stock that may be issued under the 2020 Plan;</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72"/>
        </w:numPr>
        <w:rPr>
          <w:rFonts w:ascii="Arial" w:cs="Arial" w:eastAsia="Arial" w:hAnsi="Arial"/>
          <w:sz w:val="18"/>
          <w:szCs w:val="18"/>
          <w:color w:val="3F3F3F"/>
        </w:rPr>
      </w:pPr>
      <w:r>
        <w:rPr>
          <w:rFonts w:ascii="Arial" w:cs="Arial" w:eastAsia="Arial" w:hAnsi="Arial"/>
          <w:sz w:val="18"/>
          <w:szCs w:val="18"/>
          <w:color w:val="3F3F3F"/>
        </w:rPr>
        <w:t>Extend the term of the 2020 Plan;</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72"/>
        </w:numPr>
        <w:rPr>
          <w:rFonts w:ascii="Arial" w:cs="Arial" w:eastAsia="Arial" w:hAnsi="Arial"/>
          <w:sz w:val="18"/>
          <w:szCs w:val="18"/>
          <w:color w:val="3F3F3F"/>
        </w:rPr>
      </w:pPr>
      <w:r>
        <w:rPr>
          <w:rFonts w:ascii="Arial" w:cs="Arial" w:eastAsia="Arial" w:hAnsi="Arial"/>
          <w:sz w:val="18"/>
          <w:szCs w:val="18"/>
          <w:color w:val="3F3F3F"/>
        </w:rPr>
        <w:t>Change the eligibility criteria;</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72"/>
        </w:numPr>
        <w:rPr>
          <w:rFonts w:ascii="Arial" w:cs="Arial" w:eastAsia="Arial" w:hAnsi="Arial"/>
          <w:sz w:val="18"/>
          <w:szCs w:val="18"/>
          <w:color w:val="3F3F3F"/>
        </w:rPr>
      </w:pPr>
      <w:r>
        <w:rPr>
          <w:rFonts w:ascii="Arial" w:cs="Arial" w:eastAsia="Arial" w:hAnsi="Arial"/>
          <w:sz w:val="18"/>
          <w:szCs w:val="18"/>
          <w:color w:val="3F3F3F"/>
        </w:rPr>
        <w:t>Reprice any option, TSRU or SAR except as provided for in the 2020 Plan; or</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72"/>
        </w:numPr>
        <w:rPr>
          <w:rFonts w:ascii="Arial" w:cs="Arial" w:eastAsia="Arial" w:hAnsi="Arial"/>
          <w:sz w:val="18"/>
          <w:szCs w:val="18"/>
          <w:color w:val="3F3F3F"/>
        </w:rPr>
      </w:pPr>
      <w:r>
        <w:rPr>
          <w:rFonts w:ascii="Arial" w:cs="Arial" w:eastAsia="Arial" w:hAnsi="Arial"/>
          <w:sz w:val="18"/>
          <w:szCs w:val="18"/>
          <w:color w:val="3F3F3F"/>
        </w:rPr>
        <w:t>Take any other action that requires shareholder approval to comply with any tax or regulatory requirement.</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3F3F3F"/>
        </w:rPr>
        <w:t>Additionally, the Board may not take any action with respect to an affected participant without such participant’s consent if the action would materially impair the participant’s rights under any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488315" cy="8890"/>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Types of Awards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Stock Options</w:t>
      </w:r>
    </w:p>
    <w:p>
      <w:pPr>
        <w:spacing w:after="0" w:line="10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3F3F3F"/>
        </w:rPr>
        <w:t>Options granted under the 2020 Plan may be either non-qualified stock options or incentive stock options qualifying under Section 422 of the Code. The exercise price may not be less than the fair market value of a share of Viatris common stock on the date the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93 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3F3F3F"/>
        </w:rPr>
        <w:t>The exercise price is payable in cash or, if the grant provides, in Viatris common stock. Generally, all options terminate after a 10-year period from the date of the grant. The 2020 Plan also provides for the automatic exercise of options that are due to expire in the event that the exercise price is less than the fair market value of the underlying shares.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Total Shareholder Return Units / Stock Appreciation Rights</w:t>
      </w:r>
    </w:p>
    <w:p>
      <w:pPr>
        <w:spacing w:after="0" w:line="108" w:lineRule="exact"/>
        <w:rPr>
          <w:sz w:val="20"/>
          <w:szCs w:val="20"/>
          <w:color w:val="auto"/>
        </w:rPr>
      </w:pPr>
    </w:p>
    <w:p>
      <w:pPr>
        <w:ind w:left="120" w:right="80"/>
        <w:spacing w:after="0"/>
        <w:rPr>
          <w:sz w:val="20"/>
          <w:szCs w:val="20"/>
          <w:color w:val="auto"/>
        </w:rPr>
      </w:pPr>
      <w:r>
        <w:rPr>
          <w:rFonts w:ascii="Arial" w:cs="Arial" w:eastAsia="Arial" w:hAnsi="Arial"/>
          <w:sz w:val="18"/>
          <w:szCs w:val="18"/>
          <w:color w:val="3F3F3F"/>
        </w:rPr>
        <w:t>A TSRU or SAR represents a right to receive the excess of (i) the fair market value of one share of Viatris common stock on the date of the settlement pursuant to the terms of the grant plus dividends, if applicable, over (ii) the grant price of the right on the grant date, as specified by the Compensation Committee. Any TSRU/SAR may not be granted with a grant price that is less than the fair market value of a share of Viatris common stock on the date the TSRU/SAR is granted and cannot have a term longer than 10 years. The 2020 Plan also provides for the automatic exercise of SARs that are due to expire in the event that the exercise price is less than the fair market value of the underlying shares. Distributions to the recipient may be made in Viatris common stock, in cash or in a combination of both as determined by the Compensation Committee.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Restricted Stock Awards</w:t>
      </w:r>
    </w:p>
    <w:p>
      <w:pPr>
        <w:spacing w:after="0" w:line="108"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3F3F3F"/>
        </w:rPr>
        <w:t>Restricted stock is stock issued with such contingencies or restrictions as the Compensation Committee may impose. Until the conditions or contingencies are satisfied or lapse, the restricted stock is subject to forfeiture. Unless the Compensation Committee determines otherwise, a recipient of a restricted stock award has the same voting, dividend and other rights as holders of common stock, except that the 2020 Plan prohibits the payment of dividends on unearned/unvested awards. Instead, such dividends may accumulate and become payable when the underlying restricted stock becomes vested.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Restricted Stock Units</w:t>
      </w:r>
    </w:p>
    <w:p>
      <w:pPr>
        <w:spacing w:after="0" w:line="10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3F3F3F"/>
        </w:rPr>
        <w:t>An RSU is an award of a right to receive, in cash or shares, as the Compensation Committee may determine, the fair market value of one share of Viatris common stock, on such terms and conditions as the Compensation Committee may determine.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Performance-Based Awards</w:t>
      </w:r>
    </w:p>
    <w:p>
      <w:pPr>
        <w:spacing w:after="0" w:line="108" w:lineRule="exact"/>
        <w:rPr>
          <w:sz w:val="20"/>
          <w:szCs w:val="20"/>
          <w:color w:val="auto"/>
        </w:rPr>
      </w:pPr>
    </w:p>
    <w:p>
      <w:pPr>
        <w:ind w:left="120" w:right="160"/>
        <w:spacing w:after="0"/>
        <w:rPr>
          <w:sz w:val="20"/>
          <w:szCs w:val="20"/>
          <w:color w:val="auto"/>
        </w:rPr>
      </w:pPr>
      <w:r>
        <w:rPr>
          <w:rFonts w:ascii="Arial" w:cs="Arial" w:eastAsia="Arial" w:hAnsi="Arial"/>
          <w:sz w:val="18"/>
          <w:szCs w:val="18"/>
          <w:color w:val="3F3F3F"/>
        </w:rPr>
        <w:t>The Compensation Committee may grant performance-based awards that are earned subject to the achievement of set performance goals, including performance share awards and performance cash awards. A performance award may be in any form of award permitted under the 2020 Plan. The Compensation Committee may select periods during which performance criteria chosen by the Compensation Committee (which may include achievement of specified levels of Company or business unit performance) are measured for the purpose of determining the extent to which a performance award has been earned. The Compensation Committee decides whether the performance levels have been achieved, what amount of the award will be paid and the form of payment, which may be cash, shares of Viatris common stock or other property or any combination thereof.</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Other Stock Unit Awards</w:t>
      </w:r>
    </w:p>
    <w:p>
      <w:pPr>
        <w:spacing w:after="0" w:line="108" w:lineRule="exact"/>
        <w:rPr>
          <w:sz w:val="20"/>
          <w:szCs w:val="20"/>
          <w:color w:val="auto"/>
        </w:rPr>
      </w:pPr>
    </w:p>
    <w:p>
      <w:pPr>
        <w:jc w:val="both"/>
        <w:ind w:left="120" w:right="260"/>
        <w:spacing w:after="0" w:line="244" w:lineRule="auto"/>
        <w:rPr>
          <w:sz w:val="20"/>
          <w:szCs w:val="20"/>
          <w:color w:val="auto"/>
        </w:rPr>
      </w:pPr>
      <w:r>
        <w:rPr>
          <w:rFonts w:ascii="Arial" w:cs="Arial" w:eastAsia="Arial" w:hAnsi="Arial"/>
          <w:sz w:val="18"/>
          <w:szCs w:val="18"/>
          <w:color w:val="3F3F3F"/>
        </w:rPr>
        <w:t>The Compensation Committee may grant other stock unit awards that are valued by reference to, or are otherwise based on, shares of Viatris common stock and which may be paid in cash, shares of Viatris common stock or other property. The Compensation Committee will determine the terms of each grant of stock options, TSRUs, SARs, restricted stock awards, RSUs, performance-based awards and other stock unit awards, including treatment of such awards if the participant ceases to be an employee before the end of the applicable vesting period, at the time of the applicable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Federal Income Tax Consequences</w:t>
      </w:r>
    </w:p>
    <w:p>
      <w:pPr>
        <w:spacing w:after="0" w:line="108"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3F3F3F"/>
        </w:rPr>
        <w:t>The following is a summary of the principal federal income tax consequences of 2020 Plan benefits under present tax law. This summary is not intended to be exhaustive and, among other things, does not describe state, local or foreign tax consequences. The discussion of Viatris tax deductions assumes that all awards are structured to comply with the “performance-based” compensation exception, or are otherwise deductible, under Section 162(m) of the Code.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Stock Options</w:t>
      </w:r>
    </w:p>
    <w:p>
      <w:pPr>
        <w:spacing w:after="0" w:line="108"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3F3F3F"/>
        </w:rPr>
        <w:t>No tax is incurred by the participant, and no amount is deductible by Viatris, upon the grant of a nonqualified stock option. At the time of exercise of such an option, the difference between the exercise price and the fair market value of the common stock will constitute ordinary income to the participant. Viatris will be allowed a deduction equal to the amount of ordinary income recognized by the participant.</w:t>
      </w:r>
    </w:p>
    <w:p>
      <w:pPr>
        <w:spacing w:after="0" w:line="66" w:lineRule="exact"/>
        <w:rPr>
          <w:sz w:val="20"/>
          <w:szCs w:val="20"/>
          <w:color w:val="auto"/>
        </w:rPr>
      </w:pPr>
    </w:p>
    <w:p>
      <w:pPr>
        <w:ind w:left="120" w:right="240"/>
        <w:spacing w:after="0"/>
        <w:rPr>
          <w:sz w:val="20"/>
          <w:szCs w:val="20"/>
          <w:color w:val="auto"/>
        </w:rPr>
      </w:pPr>
      <w:r>
        <w:rPr>
          <w:rFonts w:ascii="Arial" w:cs="Arial" w:eastAsia="Arial" w:hAnsi="Arial"/>
          <w:sz w:val="18"/>
          <w:szCs w:val="18"/>
          <w:color w:val="3F3F3F"/>
        </w:rPr>
        <w:t>In the case of incentive stock options, although no income is recognized upon exercise by the participant and Viatris is not entitled to a deduction, the excess of the fair market value of the common stock on the date of exercise over the exercise price is counted in determining the participant’s alternative minimum taxable income. If the participant does not dispose of the shares acquired on the exercise of an incentive stock option within one year after their receipt and within two years after the grant of the incentive stock option, gain or loss recognized on the disposition of the shares will be treated as long-term capital gain or loss. In the event of an earlier disposition of shares acquired upon the exercise of an incentive stock option, the participant may recognize ordinary income, and if so, Viatris will be entitled to a deduction in the same amount.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Stock Appreciation Rights</w:t>
      </w:r>
    </w:p>
    <w:p>
      <w:pPr>
        <w:spacing w:after="0" w:line="108"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3F3F3F"/>
        </w:rPr>
        <w:t>The participant will not recognize any income at the time of the grant of a stock appreciation right. Upon the exercise of a stock appreciation right, the cash and the value of any common stock received will constitute ordinary income to the participant. Viatris will be entitled to a deduction in the amount of such income at the time of exercise.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Restricted Units</w:t>
      </w:r>
    </w:p>
    <w:p>
      <w:pPr>
        <w:spacing w:after="0" w:line="10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3F3F3F"/>
        </w:rPr>
        <w:t>A participant normally will not recognize taxable income upon an award of restricted units, and Viatris will not be entitled to a deduction until the lapse of the applicable restrictions. Upon the lapse of the restrictions and the issuance of the earned shares, the participant will recognize ordinary taxable income in an amount equal to the fair market value of the common stock received and Viatris will be entitled to a deduction in the same amount.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Performance Awards, Other Stock-Based Awards and Short-Term Cash Awards</w:t>
      </w:r>
    </w:p>
    <w:p>
      <w:pPr>
        <w:spacing w:after="0" w:line="10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Normally, a participant will not recognize taxable income upon the award of such grants. Subsequently, when the conditions and requirements for the grants have been satisfied and the payment determined, any cash received and the fair market value of any common stock received will constitute ordinary income to the participant. Viatris will then be entitled to a deduction in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222250</wp:posOffset>
            </wp:positionV>
            <wp:extent cx="488315" cy="8890"/>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New Plan Benefits</w:t>
      </w:r>
    </w:p>
    <w:p>
      <w:pPr>
        <w:spacing w:after="0" w:line="10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3F3F3F"/>
        </w:rPr>
        <w:t>Future awards under the 2020 Plan will be granted at the discretion of the Compensation Committee, and, therefore, the types, numbers, recipients and other terms of such awards cannot be determined at this time. Grants under the 2020 Plan in 2023 to the NEOs are shown in the Grants of Plan-Based Awards for 2023 table (as set forth in “Executive Compensation Tables”) and to Viatris’ Non-Employee Directors are shown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95 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3F3F3F"/>
        </w:rPr>
        <w:t>Non-Employee Director Compensation for 2023 table (as set forth in “How Non-Employee Directors Are Compensated”). The anticipated grant date value of the RSUs to be issued under the 2020 Plan Amendment to each of Viatris’ 12 Director nominees following the 2024 Annual Meeting is $225,000 (which would result in an aggregate grant date value of $2,700,000).</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No stock options have been granted under the 2020 Plan since its original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488315" cy="825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Equity Compensation Plan Information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shows information about the securities authorized for issuance under Viatris’ equity compensation plans as of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4003040" cy="168846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4003040" cy="168846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4003040" cy="18859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4003040" cy="188595"/>
                    </a:xfrm>
                    <a:prstGeom prst="rect">
                      <a:avLst/>
                    </a:prstGeom>
                    <a:noFill/>
                  </pic:spPr>
                </pic:pic>
              </a:graphicData>
            </a:graphic>
          </wp:anchor>
        </w:drawing>
      </w:r>
    </w:p>
    <w:p>
      <w:pPr>
        <w:spacing w:after="0" w:line="39" w:lineRule="exact"/>
        <w:rPr>
          <w:sz w:val="20"/>
          <w:szCs w:val="20"/>
          <w:color w:val="auto"/>
        </w:rPr>
      </w:pPr>
    </w:p>
    <w:p>
      <w:pPr>
        <w:ind w:left="180" w:right="1200"/>
        <w:spacing w:after="0" w:line="407"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4003040" cy="18859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400304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740" w:type="dxa"/>
            <w:vAlign w:val="bottom"/>
            <w:shd w:val="clear" w:color="auto" w:fill="732282"/>
          </w:tcPr>
          <w:p>
            <w:pPr>
              <w:spacing w:after="0"/>
              <w:rPr>
                <w:sz w:val="16"/>
                <w:szCs w:val="16"/>
                <w:color w:val="auto"/>
              </w:rPr>
            </w:pP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Number of</w:t>
            </w:r>
          </w:p>
        </w:tc>
      </w:tr>
      <w:tr>
        <w:trPr>
          <w:trHeight w:val="189"/>
        </w:trPr>
        <w:tc>
          <w:tcPr>
            <w:tcW w:w="1740" w:type="dxa"/>
            <w:vAlign w:val="bottom"/>
            <w:shd w:val="clear" w:color="auto" w:fill="732282"/>
          </w:tcPr>
          <w:p>
            <w:pPr>
              <w:spacing w:after="0"/>
              <w:rPr>
                <w:sz w:val="16"/>
                <w:szCs w:val="16"/>
                <w:color w:val="auto"/>
              </w:rPr>
            </w:pP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1740" w:type="dxa"/>
            <w:vAlign w:val="bottom"/>
            <w:shd w:val="clear" w:color="auto" w:fill="732282"/>
          </w:tcPr>
          <w:p>
            <w:pPr>
              <w:spacing w:after="0"/>
              <w:rPr>
                <w:sz w:val="16"/>
                <w:szCs w:val="16"/>
                <w:color w:val="auto"/>
              </w:rPr>
            </w:pP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Remaining</w:t>
            </w:r>
          </w:p>
        </w:tc>
      </w:tr>
      <w:tr>
        <w:trPr>
          <w:trHeight w:val="189"/>
        </w:trPr>
        <w:tc>
          <w:tcPr>
            <w:tcW w:w="1740" w:type="dxa"/>
            <w:vAlign w:val="bottom"/>
            <w:shd w:val="clear" w:color="auto" w:fill="732282"/>
          </w:tcPr>
          <w:p>
            <w:pPr>
              <w:spacing w:after="0"/>
              <w:rPr>
                <w:sz w:val="16"/>
                <w:szCs w:val="16"/>
                <w:color w:val="auto"/>
              </w:rPr>
            </w:pP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Available for</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w w:val="99"/>
              </w:rPr>
              <w:t>Number of</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Future</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w w:val="99"/>
              </w:rPr>
              <w:t>Securities</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rPr>
              <w:t>Weighted-</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Issuance</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to be Issued</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w w:val="98"/>
              </w:rPr>
              <w:t>Average</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upon</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rPr>
              <w:t>Exercise</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Exercise of</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w w:val="98"/>
              </w:rPr>
              <w:t>Price of</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w w:val="98"/>
              </w:rPr>
              <w:t>Plans</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Outstanding</w:t>
            </w:r>
          </w:p>
        </w:tc>
        <w:tc>
          <w:tcPr>
            <w:tcW w:w="1500" w:type="dxa"/>
            <w:vAlign w:val="bottom"/>
            <w:gridSpan w:val="2"/>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Outstanding</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(excluding</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w w:val="98"/>
              </w:rPr>
              <w:t>Options,</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rPr>
              <w:t>Options,</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w w:val="98"/>
              </w:rPr>
              <w:t>securities</w:t>
            </w:r>
          </w:p>
        </w:tc>
      </w:tr>
      <w:tr>
        <w:trPr>
          <w:trHeight w:val="189"/>
        </w:trPr>
        <w:tc>
          <w:tcPr>
            <w:tcW w:w="174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Warrants,</w:t>
            </w:r>
          </w:p>
        </w:tc>
        <w:tc>
          <w:tcPr>
            <w:tcW w:w="3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rPr>
              <w:t>Warrants</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reflected in</w:t>
            </w:r>
          </w:p>
        </w:tc>
      </w:tr>
      <w:tr>
        <w:trPr>
          <w:trHeight w:val="189"/>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and Rights</w:t>
            </w:r>
          </w:p>
        </w:tc>
        <w:tc>
          <w:tcPr>
            <w:tcW w:w="1500" w:type="dxa"/>
            <w:vAlign w:val="bottom"/>
            <w:gridSpan w:val="2"/>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and Rights</w:t>
            </w:r>
          </w:p>
        </w:tc>
        <w:tc>
          <w:tcPr>
            <w:tcW w:w="148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w w:val="99"/>
              </w:rPr>
              <w:t>column (a))</w:t>
            </w:r>
          </w:p>
        </w:tc>
      </w:tr>
      <w:tr>
        <w:trPr>
          <w:trHeight w:val="203"/>
        </w:trPr>
        <w:tc>
          <w:tcPr>
            <w:tcW w:w="1740" w:type="dxa"/>
            <w:vAlign w:val="bottom"/>
            <w:shd w:val="clear" w:color="auto" w:fill="732282"/>
          </w:tcPr>
          <w:p>
            <w:pPr>
              <w:jc w:val="center"/>
              <w:ind w:left="139"/>
              <w:spacing w:after="0"/>
              <w:rPr>
                <w:sz w:val="20"/>
                <w:szCs w:val="20"/>
                <w:color w:val="auto"/>
              </w:rPr>
            </w:pPr>
            <w:r>
              <w:rPr>
                <w:rFonts w:ascii="Arial" w:cs="Arial" w:eastAsia="Arial" w:hAnsi="Arial"/>
                <w:sz w:val="16"/>
                <w:szCs w:val="16"/>
                <w:b w:val="1"/>
                <w:bCs w:val="1"/>
                <w:color w:val="FFFFFF"/>
              </w:rPr>
              <w:t>(a)</w:t>
            </w:r>
          </w:p>
        </w:tc>
        <w:tc>
          <w:tcPr>
            <w:tcW w:w="360" w:type="dxa"/>
            <w:vAlign w:val="bottom"/>
            <w:shd w:val="clear" w:color="auto" w:fill="732282"/>
          </w:tcPr>
          <w:p>
            <w:pPr>
              <w:spacing w:after="0"/>
              <w:rPr>
                <w:sz w:val="17"/>
                <w:szCs w:val="17"/>
                <w:color w:val="auto"/>
              </w:rPr>
            </w:pPr>
          </w:p>
        </w:tc>
        <w:tc>
          <w:tcPr>
            <w:tcW w:w="1140" w:type="dxa"/>
            <w:vAlign w:val="bottom"/>
            <w:shd w:val="clear" w:color="auto" w:fill="732282"/>
          </w:tcPr>
          <w:p>
            <w:pPr>
              <w:jc w:val="center"/>
              <w:ind w:right="279"/>
              <w:spacing w:after="0"/>
              <w:rPr>
                <w:sz w:val="20"/>
                <w:szCs w:val="20"/>
                <w:color w:val="auto"/>
              </w:rPr>
            </w:pPr>
            <w:r>
              <w:rPr>
                <w:rFonts w:ascii="Arial" w:cs="Arial" w:eastAsia="Arial" w:hAnsi="Arial"/>
                <w:sz w:val="16"/>
                <w:szCs w:val="16"/>
                <w:b w:val="1"/>
                <w:bCs w:val="1"/>
                <w:color w:val="FFFFFF"/>
              </w:rPr>
              <w:t>(b)</w:t>
            </w:r>
          </w:p>
        </w:tc>
        <w:tc>
          <w:tcPr>
            <w:tcW w:w="1480" w:type="dxa"/>
            <w:vAlign w:val="bottom"/>
            <w:shd w:val="clear" w:color="auto" w:fill="732282"/>
          </w:tcPr>
          <w:p>
            <w:pPr>
              <w:jc w:val="center"/>
              <w:ind w:left="159"/>
              <w:spacing w:after="0"/>
              <w:rPr>
                <w:sz w:val="20"/>
                <w:szCs w:val="20"/>
                <w:color w:val="auto"/>
              </w:rPr>
            </w:pPr>
            <w:r>
              <w:rPr>
                <w:rFonts w:ascii="Arial" w:cs="Arial" w:eastAsia="Arial" w:hAnsi="Arial"/>
                <w:sz w:val="16"/>
                <w:szCs w:val="16"/>
                <w:b w:val="1"/>
                <w:bCs w:val="1"/>
                <w:color w:val="FFFFFF"/>
              </w:rPr>
              <w:t>(c)</w:t>
            </w:r>
          </w:p>
        </w:tc>
      </w:tr>
      <w:tr>
        <w:trPr>
          <w:trHeight w:val="277"/>
        </w:trPr>
        <w:tc>
          <w:tcPr>
            <w:tcW w:w="1740" w:type="dxa"/>
            <w:vAlign w:val="bottom"/>
            <w:tcBorders>
              <w:bottom w:val="single" w:sz="8" w:color="E5E5E5"/>
            </w:tcBorders>
            <w:shd w:val="clear" w:color="auto" w:fill="E5E5E5"/>
          </w:tcPr>
          <w:p>
            <w:pPr>
              <w:jc w:val="right"/>
              <w:ind w:right="199"/>
              <w:spacing w:after="0"/>
              <w:rPr>
                <w:sz w:val="20"/>
                <w:szCs w:val="20"/>
                <w:color w:val="auto"/>
              </w:rPr>
            </w:pPr>
            <w:r>
              <w:rPr>
                <w:rFonts w:ascii="Arial" w:cs="Arial" w:eastAsia="Arial" w:hAnsi="Arial"/>
                <w:sz w:val="16"/>
                <w:szCs w:val="16"/>
                <w:color w:val="auto"/>
              </w:rPr>
              <w:t>35,256,116</w:t>
            </w:r>
          </w:p>
        </w:tc>
        <w:tc>
          <w:tcPr>
            <w:tcW w:w="3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shd w:val="clear" w:color="auto" w:fill="E5E5E5"/>
          </w:tcPr>
          <w:p>
            <w:pPr>
              <w:jc w:val="right"/>
              <w:ind w:right="179"/>
              <w:spacing w:after="0"/>
              <w:rPr>
                <w:sz w:val="20"/>
                <w:szCs w:val="20"/>
                <w:color w:val="auto"/>
              </w:rPr>
            </w:pPr>
            <w:r>
              <w:rPr>
                <w:rFonts w:ascii="Arial" w:cs="Arial" w:eastAsia="Arial" w:hAnsi="Arial"/>
                <w:sz w:val="16"/>
                <w:szCs w:val="16"/>
                <w:color w:val="auto"/>
              </w:rPr>
              <w:t>14.29</w:t>
            </w:r>
          </w:p>
        </w:tc>
        <w:tc>
          <w:tcPr>
            <w:tcW w:w="14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29,265,309</w:t>
            </w:r>
          </w:p>
        </w:tc>
      </w:tr>
      <w:tr>
        <w:trPr>
          <w:trHeight w:val="254"/>
        </w:trPr>
        <w:tc>
          <w:tcPr>
            <w:tcW w:w="17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1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5"/>
        </w:trPr>
        <w:tc>
          <w:tcPr>
            <w:tcW w:w="1740" w:type="dxa"/>
            <w:vAlign w:val="bottom"/>
            <w:shd w:val="clear" w:color="auto" w:fill="E5E5E5"/>
          </w:tcPr>
          <w:p>
            <w:pPr>
              <w:jc w:val="right"/>
              <w:ind w:right="199"/>
              <w:spacing w:after="0"/>
              <w:rPr>
                <w:sz w:val="20"/>
                <w:szCs w:val="20"/>
                <w:color w:val="auto"/>
              </w:rPr>
            </w:pPr>
            <w:r>
              <w:rPr>
                <w:rFonts w:ascii="Arial" w:cs="Arial" w:eastAsia="Arial" w:hAnsi="Arial"/>
                <w:sz w:val="16"/>
                <w:szCs w:val="16"/>
                <w:color w:val="auto"/>
              </w:rPr>
              <w:t>35,256,116</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14.29</w:t>
            </w: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29,265,309</w:t>
            </w:r>
          </w:p>
        </w:tc>
      </w:tr>
      <w:tr>
        <w:trPr>
          <w:trHeight w:val="43"/>
        </w:trPr>
        <w:tc>
          <w:tcPr>
            <w:tcW w:w="1740" w:type="dxa"/>
            <w:vAlign w:val="bottom"/>
            <w:shd w:val="clear" w:color="auto" w:fill="E5E5E5"/>
          </w:tcPr>
          <w:p>
            <w:pPr>
              <w:spacing w:after="0"/>
              <w:rPr>
                <w:sz w:val="3"/>
                <w:szCs w:val="3"/>
                <w:color w:val="auto"/>
              </w:rPr>
            </w:pPr>
          </w:p>
        </w:tc>
        <w:tc>
          <w:tcPr>
            <w:tcW w:w="360" w:type="dxa"/>
            <w:vAlign w:val="bottom"/>
            <w:shd w:val="clear" w:color="auto" w:fill="E5E5E5"/>
          </w:tcPr>
          <w:p>
            <w:pPr>
              <w:spacing w:after="0"/>
              <w:rPr>
                <w:sz w:val="3"/>
                <w:szCs w:val="3"/>
                <w:color w:val="auto"/>
              </w:rPr>
            </w:pPr>
          </w:p>
        </w:tc>
        <w:tc>
          <w:tcPr>
            <w:tcW w:w="1140" w:type="dxa"/>
            <w:vAlign w:val="bottom"/>
            <w:shd w:val="clear" w:color="auto" w:fill="E5E5E5"/>
          </w:tcPr>
          <w:p>
            <w:pPr>
              <w:spacing w:after="0"/>
              <w:rPr>
                <w:sz w:val="3"/>
                <w:szCs w:val="3"/>
                <w:color w:val="auto"/>
              </w:rPr>
            </w:pPr>
          </w:p>
        </w:tc>
        <w:tc>
          <w:tcPr>
            <w:tcW w:w="1480" w:type="dxa"/>
            <w:vAlign w:val="bottom"/>
            <w:shd w:val="clear" w:color="auto" w:fill="E5E5E5"/>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0</wp:posOffset>
            </wp:positionV>
            <wp:extent cx="6995160"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5700" w:space="720"/>
            <w:col w:w="4720"/>
          </w:cols>
          <w:pgMar w:left="320" w:top="482" w:right="439" w:bottom="1440" w:gutter="0" w:footer="0" w:header="0"/>
          <w:type w:val="continuous"/>
        </w:sectPr>
      </w:pPr>
    </w:p>
    <w:p>
      <w:pPr>
        <w:spacing w:after="0" w:line="93" w:lineRule="exact"/>
        <w:rPr>
          <w:sz w:val="20"/>
          <w:szCs w:val="20"/>
          <w:color w:val="auto"/>
        </w:rPr>
      </w:pPr>
    </w:p>
    <w:tbl>
      <w:tblPr>
        <w:tblLayout w:type="fixed"/>
        <w:tblInd w:w="5680" w:type="dxa"/>
        <w:tblCellMar>
          <w:top w:w="0" w:type="dxa"/>
          <w:left w:w="0" w:type="dxa"/>
          <w:bottom w:w="0" w:type="dxa"/>
          <w:right w:w="0" w:type="dxa"/>
        </w:tblCellMar>
      </w:tblPr>
      <w:tr>
        <w:trPr>
          <w:trHeight w:val="203"/>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2880" w:type="dxa"/>
            <w:vAlign w:val="bottom"/>
            <w:vMerge w:val="restart"/>
            <w:shd w:val="clear" w:color="auto" w:fill="732282"/>
          </w:tcPr>
          <w:p>
            <w:pPr>
              <w:ind w:left="60"/>
              <w:spacing w:after="0"/>
              <w:rPr>
                <w:sz w:val="20"/>
                <w:szCs w:val="20"/>
                <w:color w:val="auto"/>
              </w:rPr>
            </w:pPr>
            <w:r>
              <w:rPr>
                <w:rFonts w:ascii="Arial" w:cs="Arial" w:eastAsia="Arial" w:hAnsi="Arial"/>
                <w:sz w:val="18"/>
                <w:szCs w:val="18"/>
                <w:b w:val="1"/>
                <w:bCs w:val="1"/>
                <w:color w:val="FFFFFF"/>
              </w:rPr>
              <w:t xml:space="preserve">   Board Recommendation   </w:t>
            </w:r>
          </w:p>
        </w:tc>
        <w:tc>
          <w:tcPr>
            <w:tcW w:w="900" w:type="dxa"/>
            <w:vAlign w:val="bottom"/>
            <w:shd w:val="clear" w:color="auto" w:fill="732282"/>
          </w:tcPr>
          <w:p>
            <w:pPr>
              <w:spacing w:after="0"/>
              <w:rPr>
                <w:sz w:val="17"/>
                <w:szCs w:val="17"/>
                <w:color w:val="auto"/>
              </w:rPr>
            </w:pPr>
          </w:p>
        </w:tc>
        <w:tc>
          <w:tcPr>
            <w:tcW w:w="1580" w:type="dxa"/>
            <w:vAlign w:val="bottom"/>
          </w:tcPr>
          <w:p>
            <w:pPr>
              <w:ind w:left="14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79"/>
        </w:trPr>
        <w:tc>
          <w:tcPr>
            <w:tcW w:w="100" w:type="dxa"/>
            <w:vAlign w:val="bottom"/>
            <w:vMerge w:val="restart"/>
            <w:shd w:val="clear" w:color="auto" w:fill="E5E5E5"/>
          </w:tcPr>
          <w:p>
            <w:pPr>
              <w:spacing w:after="0"/>
              <w:rPr>
                <w:sz w:val="20"/>
                <w:szCs w:val="20"/>
                <w:color w:val="auto"/>
              </w:rPr>
            </w:pPr>
            <w:r>
              <w:rPr>
                <w:rFonts w:ascii="Arial" w:cs="Arial" w:eastAsia="Arial" w:hAnsi="Arial"/>
                <w:sz w:val="14"/>
                <w:szCs w:val="14"/>
                <w:color w:val="3F3F3F"/>
              </w:rPr>
              <w:t> </w:t>
            </w:r>
          </w:p>
        </w:tc>
        <w:tc>
          <w:tcPr>
            <w:tcW w:w="2880" w:type="dxa"/>
            <w:vAlign w:val="bottom"/>
            <w:vMerge w:val="continue"/>
            <w:shd w:val="clear" w:color="auto" w:fill="732282"/>
          </w:tcPr>
          <w:p>
            <w:pPr>
              <w:spacing w:after="0"/>
              <w:rPr>
                <w:sz w:val="6"/>
                <w:szCs w:val="6"/>
                <w:color w:val="auto"/>
              </w:rPr>
            </w:pPr>
          </w:p>
        </w:tc>
        <w:tc>
          <w:tcPr>
            <w:tcW w:w="900" w:type="dxa"/>
            <w:vAlign w:val="bottom"/>
            <w:shd w:val="clear" w:color="auto" w:fill="732282"/>
          </w:tcPr>
          <w:p>
            <w:pPr>
              <w:spacing w:after="0"/>
              <w:rPr>
                <w:sz w:val="6"/>
                <w:szCs w:val="6"/>
                <w:color w:val="auto"/>
              </w:rPr>
            </w:pPr>
          </w:p>
        </w:tc>
        <w:tc>
          <w:tcPr>
            <w:tcW w:w="15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00" w:type="dxa"/>
            <w:vAlign w:val="bottom"/>
            <w:tcBorders>
              <w:bottom w:val="single" w:sz="8" w:color="E5E5E5"/>
            </w:tcBorders>
            <w:vMerge w:val="continue"/>
            <w:shd w:val="clear" w:color="auto" w:fill="E5E5E5"/>
          </w:tcPr>
          <w:p>
            <w:pPr>
              <w:spacing w:after="0"/>
              <w:rPr>
                <w:sz w:val="7"/>
                <w:szCs w:val="7"/>
                <w:color w:val="auto"/>
              </w:rPr>
            </w:pPr>
          </w:p>
        </w:tc>
        <w:tc>
          <w:tcPr>
            <w:tcW w:w="2880" w:type="dxa"/>
            <w:vAlign w:val="bottom"/>
            <w:tcBorders>
              <w:bottom w:val="single" w:sz="8" w:color="732282"/>
            </w:tcBorders>
            <w:shd w:val="clear" w:color="auto" w:fill="732282"/>
          </w:tcPr>
          <w:p>
            <w:pPr>
              <w:spacing w:after="0"/>
              <w:rPr>
                <w:sz w:val="7"/>
                <w:szCs w:val="7"/>
                <w:color w:val="auto"/>
              </w:rPr>
            </w:pPr>
          </w:p>
        </w:tc>
        <w:tc>
          <w:tcPr>
            <w:tcW w:w="900" w:type="dxa"/>
            <w:vAlign w:val="bottom"/>
            <w:tcBorders>
              <w:bottom w:val="single" w:sz="8" w:color="732282"/>
            </w:tcBorders>
            <w:shd w:val="clear" w:color="auto" w:fill="732282"/>
          </w:tcPr>
          <w:p>
            <w:pPr>
              <w:spacing w:after="0"/>
              <w:rPr>
                <w:sz w:val="7"/>
                <w:szCs w:val="7"/>
                <w:color w:val="auto"/>
              </w:rPr>
            </w:pPr>
          </w:p>
        </w:tc>
        <w:tc>
          <w:tcPr>
            <w:tcW w:w="158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5360" w:type="dxa"/>
            <w:vAlign w:val="bottom"/>
            <w:gridSpan w:val="3"/>
            <w:shd w:val="clear" w:color="auto" w:fill="E5E5E5"/>
          </w:tcPr>
          <w:p>
            <w:pPr>
              <w:ind w:left="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the approval of the 2020 Plan</w:t>
            </w:r>
          </w:p>
        </w:tc>
        <w:tc>
          <w:tcPr>
            <w:tcW w:w="0" w:type="dxa"/>
            <w:vAlign w:val="bottom"/>
          </w:tcPr>
          <w:p>
            <w:pPr>
              <w:spacing w:after="0"/>
              <w:rPr>
                <w:sz w:val="1"/>
                <w:szCs w:val="1"/>
                <w:color w:val="auto"/>
              </w:rPr>
            </w:pPr>
          </w:p>
        </w:tc>
      </w:tr>
      <w:tr>
        <w:trPr>
          <w:trHeight w:val="235"/>
        </w:trPr>
        <w:tc>
          <w:tcPr>
            <w:tcW w:w="100" w:type="dxa"/>
            <w:vAlign w:val="bottom"/>
            <w:shd w:val="clear" w:color="auto" w:fill="E5E5E5"/>
          </w:tcPr>
          <w:p>
            <w:pPr>
              <w:spacing w:after="0"/>
              <w:rPr>
                <w:sz w:val="20"/>
                <w:szCs w:val="20"/>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Amendment.</w:t>
            </w:r>
          </w:p>
        </w:tc>
        <w:tc>
          <w:tcPr>
            <w:tcW w:w="900" w:type="dxa"/>
            <w:vAlign w:val="bottom"/>
            <w:shd w:val="clear" w:color="auto" w:fill="E5E5E5"/>
          </w:tcPr>
          <w:p>
            <w:pPr>
              <w:spacing w:after="0"/>
              <w:rPr>
                <w:sz w:val="20"/>
                <w:szCs w:val="20"/>
                <w:color w:val="auto"/>
              </w:rPr>
            </w:pPr>
          </w:p>
        </w:tc>
        <w:tc>
          <w:tcPr>
            <w:tcW w:w="15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 w:type="dxa"/>
            <w:vAlign w:val="bottom"/>
            <w:shd w:val="clear" w:color="auto" w:fill="E5E5E5"/>
          </w:tcPr>
          <w:p>
            <w:pPr>
              <w:spacing w:after="0"/>
              <w:rPr>
                <w:sz w:val="15"/>
                <w:szCs w:val="15"/>
                <w:color w:val="auto"/>
              </w:rPr>
            </w:pPr>
          </w:p>
        </w:tc>
        <w:tc>
          <w:tcPr>
            <w:tcW w:w="288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5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579"/>
        </w:trPr>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80" w:type="dxa"/>
            <w:vAlign w:val="bottom"/>
            <w:gridSpan w:val="2"/>
          </w:tcPr>
          <w:p>
            <w:pPr>
              <w:ind w:left="480"/>
              <w:spacing w:after="0"/>
              <w:rPr>
                <w:sz w:val="20"/>
                <w:szCs w:val="20"/>
                <w:color w:val="auto"/>
              </w:rPr>
            </w:pPr>
            <w:r>
              <w:rPr>
                <w:rFonts w:ascii="Arial" w:cs="Arial" w:eastAsia="Arial" w:hAnsi="Arial"/>
                <w:sz w:val="16"/>
                <w:szCs w:val="16"/>
                <w:color w:val="3F3F3F"/>
                <w:w w:val="98"/>
              </w:rPr>
              <w:t>2024 Proxy Statement  |  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7029450" cy="68580"/>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-127000</wp:posOffset>
            </wp:positionV>
            <wp:extent cx="865505" cy="22288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A – Questions and Answers</w:t>
      </w:r>
    </w:p>
    <w:p>
      <w:pPr>
        <w:spacing w:after="0" w:line="200" w:lineRule="exact"/>
        <w:rPr>
          <w:sz w:val="20"/>
          <w:szCs w:val="20"/>
          <w:color w:val="auto"/>
        </w:rPr>
      </w:pPr>
    </w:p>
    <w:p>
      <w:pPr>
        <w:spacing w:after="0" w:line="246" w:lineRule="exact"/>
        <w:rPr>
          <w:sz w:val="20"/>
          <w:szCs w:val="20"/>
          <w:color w:val="auto"/>
        </w:rPr>
      </w:pPr>
    </w:p>
    <w:p>
      <w:pPr>
        <w:ind w:left="120" w:right="280"/>
        <w:spacing w:after="0" w:line="252" w:lineRule="auto"/>
        <w:rPr>
          <w:sz w:val="20"/>
          <w:szCs w:val="20"/>
          <w:color w:val="auto"/>
        </w:rPr>
      </w:pPr>
      <w:r>
        <w:rPr>
          <w:rFonts w:ascii="Arial" w:cs="Arial" w:eastAsia="Arial" w:hAnsi="Arial"/>
          <w:sz w:val="18"/>
          <w:szCs w:val="18"/>
          <w:i w:val="1"/>
          <w:iCs w:val="1"/>
          <w:color w:val="3F3F3F"/>
        </w:rPr>
        <w:t>The following questions and answers are intended to address questions that you, as a shareholder of Viatris, may have regarding the 2024 Annual Meeting and provide information with respect to the 2024 Annual Meeting, proxy materials and voting. Viatris urges you to carefully read this entire Proxy Statement in addition to these questions and answers.</w:t>
      </w:r>
    </w:p>
    <w:p>
      <w:pPr>
        <w:spacing w:after="0" w:line="196"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5A4C88"/>
        </w:rPr>
      </w:pPr>
      <w:r>
        <w:rPr>
          <w:rFonts w:ascii="Arial" w:cs="Arial" w:eastAsia="Arial" w:hAnsi="Arial"/>
          <w:sz w:val="18"/>
          <w:szCs w:val="18"/>
          <w:b w:val="1"/>
          <w:bCs w:val="1"/>
          <w:color w:val="5A4C88"/>
        </w:rPr>
        <w:t>What is this Proxy Statement, and why is it important?</w:t>
      </w:r>
    </w:p>
    <w:p>
      <w:pPr>
        <w:spacing w:after="0" w:line="117" w:lineRule="exact"/>
        <w:rPr>
          <w:sz w:val="20"/>
          <w:szCs w:val="20"/>
          <w:color w:val="auto"/>
        </w:rPr>
      </w:pPr>
    </w:p>
    <w:p>
      <w:pPr>
        <w:ind w:left="540" w:right="40" w:hanging="424"/>
        <w:spacing w:after="0" w:line="244" w:lineRule="auto"/>
        <w:tabs>
          <w:tab w:leader="none" w:pos="540" w:val="left"/>
        </w:tabs>
        <w:numPr>
          <w:ilvl w:val="0"/>
          <w:numId w:val="74"/>
        </w:numPr>
        <w:rPr>
          <w:rFonts w:ascii="Arial" w:cs="Arial" w:eastAsia="Arial" w:hAnsi="Arial"/>
          <w:sz w:val="18"/>
          <w:szCs w:val="18"/>
          <w:color w:val="3F3F3F"/>
        </w:rPr>
      </w:pPr>
      <w:r>
        <w:rPr>
          <w:rFonts w:ascii="Arial" w:cs="Arial" w:eastAsia="Arial" w:hAnsi="Arial"/>
          <w:sz w:val="18"/>
          <w:szCs w:val="18"/>
          <w:color w:val="3F3F3F"/>
        </w:rPr>
        <w:t>This Proxy Statement is part of a solicitation of proxies by Viatris’ Board for use at the 2024 Annual Meeting and provides Viatris’ shareholders and beneficial owners of shares of Viatris common stock as of the close of business (5:00 p.m. Eastern Time) on October 11, 2024 (the “Record Date”) with information relating to their decisions to vote, grant a proxy to vote, attend and, if relevant, instruct their vote to be cast at the 2024 Annual Meeting. As such, this Proxy Statement contains important information about the 2024 Annual Meeting and the matters to be voted on at such meeting; you should read it carefully and in its entirety.</w:t>
      </w:r>
    </w:p>
    <w:p>
      <w:pPr>
        <w:spacing w:after="0" w:line="203" w:lineRule="exact"/>
        <w:rPr>
          <w:sz w:val="20"/>
          <w:szCs w:val="20"/>
          <w:color w:val="auto"/>
        </w:rPr>
      </w:pPr>
    </w:p>
    <w:p>
      <w:pPr>
        <w:ind w:left="540" w:right="520" w:hanging="424"/>
        <w:spacing w:after="0" w:line="281" w:lineRule="auto"/>
        <w:tabs>
          <w:tab w:leader="none" w:pos="540" w:val="left"/>
        </w:tabs>
        <w:numPr>
          <w:ilvl w:val="0"/>
          <w:numId w:val="75"/>
        </w:numPr>
        <w:rPr>
          <w:rFonts w:ascii="Arial" w:cs="Arial" w:eastAsia="Arial" w:hAnsi="Arial"/>
          <w:sz w:val="18"/>
          <w:szCs w:val="18"/>
          <w:b w:val="1"/>
          <w:bCs w:val="1"/>
          <w:color w:val="5A4C88"/>
        </w:rPr>
      </w:pPr>
      <w:r>
        <w:rPr>
          <w:rFonts w:ascii="Arial" w:cs="Arial" w:eastAsia="Arial" w:hAnsi="Arial"/>
          <w:sz w:val="18"/>
          <w:szCs w:val="18"/>
          <w:b w:val="1"/>
          <w:bCs w:val="1"/>
          <w:color w:val="5A4C88"/>
        </w:rPr>
        <w:t>Why did I receive a notice in the mail regarding the Internet availability of proxy materials instead of a full set of proxy materials?</w:t>
      </w:r>
    </w:p>
    <w:p>
      <w:pPr>
        <w:spacing w:after="0" w:line="42" w:lineRule="exact"/>
        <w:rPr>
          <w:sz w:val="20"/>
          <w:szCs w:val="20"/>
          <w:color w:val="auto"/>
        </w:rPr>
      </w:pPr>
    </w:p>
    <w:p>
      <w:pPr>
        <w:ind w:left="540" w:right="40" w:hanging="424"/>
        <w:spacing w:after="0" w:line="239" w:lineRule="auto"/>
        <w:tabs>
          <w:tab w:leader="none" w:pos="540" w:val="left"/>
        </w:tabs>
        <w:numPr>
          <w:ilvl w:val="0"/>
          <w:numId w:val="76"/>
        </w:numPr>
        <w:rPr>
          <w:rFonts w:ascii="Arial" w:cs="Arial" w:eastAsia="Arial" w:hAnsi="Arial"/>
          <w:sz w:val="18"/>
          <w:szCs w:val="18"/>
          <w:color w:val="3F3F3F"/>
        </w:rPr>
      </w:pPr>
      <w:r>
        <w:rPr>
          <w:rFonts w:ascii="Arial" w:cs="Arial" w:eastAsia="Arial" w:hAnsi="Arial"/>
          <w:sz w:val="18"/>
          <w:szCs w:val="18"/>
          <w:color w:val="3F3F3F"/>
        </w:rPr>
        <w:t>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October 25, 2024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w:t>
      </w:r>
    </w:p>
    <w:p>
      <w:pPr>
        <w:spacing w:after="0" w:line="210"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5A4C88"/>
        </w:rPr>
      </w:pPr>
      <w:r>
        <w:rPr>
          <w:rFonts w:ascii="Arial" w:cs="Arial" w:eastAsia="Arial" w:hAnsi="Arial"/>
          <w:sz w:val="18"/>
          <w:szCs w:val="18"/>
          <w:b w:val="1"/>
          <w:bCs w:val="1"/>
          <w:color w:val="5A4C88"/>
        </w:rPr>
        <w:t>What is included in the Company’s proxy materials?</w:t>
      </w:r>
    </w:p>
    <w:p>
      <w:pPr>
        <w:spacing w:after="0" w:line="117" w:lineRule="exact"/>
        <w:rPr>
          <w:sz w:val="20"/>
          <w:szCs w:val="20"/>
          <w:color w:val="auto"/>
        </w:rPr>
      </w:pPr>
    </w:p>
    <w:p>
      <w:pPr>
        <w:ind w:left="540" w:right="140" w:hanging="424"/>
        <w:spacing w:after="0"/>
        <w:tabs>
          <w:tab w:leader="none" w:pos="540" w:val="left"/>
        </w:tabs>
        <w:numPr>
          <w:ilvl w:val="0"/>
          <w:numId w:val="78"/>
        </w:numPr>
        <w:rPr>
          <w:rFonts w:ascii="Arial" w:cs="Arial" w:eastAsia="Arial" w:hAnsi="Arial"/>
          <w:sz w:val="18"/>
          <w:szCs w:val="18"/>
          <w:color w:val="3F3F3F"/>
        </w:rPr>
      </w:pPr>
      <w:r>
        <w:rPr>
          <w:rFonts w:ascii="Arial" w:cs="Arial" w:eastAsia="Arial" w:hAnsi="Arial"/>
          <w:sz w:val="18"/>
          <w:szCs w:val="18"/>
          <w:color w:val="3F3F3F"/>
        </w:rPr>
        <w:t xml:space="preserve">The Company’s proxy materials include this Proxy Statement for the 2024 Annual Meeting and the 2023 Annual Report. The 2023 Annual Report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2024 Annual Meeting. For detailed information on voting, see the questions below entitled, </w:t>
      </w:r>
      <w:r>
        <w:rPr>
          <w:rFonts w:ascii="Arial" w:cs="Arial" w:eastAsia="Arial" w:hAnsi="Arial"/>
          <w:sz w:val="18"/>
          <w:szCs w:val="18"/>
          <w:color w:val="9659A1"/>
        </w:rPr>
        <w:t>“How do I vote if I was a registered shareholder of Viatris as of the</w:t>
      </w:r>
      <w:r>
        <w:rPr>
          <w:rFonts w:ascii="Arial" w:cs="Arial" w:eastAsia="Arial" w:hAnsi="Arial"/>
          <w:sz w:val="18"/>
          <w:szCs w:val="18"/>
          <w:color w:val="3F3F3F"/>
        </w:rPr>
        <w:t xml:space="preserve"> </w:t>
      </w:r>
      <w:r>
        <w:rPr>
          <w:rFonts w:ascii="Arial" w:cs="Arial" w:eastAsia="Arial" w:hAnsi="Arial"/>
          <w:sz w:val="18"/>
          <w:szCs w:val="18"/>
          <w:color w:val="9659A1"/>
        </w:rPr>
        <w:t xml:space="preserve">Record Date?” </w:t>
      </w:r>
      <w:r>
        <w:rPr>
          <w:rFonts w:ascii="Arial" w:cs="Arial" w:eastAsia="Arial" w:hAnsi="Arial"/>
          <w:sz w:val="18"/>
          <w:szCs w:val="18"/>
          <w:color w:val="3F3F3F"/>
        </w:rPr>
        <w:t>or</w:t>
      </w:r>
      <w:r>
        <w:rPr>
          <w:rFonts w:ascii="Arial" w:cs="Arial" w:eastAsia="Arial" w:hAnsi="Arial"/>
          <w:sz w:val="18"/>
          <w:szCs w:val="18"/>
          <w:color w:val="9659A1"/>
        </w:rPr>
        <w:t xml:space="preserve"> “How do I vote if I am a beneficial owner of shares of Viatris common stock and hold them in street name?”</w:t>
      </w:r>
      <w:r>
        <w:rPr>
          <w:rFonts w:ascii="Arial" w:cs="Arial" w:eastAsia="Arial" w:hAnsi="Arial"/>
          <w:sz w:val="18"/>
          <w:szCs w:val="18"/>
          <w:color w:val="3F3F3F"/>
        </w:rPr>
        <w:t>, as</w:t>
      </w:r>
      <w:r>
        <w:rPr>
          <w:rFonts w:ascii="Arial" w:cs="Arial" w:eastAsia="Arial" w:hAnsi="Arial"/>
          <w:sz w:val="18"/>
          <w:szCs w:val="18"/>
          <w:color w:val="9659A1"/>
        </w:rPr>
        <w:t xml:space="preserve"> </w:t>
      </w:r>
      <w:r>
        <w:rPr>
          <w:rFonts w:ascii="Arial" w:cs="Arial" w:eastAsia="Arial" w:hAnsi="Arial"/>
          <w:sz w:val="18"/>
          <w:szCs w:val="18"/>
          <w:color w:val="3F3F3F"/>
        </w:rPr>
        <w:t>appropriate, as well as the Notice of 2024 Annual Meeting of Shareholders in this Proxy Statement.</w:t>
      </w:r>
    </w:p>
    <w:p>
      <w:pPr>
        <w:spacing w:after="0" w:line="212"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5A4C88"/>
        </w:rPr>
      </w:pPr>
      <w:r>
        <w:rPr>
          <w:rFonts w:ascii="Arial" w:cs="Arial" w:eastAsia="Arial" w:hAnsi="Arial"/>
          <w:sz w:val="18"/>
          <w:szCs w:val="18"/>
          <w:b w:val="1"/>
          <w:bCs w:val="1"/>
          <w:color w:val="5A4C88"/>
        </w:rPr>
        <w:t>How can I access the proxy materials over the Internet?</w:t>
      </w:r>
    </w:p>
    <w:p>
      <w:pPr>
        <w:spacing w:after="0" w:line="117" w:lineRule="exact"/>
        <w:rPr>
          <w:sz w:val="20"/>
          <w:szCs w:val="20"/>
          <w:color w:val="auto"/>
        </w:rPr>
      </w:pPr>
    </w:p>
    <w:p>
      <w:pPr>
        <w:ind w:left="540" w:right="140" w:hanging="424"/>
        <w:spacing w:after="0" w:line="271" w:lineRule="auto"/>
        <w:tabs>
          <w:tab w:leader="none" w:pos="540" w:val="left"/>
        </w:tabs>
        <w:numPr>
          <w:ilvl w:val="0"/>
          <w:numId w:val="80"/>
        </w:numPr>
        <w:rPr>
          <w:rFonts w:ascii="Arial" w:cs="Arial" w:eastAsia="Arial" w:hAnsi="Arial"/>
          <w:sz w:val="18"/>
          <w:szCs w:val="18"/>
          <w:color w:val="3F3F3F"/>
        </w:rPr>
      </w:pPr>
      <w:r>
        <w:rPr>
          <w:rFonts w:ascii="Arial" w:cs="Arial" w:eastAsia="Arial" w:hAnsi="Arial"/>
          <w:sz w:val="18"/>
          <w:szCs w:val="18"/>
          <w:color w:val="3F3F3F"/>
        </w:rPr>
        <w:t>The Internet Notice, proxy card, or voting instruction form will contain instructions on how to view the Company’s proxy materials on the Internet and vote your shares. Our proxy materials are also available on the Company’s website at investor.viatris.com.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5A4C88"/>
        </w:rPr>
      </w:pPr>
      <w:r>
        <w:rPr>
          <w:rFonts w:ascii="Arial" w:cs="Arial" w:eastAsia="Arial" w:hAnsi="Arial"/>
          <w:sz w:val="18"/>
          <w:szCs w:val="18"/>
          <w:b w:val="1"/>
          <w:bCs w:val="1"/>
          <w:color w:val="5A4C88"/>
        </w:rPr>
        <w:t>What is the purpose of the 2024 Annual Meeting?</w:t>
      </w:r>
    </w:p>
    <w:p>
      <w:pPr>
        <w:spacing w:after="0" w:line="117"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color w:val="3F3F3F"/>
        </w:rPr>
      </w:pPr>
      <w:r>
        <w:rPr>
          <w:rFonts w:ascii="Arial" w:cs="Arial" w:eastAsia="Arial" w:hAnsi="Arial"/>
          <w:sz w:val="18"/>
          <w:szCs w:val="18"/>
          <w:color w:val="3F3F3F"/>
        </w:rPr>
        <w:t>The 2024 Annual Meeting is being held for Viatris shareholders to vote on the following items:</w:t>
      </w:r>
    </w:p>
    <w:p>
      <w:pPr>
        <w:spacing w:after="0" w:line="117"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3F3F3F"/>
        </w:rPr>
      </w:pPr>
      <w:r>
        <w:rPr>
          <w:rFonts w:ascii="Arial" w:cs="Arial" w:eastAsia="Arial" w:hAnsi="Arial"/>
          <w:sz w:val="18"/>
          <w:szCs w:val="18"/>
          <w:color w:val="3F3F3F"/>
        </w:rPr>
        <w:t>To elect 12 Director nominees each to hold office until the 2025 annual meeting</w:t>
      </w:r>
    </w:p>
    <w:p>
      <w:pPr>
        <w:spacing w:after="0" w:line="117" w:lineRule="exact"/>
        <w:rPr>
          <w:rFonts w:ascii="Arial" w:cs="Arial" w:eastAsia="Arial" w:hAnsi="Arial"/>
          <w:sz w:val="18"/>
          <w:szCs w:val="18"/>
          <w:color w:val="3F3F3F"/>
        </w:rPr>
      </w:pPr>
    </w:p>
    <w:p>
      <w:pPr>
        <w:ind w:left="540" w:hanging="424"/>
        <w:spacing w:after="0"/>
        <w:tabs>
          <w:tab w:leader="none" w:pos="540" w:val="left"/>
        </w:tabs>
        <w:numPr>
          <w:ilvl w:val="0"/>
          <w:numId w:val="83"/>
        </w:numPr>
        <w:rPr>
          <w:rFonts w:ascii="Arial" w:cs="Arial" w:eastAsia="Arial" w:hAnsi="Arial"/>
          <w:sz w:val="18"/>
          <w:szCs w:val="18"/>
          <w:color w:val="3F3F3F"/>
        </w:rPr>
      </w:pPr>
      <w:r>
        <w:rPr>
          <w:rFonts w:ascii="Arial" w:cs="Arial" w:eastAsia="Arial" w:hAnsi="Arial"/>
          <w:sz w:val="18"/>
          <w:szCs w:val="18"/>
          <w:color w:val="3F3F3F"/>
        </w:rPr>
        <w:t>To approve, on a non-binding advisory basis, the 2023 compensation of the NEOs of the Company (the Say-on-Pay vote)</w:t>
      </w:r>
    </w:p>
    <w:p>
      <w:pPr>
        <w:spacing w:after="0" w:line="117" w:lineRule="exact"/>
        <w:rPr>
          <w:rFonts w:ascii="Arial" w:cs="Arial" w:eastAsia="Arial" w:hAnsi="Arial"/>
          <w:sz w:val="18"/>
          <w:szCs w:val="18"/>
          <w:color w:val="3F3F3F"/>
        </w:rPr>
      </w:pPr>
    </w:p>
    <w:p>
      <w:pPr>
        <w:ind w:left="540" w:right="300" w:hanging="424"/>
        <w:spacing w:after="0" w:line="271" w:lineRule="auto"/>
        <w:tabs>
          <w:tab w:leader="none" w:pos="540" w:val="left"/>
        </w:tabs>
        <w:numPr>
          <w:ilvl w:val="0"/>
          <w:numId w:val="83"/>
        </w:numPr>
        <w:rPr>
          <w:rFonts w:ascii="Arial" w:cs="Arial" w:eastAsia="Arial" w:hAnsi="Arial"/>
          <w:sz w:val="18"/>
          <w:szCs w:val="18"/>
          <w:color w:val="3F3F3F"/>
        </w:rPr>
      </w:pPr>
      <w:r>
        <w:rPr>
          <w:rFonts w:ascii="Arial" w:cs="Arial" w:eastAsia="Arial" w:hAnsi="Arial"/>
          <w:sz w:val="18"/>
          <w:szCs w:val="18"/>
          <w:color w:val="3F3F3F"/>
        </w:rPr>
        <w:t>To ratify the selection of Deloitte as Viatris’ independent registered public accounting firm for the fiscal year ending December 31, 2024</w:t>
      </w:r>
    </w:p>
    <w:p>
      <w:pPr>
        <w:spacing w:after="0" w:line="59" w:lineRule="exact"/>
        <w:rPr>
          <w:rFonts w:ascii="Arial" w:cs="Arial" w:eastAsia="Arial" w:hAnsi="Arial"/>
          <w:sz w:val="18"/>
          <w:szCs w:val="18"/>
          <w:color w:val="3F3F3F"/>
        </w:rPr>
      </w:pPr>
    </w:p>
    <w:p>
      <w:pPr>
        <w:ind w:left="540" w:hanging="424"/>
        <w:spacing w:after="0"/>
        <w:tabs>
          <w:tab w:leader="none" w:pos="540" w:val="left"/>
        </w:tabs>
        <w:numPr>
          <w:ilvl w:val="0"/>
          <w:numId w:val="83"/>
        </w:numPr>
        <w:rPr>
          <w:rFonts w:ascii="Arial" w:cs="Arial" w:eastAsia="Arial" w:hAnsi="Arial"/>
          <w:sz w:val="18"/>
          <w:szCs w:val="18"/>
          <w:color w:val="3F3F3F"/>
        </w:rPr>
      </w:pPr>
      <w:r>
        <w:rPr>
          <w:rFonts w:ascii="Arial" w:cs="Arial" w:eastAsia="Arial" w:hAnsi="Arial"/>
          <w:sz w:val="18"/>
          <w:szCs w:val="18"/>
          <w:color w:val="3F3F3F"/>
        </w:rPr>
        <w:t>To approve an amendment to the 2020 Plan</w:t>
      </w:r>
    </w:p>
    <w:p>
      <w:pPr>
        <w:spacing w:after="0" w:line="239"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5A4C88"/>
        </w:rPr>
      </w:pPr>
      <w:r>
        <w:rPr>
          <w:rFonts w:ascii="Arial" w:cs="Arial" w:eastAsia="Arial" w:hAnsi="Arial"/>
          <w:sz w:val="18"/>
          <w:szCs w:val="18"/>
          <w:b w:val="1"/>
          <w:bCs w:val="1"/>
          <w:color w:val="5A4C88"/>
        </w:rPr>
        <w:t>When and where will the 2024 Annual Meeting be held?</w:t>
      </w:r>
    </w:p>
    <w:p>
      <w:pPr>
        <w:spacing w:after="0" w:line="117" w:lineRule="exact"/>
        <w:rPr>
          <w:sz w:val="20"/>
          <w:szCs w:val="20"/>
          <w:color w:val="auto"/>
        </w:rPr>
      </w:pPr>
    </w:p>
    <w:p>
      <w:pPr>
        <w:ind w:left="540" w:right="240" w:hanging="424"/>
        <w:spacing w:after="0" w:line="271" w:lineRule="auto"/>
        <w:tabs>
          <w:tab w:leader="none" w:pos="540" w:val="left"/>
        </w:tabs>
        <w:numPr>
          <w:ilvl w:val="0"/>
          <w:numId w:val="85"/>
        </w:numPr>
        <w:rPr>
          <w:rFonts w:ascii="Arial" w:cs="Arial" w:eastAsia="Arial" w:hAnsi="Arial"/>
          <w:sz w:val="18"/>
          <w:szCs w:val="18"/>
          <w:color w:val="3F3F3F"/>
        </w:rPr>
      </w:pPr>
      <w:r>
        <w:rPr>
          <w:rFonts w:ascii="Arial" w:cs="Arial" w:eastAsia="Arial" w:hAnsi="Arial"/>
          <w:sz w:val="18"/>
          <w:szCs w:val="18"/>
          <w:color w:val="3F3F3F"/>
        </w:rPr>
        <w:t>The 2024 Annual Meeting will be held at the DoubleTree Crystal City, 300 Army Navy Drive, Arlington, VA 22202, on December 6, 2024, at 11:00 a.m. Eastern Time.</w:t>
      </w:r>
    </w:p>
    <w:p>
      <w:pPr>
        <w:spacing w:after="0" w:line="45" w:lineRule="exact"/>
        <w:rPr>
          <w:rFonts w:ascii="Arial" w:cs="Arial" w:eastAsia="Arial" w:hAnsi="Arial"/>
          <w:sz w:val="18"/>
          <w:szCs w:val="18"/>
          <w:color w:val="3F3F3F"/>
        </w:rPr>
      </w:pPr>
    </w:p>
    <w:p>
      <w:pPr>
        <w:ind w:left="560" w:right="160"/>
        <w:spacing w:after="0" w:line="253" w:lineRule="auto"/>
        <w:rPr>
          <w:rFonts w:ascii="Arial" w:cs="Arial" w:eastAsia="Arial" w:hAnsi="Arial"/>
          <w:sz w:val="18"/>
          <w:szCs w:val="18"/>
          <w:color w:val="3F3F3F"/>
        </w:rPr>
      </w:pPr>
      <w:r>
        <w:rPr>
          <w:rFonts w:ascii="Arial" w:cs="Arial" w:eastAsia="Arial" w:hAnsi="Arial"/>
          <w:sz w:val="18"/>
          <w:szCs w:val="18"/>
          <w:color w:val="3F3F3F"/>
        </w:rPr>
        <w:t xml:space="preserve">Persons attending the 2024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 w:cs="Arial" w:eastAsia="Arial" w:hAnsi="Arial"/>
          <w:sz w:val="18"/>
          <w:szCs w:val="18"/>
          <w:color w:val="9659A1"/>
        </w:rPr>
        <w:t>“How can I attend the 2024 Annual Meeting?”</w:t>
      </w:r>
      <w:r>
        <w:rPr>
          <w:rFonts w:ascii="Arial" w:cs="Arial" w:eastAsia="Arial" w:hAnsi="Arial"/>
          <w:sz w:val="18"/>
          <w:szCs w:val="18"/>
          <w:color w:val="3F3F3F"/>
        </w:rPr>
        <w:t>.</w:t>
      </w:r>
    </w:p>
    <w:p>
      <w:pPr>
        <w:spacing w:after="0" w:line="196"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5A4C88"/>
        </w:rPr>
      </w:pPr>
      <w:r>
        <w:rPr>
          <w:rFonts w:ascii="Arial" w:cs="Arial" w:eastAsia="Arial" w:hAnsi="Arial"/>
          <w:sz w:val="18"/>
          <w:szCs w:val="18"/>
          <w:b w:val="1"/>
          <w:bCs w:val="1"/>
          <w:color w:val="5A4C88"/>
        </w:rPr>
        <w:t>How does Viatris’ Board recommend I vote?</w:t>
      </w:r>
    </w:p>
    <w:p>
      <w:pPr>
        <w:spacing w:after="0" w:line="117" w:lineRule="exact"/>
        <w:rPr>
          <w:sz w:val="20"/>
          <w:szCs w:val="20"/>
          <w:color w:val="auto"/>
        </w:rPr>
      </w:pPr>
    </w:p>
    <w:p>
      <w:pPr>
        <w:ind w:left="540" w:hanging="424"/>
        <w:spacing w:after="0" w:line="247" w:lineRule="auto"/>
        <w:tabs>
          <w:tab w:leader="none" w:pos="540" w:val="left"/>
        </w:tabs>
        <w:numPr>
          <w:ilvl w:val="0"/>
          <w:numId w:val="87"/>
        </w:numPr>
        <w:rPr>
          <w:rFonts w:ascii="Arial" w:cs="Arial" w:eastAsia="Arial" w:hAnsi="Arial"/>
          <w:sz w:val="18"/>
          <w:szCs w:val="18"/>
          <w:color w:val="3F3F3F"/>
        </w:rPr>
      </w:pPr>
      <w:r>
        <w:rPr>
          <w:rFonts w:ascii="Arial" w:cs="Arial" w:eastAsia="Arial" w:hAnsi="Arial"/>
          <w:sz w:val="18"/>
          <w:szCs w:val="18"/>
          <w:color w:val="3F3F3F"/>
        </w:rPr>
        <w:t xml:space="preserve">Viatris’ Board unanimously recommends that the Company’s shareholders vote </w:t>
      </w:r>
      <w:r>
        <w:rPr>
          <w:rFonts w:ascii="Arial" w:cs="Arial" w:eastAsia="Arial" w:hAnsi="Arial"/>
          <w:sz w:val="18"/>
          <w:szCs w:val="18"/>
          <w:b w:val="1"/>
          <w:bCs w:val="1"/>
          <w:color w:val="9659A1"/>
        </w:rPr>
        <w:t>“FOR”</w:t>
      </w:r>
      <w:r>
        <w:rPr>
          <w:rFonts w:ascii="Arial" w:cs="Arial" w:eastAsia="Arial" w:hAnsi="Arial"/>
          <w:sz w:val="18"/>
          <w:szCs w:val="18"/>
          <w:color w:val="3F3F3F"/>
        </w:rPr>
        <w:t xml:space="preserve"> the election of each Director nominee; </w:t>
      </w:r>
      <w:r>
        <w:rPr>
          <w:rFonts w:ascii="Arial" w:cs="Arial" w:eastAsia="Arial" w:hAnsi="Arial"/>
          <w:sz w:val="18"/>
          <w:szCs w:val="18"/>
          <w:b w:val="1"/>
          <w:bCs w:val="1"/>
          <w:color w:val="9659A1"/>
        </w:rPr>
        <w:t xml:space="preserve">“FOR” </w:t>
      </w:r>
      <w:r>
        <w:rPr>
          <w:rFonts w:ascii="Arial" w:cs="Arial" w:eastAsia="Arial" w:hAnsi="Arial"/>
          <w:sz w:val="18"/>
          <w:szCs w:val="18"/>
          <w:color w:val="3F3F3F"/>
        </w:rPr>
        <w:t>approval, on an advisory basis, of the 2023 compensation of the NEOs of the Company;</w:t>
      </w:r>
      <w:r>
        <w:rPr>
          <w:rFonts w:ascii="Arial" w:cs="Arial" w:eastAsia="Arial" w:hAnsi="Arial"/>
          <w:sz w:val="18"/>
          <w:szCs w:val="18"/>
          <w:b w:val="1"/>
          <w:bCs w:val="1"/>
          <w:color w:val="9659A1"/>
        </w:rPr>
        <w:t xml:space="preserve"> “FOR” </w:t>
      </w:r>
      <w:r>
        <w:rPr>
          <w:rFonts w:ascii="Arial" w:cs="Arial" w:eastAsia="Arial" w:hAnsi="Arial"/>
          <w:sz w:val="18"/>
          <w:szCs w:val="18"/>
          <w:color w:val="3F3F3F"/>
        </w:rPr>
        <w:t>ratification of the selection of</w:t>
      </w:r>
      <w:r>
        <w:rPr>
          <w:rFonts w:ascii="Arial" w:cs="Arial" w:eastAsia="Arial" w:hAnsi="Arial"/>
          <w:sz w:val="18"/>
          <w:szCs w:val="18"/>
          <w:b w:val="1"/>
          <w:bCs w:val="1"/>
          <w:color w:val="9659A1"/>
        </w:rPr>
        <w:t xml:space="preserve"> </w:t>
      </w:r>
      <w:r>
        <w:rPr>
          <w:rFonts w:ascii="Arial" w:cs="Arial" w:eastAsia="Arial" w:hAnsi="Arial"/>
          <w:sz w:val="18"/>
          <w:szCs w:val="18"/>
          <w:color w:val="3F3F3F"/>
        </w:rPr>
        <w:t xml:space="preserve">Deloitte as Viatris’ independent registered public accounting firm for the fiscal year ending December 31, 2024; and </w:t>
      </w:r>
      <w:r>
        <w:rPr>
          <w:rFonts w:ascii="Arial" w:cs="Arial" w:eastAsia="Arial" w:hAnsi="Arial"/>
          <w:sz w:val="18"/>
          <w:szCs w:val="18"/>
          <w:b w:val="1"/>
          <w:bCs w:val="1"/>
          <w:color w:val="9659A1"/>
        </w:rPr>
        <w:t>“FOR”</w:t>
      </w:r>
      <w:r>
        <w:rPr>
          <w:rFonts w:ascii="Arial" w:cs="Arial" w:eastAsia="Arial" w:hAnsi="Arial"/>
          <w:sz w:val="18"/>
          <w:szCs w:val="18"/>
          <w:color w:val="3F3F3F"/>
        </w:rPr>
        <w:t xml:space="preserve"> approval of the amendment to the 2020 Plan.</w:t>
      </w:r>
    </w:p>
    <w:p>
      <w:pPr>
        <w:spacing w:after="0" w:line="201"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5A4C88"/>
        </w:rPr>
      </w:pPr>
      <w:r>
        <w:rPr>
          <w:rFonts w:ascii="Arial" w:cs="Arial" w:eastAsia="Arial" w:hAnsi="Arial"/>
          <w:sz w:val="18"/>
          <w:szCs w:val="18"/>
          <w:b w:val="1"/>
          <w:bCs w:val="1"/>
          <w:color w:val="5A4C88"/>
        </w:rPr>
        <w:t>How can I attend the 2024 Annual Meeting?</w:t>
      </w:r>
    </w:p>
    <w:p>
      <w:pPr>
        <w:spacing w:after="0" w:line="117" w:lineRule="exact"/>
        <w:rPr>
          <w:sz w:val="20"/>
          <w:szCs w:val="20"/>
          <w:color w:val="auto"/>
        </w:rPr>
      </w:pPr>
    </w:p>
    <w:p>
      <w:pPr>
        <w:ind w:left="540" w:right="500" w:hanging="424"/>
        <w:spacing w:after="0" w:line="253" w:lineRule="auto"/>
        <w:tabs>
          <w:tab w:leader="none" w:pos="540" w:val="left"/>
        </w:tabs>
        <w:numPr>
          <w:ilvl w:val="0"/>
          <w:numId w:val="89"/>
        </w:numPr>
        <w:rPr>
          <w:rFonts w:ascii="Arial" w:cs="Arial" w:eastAsia="Arial" w:hAnsi="Arial"/>
          <w:sz w:val="18"/>
          <w:szCs w:val="18"/>
          <w:color w:val="3F3F3F"/>
        </w:rPr>
      </w:pPr>
      <w:r>
        <w:rPr>
          <w:rFonts w:ascii="Arial" w:cs="Arial" w:eastAsia="Arial" w:hAnsi="Arial"/>
          <w:sz w:val="18"/>
          <w:szCs w:val="18"/>
          <w:color w:val="3F3F3F"/>
        </w:rPr>
        <w:t>If you wish to attend the 2024 Annual Meeting in person, please so inform Viatris in writing by sending notice to the attention of Viatris’ Corporate Secretary at 1000 Mylan Blvd., Canonsburg, PA 15317 (the “Corporate Address”) or by e-mail to corporatesecretary@viatris.com, in each case prior to 5:00 p.m. Eastern Time on December 5, 2024.</w:t>
      </w:r>
    </w:p>
    <w:p>
      <w:pPr>
        <w:spacing w:after="0" w:line="60" w:lineRule="exact"/>
        <w:rPr>
          <w:rFonts w:ascii="Arial" w:cs="Arial" w:eastAsia="Arial" w:hAnsi="Arial"/>
          <w:sz w:val="18"/>
          <w:szCs w:val="18"/>
          <w:color w:val="3F3F3F"/>
        </w:rPr>
      </w:pPr>
    </w:p>
    <w:p>
      <w:pPr>
        <w:ind w:left="560"/>
        <w:spacing w:after="0" w:line="242" w:lineRule="auto"/>
        <w:rPr>
          <w:rFonts w:ascii="Arial" w:cs="Arial" w:eastAsia="Arial" w:hAnsi="Arial"/>
          <w:sz w:val="18"/>
          <w:szCs w:val="18"/>
          <w:color w:val="3F3F3F"/>
        </w:rPr>
      </w:pPr>
      <w:r>
        <w:rPr>
          <w:rFonts w:ascii="Arial" w:cs="Arial" w:eastAsia="Arial" w:hAnsi="Arial"/>
          <w:sz w:val="18"/>
          <w:szCs w:val="18"/>
          <w:color w:val="3F3F3F"/>
        </w:rPr>
        <w:t>Beneficial owners of Viatris common stock that are held through a broker, bank, trust company or other nominee (“street name”) may not vote the underlying shares of common stock at the 2024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w:t>
      </w:r>
    </w:p>
    <w:p>
      <w:pPr>
        <w:spacing w:after="0" w:line="70" w:lineRule="exact"/>
        <w:rPr>
          <w:rFonts w:ascii="Arial" w:cs="Arial" w:eastAsia="Arial" w:hAnsi="Arial"/>
          <w:sz w:val="18"/>
          <w:szCs w:val="18"/>
          <w:color w:val="3F3F3F"/>
        </w:rPr>
      </w:pPr>
    </w:p>
    <w:p>
      <w:pPr>
        <w:ind w:left="560" w:right="340"/>
        <w:spacing w:after="0" w:line="271" w:lineRule="auto"/>
        <w:rPr>
          <w:rFonts w:ascii="Arial" w:cs="Arial" w:eastAsia="Arial" w:hAnsi="Arial"/>
          <w:sz w:val="18"/>
          <w:szCs w:val="18"/>
          <w:color w:val="3F3F3F"/>
        </w:rPr>
      </w:pPr>
      <w:r>
        <w:rPr>
          <w:rFonts w:ascii="Arial" w:cs="Arial" w:eastAsia="Arial" w:hAnsi="Arial"/>
          <w:sz w:val="18"/>
          <w:szCs w:val="18"/>
          <w:color w:val="3F3F3F"/>
        </w:rPr>
        <w:t>Proper identification, such as a valid driver’s license or passport, along with your notice of the meeting, must be presented at the meeting.</w:t>
      </w:r>
    </w:p>
    <w:p>
      <w:pPr>
        <w:spacing w:after="0" w:line="45" w:lineRule="exact"/>
        <w:rPr>
          <w:rFonts w:ascii="Arial" w:cs="Arial" w:eastAsia="Arial" w:hAnsi="Arial"/>
          <w:sz w:val="18"/>
          <w:szCs w:val="18"/>
          <w:color w:val="3F3F3F"/>
        </w:rPr>
      </w:pPr>
    </w:p>
    <w:p>
      <w:pPr>
        <w:ind w:left="560"/>
        <w:spacing w:after="0"/>
        <w:rPr>
          <w:rFonts w:ascii="Arial" w:cs="Arial" w:eastAsia="Arial" w:hAnsi="Arial"/>
          <w:sz w:val="18"/>
          <w:szCs w:val="18"/>
          <w:color w:val="3F3F3F"/>
        </w:rPr>
      </w:pPr>
      <w:r>
        <w:rPr>
          <w:rFonts w:ascii="Arial" w:cs="Arial" w:eastAsia="Arial" w:hAnsi="Arial"/>
          <w:sz w:val="18"/>
          <w:szCs w:val="18"/>
          <w:color w:val="3F3F3F"/>
        </w:rPr>
        <w:t>Failure to comply with such notification and identification requirements may result in not being admitted to the meeting.</w:t>
      </w:r>
    </w:p>
    <w:p>
      <w:pPr>
        <w:spacing w:after="0" w:line="239"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5A4C88"/>
        </w:rPr>
      </w:pPr>
      <w:r>
        <w:rPr>
          <w:rFonts w:ascii="Arial" w:cs="Arial" w:eastAsia="Arial" w:hAnsi="Arial"/>
          <w:sz w:val="18"/>
          <w:szCs w:val="18"/>
          <w:b w:val="1"/>
          <w:bCs w:val="1"/>
          <w:color w:val="5A4C88"/>
        </w:rPr>
        <w:t>Who is entitled to vote at the 2024 Annual Meeting and how many votes do they have?</w:t>
      </w:r>
    </w:p>
    <w:p>
      <w:pPr>
        <w:spacing w:after="0" w:line="117" w:lineRule="exact"/>
        <w:rPr>
          <w:sz w:val="20"/>
          <w:szCs w:val="20"/>
          <w:color w:val="auto"/>
        </w:rPr>
      </w:pPr>
    </w:p>
    <w:p>
      <w:pPr>
        <w:ind w:left="540" w:right="220" w:hanging="424"/>
        <w:spacing w:after="0" w:line="271" w:lineRule="auto"/>
        <w:tabs>
          <w:tab w:leader="none" w:pos="540" w:val="left"/>
        </w:tabs>
        <w:numPr>
          <w:ilvl w:val="0"/>
          <w:numId w:val="91"/>
        </w:numPr>
        <w:rPr>
          <w:rFonts w:ascii="Arial" w:cs="Arial" w:eastAsia="Arial" w:hAnsi="Arial"/>
          <w:sz w:val="18"/>
          <w:szCs w:val="18"/>
          <w:color w:val="3F3F3F"/>
        </w:rPr>
      </w:pPr>
      <w:r>
        <w:rPr>
          <w:rFonts w:ascii="Arial" w:cs="Arial" w:eastAsia="Arial" w:hAnsi="Arial"/>
          <w:sz w:val="18"/>
          <w:szCs w:val="18"/>
          <w:color w:val="3F3F3F"/>
        </w:rPr>
        <w:t>Holders of Viatris common stock as of the Record Date are entitled to vote their shares at the 2024 Annual Meeting. If your shares are registered in your name with the Company’s transfer agent and registrar, Equiniti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right="40"/>
        <w:spacing w:after="0" w:line="244" w:lineRule="auto"/>
        <w:rPr>
          <w:sz w:val="20"/>
          <w:szCs w:val="20"/>
          <w:color w:val="auto"/>
        </w:rPr>
      </w:pPr>
      <w:r>
        <w:rPr>
          <w:rFonts w:ascii="Arial" w:cs="Arial" w:eastAsia="Arial" w:hAnsi="Arial"/>
          <w:sz w:val="18"/>
          <w:szCs w:val="18"/>
          <w:color w:val="3F3F3F"/>
        </w:rPr>
        <w:t>Trust Company, LLC (formerly American Stock Transfer &amp; Trust Company, LLC), you are the “registered shareholder” of those shares. Registered shareholders as of the Record Date may attend the 2024 Annual Meeting and, if relevant, vote in person or authorize a third party to attend and, if relevant, vote at the 2024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w:t>
      </w:r>
    </w:p>
    <w:p>
      <w:pPr>
        <w:spacing w:after="0" w:line="68"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3F3F3F"/>
        </w:rPr>
        <w:t>If you wish to vote the shares of Viatris common stock you beneficially own directly either in person at the 2024 Annual Meeting or by proxy, you first must obtain a signed “legal proxy” from the bank, broker, trust company or other nominee through which you beneficially own your shares of Viatris common stock.</w:t>
      </w:r>
    </w:p>
    <w:p>
      <w:pPr>
        <w:spacing w:after="0" w:line="61"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3F3F3F"/>
        </w:rPr>
        <w:t>As of the close of business (5:00 p.m. Eastern Time) on October 11, 2024, there were 1,193,592,902 shares of Viatris common stock outstanding and entitled to vote. Each share of Viatris common stock, which is Viatris’ only outstanding voting security, is entitled to one vote on each matter properly brought before the 2024 Annual Meeting. Shareholders do not have cumulative voting rights.</w:t>
      </w:r>
    </w:p>
    <w:p>
      <w:pPr>
        <w:spacing w:after="0" w:line="300"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5A4C88"/>
        </w:rPr>
      </w:pPr>
      <w:r>
        <w:rPr>
          <w:rFonts w:ascii="Arial" w:cs="Arial" w:eastAsia="Arial" w:hAnsi="Arial"/>
          <w:sz w:val="18"/>
          <w:szCs w:val="18"/>
          <w:b w:val="1"/>
          <w:bCs w:val="1"/>
          <w:color w:val="5A4C88"/>
        </w:rPr>
        <w:t>What vote is required to elect Directors and adopt each of the other proposals discussed in this Proxy Statement?</w:t>
      </w:r>
    </w:p>
    <w:p>
      <w:pPr>
        <w:spacing w:after="0" w:line="117"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color w:val="3F3F3F"/>
        </w:rPr>
      </w:pPr>
      <w:r>
        <w:rPr>
          <w:rFonts w:ascii="Arial" w:cs="Arial" w:eastAsia="Arial" w:hAnsi="Arial"/>
          <w:sz w:val="18"/>
          <w:szCs w:val="18"/>
          <w:color w:val="3F3F3F"/>
        </w:rPr>
        <w:t>If a quorum exists at the 2024 Annual Meeting, shareholders shall have approved:</w:t>
      </w:r>
    </w:p>
    <w:p>
      <w:pPr>
        <w:spacing w:after="0" w:line="117" w:lineRule="exact"/>
        <w:rPr>
          <w:rFonts w:ascii="Arial" w:cs="Arial" w:eastAsia="Arial" w:hAnsi="Arial"/>
          <w:sz w:val="18"/>
          <w:szCs w:val="18"/>
          <w:color w:val="3F3F3F"/>
        </w:rPr>
      </w:pPr>
    </w:p>
    <w:p>
      <w:pPr>
        <w:ind w:left="980" w:right="40" w:hanging="432"/>
        <w:spacing w:after="0"/>
        <w:tabs>
          <w:tab w:leader="none" w:pos="980" w:val="left"/>
        </w:tabs>
        <w:numPr>
          <w:ilvl w:val="1"/>
          <w:numId w:val="93"/>
        </w:numPr>
        <w:rPr>
          <w:rFonts w:ascii="Arial" w:cs="Arial" w:eastAsia="Arial" w:hAnsi="Arial"/>
          <w:sz w:val="18"/>
          <w:szCs w:val="18"/>
          <w:color w:val="3F3F3F"/>
        </w:rPr>
      </w:pPr>
      <w:r>
        <w:rPr>
          <w:rFonts w:ascii="Arial" w:cs="Arial" w:eastAsia="Arial" w:hAnsi="Arial"/>
          <w:sz w:val="18"/>
          <w:szCs w:val="18"/>
          <w:color w:val="3F3F3F"/>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their irrevocable resignation to the Board in accordance with our Bylaws (Please see </w:t>
      </w:r>
      <w:r>
        <w:rPr>
          <w:rFonts w:ascii="Arial" w:cs="Arial" w:eastAsia="Arial" w:hAnsi="Arial"/>
          <w:sz w:val="18"/>
          <w:szCs w:val="18"/>
          <w:color w:val="9659A1"/>
        </w:rPr>
        <w:t>“How Our Board Governs and Is Governed – Viatris’ Board Structure”</w:t>
      </w:r>
      <w:r>
        <w:rPr>
          <w:rFonts w:ascii="Arial" w:cs="Arial" w:eastAsia="Arial" w:hAnsi="Arial"/>
          <w:sz w:val="18"/>
          <w:szCs w:val="18"/>
          <w:color w:val="3F3F3F"/>
        </w:rPr>
        <w:t xml:space="preserve"> beginning on page 25).</w:t>
      </w:r>
    </w:p>
    <w:p>
      <w:pPr>
        <w:spacing w:after="0" w:line="90" w:lineRule="exact"/>
        <w:rPr>
          <w:rFonts w:ascii="Arial" w:cs="Arial" w:eastAsia="Arial" w:hAnsi="Arial"/>
          <w:sz w:val="18"/>
          <w:szCs w:val="18"/>
          <w:color w:val="3F3F3F"/>
        </w:rPr>
      </w:pPr>
    </w:p>
    <w:p>
      <w:pPr>
        <w:ind w:left="980" w:right="120" w:hanging="432"/>
        <w:spacing w:after="0" w:line="242" w:lineRule="auto"/>
        <w:tabs>
          <w:tab w:leader="none" w:pos="980" w:val="left"/>
        </w:tabs>
        <w:numPr>
          <w:ilvl w:val="1"/>
          <w:numId w:val="93"/>
        </w:numPr>
        <w:rPr>
          <w:rFonts w:ascii="Arial" w:cs="Arial" w:eastAsia="Arial" w:hAnsi="Arial"/>
          <w:sz w:val="18"/>
          <w:szCs w:val="18"/>
          <w:color w:val="3F3F3F"/>
        </w:rPr>
      </w:pPr>
      <w:r>
        <w:rPr>
          <w:rFonts w:ascii="Arial" w:cs="Arial" w:eastAsia="Arial" w:hAnsi="Arial"/>
          <w:sz w:val="18"/>
          <w:szCs w:val="18"/>
          <w:color w:val="3F3F3F"/>
        </w:rPr>
        <w:t>the Say-on-Pay vote, ratification of the selection of Deloitte as Viatris’ independent registered public accounting firm for the fiscal year ending December 31, 2024, and the amendment to the 2020 Plan, if, in each case,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these matters.</w:t>
      </w:r>
    </w:p>
    <w:p>
      <w:pPr>
        <w:spacing w:after="0" w:line="206"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5A4C88"/>
        </w:rPr>
      </w:pPr>
      <w:r>
        <w:rPr>
          <w:rFonts w:ascii="Arial" w:cs="Arial" w:eastAsia="Arial" w:hAnsi="Arial"/>
          <w:sz w:val="18"/>
          <w:szCs w:val="18"/>
          <w:b w:val="1"/>
          <w:bCs w:val="1"/>
          <w:color w:val="5A4C88"/>
        </w:rPr>
        <w:t>What constitutes a quorum?</w:t>
      </w:r>
    </w:p>
    <w:p>
      <w:pPr>
        <w:spacing w:after="0" w:line="117" w:lineRule="exact"/>
        <w:rPr>
          <w:sz w:val="20"/>
          <w:szCs w:val="20"/>
          <w:color w:val="auto"/>
        </w:rPr>
      </w:pPr>
    </w:p>
    <w:p>
      <w:pPr>
        <w:ind w:left="540" w:right="40" w:hanging="424"/>
        <w:spacing w:after="0" w:line="253" w:lineRule="auto"/>
        <w:tabs>
          <w:tab w:leader="none" w:pos="540" w:val="left"/>
        </w:tabs>
        <w:numPr>
          <w:ilvl w:val="0"/>
          <w:numId w:val="95"/>
        </w:numPr>
        <w:rPr>
          <w:rFonts w:ascii="Arial" w:cs="Arial" w:eastAsia="Arial" w:hAnsi="Arial"/>
          <w:sz w:val="18"/>
          <w:szCs w:val="18"/>
          <w:color w:val="3F3F3F"/>
        </w:rPr>
      </w:pPr>
      <w:r>
        <w:rPr>
          <w:rFonts w:ascii="Arial" w:cs="Arial" w:eastAsia="Arial" w:hAnsi="Arial"/>
          <w:sz w:val="18"/>
          <w:szCs w:val="18"/>
          <w:color w:val="3F3F3F"/>
        </w:rPr>
        <w:t>The holders of stock representing a majority of the voting power of all shares of stock issued and outstanding and entitled to vote at the 2024 Annual Meeting, present in person or represented by proxy, constitutes a quorum. Broker non-votes and abstentions will be considered for purposes of establishing a quorum.</w:t>
      </w:r>
    </w:p>
    <w:p>
      <w:pPr>
        <w:spacing w:after="0" w:line="196"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b w:val="1"/>
          <w:bCs w:val="1"/>
          <w:color w:val="5A4C88"/>
        </w:rPr>
      </w:pPr>
      <w:r>
        <w:rPr>
          <w:rFonts w:ascii="Arial" w:cs="Arial" w:eastAsia="Arial" w:hAnsi="Arial"/>
          <w:sz w:val="18"/>
          <w:szCs w:val="18"/>
          <w:b w:val="1"/>
          <w:bCs w:val="1"/>
          <w:color w:val="5A4C88"/>
        </w:rPr>
        <w:t>How do I vote if I was a registered shareholder of Viatris as of the Record Date?</w:t>
      </w:r>
    </w:p>
    <w:p>
      <w:pPr>
        <w:spacing w:after="0" w:line="117"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color w:val="3F3F3F"/>
        </w:rPr>
      </w:pPr>
      <w:r>
        <w:rPr>
          <w:rFonts w:ascii="Arial" w:cs="Arial" w:eastAsia="Arial" w:hAnsi="Arial"/>
          <w:sz w:val="18"/>
          <w:szCs w:val="18"/>
          <w:color w:val="3F3F3F"/>
        </w:rPr>
        <w:t>If you were a registered shareholder as of the Record Date, the Internet Notice has been sent directly to you.</w:t>
      </w:r>
    </w:p>
    <w:p>
      <w:pPr>
        <w:spacing w:after="0" w:line="103" w:lineRule="exact"/>
        <w:rPr>
          <w:rFonts w:ascii="Arial" w:cs="Arial" w:eastAsia="Arial" w:hAnsi="Arial"/>
          <w:sz w:val="18"/>
          <w:szCs w:val="18"/>
          <w:color w:val="3F3F3F"/>
        </w:rPr>
      </w:pPr>
    </w:p>
    <w:p>
      <w:pPr>
        <w:ind w:left="560" w:right="120"/>
        <w:spacing w:after="0" w:line="253" w:lineRule="auto"/>
        <w:rPr>
          <w:rFonts w:ascii="Arial" w:cs="Arial" w:eastAsia="Arial" w:hAnsi="Arial"/>
          <w:sz w:val="18"/>
          <w:szCs w:val="18"/>
          <w:color w:val="3F3F3F"/>
        </w:rPr>
      </w:pPr>
      <w:r>
        <w:rPr>
          <w:rFonts w:ascii="Arial" w:cs="Arial" w:eastAsia="Arial" w:hAnsi="Arial"/>
          <w:sz w:val="18"/>
          <w:szCs w:val="18"/>
          <w:color w:val="3F3F3F"/>
        </w:rPr>
        <w:t>If you were a registered shareholder as of the Record Date, plan to attend the 2024 Annual Meeting and wish to vote in person, you will be given a ballot at the 2024 Annual Meeting. In addition, if you plan to attend the 2024 Annual Meeting, please be prepared to provide proper identification, such as a valid driver’s license or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160"/>
        <w:spacing w:after="0" w:line="247" w:lineRule="auto"/>
        <w:rPr>
          <w:sz w:val="20"/>
          <w:szCs w:val="20"/>
          <w:color w:val="auto"/>
        </w:rPr>
      </w:pPr>
      <w:r>
        <w:rPr>
          <w:rFonts w:ascii="Arial" w:cs="Arial" w:eastAsia="Arial" w:hAnsi="Arial"/>
          <w:sz w:val="18"/>
          <w:szCs w:val="18"/>
          <w:color w:val="3F3F3F"/>
        </w:rPr>
        <w:t>If you were a registered shareholder as of the Record Date and do not plan to attend the 2024 Annual Meeting in person, you may cast your vote no later than December 5, 2024 at 11:00 a.m. Eastern Time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See the Internet Notice and Notice of 2024 Annual Meeting of Shareholders above for additional information about how to vote.</w:t>
      </w:r>
    </w:p>
    <w:p>
      <w:pPr>
        <w:spacing w:after="0" w:line="104" w:lineRule="exact"/>
        <w:rPr>
          <w:sz w:val="20"/>
          <w:szCs w:val="20"/>
          <w:color w:val="auto"/>
        </w:rPr>
      </w:pPr>
    </w:p>
    <w:p>
      <w:pPr>
        <w:ind w:left="560" w:right="200"/>
        <w:spacing w:after="0"/>
        <w:rPr>
          <w:sz w:val="20"/>
          <w:szCs w:val="20"/>
          <w:color w:val="auto"/>
        </w:rPr>
      </w:pPr>
      <w:r>
        <w:rPr>
          <w:rFonts w:ascii="Arial" w:cs="Arial" w:eastAsia="Arial" w:hAnsi="Arial"/>
          <w:sz w:val="18"/>
          <w:szCs w:val="18"/>
          <w:color w:val="3F3F3F"/>
        </w:rPr>
        <w:t>If you were a registered shareholder as of the Record Date and you vote by proxy, the individuals named as proxy holders will vote your shares of Viatris common stock in the manner you indicate. All shares of Viatris common stock represented by properly executed proxies received no later than the Cut-Off Time will be voted at the meeting in the manner specified by the Viatris shareholder giving those proxies. If the proxy is returned without an indication as to how the shares of Viatris 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w:t>
      </w:r>
    </w:p>
    <w:p>
      <w:pPr>
        <w:spacing w:after="0" w:line="212" w:lineRule="exact"/>
        <w:rPr>
          <w:sz w:val="20"/>
          <w:szCs w:val="20"/>
          <w:color w:val="auto"/>
        </w:rPr>
      </w:pPr>
    </w:p>
    <w:p>
      <w:pPr>
        <w:ind w:left="540" w:right="20" w:hanging="424"/>
        <w:spacing w:after="0" w:line="244" w:lineRule="auto"/>
        <w:tabs>
          <w:tab w:leader="none" w:pos="540" w:val="left"/>
        </w:tabs>
        <w:numPr>
          <w:ilvl w:val="0"/>
          <w:numId w:val="98"/>
        </w:numPr>
        <w:rPr>
          <w:rFonts w:ascii="Arial" w:cs="Arial" w:eastAsia="Arial" w:hAnsi="Arial"/>
          <w:sz w:val="18"/>
          <w:szCs w:val="18"/>
          <w:b w:val="1"/>
          <w:bCs w:val="1"/>
          <w:color w:val="5A4C88"/>
        </w:rPr>
      </w:pPr>
      <w:r>
        <w:rPr>
          <w:rFonts w:ascii="Arial" w:cs="Arial" w:eastAsia="Arial" w:hAnsi="Arial"/>
          <w:sz w:val="18"/>
          <w:szCs w:val="18"/>
          <w:b w:val="1"/>
          <w:bCs w:val="1"/>
          <w:color w:val="5A4C88"/>
        </w:rPr>
        <w:t>How do I vote if I am a participant in the Mylan Profit Sharing 401(k) Plan or the Pfizer Pharmaceuticals LLC Profit Sharing Employee Savings Plan (formerly, the Mylan Puerto Rico Profit Sharing Employee Savings Plan), or I am a participant in the Auro PR Inc. Profit Sharing Employee Savings Plan (formerly known as the Aurobindo Employee Savings Plan and formerly the Mylan LLC Profit Sharing Employee Savings Plan that was transferred to Auro PR Inc. as part of the purchase of Mylan Consumer Healthcare, Inc. on December 31, 2021), and continue to hold shares of Viatris common stock in my plan account?</w:t>
      </w:r>
    </w:p>
    <w:p>
      <w:pPr>
        <w:spacing w:after="0" w:line="74" w:lineRule="exact"/>
        <w:rPr>
          <w:sz w:val="20"/>
          <w:szCs w:val="20"/>
          <w:color w:val="auto"/>
        </w:rPr>
      </w:pPr>
    </w:p>
    <w:p>
      <w:pPr>
        <w:ind w:left="540" w:right="120" w:hanging="424"/>
        <w:spacing w:after="0" w:line="244" w:lineRule="auto"/>
        <w:tabs>
          <w:tab w:leader="none" w:pos="540" w:val="left"/>
        </w:tabs>
        <w:numPr>
          <w:ilvl w:val="0"/>
          <w:numId w:val="99"/>
        </w:numPr>
        <w:rPr>
          <w:rFonts w:ascii="Arial" w:cs="Arial" w:eastAsia="Arial" w:hAnsi="Arial"/>
          <w:sz w:val="18"/>
          <w:szCs w:val="18"/>
          <w:color w:val="3F3F3F"/>
        </w:rPr>
      </w:pPr>
      <w:r>
        <w:rPr>
          <w:rFonts w:ascii="Arial" w:cs="Arial" w:eastAsia="Arial" w:hAnsi="Arial"/>
          <w:sz w:val="18"/>
          <w:szCs w:val="18"/>
          <w:color w:val="3F3F3F"/>
        </w:rPr>
        <w:t>Participants in the Mylan Profit Sharing 401(k) Plan, the Pfizer Pharmaceuticals LLC Profit Sharing Employee Savings Plan and the Auro PR Inc. Profit Sharing Employee Savings Plan and who continue to hold Viatris common stock in their plan accounts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December 4, 2024 at 8:00 a.m. Eastern Time.</w:t>
      </w:r>
    </w:p>
    <w:p>
      <w:pPr>
        <w:spacing w:after="0" w:line="203"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5A4C88"/>
        </w:rPr>
      </w:pPr>
      <w:r>
        <w:rPr>
          <w:rFonts w:ascii="Arial" w:cs="Arial" w:eastAsia="Arial" w:hAnsi="Arial"/>
          <w:sz w:val="18"/>
          <w:szCs w:val="18"/>
          <w:b w:val="1"/>
          <w:bCs w:val="1"/>
          <w:color w:val="5A4C88"/>
        </w:rPr>
        <w:t>How do I vote if I am a beneficial owner of shares of Viatris common stock and hold them in street name?</w:t>
      </w:r>
    </w:p>
    <w:p>
      <w:pPr>
        <w:spacing w:after="0" w:line="117" w:lineRule="exact"/>
        <w:rPr>
          <w:sz w:val="20"/>
          <w:szCs w:val="20"/>
          <w:color w:val="auto"/>
        </w:rPr>
      </w:pPr>
    </w:p>
    <w:p>
      <w:pPr>
        <w:ind w:left="540" w:right="240" w:hanging="424"/>
        <w:spacing w:after="0" w:line="244" w:lineRule="auto"/>
        <w:tabs>
          <w:tab w:leader="none" w:pos="540" w:val="left"/>
        </w:tabs>
        <w:numPr>
          <w:ilvl w:val="0"/>
          <w:numId w:val="101"/>
        </w:numPr>
        <w:rPr>
          <w:rFonts w:ascii="Arial" w:cs="Arial" w:eastAsia="Arial" w:hAnsi="Arial"/>
          <w:sz w:val="18"/>
          <w:szCs w:val="18"/>
          <w:color w:val="3F3F3F"/>
        </w:rPr>
      </w:pPr>
      <w:r>
        <w:rPr>
          <w:rFonts w:ascii="Arial" w:cs="Arial" w:eastAsia="Arial" w:hAnsi="Arial"/>
          <w:sz w:val="18"/>
          <w:szCs w:val="18"/>
          <w:color w:val="3F3F3F"/>
        </w:rPr>
        <w:t>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 Please comply with the deadlines included in the voting instructions provided by your broker, bank, trust company or other nominee.</w:t>
      </w:r>
    </w:p>
    <w:p>
      <w:pPr>
        <w:spacing w:after="0" w:line="68" w:lineRule="exact"/>
        <w:rPr>
          <w:rFonts w:ascii="Arial" w:cs="Arial" w:eastAsia="Arial" w:hAnsi="Arial"/>
          <w:sz w:val="18"/>
          <w:szCs w:val="18"/>
          <w:color w:val="3F3F3F"/>
        </w:rPr>
      </w:pPr>
    </w:p>
    <w:p>
      <w:pPr>
        <w:ind w:left="560"/>
        <w:spacing w:after="0"/>
        <w:rPr>
          <w:rFonts w:ascii="Arial" w:cs="Arial" w:eastAsia="Arial" w:hAnsi="Arial"/>
          <w:sz w:val="18"/>
          <w:szCs w:val="18"/>
          <w:color w:val="3F3F3F"/>
        </w:rPr>
      </w:pPr>
      <w:r>
        <w:rPr>
          <w:rFonts w:ascii="Arial" w:cs="Arial" w:eastAsia="Arial" w:hAnsi="Arial"/>
          <w:sz w:val="18"/>
          <w:szCs w:val="18"/>
          <w:color w:val="3F3F3F"/>
        </w:rPr>
        <w:t>If you are a beneficial owner of Viatris common stock and hold your shares in street name, plan to attend the 2024 Annual Meeting, and wish to vote in person, you will be given a ballot at the 2024 Annual Meeting. Please note, however, that you must bring to the 2024 Annual Meeting a legal proxy executed in your favor from the registered shareholder of the underlying shares on the Record Date (through your broker, bank, trust company or other nominee) authorizing you to vote at the 2024 Annual Meeting. You must also provide proof of ownership, such as a recent account statement or letter from your brokerage firm, bank nominee or other institution proving ownership on the Record Date. In addition, if you plan to attend the 2024 Annual Meeting, please be prepared to provide proper identification, such as a valid driver’s license or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A-4 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140"/>
        <w:spacing w:after="0" w:line="253" w:lineRule="auto"/>
        <w:rPr>
          <w:sz w:val="20"/>
          <w:szCs w:val="20"/>
          <w:color w:val="auto"/>
        </w:rPr>
      </w:pPr>
      <w:r>
        <w:rPr>
          <w:rFonts w:ascii="Arial" w:cs="Arial" w:eastAsia="Arial" w:hAnsi="Arial"/>
          <w:sz w:val="18"/>
          <w:szCs w:val="18"/>
          <w:color w:val="3F3F3F"/>
        </w:rPr>
        <w:t xml:space="preserve">If you are a beneficial owner of shares of Viatris common stock and hold your shares in street name, see </w:t>
      </w:r>
      <w:r>
        <w:rPr>
          <w:rFonts w:ascii="Arial" w:cs="Arial" w:eastAsia="Arial" w:hAnsi="Arial"/>
          <w:sz w:val="18"/>
          <w:szCs w:val="18"/>
          <w:color w:val="9659A1"/>
        </w:rPr>
        <w:t>“If my shares are held in</w:t>
      </w:r>
      <w:r>
        <w:rPr>
          <w:rFonts w:ascii="Arial" w:cs="Arial" w:eastAsia="Arial" w:hAnsi="Arial"/>
          <w:sz w:val="18"/>
          <w:szCs w:val="18"/>
          <w:color w:val="3F3F3F"/>
        </w:rPr>
        <w:t xml:space="preserve"> </w:t>
      </w:r>
      <w:r>
        <w:rPr>
          <w:rFonts w:ascii="Arial" w:cs="Arial" w:eastAsia="Arial" w:hAnsi="Arial"/>
          <w:sz w:val="18"/>
          <w:szCs w:val="18"/>
          <w:color w:val="9659A1"/>
        </w:rPr>
        <w:t xml:space="preserve">street name by my broker, will my broker automatically vote my shares for me?” </w:t>
      </w:r>
      <w:r>
        <w:rPr>
          <w:rFonts w:ascii="Arial" w:cs="Arial" w:eastAsia="Arial" w:hAnsi="Arial"/>
          <w:sz w:val="18"/>
          <w:szCs w:val="18"/>
          <w:color w:val="3F3F3F"/>
        </w:rPr>
        <w:t>below for more information on giving instructions to</w:t>
      </w:r>
      <w:r>
        <w:rPr>
          <w:rFonts w:ascii="Arial" w:cs="Arial" w:eastAsia="Arial" w:hAnsi="Arial"/>
          <w:sz w:val="18"/>
          <w:szCs w:val="18"/>
          <w:color w:val="9659A1"/>
        </w:rPr>
        <w:t xml:space="preserve"> </w:t>
      </w:r>
      <w:r>
        <w:rPr>
          <w:rFonts w:ascii="Arial" w:cs="Arial" w:eastAsia="Arial" w:hAnsi="Arial"/>
          <w:sz w:val="18"/>
          <w:szCs w:val="18"/>
          <w:color w:val="3F3F3F"/>
        </w:rPr>
        <w:t>your broker, bank, trust company or other nominee.</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See the Internet Notice and Notice of 2024 Annual Meeting of Shareholders above for additional information about how to vote.</w:t>
      </w:r>
    </w:p>
    <w:p>
      <w:pPr>
        <w:spacing w:after="0" w:line="239"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5A4C88"/>
        </w:rPr>
      </w:pPr>
      <w:r>
        <w:rPr>
          <w:rFonts w:ascii="Arial" w:cs="Arial" w:eastAsia="Arial" w:hAnsi="Arial"/>
          <w:sz w:val="18"/>
          <w:szCs w:val="18"/>
          <w:b w:val="1"/>
          <w:bCs w:val="1"/>
          <w:color w:val="5A4C88"/>
        </w:rPr>
        <w:t>If my shares are held in street name by my broker, will my broker automatically vote my shares for me?</w:t>
      </w:r>
    </w:p>
    <w:p>
      <w:pPr>
        <w:spacing w:after="0" w:line="117" w:lineRule="exact"/>
        <w:rPr>
          <w:sz w:val="20"/>
          <w:szCs w:val="20"/>
          <w:color w:val="auto"/>
        </w:rPr>
      </w:pPr>
    </w:p>
    <w:p>
      <w:pPr>
        <w:ind w:left="540" w:right="60" w:hanging="424"/>
        <w:spacing w:after="0" w:line="242" w:lineRule="auto"/>
        <w:tabs>
          <w:tab w:leader="none" w:pos="540" w:val="left"/>
        </w:tabs>
        <w:numPr>
          <w:ilvl w:val="0"/>
          <w:numId w:val="103"/>
        </w:numPr>
        <w:rPr>
          <w:rFonts w:ascii="Arial" w:cs="Arial" w:eastAsia="Arial" w:hAnsi="Arial"/>
          <w:sz w:val="18"/>
          <w:szCs w:val="18"/>
          <w:color w:val="3F3F3F"/>
        </w:rPr>
      </w:pPr>
      <w:r>
        <w:rPr>
          <w:rFonts w:ascii="Arial" w:cs="Arial" w:eastAsia="Arial" w:hAnsi="Arial"/>
          <w:sz w:val="18"/>
          <w:szCs w:val="18"/>
          <w:color w:val="3F3F3F"/>
        </w:rPr>
        <w:t>If you are a beneficial owner of Viatris common stock and hold your shares in street name, your broker, bank, trust company or other nominee cannot vote your shares on non-routine matters without instructions from you. All of the items to be voted on at the 2024 Annual Meeting other than the ratification of the selection of Deloitte as Viatris’ independent registered public accounting firm for fiscal year 2024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w:t>
      </w:r>
    </w:p>
    <w:p>
      <w:pPr>
        <w:spacing w:after="0" w:line="70" w:lineRule="exact"/>
        <w:rPr>
          <w:rFonts w:ascii="Arial" w:cs="Arial" w:eastAsia="Arial" w:hAnsi="Arial"/>
          <w:sz w:val="18"/>
          <w:szCs w:val="18"/>
          <w:color w:val="3F3F3F"/>
        </w:rPr>
      </w:pPr>
    </w:p>
    <w:p>
      <w:pPr>
        <w:ind w:left="560" w:right="40"/>
        <w:spacing w:after="0" w:line="247" w:lineRule="auto"/>
        <w:rPr>
          <w:rFonts w:ascii="Arial" w:cs="Arial" w:eastAsia="Arial" w:hAnsi="Arial"/>
          <w:sz w:val="18"/>
          <w:szCs w:val="18"/>
          <w:color w:val="3F3F3F"/>
        </w:rPr>
      </w:pPr>
      <w:r>
        <w:rPr>
          <w:rFonts w:ascii="Arial" w:cs="Arial" w:eastAsia="Arial" w:hAnsi="Arial"/>
          <w:sz w:val="18"/>
          <w:szCs w:val="18"/>
          <w:color w:val="3F3F3F"/>
        </w:rPr>
        <w:t>If you do not give instructions to your broker, bank, trust company or other nominee, (i) your shares will not be voted on any proposal on which the broker does not have discretionary authority to vote (a so-called “broker non-vote”) but (ii) the broker, bank, trust company or other nominee will nevertheless be entitled to vote your shares of common stock in its discretion on routine matters and may give or authorize the giving of a proxy to vote such shares in its discretion on such matters.</w:t>
      </w:r>
    </w:p>
    <w:p>
      <w:pPr>
        <w:spacing w:after="0" w:line="65" w:lineRule="exact"/>
        <w:rPr>
          <w:rFonts w:ascii="Arial" w:cs="Arial" w:eastAsia="Arial" w:hAnsi="Arial"/>
          <w:sz w:val="18"/>
          <w:szCs w:val="18"/>
          <w:color w:val="3F3F3F"/>
        </w:rPr>
      </w:pPr>
    </w:p>
    <w:p>
      <w:pPr>
        <w:ind w:left="560" w:right="200"/>
        <w:spacing w:after="0" w:line="247" w:lineRule="auto"/>
        <w:rPr>
          <w:rFonts w:ascii="Arial" w:cs="Arial" w:eastAsia="Arial" w:hAnsi="Arial"/>
          <w:sz w:val="18"/>
          <w:szCs w:val="18"/>
          <w:color w:val="3F3F3F"/>
        </w:rPr>
      </w:pPr>
      <w:r>
        <w:rPr>
          <w:rFonts w:ascii="Arial" w:cs="Arial" w:eastAsia="Arial" w:hAnsi="Arial"/>
          <w:sz w:val="18"/>
          <w:szCs w:val="18"/>
          <w:color w:val="3F3F3F"/>
        </w:rPr>
        <w:t>As discussed above, beneficial owners of Viatris common stock held through a broker, bank, trust company or other nominee may not vote the underlying shares at the 2024 Annual Meeting unless they first obtain (where appropriate, through the relevant broker, bank, trust company or other nominee) a signed proxy card from the relevant registered shareholder on the Record Date of the underlying shares of common stock.</w:t>
      </w:r>
    </w:p>
    <w:p>
      <w:pPr>
        <w:spacing w:after="0" w:line="201"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5A4C88"/>
        </w:rPr>
      </w:pPr>
      <w:r>
        <w:rPr>
          <w:rFonts w:ascii="Arial" w:cs="Arial" w:eastAsia="Arial" w:hAnsi="Arial"/>
          <w:sz w:val="18"/>
          <w:szCs w:val="18"/>
          <w:b w:val="1"/>
          <w:bCs w:val="1"/>
          <w:color w:val="5A4C88"/>
        </w:rPr>
        <w:t>May I change my vote or revoke my proxy or voting instructions after I have voted?</w:t>
      </w:r>
    </w:p>
    <w:p>
      <w:pPr>
        <w:spacing w:after="0" w:line="117" w:lineRule="exact"/>
        <w:rPr>
          <w:sz w:val="20"/>
          <w:szCs w:val="20"/>
          <w:color w:val="auto"/>
        </w:rPr>
      </w:pPr>
    </w:p>
    <w:p>
      <w:pPr>
        <w:ind w:left="540" w:right="100" w:hanging="424"/>
        <w:spacing w:after="0" w:line="242" w:lineRule="auto"/>
        <w:tabs>
          <w:tab w:leader="none" w:pos="540" w:val="left"/>
        </w:tabs>
        <w:numPr>
          <w:ilvl w:val="0"/>
          <w:numId w:val="105"/>
        </w:numPr>
        <w:rPr>
          <w:rFonts w:ascii="Arial" w:cs="Arial" w:eastAsia="Arial" w:hAnsi="Arial"/>
          <w:sz w:val="18"/>
          <w:szCs w:val="18"/>
          <w:color w:val="3F3F3F"/>
        </w:rPr>
      </w:pPr>
      <w:r>
        <w:rPr>
          <w:rFonts w:ascii="Arial" w:cs="Arial" w:eastAsia="Arial" w:hAnsi="Arial"/>
          <w:sz w:val="18"/>
          <w:szCs w:val="18"/>
          <w:color w:val="3F3F3F"/>
        </w:rPr>
        <w:t>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2024 Annual Meeting (prior to the Cut-Off Time in the manner described above) and vote in person. You may also revoke your proxy by sending a written statement prior to the Cut-Off Time revoking your proxy to Viatris’ Corporate Address to the attention of Viatris’ Corporate Secretary.</w:t>
      </w:r>
    </w:p>
    <w:p>
      <w:pPr>
        <w:spacing w:after="0" w:line="70" w:lineRule="exact"/>
        <w:rPr>
          <w:rFonts w:ascii="Arial" w:cs="Arial" w:eastAsia="Arial" w:hAnsi="Arial"/>
          <w:sz w:val="18"/>
          <w:szCs w:val="18"/>
          <w:color w:val="3F3F3F"/>
        </w:rPr>
      </w:pPr>
    </w:p>
    <w:p>
      <w:pPr>
        <w:ind w:left="560" w:right="40"/>
        <w:spacing w:after="0" w:line="271" w:lineRule="auto"/>
        <w:rPr>
          <w:rFonts w:ascii="Arial" w:cs="Arial" w:eastAsia="Arial" w:hAnsi="Arial"/>
          <w:sz w:val="18"/>
          <w:szCs w:val="18"/>
          <w:color w:val="3F3F3F"/>
        </w:rPr>
      </w:pPr>
      <w:r>
        <w:rPr>
          <w:rFonts w:ascii="Arial" w:cs="Arial" w:eastAsia="Arial" w:hAnsi="Arial"/>
          <w:sz w:val="18"/>
          <w:szCs w:val="18"/>
          <w:color w:val="3F3F3F"/>
        </w:rPr>
        <w:t>If your shares are held through and/or in street name by your broker, bank, trust company or other nominee, you should contact your broker, bank, trust company or other nominee to change your vote or revoke your voting instructions.</w:t>
      </w:r>
    </w:p>
    <w:p>
      <w:pPr>
        <w:spacing w:after="0" w:line="181"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5A4C88"/>
        </w:rPr>
      </w:pPr>
      <w:r>
        <w:rPr>
          <w:rFonts w:ascii="Arial" w:cs="Arial" w:eastAsia="Arial" w:hAnsi="Arial"/>
          <w:sz w:val="18"/>
          <w:szCs w:val="18"/>
          <w:b w:val="1"/>
          <w:bCs w:val="1"/>
          <w:color w:val="5A4C88"/>
        </w:rPr>
        <w:t>What happens if I transfer my shares of Viatris common stock before the 2024 Annual Meeting?</w:t>
      </w:r>
    </w:p>
    <w:p>
      <w:pPr>
        <w:spacing w:after="0" w:line="117" w:lineRule="exact"/>
        <w:rPr>
          <w:sz w:val="20"/>
          <w:szCs w:val="20"/>
          <w:color w:val="auto"/>
        </w:rPr>
      </w:pPr>
    </w:p>
    <w:p>
      <w:pPr>
        <w:ind w:left="540" w:right="420" w:hanging="424"/>
        <w:spacing w:after="0" w:line="271" w:lineRule="auto"/>
        <w:tabs>
          <w:tab w:leader="none" w:pos="540" w:val="left"/>
        </w:tabs>
        <w:numPr>
          <w:ilvl w:val="0"/>
          <w:numId w:val="107"/>
        </w:numPr>
        <w:rPr>
          <w:rFonts w:ascii="Arial" w:cs="Arial" w:eastAsia="Arial" w:hAnsi="Arial"/>
          <w:sz w:val="18"/>
          <w:szCs w:val="18"/>
          <w:color w:val="3F3F3F"/>
        </w:rPr>
      </w:pPr>
      <w:r>
        <w:rPr>
          <w:rFonts w:ascii="Arial" w:cs="Arial" w:eastAsia="Arial" w:hAnsi="Arial"/>
          <w:sz w:val="18"/>
          <w:szCs w:val="18"/>
          <w:color w:val="3F3F3F"/>
        </w:rPr>
        <w:t>The Record Date for the 2024 Annual Meeting is earlier than the date of the 2024 Annual Meeting. If you transfer your shares of Viatris common stock after the Record Date, you will retain your right to attend and vote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29450" cy="68580"/>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5A4C88"/>
        </w:rPr>
      </w:pPr>
      <w:r>
        <w:rPr>
          <w:rFonts w:ascii="Arial" w:cs="Arial" w:eastAsia="Arial" w:hAnsi="Arial"/>
          <w:sz w:val="18"/>
          <w:szCs w:val="18"/>
          <w:b w:val="1"/>
          <w:bCs w:val="1"/>
          <w:color w:val="5A4C88"/>
        </w:rPr>
        <w:t>Who tabulates the votes?</w:t>
      </w:r>
    </w:p>
    <w:p>
      <w:pPr>
        <w:spacing w:after="0" w:line="117" w:lineRule="exact"/>
        <w:rPr>
          <w:sz w:val="20"/>
          <w:szCs w:val="20"/>
          <w:color w:val="auto"/>
        </w:rPr>
      </w:pPr>
    </w:p>
    <w:p>
      <w:pPr>
        <w:ind w:left="540" w:right="440" w:hanging="424"/>
        <w:spacing w:after="0" w:line="271" w:lineRule="auto"/>
        <w:tabs>
          <w:tab w:leader="none" w:pos="540" w:val="left"/>
        </w:tabs>
        <w:numPr>
          <w:ilvl w:val="0"/>
          <w:numId w:val="109"/>
        </w:numPr>
        <w:rPr>
          <w:rFonts w:ascii="Arial" w:cs="Arial" w:eastAsia="Arial" w:hAnsi="Arial"/>
          <w:sz w:val="18"/>
          <w:szCs w:val="18"/>
          <w:color w:val="3F3F3F"/>
        </w:rPr>
      </w:pPr>
      <w:r>
        <w:rPr>
          <w:rFonts w:ascii="Arial" w:cs="Arial" w:eastAsia="Arial" w:hAnsi="Arial"/>
          <w:sz w:val="18"/>
          <w:szCs w:val="18"/>
          <w:color w:val="3F3F3F"/>
        </w:rPr>
        <w:t>The inspector of election will, among other matters, determine the number of shares represented at the 2024 Annual Meeting to confirm the presence of a quorum, determine the validity of all proxies and ballots and certify the voting results.</w:t>
      </w:r>
    </w:p>
    <w:p>
      <w:pPr>
        <w:spacing w:after="0" w:line="181"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5A4C88"/>
        </w:rPr>
      </w:pPr>
      <w:r>
        <w:rPr>
          <w:rFonts w:ascii="Arial" w:cs="Arial" w:eastAsia="Arial" w:hAnsi="Arial"/>
          <w:sz w:val="18"/>
          <w:szCs w:val="18"/>
          <w:b w:val="1"/>
          <w:bCs w:val="1"/>
          <w:color w:val="5A4C88"/>
        </w:rPr>
        <w:t>Where can I find the voting results of the 2024 Annual Meeting?</w:t>
      </w:r>
    </w:p>
    <w:p>
      <w:pPr>
        <w:spacing w:after="0" w:line="117" w:lineRule="exact"/>
        <w:rPr>
          <w:sz w:val="20"/>
          <w:szCs w:val="20"/>
          <w:color w:val="auto"/>
        </w:rPr>
      </w:pPr>
    </w:p>
    <w:p>
      <w:pPr>
        <w:ind w:left="540" w:right="180" w:hanging="424"/>
        <w:spacing w:after="0" w:line="253" w:lineRule="auto"/>
        <w:tabs>
          <w:tab w:leader="none" w:pos="540" w:val="left"/>
        </w:tabs>
        <w:numPr>
          <w:ilvl w:val="0"/>
          <w:numId w:val="111"/>
        </w:numPr>
        <w:rPr>
          <w:rFonts w:ascii="Arial" w:cs="Arial" w:eastAsia="Arial" w:hAnsi="Arial"/>
          <w:sz w:val="18"/>
          <w:szCs w:val="18"/>
          <w:color w:val="3F3F3F"/>
        </w:rPr>
      </w:pPr>
      <w:r>
        <w:rPr>
          <w:rFonts w:ascii="Arial" w:cs="Arial" w:eastAsia="Arial" w:hAnsi="Arial"/>
          <w:sz w:val="18"/>
          <w:szCs w:val="18"/>
          <w:color w:val="3F3F3F"/>
        </w:rPr>
        <w:t>Viatris expects to announce the preliminary voting results at the 2024 Annual Meeting. In addition, within four business days following certification of the final voting results, Viatris intends to report the final voting results in a Current Report on Form 8-K filed with the SEC.</w:t>
      </w:r>
    </w:p>
    <w:p>
      <w:pPr>
        <w:spacing w:after="0" w:line="196"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5A4C88"/>
        </w:rPr>
      </w:pPr>
      <w:r>
        <w:rPr>
          <w:rFonts w:ascii="Arial" w:cs="Arial" w:eastAsia="Arial" w:hAnsi="Arial"/>
          <w:sz w:val="18"/>
          <w:szCs w:val="18"/>
          <w:b w:val="1"/>
          <w:bCs w:val="1"/>
          <w:color w:val="5A4C88"/>
        </w:rPr>
        <w:t>How are proxies solicited and what is the cost?</w:t>
      </w:r>
    </w:p>
    <w:p>
      <w:pPr>
        <w:spacing w:after="0" w:line="117" w:lineRule="exact"/>
        <w:rPr>
          <w:sz w:val="20"/>
          <w:szCs w:val="20"/>
          <w:color w:val="auto"/>
        </w:rPr>
      </w:pPr>
    </w:p>
    <w:p>
      <w:pPr>
        <w:ind w:left="540" w:right="120" w:hanging="424"/>
        <w:spacing w:after="0" w:line="242" w:lineRule="auto"/>
        <w:tabs>
          <w:tab w:leader="none" w:pos="540" w:val="left"/>
        </w:tabs>
        <w:numPr>
          <w:ilvl w:val="0"/>
          <w:numId w:val="113"/>
        </w:numPr>
        <w:rPr>
          <w:rFonts w:ascii="Arial" w:cs="Arial" w:eastAsia="Arial" w:hAnsi="Arial"/>
          <w:sz w:val="18"/>
          <w:szCs w:val="18"/>
          <w:color w:val="3F3F3F"/>
        </w:rPr>
      </w:pPr>
      <w:r>
        <w:rPr>
          <w:rFonts w:ascii="Arial" w:cs="Arial" w:eastAsia="Arial" w:hAnsi="Arial"/>
          <w:sz w:val="18"/>
          <w:szCs w:val="18"/>
          <w:color w:val="3F3F3F"/>
        </w:rPr>
        <w:t>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$25,000, plus reasonable expenses, for these 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w:t>
      </w:r>
    </w:p>
    <w:p>
      <w:pPr>
        <w:spacing w:after="0" w:line="206"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5A4C88"/>
        </w:rPr>
      </w:pPr>
      <w:r>
        <w:rPr>
          <w:rFonts w:ascii="Arial" w:cs="Arial" w:eastAsia="Arial" w:hAnsi="Arial"/>
          <w:sz w:val="18"/>
          <w:szCs w:val="18"/>
          <w:b w:val="1"/>
          <w:bCs w:val="1"/>
          <w:color w:val="5A4C88"/>
        </w:rPr>
        <w:t>What is householding?</w:t>
      </w:r>
    </w:p>
    <w:p>
      <w:pPr>
        <w:spacing w:after="0" w:line="117" w:lineRule="exact"/>
        <w:rPr>
          <w:sz w:val="20"/>
          <w:szCs w:val="20"/>
          <w:color w:val="auto"/>
        </w:rPr>
      </w:pPr>
    </w:p>
    <w:p>
      <w:pPr>
        <w:ind w:left="540" w:hanging="424"/>
        <w:spacing w:after="0" w:line="239" w:lineRule="auto"/>
        <w:tabs>
          <w:tab w:leader="none" w:pos="540" w:val="left"/>
        </w:tabs>
        <w:numPr>
          <w:ilvl w:val="0"/>
          <w:numId w:val="115"/>
        </w:numPr>
        <w:rPr>
          <w:rFonts w:ascii="Arial" w:cs="Arial" w:eastAsia="Arial" w:hAnsi="Arial"/>
          <w:sz w:val="18"/>
          <w:szCs w:val="18"/>
          <w:color w:val="3F3F3F"/>
        </w:rPr>
      </w:pPr>
      <w:r>
        <w:rPr>
          <w:rFonts w:ascii="Arial" w:cs="Arial" w:eastAsia="Arial" w:hAnsi="Arial"/>
          <w:sz w:val="18"/>
          <w:szCs w:val="18"/>
          <w:color w:val="3F3F3F"/>
        </w:rPr>
        <w:t xml:space="preserve">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postage costs. However, if any shareholder residing at such an address wishes to receive a separate copy of the Internet Notice and, if applicable, the proxy materials, Viatris will promptly deliver, upon oral or written request, a separate copy of the Internet Notice and, if applicable, the proxy materials to any shareholder residing at an address to which only one copy was mailed. If you would like to request additional copies of the Internet Notice and, if applicable, the proxy materials (or in the future would like to receive separate copies) or if you are receiving multiple copies and would like to request that only a single copy be mailed in the future, you can request householding by contacting the Corporate Secretary as described under </w:t>
      </w:r>
      <w:r>
        <w:rPr>
          <w:rFonts w:ascii="Arial" w:cs="Arial" w:eastAsia="Arial" w:hAnsi="Arial"/>
          <w:sz w:val="18"/>
          <w:szCs w:val="18"/>
          <w:color w:val="9659A1"/>
        </w:rPr>
        <w:t>“How may I communicate with Viatris’ Directors?”</w:t>
      </w:r>
      <w:r>
        <w:rPr>
          <w:rFonts w:ascii="Arial" w:cs="Arial" w:eastAsia="Arial" w:hAnsi="Arial"/>
          <w:sz w:val="18"/>
          <w:szCs w:val="18"/>
          <w:color w:val="3F3F3F"/>
        </w:rPr>
        <w:t xml:space="preserve"> below.</w:t>
      </w:r>
    </w:p>
    <w:p>
      <w:pPr>
        <w:spacing w:after="0" w:line="21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5A4C88"/>
        </w:rPr>
      </w:pPr>
      <w:r>
        <w:rPr>
          <w:rFonts w:ascii="Arial" w:cs="Arial" w:eastAsia="Arial" w:hAnsi="Arial"/>
          <w:sz w:val="18"/>
          <w:szCs w:val="18"/>
          <w:b w:val="1"/>
          <w:bCs w:val="1"/>
          <w:color w:val="5A4C88"/>
        </w:rPr>
        <w:t>How may I communicate with Viatris’ Directors?</w:t>
      </w:r>
    </w:p>
    <w:p>
      <w:pPr>
        <w:spacing w:after="0" w:line="117" w:lineRule="exact"/>
        <w:rPr>
          <w:sz w:val="20"/>
          <w:szCs w:val="20"/>
          <w:color w:val="auto"/>
        </w:rPr>
      </w:pPr>
    </w:p>
    <w:p>
      <w:pPr>
        <w:ind w:left="540" w:right="200" w:hanging="424"/>
        <w:spacing w:after="0" w:line="271" w:lineRule="auto"/>
        <w:tabs>
          <w:tab w:leader="none" w:pos="540" w:val="left"/>
        </w:tabs>
        <w:numPr>
          <w:ilvl w:val="0"/>
          <w:numId w:val="117"/>
        </w:numPr>
        <w:rPr>
          <w:rFonts w:ascii="Arial" w:cs="Arial" w:eastAsia="Arial" w:hAnsi="Arial"/>
          <w:sz w:val="18"/>
          <w:szCs w:val="18"/>
          <w:color w:val="3F3F3F"/>
        </w:rPr>
      </w:pPr>
      <w:r>
        <w:rPr>
          <w:rFonts w:ascii="Arial" w:cs="Arial" w:eastAsia="Arial" w:hAnsi="Arial"/>
          <w:sz w:val="18"/>
          <w:szCs w:val="18"/>
          <w:color w:val="3F3F3F"/>
        </w:rPr>
        <w:t>Viatris’ Board has established a process for any interested parties to contact the Board, or the independent Directors as a group or any other group or committee of Directors, by writing to them at the following address:</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Viatris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Corporate Secretary</w:t>
      </w:r>
    </w:p>
    <w:p>
      <w:pPr>
        <w:jc w:val="center"/>
        <w:ind w:right="-119"/>
        <w:spacing w:after="0" w:line="234" w:lineRule="auto"/>
        <w:rPr>
          <w:sz w:val="20"/>
          <w:szCs w:val="20"/>
          <w:color w:val="auto"/>
        </w:rPr>
      </w:pPr>
      <w:r>
        <w:rPr>
          <w:rFonts w:ascii="Arial" w:cs="Arial" w:eastAsia="Arial" w:hAnsi="Arial"/>
          <w:sz w:val="18"/>
          <w:szCs w:val="18"/>
          <w:color w:val="3F3F3F"/>
        </w:rPr>
        <w:t>1000 Mylan Boulevard</w:t>
      </w:r>
    </w:p>
    <w:p>
      <w:pPr>
        <w:jc w:val="center"/>
        <w:ind w:right="-119"/>
        <w:spacing w:after="0" w:line="235" w:lineRule="auto"/>
        <w:rPr>
          <w:sz w:val="20"/>
          <w:szCs w:val="20"/>
          <w:color w:val="auto"/>
        </w:rPr>
      </w:pPr>
      <w:r>
        <w:rPr>
          <w:rFonts w:ascii="Arial" w:cs="Arial" w:eastAsia="Arial" w:hAnsi="Arial"/>
          <w:sz w:val="18"/>
          <w:szCs w:val="18"/>
          <w:color w:val="3F3F3F"/>
        </w:rPr>
        <w:t>Canonsburg, PA 15317</w:t>
      </w:r>
    </w:p>
    <w:p>
      <w:pPr>
        <w:jc w:val="center"/>
        <w:ind w:right="-119"/>
        <w:spacing w:after="0" w:line="235" w:lineRule="auto"/>
        <w:rPr>
          <w:sz w:val="20"/>
          <w:szCs w:val="20"/>
          <w:color w:val="auto"/>
        </w:rPr>
      </w:pPr>
      <w:r>
        <w:rPr>
          <w:rFonts w:ascii="Arial" w:cs="Arial" w:eastAsia="Arial" w:hAnsi="Arial"/>
          <w:sz w:val="18"/>
          <w:szCs w:val="18"/>
          <w:color w:val="3F3F3F"/>
        </w:rPr>
        <w:t>Corporate Secretary – CorporateSecretary@Viatris.com</w:t>
      </w:r>
    </w:p>
    <w:p>
      <w:pPr>
        <w:jc w:val="center"/>
        <w:ind w:right="-119"/>
        <w:spacing w:after="0"/>
        <w:rPr>
          <w:sz w:val="20"/>
          <w:szCs w:val="20"/>
          <w:color w:val="auto"/>
        </w:rPr>
      </w:pPr>
      <w:r>
        <w:rPr>
          <w:rFonts w:ascii="Arial" w:cs="Arial" w:eastAsia="Arial" w:hAnsi="Arial"/>
          <w:sz w:val="18"/>
          <w:szCs w:val="18"/>
          <w:color w:val="3F3F3F"/>
        </w:rPr>
        <w:t>Phone: 724.514.1800</w:t>
      </w:r>
    </w:p>
    <w:p>
      <w:pPr>
        <w:spacing w:after="0" w:line="86"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3F3F3F"/>
        </w:rPr>
        <w:t>Communications regarding accounting, internal accounting controls or auditing matters may be reported to our Directors using AuditCommitteeChair@Viatris.com. All communications received as set forth above shall be opened by the office of the Secretary for the purpose of determining whether the contents represent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A-6 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120"/>
        <w:spacing w:after="0" w:line="253" w:lineRule="auto"/>
        <w:rPr>
          <w:sz w:val="20"/>
          <w:szCs w:val="20"/>
          <w:color w:val="auto"/>
        </w:rPr>
      </w:pPr>
      <w:r>
        <w:rPr>
          <w:rFonts w:ascii="Arial" w:cs="Arial" w:eastAsia="Arial" w:hAnsi="Arial"/>
          <w:sz w:val="18"/>
          <w:szCs w:val="18"/>
          <w:color w:val="3F3F3F"/>
        </w:rPr>
        <w:t>appropriate message to the Company’s Directors. Materials that are not in the nature of advertising, solicitations, or promotions of a product or service or patently offensive shall be forwarded to the Chair of the Board and as appropriate to each Director who is a member of the group or committee to which the envelope is addressed.</w:t>
      </w:r>
    </w:p>
    <w:p>
      <w:pPr>
        <w:spacing w:after="0" w:line="196"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5A4C88"/>
        </w:rPr>
      </w:pPr>
      <w:r>
        <w:rPr>
          <w:rFonts w:ascii="Arial" w:cs="Arial" w:eastAsia="Arial" w:hAnsi="Arial"/>
          <w:sz w:val="18"/>
          <w:szCs w:val="18"/>
          <w:b w:val="1"/>
          <w:bCs w:val="1"/>
          <w:color w:val="5A4C88"/>
        </w:rPr>
        <w:t>Could matters other than those stated in the notice of the meeting be considered at the 2024 Annual Meeting?</w:t>
      </w:r>
    </w:p>
    <w:p>
      <w:pPr>
        <w:spacing w:after="0" w:line="117" w:lineRule="exact"/>
        <w:rPr>
          <w:sz w:val="20"/>
          <w:szCs w:val="20"/>
          <w:color w:val="auto"/>
        </w:rPr>
      </w:pPr>
    </w:p>
    <w:p>
      <w:pPr>
        <w:jc w:val="both"/>
        <w:ind w:left="540" w:right="20" w:hanging="424"/>
        <w:spacing w:after="0" w:line="253" w:lineRule="auto"/>
        <w:tabs>
          <w:tab w:leader="none" w:pos="540" w:val="left"/>
        </w:tabs>
        <w:numPr>
          <w:ilvl w:val="0"/>
          <w:numId w:val="119"/>
        </w:numPr>
        <w:rPr>
          <w:rFonts w:ascii="Arial" w:cs="Arial" w:eastAsia="Arial" w:hAnsi="Arial"/>
          <w:sz w:val="18"/>
          <w:szCs w:val="18"/>
          <w:color w:val="3F3F3F"/>
        </w:rPr>
      </w:pPr>
      <w:r>
        <w:rPr>
          <w:rFonts w:ascii="Arial" w:cs="Arial" w:eastAsia="Arial" w:hAnsi="Arial"/>
          <w:sz w:val="18"/>
          <w:szCs w:val="18"/>
          <w:color w:val="3F3F3F"/>
        </w:rPr>
        <w:t>The Board is not aware of any matters that are expected to come before the 2024 Annual Meeting other than those referred to in this Proxy Statement. If other matters are properly brought before the meeting, the accompanying proxy will be voted in accordance with the judgment of the proxy holders.</w:t>
      </w:r>
    </w:p>
    <w:p>
      <w:pPr>
        <w:spacing w:after="0" w:line="196"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5A4C88"/>
        </w:rPr>
      </w:pPr>
      <w:r>
        <w:rPr>
          <w:rFonts w:ascii="Arial" w:cs="Arial" w:eastAsia="Arial" w:hAnsi="Arial"/>
          <w:sz w:val="18"/>
          <w:szCs w:val="18"/>
          <w:b w:val="1"/>
          <w:bCs w:val="1"/>
          <w:color w:val="5A4C88"/>
        </w:rPr>
        <w:t>What is the deadline to propose actions for consideration at the 2025 annual meeting of shareholders?</w:t>
      </w:r>
    </w:p>
    <w:p>
      <w:pPr>
        <w:spacing w:after="0" w:line="117" w:lineRule="exact"/>
        <w:rPr>
          <w:sz w:val="20"/>
          <w:szCs w:val="20"/>
          <w:color w:val="auto"/>
        </w:rPr>
      </w:pPr>
    </w:p>
    <w:p>
      <w:pPr>
        <w:ind w:left="540" w:right="80" w:hanging="424"/>
        <w:spacing w:after="0" w:line="242" w:lineRule="auto"/>
        <w:tabs>
          <w:tab w:leader="none" w:pos="540" w:val="left"/>
        </w:tabs>
        <w:numPr>
          <w:ilvl w:val="0"/>
          <w:numId w:val="121"/>
        </w:numPr>
        <w:rPr>
          <w:rFonts w:ascii="Arial" w:cs="Arial" w:eastAsia="Arial" w:hAnsi="Arial"/>
          <w:sz w:val="18"/>
          <w:szCs w:val="18"/>
          <w:color w:val="3F3F3F"/>
        </w:rPr>
      </w:pPr>
      <w:r>
        <w:rPr>
          <w:rFonts w:ascii="Arial" w:cs="Arial" w:eastAsia="Arial" w:hAnsi="Arial"/>
          <w:sz w:val="18"/>
          <w:szCs w:val="18"/>
          <w:color w:val="3F3F3F"/>
        </w:rPr>
        <w:t>Pursuant to U.S. federal securities laws, if a shareholder wishes to have a proposal included in Viatris’ Proxy Statement for the 2025 annual meeting of shareholders, then the shareholder must follow the procedures outlined in Rule 14a-8 of the Exchange Act. If you wish to submit a proposal intended to be presented at the 2025 annual meeting pursuant to Rule 14a-8, your proposal must be received by us at our principal executive offices (1000 Mylan Boulevard, Canonsburg, PA 15317) no later than June 27, 2025, and must otherwise comply with the requirements of Rule 14a-8 to be considered for inclusion in the 2025 proxy statement and form of proxy.</w:t>
      </w:r>
    </w:p>
    <w:p>
      <w:pPr>
        <w:spacing w:after="0" w:line="70" w:lineRule="exact"/>
        <w:rPr>
          <w:rFonts w:ascii="Arial" w:cs="Arial" w:eastAsia="Arial" w:hAnsi="Arial"/>
          <w:sz w:val="18"/>
          <w:szCs w:val="18"/>
          <w:color w:val="3F3F3F"/>
        </w:rPr>
      </w:pPr>
    </w:p>
    <w:p>
      <w:pPr>
        <w:ind w:left="560" w:right="80"/>
        <w:spacing w:after="0" w:line="239" w:lineRule="auto"/>
        <w:rPr>
          <w:rFonts w:ascii="Arial" w:cs="Arial" w:eastAsia="Arial" w:hAnsi="Arial"/>
          <w:sz w:val="18"/>
          <w:szCs w:val="18"/>
          <w:color w:val="3F3F3F"/>
        </w:rPr>
      </w:pPr>
      <w:r>
        <w:rPr>
          <w:rFonts w:ascii="Arial" w:cs="Arial" w:eastAsia="Arial" w:hAnsi="Arial"/>
          <w:sz w:val="18"/>
          <w:szCs w:val="18"/>
          <w:color w:val="3F3F3F"/>
        </w:rPr>
        <w:t>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 proxy access nomination and has otherwise complied with the requirements set forth in our Bylaws wants us to include Director nominees (up to the greater of two nominees or 20% of the Board) in our proxy statement for the 2025 annual meeting of shareholders, the nominations must be delivered to or be mailed and received by the Secretary at the principal executive offices of the Company not less than 120 days nor more than 150 days in advance of the anniversary of the date that the Company first distributed its proxy statement to shareholders for the previous year’s annual meeting of shareholders (which would be no earlier than May 28, 2025 and no later than June 27, 2025).</w:t>
      </w:r>
    </w:p>
    <w:p>
      <w:pPr>
        <w:spacing w:after="0" w:line="75" w:lineRule="exact"/>
        <w:rPr>
          <w:rFonts w:ascii="Arial" w:cs="Arial" w:eastAsia="Arial" w:hAnsi="Arial"/>
          <w:sz w:val="18"/>
          <w:szCs w:val="18"/>
          <w:color w:val="3F3F3F"/>
        </w:rPr>
      </w:pPr>
    </w:p>
    <w:p>
      <w:pPr>
        <w:ind w:left="560" w:right="20"/>
        <w:spacing w:after="0" w:line="238" w:lineRule="auto"/>
        <w:rPr>
          <w:rFonts w:ascii="Arial" w:cs="Arial" w:eastAsia="Arial" w:hAnsi="Arial"/>
          <w:sz w:val="18"/>
          <w:szCs w:val="18"/>
          <w:color w:val="3F3F3F"/>
        </w:rPr>
      </w:pPr>
      <w:r>
        <w:rPr>
          <w:rFonts w:ascii="Arial" w:cs="Arial" w:eastAsia="Arial" w:hAnsi="Arial"/>
          <w:sz w:val="18"/>
          <w:szCs w:val="18"/>
          <w:color w:val="3F3F3F"/>
        </w:rPr>
        <w:t>In addition, for any nominations or any other business that is not to be included in our proxy statement to be properly brought before an annual meeting of shareholders, the shareholder must give timely notice in writing to the Secretary and comply with the requirements set forth in our Bylaws and such other business must otherwise be a proper matter for shareholder action. To be timely, a shareholder’s notice must be delivered to the Secretary at the principal executive offices of the Company not earlier than the close of business (5:00 p.m. Eastern Time) on the 120th day and not later than the close of business (5:00 p.m. Eastern Time) on the 90th day prior to the first anniversary of the preceding year’s annual meeting (which would be no earlier than August 8, 2025 and no later than September 7, 2025), provided, however, that in the event that the date of the annual meeting is more than 30 days before or more than 60 days after such anniversary date, notice by the shareholder must be so delivered not earlier than the close of business (5:00 p.m. Eastern Time) on the 120th day prior to the date of such annual meeting and not later than the close of business (5:00 p.m. Eastern Time)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400"/>
        <w:spacing w:after="0" w:line="253" w:lineRule="auto"/>
        <w:rPr>
          <w:sz w:val="20"/>
          <w:szCs w:val="20"/>
          <w:color w:val="auto"/>
        </w:rPr>
      </w:pPr>
      <w:r>
        <w:rPr>
          <w:rFonts w:ascii="Arial" w:cs="Arial" w:eastAsia="Arial" w:hAnsi="Arial"/>
          <w:sz w:val="18"/>
          <w:szCs w:val="18"/>
          <w:color w:val="3F3F3F"/>
        </w:rPr>
        <w:t>In addition to satisfying the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October 7, 2025.</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The Bylaws are available on our website at https://www.viatris.com/en/About-Us/Corporate-Governance.</w:t>
      </w:r>
    </w:p>
    <w:p>
      <w:pPr>
        <w:spacing w:after="0" w:line="239"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5A4C88"/>
        </w:rPr>
      </w:pPr>
      <w:r>
        <w:rPr>
          <w:rFonts w:ascii="Arial" w:cs="Arial" w:eastAsia="Arial" w:hAnsi="Arial"/>
          <w:sz w:val="18"/>
          <w:szCs w:val="18"/>
          <w:b w:val="1"/>
          <w:bCs w:val="1"/>
          <w:color w:val="5A4C88"/>
        </w:rPr>
        <w:t>How do I recommend a candidate for nomination to Viatris’ Board?</w:t>
      </w:r>
    </w:p>
    <w:p>
      <w:pPr>
        <w:spacing w:after="0" w:line="117" w:lineRule="exact"/>
        <w:rPr>
          <w:sz w:val="20"/>
          <w:szCs w:val="20"/>
          <w:color w:val="auto"/>
        </w:rPr>
      </w:pPr>
    </w:p>
    <w:p>
      <w:pPr>
        <w:ind w:left="540" w:hanging="424"/>
        <w:spacing w:after="0" w:line="242" w:lineRule="auto"/>
        <w:tabs>
          <w:tab w:leader="none" w:pos="540" w:val="left"/>
        </w:tabs>
        <w:numPr>
          <w:ilvl w:val="0"/>
          <w:numId w:val="123"/>
        </w:numPr>
        <w:rPr>
          <w:rFonts w:ascii="Arial" w:cs="Arial" w:eastAsia="Arial" w:hAnsi="Arial"/>
          <w:sz w:val="18"/>
          <w:szCs w:val="18"/>
          <w:color w:val="3F3F3F"/>
        </w:rPr>
      </w:pPr>
      <w:r>
        <w:rPr>
          <w:rFonts w:ascii="Arial" w:cs="Arial" w:eastAsia="Arial" w:hAnsi="Arial"/>
          <w:sz w:val="18"/>
          <w:szCs w:val="18"/>
          <w:color w:val="3F3F3F"/>
        </w:rPr>
        <w:t xml:space="preserve">The Governance and Sustainability Committee will consider for nomination to the Viatris Board potential Director candidates properly recommended by shareholders, subject to the discretion of the Board and to Viatris’ Amended and Restated Certificate of Incorporation and our Bylaws. In considering candidates recommended by shareholders, the Governance and Sustainability Committee will take into consideration, among other matters, the needs of the Board and Viatris and the qualifications of the candidate, including, among other things, those traits, abilities and experiences described above (Please see </w:t>
      </w:r>
      <w:r>
        <w:rPr>
          <w:rFonts w:ascii="Arial" w:cs="Arial" w:eastAsia="Arial" w:hAnsi="Arial"/>
          <w:sz w:val="18"/>
          <w:szCs w:val="18"/>
          <w:color w:val="9659A1"/>
        </w:rPr>
        <w:t>“How Our Directors Are</w:t>
      </w:r>
      <w:r>
        <w:rPr>
          <w:rFonts w:ascii="Arial" w:cs="Arial" w:eastAsia="Arial" w:hAnsi="Arial"/>
          <w:sz w:val="18"/>
          <w:szCs w:val="18"/>
          <w:color w:val="3F3F3F"/>
        </w:rPr>
        <w:t xml:space="preserve"> </w:t>
      </w:r>
      <w:r>
        <w:rPr>
          <w:rFonts w:ascii="Arial" w:cs="Arial" w:eastAsia="Arial" w:hAnsi="Arial"/>
          <w:sz w:val="18"/>
          <w:szCs w:val="18"/>
          <w:color w:val="9659A1"/>
        </w:rPr>
        <w:t xml:space="preserve">Selected and Evaluated” </w:t>
      </w:r>
      <w:r>
        <w:rPr>
          <w:rFonts w:ascii="Arial" w:cs="Arial" w:eastAsia="Arial" w:hAnsi="Arial"/>
          <w:sz w:val="18"/>
          <w:szCs w:val="18"/>
          <w:color w:val="3F3F3F"/>
        </w:rPr>
        <w:t>on pages 38 to 39).</w:t>
      </w:r>
    </w:p>
    <w:p>
      <w:pPr>
        <w:spacing w:after="0" w:line="70" w:lineRule="exact"/>
        <w:rPr>
          <w:rFonts w:ascii="Arial" w:cs="Arial" w:eastAsia="Arial" w:hAnsi="Arial"/>
          <w:sz w:val="18"/>
          <w:szCs w:val="18"/>
          <w:color w:val="3F3F3F"/>
        </w:rPr>
      </w:pPr>
    </w:p>
    <w:p>
      <w:pPr>
        <w:ind w:left="560" w:right="20"/>
        <w:spacing w:after="0"/>
        <w:rPr>
          <w:rFonts w:ascii="Arial" w:cs="Arial" w:eastAsia="Arial" w:hAnsi="Arial"/>
          <w:sz w:val="18"/>
          <w:szCs w:val="18"/>
          <w:color w:val="3F3F3F"/>
        </w:rPr>
      </w:pPr>
      <w:r>
        <w:rPr>
          <w:rFonts w:ascii="Arial" w:cs="Arial" w:eastAsia="Arial" w:hAnsi="Arial"/>
          <w:sz w:val="18"/>
          <w:szCs w:val="18"/>
          <w:color w:val="3F3F3F"/>
        </w:rPr>
        <w:t>Any submission to the Governance and Sustainability Committee of a recommended candidate for consideration must include, among other information, the name of the recommending shareholder and evidence of such person’s ownership of Viatris shares, and the name of the recommended candidate, their resume or a statement of their principal occupation or employment, and the recommended candidate’s signed consent to be named as a Director if recommended by the Governance and Sustainability Committee and nominated by the Board. Any shareholder recommendations for Director must be sent to Viatris’ Corporate Secretary not later than 120 days prior to the anniversary date of Viatris’ most recent annual meeting of shareholders (which would be August 8, 2025) at the following address: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Viatris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Corporate Secretary</w:t>
      </w:r>
    </w:p>
    <w:p>
      <w:pPr>
        <w:jc w:val="center"/>
        <w:ind w:right="-119"/>
        <w:spacing w:after="0" w:line="234" w:lineRule="auto"/>
        <w:rPr>
          <w:sz w:val="20"/>
          <w:szCs w:val="20"/>
          <w:color w:val="auto"/>
        </w:rPr>
      </w:pPr>
      <w:r>
        <w:rPr>
          <w:rFonts w:ascii="Arial" w:cs="Arial" w:eastAsia="Arial" w:hAnsi="Arial"/>
          <w:sz w:val="18"/>
          <w:szCs w:val="18"/>
          <w:color w:val="3F3F3F"/>
        </w:rPr>
        <w:t>1000 Mylan Boulevard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Canonsburg, PA 15317</w:t>
      </w:r>
    </w:p>
    <w:p>
      <w:pPr>
        <w:spacing w:after="0" w:line="86" w:lineRule="exact"/>
        <w:rPr>
          <w:sz w:val="20"/>
          <w:szCs w:val="20"/>
          <w:color w:val="auto"/>
        </w:rPr>
      </w:pPr>
    </w:p>
    <w:p>
      <w:pPr>
        <w:ind w:left="560" w:right="140"/>
        <w:spacing w:after="0" w:line="253" w:lineRule="auto"/>
        <w:rPr>
          <w:sz w:val="20"/>
          <w:szCs w:val="20"/>
          <w:color w:val="auto"/>
        </w:rPr>
      </w:pPr>
      <w:r>
        <w:rPr>
          <w:rFonts w:ascii="Arial" w:cs="Arial" w:eastAsia="Arial" w:hAnsi="Arial"/>
          <w:sz w:val="18"/>
          <w:szCs w:val="18"/>
          <w:color w:val="3F3F3F"/>
        </w:rPr>
        <w:t xml:space="preserve">Any shareholder nominations must be made according to the procedures set forth in our Bylaws (including via our proxy access bylaw) as described under </w:t>
      </w:r>
      <w:r>
        <w:rPr>
          <w:rFonts w:ascii="Arial" w:cs="Arial" w:eastAsia="Arial" w:hAnsi="Arial"/>
          <w:sz w:val="18"/>
          <w:szCs w:val="18"/>
          <w:color w:val="9659A1"/>
        </w:rPr>
        <w:t>“What is the deadline to propose actions for consideration at the 2025 annual meeting of shareholders?”</w:t>
      </w:r>
      <w:r>
        <w:rPr>
          <w:rFonts w:ascii="Arial" w:cs="Arial" w:eastAsia="Arial" w:hAnsi="Arial"/>
          <w:sz w:val="18"/>
          <w:szCs w:val="18"/>
          <w:color w:val="3F3F3F"/>
        </w:rPr>
        <w:t xml:space="preserve"> above.</w:t>
      </w:r>
    </w:p>
    <w:p>
      <w:pPr>
        <w:spacing w:after="0" w:line="196"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5A4C88"/>
        </w:rPr>
      </w:pPr>
      <w:r>
        <w:rPr>
          <w:rFonts w:ascii="Arial" w:cs="Arial" w:eastAsia="Arial" w:hAnsi="Arial"/>
          <w:sz w:val="18"/>
          <w:szCs w:val="18"/>
          <w:b w:val="1"/>
          <w:bCs w:val="1"/>
          <w:color w:val="5A4C88"/>
        </w:rPr>
        <w:t>How do I inspect the list of shareholders entitled to vote at the 2024 Annual Meeting?</w:t>
      </w:r>
    </w:p>
    <w:p>
      <w:pPr>
        <w:spacing w:after="0" w:line="117" w:lineRule="exact"/>
        <w:rPr>
          <w:sz w:val="20"/>
          <w:szCs w:val="20"/>
          <w:color w:val="auto"/>
        </w:rPr>
      </w:pPr>
    </w:p>
    <w:p>
      <w:pPr>
        <w:ind w:left="540" w:right="100" w:hanging="424"/>
        <w:spacing w:after="0" w:line="255" w:lineRule="auto"/>
        <w:tabs>
          <w:tab w:leader="none" w:pos="540" w:val="left"/>
        </w:tabs>
        <w:numPr>
          <w:ilvl w:val="0"/>
          <w:numId w:val="125"/>
        </w:numPr>
        <w:rPr>
          <w:rFonts w:ascii="Arial" w:cs="Arial" w:eastAsia="Arial" w:hAnsi="Arial"/>
          <w:sz w:val="17"/>
          <w:szCs w:val="17"/>
          <w:color w:val="3F3F3F"/>
        </w:rPr>
      </w:pPr>
      <w:r>
        <w:rPr>
          <w:rFonts w:ascii="Arial" w:cs="Arial" w:eastAsia="Arial" w:hAnsi="Arial"/>
          <w:sz w:val="17"/>
          <w:szCs w:val="17"/>
          <w:color w:val="3F3F3F"/>
        </w:rPr>
        <w:t>A list of shareholders entitled to vote at the 2024 Annual Meeting will be available for inspection during ordinary business hours at the Corporate Address from November 26, 2024 to December 5, 2024. Please contact the Corporate Secretary by sending an email to corporatesecretary@viatris.com if you wish to inspect the list prior to the 2024 Annual Meeting. Please include (i) your name and</w:t>
      </w:r>
    </w:p>
    <w:p>
      <w:pPr>
        <w:spacing w:after="0" w:line="2" w:lineRule="exact"/>
        <w:rPr>
          <w:rFonts w:ascii="Arial" w:cs="Arial" w:eastAsia="Arial" w:hAnsi="Arial"/>
          <w:sz w:val="17"/>
          <w:szCs w:val="17"/>
          <w:color w:val="3F3F3F"/>
        </w:rPr>
      </w:pPr>
    </w:p>
    <w:p>
      <w:pPr>
        <w:ind w:left="540" w:right="380" w:firstLine="8"/>
        <w:spacing w:after="0" w:line="242" w:lineRule="auto"/>
        <w:tabs>
          <w:tab w:leader="none" w:pos="790" w:val="left"/>
        </w:tabs>
        <w:numPr>
          <w:ilvl w:val="1"/>
          <w:numId w:val="125"/>
        </w:numPr>
        <w:rPr>
          <w:rFonts w:ascii="Arial" w:cs="Arial" w:eastAsia="Arial" w:hAnsi="Arial"/>
          <w:sz w:val="18"/>
          <w:szCs w:val="18"/>
          <w:color w:val="3F3F3F"/>
        </w:rPr>
      </w:pPr>
      <w:r>
        <w:rPr>
          <w:rFonts w:ascii="Arial" w:cs="Arial" w:eastAsia="Arial" w:hAnsi="Arial"/>
          <w:sz w:val="18"/>
          <w:szCs w:val="18"/>
          <w:color w:val="3F3F3F"/>
        </w:rPr>
        <w:t>if you are a beneficial owner of Viatris common stock, proof of ownership, such as a recent account statement or letter from a brokerage firm, bank nominee or other institution proving ownership on the Record Date. Upon verification of your status as a shareholder, you will receive confirmation of your request and instructions on how to view the list at the Corporate Address.</w:t>
      </w:r>
    </w:p>
    <w:p>
      <w:pPr>
        <w:spacing w:after="0" w:line="206"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5A4C88"/>
        </w:rPr>
      </w:pPr>
      <w:r>
        <w:rPr>
          <w:rFonts w:ascii="Arial" w:cs="Arial" w:eastAsia="Arial" w:hAnsi="Arial"/>
          <w:sz w:val="18"/>
          <w:szCs w:val="18"/>
          <w:b w:val="1"/>
          <w:bCs w:val="1"/>
          <w:color w:val="5A4C88"/>
        </w:rPr>
        <w:t>What do I need to do now?</w:t>
      </w:r>
    </w:p>
    <w:p>
      <w:pPr>
        <w:spacing w:after="0" w:line="117" w:lineRule="exact"/>
        <w:rPr>
          <w:sz w:val="20"/>
          <w:szCs w:val="20"/>
          <w:color w:val="auto"/>
        </w:rPr>
      </w:pPr>
    </w:p>
    <w:p>
      <w:pPr>
        <w:jc w:val="both"/>
        <w:ind w:left="540" w:right="120" w:hanging="424"/>
        <w:spacing w:after="0" w:line="253" w:lineRule="auto"/>
        <w:tabs>
          <w:tab w:leader="none" w:pos="540" w:val="left"/>
        </w:tabs>
        <w:numPr>
          <w:ilvl w:val="0"/>
          <w:numId w:val="127"/>
        </w:numPr>
        <w:rPr>
          <w:rFonts w:ascii="Arial" w:cs="Arial" w:eastAsia="Arial" w:hAnsi="Arial"/>
          <w:sz w:val="18"/>
          <w:szCs w:val="18"/>
          <w:color w:val="3F3F3F"/>
        </w:rPr>
      </w:pPr>
      <w:r>
        <w:rPr>
          <w:rFonts w:ascii="Arial" w:cs="Arial" w:eastAsia="Arial" w:hAnsi="Arial"/>
          <w:sz w:val="18"/>
          <w:szCs w:val="18"/>
          <w:color w:val="3F3F3F"/>
        </w:rPr>
        <w:t>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29450" cy="68580"/>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A-8 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5A4C88"/>
        </w:rPr>
      </w:pPr>
      <w:r>
        <w:rPr>
          <w:rFonts w:ascii="Arial" w:cs="Arial" w:eastAsia="Arial" w:hAnsi="Arial"/>
          <w:sz w:val="18"/>
          <w:szCs w:val="18"/>
          <w:b w:val="1"/>
          <w:bCs w:val="1"/>
          <w:color w:val="5A4C88"/>
        </w:rPr>
        <w:t>Who can help answer my questions?</w:t>
      </w:r>
    </w:p>
    <w:p>
      <w:pPr>
        <w:spacing w:after="0" w:line="117" w:lineRule="exact"/>
        <w:rPr>
          <w:sz w:val="20"/>
          <w:szCs w:val="20"/>
          <w:color w:val="auto"/>
        </w:rPr>
      </w:pPr>
    </w:p>
    <w:p>
      <w:pPr>
        <w:ind w:left="540" w:right="180" w:hanging="424"/>
        <w:spacing w:after="0" w:line="271" w:lineRule="auto"/>
        <w:tabs>
          <w:tab w:leader="none" w:pos="540" w:val="left"/>
        </w:tabs>
        <w:numPr>
          <w:ilvl w:val="0"/>
          <w:numId w:val="129"/>
        </w:numPr>
        <w:rPr>
          <w:rFonts w:ascii="Arial" w:cs="Arial" w:eastAsia="Arial" w:hAnsi="Arial"/>
          <w:sz w:val="18"/>
          <w:szCs w:val="18"/>
          <w:color w:val="3F3F3F"/>
        </w:rPr>
      </w:pPr>
      <w:r>
        <w:rPr>
          <w:rFonts w:ascii="Arial" w:cs="Arial" w:eastAsia="Arial" w:hAnsi="Arial"/>
          <w:sz w:val="18"/>
          <w:szCs w:val="18"/>
          <w:color w:val="3F3F3F"/>
        </w:rPr>
        <w:t>If you have questions about the 2024 Annual Meeting, including the items to be voted on at the meeting, need assistance in voting, or if you desire copies of this Proxy Statement or proxy cards, you should contact:</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Innisfree M&amp;A Incorporated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501 Madison Avenue</w:t>
      </w:r>
    </w:p>
    <w:p>
      <w:pPr>
        <w:jc w:val="center"/>
        <w:ind w:right="-119"/>
        <w:spacing w:after="0" w:line="234" w:lineRule="auto"/>
        <w:rPr>
          <w:sz w:val="20"/>
          <w:szCs w:val="20"/>
          <w:color w:val="auto"/>
        </w:rPr>
      </w:pPr>
      <w:r>
        <w:rPr>
          <w:rFonts w:ascii="Arial" w:cs="Arial" w:eastAsia="Arial" w:hAnsi="Arial"/>
          <w:sz w:val="18"/>
          <w:szCs w:val="18"/>
          <w:color w:val="3F3F3F"/>
        </w:rPr>
        <w:t>New York, NY 10022</w:t>
      </w:r>
    </w:p>
    <w:p>
      <w:pPr>
        <w:jc w:val="center"/>
        <w:ind w:right="-119"/>
        <w:spacing w:after="0" w:line="235" w:lineRule="auto"/>
        <w:rPr>
          <w:sz w:val="20"/>
          <w:szCs w:val="20"/>
          <w:color w:val="auto"/>
        </w:rPr>
      </w:pPr>
      <w:r>
        <w:rPr>
          <w:rFonts w:ascii="Arial" w:cs="Arial" w:eastAsia="Arial" w:hAnsi="Arial"/>
          <w:sz w:val="18"/>
          <w:szCs w:val="18"/>
          <w:color w:val="3F3F3F"/>
        </w:rPr>
        <w:t>+1 (877) 825-8772 (toll free)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+1 (212) 750-5833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29450" cy="68580"/>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488315" cy="825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Forward-Looking Statements</w:t>
      </w:r>
    </w:p>
    <w:p>
      <w:pPr>
        <w:spacing w:after="0" w:line="13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3F3F3F"/>
        </w:rPr>
        <w:t>This Proxy Statement (including the Shareholder Letters)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announced and completed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95" w:lineRule="exact"/>
        <w:rPr>
          <w:sz w:val="20"/>
          <w:szCs w:val="20"/>
          <w:color w:val="auto"/>
        </w:rPr>
      </w:pPr>
    </w:p>
    <w:p>
      <w:pPr>
        <w:ind w:left="340" w:right="80" w:hanging="224"/>
        <w:spacing w:after="0" w:line="253" w:lineRule="auto"/>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w:t>
      </w:r>
    </w:p>
    <w:p>
      <w:pPr>
        <w:spacing w:after="0" w:line="74" w:lineRule="exact"/>
        <w:rPr>
          <w:rFonts w:ascii="Arial" w:cs="Arial" w:eastAsia="Arial" w:hAnsi="Arial"/>
          <w:sz w:val="18"/>
          <w:szCs w:val="18"/>
          <w:color w:val="3F3F3F"/>
        </w:rPr>
      </w:pPr>
    </w:p>
    <w:p>
      <w:pPr>
        <w:ind w:left="340" w:right="480" w:hanging="224"/>
        <w:spacing w:after="0" w:line="253" w:lineRule="auto"/>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w:t>
      </w:r>
    </w:p>
    <w:p>
      <w:pPr>
        <w:spacing w:after="0" w:line="74" w:lineRule="exact"/>
        <w:rPr>
          <w:rFonts w:ascii="Arial" w:cs="Arial" w:eastAsia="Arial" w:hAnsi="Arial"/>
          <w:sz w:val="18"/>
          <w:szCs w:val="18"/>
          <w:color w:val="3F3F3F"/>
        </w:rPr>
      </w:pPr>
    </w:p>
    <w:p>
      <w:pPr>
        <w:ind w:left="340" w:right="640" w:hanging="224"/>
        <w:spacing w:after="0" w:line="271" w:lineRule="auto"/>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with respect to divestitures, failure to realize the total transaction values or proceeds, including as a result of any purchase price adjustment or a failure to achieve any conditions to the payment of any contingent consideration;</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goodwill or impairment charges or other losses, including but not limited to related to the divestiture or sale of businesses or assets;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the Company’s failure to achieve expected or targeted future financial and operating performance and results;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the potential impact of public health outbreaks, epidemics and pandemics;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actions and decisions of healthcare and pharmaceutical regulators;</w:t>
      </w:r>
    </w:p>
    <w:p>
      <w:pPr>
        <w:spacing w:after="0" w:line="117" w:lineRule="exact"/>
        <w:rPr>
          <w:rFonts w:ascii="Arial" w:cs="Arial" w:eastAsia="Arial" w:hAnsi="Arial"/>
          <w:sz w:val="18"/>
          <w:szCs w:val="18"/>
          <w:color w:val="3F3F3F"/>
        </w:rPr>
      </w:pPr>
    </w:p>
    <w:p>
      <w:pPr>
        <w:ind w:left="340" w:hanging="224"/>
        <w:spacing w:after="0" w:line="253" w:lineRule="auto"/>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spacing w:after="0" w:line="74" w:lineRule="exact"/>
        <w:rPr>
          <w:rFonts w:ascii="Arial" w:cs="Arial" w:eastAsia="Arial" w:hAnsi="Arial"/>
          <w:sz w:val="18"/>
          <w:szCs w:val="18"/>
          <w:color w:val="3F3F3F"/>
        </w:rPr>
      </w:pPr>
    </w:p>
    <w:p>
      <w:pPr>
        <w:ind w:left="340" w:hanging="224"/>
        <w:spacing w:after="0"/>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the ability to attract, motivate and retain key personnel;</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0"/>
        </w:numPr>
        <w:rPr>
          <w:rFonts w:ascii="Arial" w:cs="Arial" w:eastAsia="Arial" w:hAnsi="Arial"/>
          <w:sz w:val="18"/>
          <w:szCs w:val="18"/>
          <w:color w:val="3F3F3F"/>
        </w:rPr>
      </w:pPr>
      <w:r>
        <w:rPr>
          <w:rFonts w:ascii="Arial" w:cs="Arial" w:eastAsia="Arial" w:hAnsi="Arial"/>
          <w:sz w:val="18"/>
          <w:szCs w:val="18"/>
          <w:color w:val="3F3F3F"/>
        </w:rPr>
        <w:t>the Company’s liquidity, capital resources and ability to obtain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29450" cy="68580"/>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B-1 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340" w:right="16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any regulatory, legal or other impediments to the Company’s ability to bring new products to market, including but not limited to “at-risk launches”;</w:t>
      </w:r>
    </w:p>
    <w:p>
      <w:pPr>
        <w:spacing w:after="0" w:line="59" w:lineRule="exact"/>
        <w:rPr>
          <w:rFonts w:ascii="Arial" w:cs="Arial" w:eastAsia="Arial" w:hAnsi="Arial"/>
          <w:sz w:val="18"/>
          <w:szCs w:val="18"/>
          <w:color w:val="3F3F3F"/>
        </w:rPr>
      </w:pPr>
    </w:p>
    <w:p>
      <w:pPr>
        <w:ind w:left="340" w:right="26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success of clinical trials and the Company’s or its partners’ ability to execute on new product opportunities and develop, manufacture and commercialize products;</w:t>
      </w:r>
    </w:p>
    <w:p>
      <w:pPr>
        <w:spacing w:after="0" w:line="59" w:lineRule="exact"/>
        <w:rPr>
          <w:rFonts w:ascii="Arial" w:cs="Arial" w:eastAsia="Arial" w:hAnsi="Arial"/>
          <w:sz w:val="18"/>
          <w:szCs w:val="18"/>
          <w:color w:val="3F3F3F"/>
        </w:rPr>
      </w:pPr>
    </w:p>
    <w:p>
      <w:pPr>
        <w:ind w:left="340" w:right="70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any changes in or difficulties with the Company’s manufacturing facilities, including with respect to inspections, remediation and restructuring activities, supply chain or inventory or the ability to meet anticipated demand;</w:t>
      </w:r>
    </w:p>
    <w:p>
      <w:pPr>
        <w:spacing w:after="0" w:line="59" w:lineRule="exact"/>
        <w:rPr>
          <w:rFonts w:ascii="Arial" w:cs="Arial" w:eastAsia="Arial" w:hAnsi="Arial"/>
          <w:sz w:val="18"/>
          <w:szCs w:val="18"/>
          <w:color w:val="3F3F3F"/>
        </w:rPr>
      </w:pPr>
    </w:p>
    <w:p>
      <w:pPr>
        <w:ind w:left="340" w:right="30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the scope, timing and outcome of any ongoing legal proceedings, including government inquiries or investigations, and the impact of any such proceedings on the Company;</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any significant breach of data security or data privacy or disruptions to our IT systems;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risks associated with having significant operations globally;</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the ability to protect intellectual property and preserve intellectual property rights;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changes in third-party relationships;</w:t>
      </w:r>
    </w:p>
    <w:p>
      <w:pPr>
        <w:spacing w:after="0" w:line="117" w:lineRule="exact"/>
        <w:rPr>
          <w:rFonts w:ascii="Arial" w:cs="Arial" w:eastAsia="Arial" w:hAnsi="Arial"/>
          <w:sz w:val="18"/>
          <w:szCs w:val="18"/>
          <w:color w:val="3F3F3F"/>
        </w:rPr>
      </w:pPr>
    </w:p>
    <w:p>
      <w:pPr>
        <w:ind w:left="340" w:right="48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the effect of any changes in the Company’s or its partners’ customer and supplier relationships and customer purchasing patterns, including customer loss and business disruption being greater than expected following an acquisition or divestiture;</w:t>
      </w:r>
    </w:p>
    <w:p>
      <w:pPr>
        <w:spacing w:after="0" w:line="59"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the impacts of competition, including decreases in sales or revenues as a result of the loss of market exclusivity for certain products;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changes in the economic and financial conditions of the Company or its partners;</w:t>
      </w:r>
    </w:p>
    <w:p>
      <w:pPr>
        <w:spacing w:after="0" w:line="117" w:lineRule="exact"/>
        <w:rPr>
          <w:rFonts w:ascii="Arial" w:cs="Arial" w:eastAsia="Arial" w:hAnsi="Arial"/>
          <w:sz w:val="18"/>
          <w:szCs w:val="18"/>
          <w:color w:val="3F3F3F"/>
        </w:rPr>
      </w:pPr>
    </w:p>
    <w:p>
      <w:pPr>
        <w:ind w:left="340" w:hanging="224"/>
        <w:spacing w:after="0"/>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uncertainties regarding future demand, pricing and reimbursement for the Company’s products;</w:t>
      </w:r>
    </w:p>
    <w:p>
      <w:pPr>
        <w:spacing w:after="0" w:line="117" w:lineRule="exact"/>
        <w:rPr>
          <w:rFonts w:ascii="Arial" w:cs="Arial" w:eastAsia="Arial" w:hAnsi="Arial"/>
          <w:sz w:val="18"/>
          <w:szCs w:val="18"/>
          <w:color w:val="3F3F3F"/>
        </w:rPr>
      </w:pPr>
    </w:p>
    <w:p>
      <w:pPr>
        <w:ind w:left="340" w:right="40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uncertainties and matters beyond the control of management, including but not limited to general political and economic conditions, inflation rates and global exchange rates; and</w:t>
      </w:r>
    </w:p>
    <w:p>
      <w:pPr>
        <w:spacing w:after="0" w:line="59" w:lineRule="exact"/>
        <w:rPr>
          <w:rFonts w:ascii="Arial" w:cs="Arial" w:eastAsia="Arial" w:hAnsi="Arial"/>
          <w:sz w:val="18"/>
          <w:szCs w:val="18"/>
          <w:color w:val="3F3F3F"/>
        </w:rPr>
      </w:pPr>
    </w:p>
    <w:p>
      <w:pPr>
        <w:ind w:left="340" w:right="420" w:hanging="224"/>
        <w:spacing w:after="0" w:line="271" w:lineRule="auto"/>
        <w:tabs>
          <w:tab w:leader="none" w:pos="340" w:val="left"/>
        </w:tabs>
        <w:numPr>
          <w:ilvl w:val="0"/>
          <w:numId w:val="131"/>
        </w:numPr>
        <w:rPr>
          <w:rFonts w:ascii="Arial" w:cs="Arial" w:eastAsia="Arial" w:hAnsi="Arial"/>
          <w:sz w:val="18"/>
          <w:szCs w:val="18"/>
          <w:color w:val="3F3F3F"/>
        </w:rPr>
      </w:pPr>
      <w:r>
        <w:rPr>
          <w:rFonts w:ascii="Arial" w:cs="Arial" w:eastAsia="Arial" w:hAnsi="Arial"/>
          <w:sz w:val="18"/>
          <w:szCs w:val="18"/>
          <w:color w:val="3F3F3F"/>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7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3F3F3F"/>
        </w:rPr>
        <w:t>For more detailed information on the risks and uncertainties associated with Viatris, see the risks described in Part I, Item 1A in the Form 10-K, and our other filings with the SEC.</w:t>
      </w:r>
    </w:p>
    <w:p>
      <w:pPr>
        <w:spacing w:after="0" w:line="8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3F3F3F"/>
        </w:rPr>
        <w:t>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and shall not be deemed “filed” under the Exchange Act. Viatris undertakes no obligation to update any statements herein for revisions or changes after the filing date of this Proxy Statement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488315" cy="825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Non-GAAP Financial Measures</w:t>
      </w:r>
    </w:p>
    <w:p>
      <w:pPr>
        <w:spacing w:after="0" w:line="133"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3F3F3F"/>
        </w:rPr>
        <w:t>This Proxy Statement (including the Shareholder Letters) includes the presentation and discussion of certain financial information that differs from what is reported under U.S. GAAP. These non-GAAP financial measures, including adjusted EBITDA, free cash flow, gross leverage ratio and long-term gross leverage target, are presented in order to supplement investors’ and other readers’ understanding and assessment of Viatris’ financial performance. Management uses these measures internally for forecasting, budgeting, measuring its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3F3F3F"/>
        </w:rPr>
        <w:t>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This Appendix B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B-3 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Reconciliations of Non-GAAP Financial Measures (Unaudited)</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color w:val="231161"/>
        </w:rPr>
        <w:t>Adjusted EBITDA</w:t>
      </w:r>
    </w:p>
    <w:p>
      <w:pPr>
        <w:spacing w:after="0" w:line="104"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3F3F3F"/>
        </w:rPr>
        <w:t>Adjusted EBITDA for purposes of the 2023 annual compensation awards is derived from Viatris’ financial statements in the same manner as Viatris’ publicly reported adjusted EBITDA for 2023 (“as reported”), except that the calculation for the 2023 annual incentive program (“for 2023 annual incentive compensation”) utilized 2023 budgeted foreign exchange rates (“currency impact”) and further adjusts for acquired IPR&amp;D costs and the impact of divestitures.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020" w:type="dxa"/>
            <w:vAlign w:val="bottom"/>
            <w:shd w:val="clear" w:color="auto" w:fill="732282"/>
          </w:tcPr>
          <w:p>
            <w:pPr>
              <w:spacing w:after="0"/>
              <w:rPr>
                <w:sz w:val="17"/>
                <w:szCs w:val="17"/>
                <w:color w:val="auto"/>
              </w:rPr>
            </w:pPr>
          </w:p>
        </w:tc>
        <w:tc>
          <w:tcPr>
            <w:tcW w:w="3000" w:type="dxa"/>
            <w:vAlign w:val="bottom"/>
            <w:gridSpan w:val="3"/>
            <w:shd w:val="clear" w:color="auto" w:fill="732282"/>
          </w:tcPr>
          <w:p>
            <w:pPr>
              <w:jc w:val="right"/>
              <w:ind w:right="380"/>
              <w:spacing w:after="0"/>
              <w:rPr>
                <w:sz w:val="20"/>
                <w:szCs w:val="20"/>
                <w:color w:val="auto"/>
              </w:rPr>
            </w:pPr>
            <w:r>
              <w:rPr>
                <w:rFonts w:ascii="Arial" w:cs="Arial" w:eastAsia="Arial" w:hAnsi="Arial"/>
                <w:sz w:val="18"/>
                <w:szCs w:val="18"/>
                <w:b w:val="1"/>
                <w:bCs w:val="1"/>
                <w:color w:val="FFFFFF"/>
              </w:rPr>
              <w:t>Year Ended </w:t>
            </w:r>
          </w:p>
        </w:tc>
      </w:tr>
      <w:tr>
        <w:trPr>
          <w:trHeight w:val="269"/>
        </w:trPr>
        <w:tc>
          <w:tcPr>
            <w:tcW w:w="802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8"/>
                <w:szCs w:val="18"/>
                <w:b w:val="1"/>
                <w:bCs w:val="1"/>
                <w:color w:val="FFFFFF"/>
              </w:rPr>
              <w:t>(in millions)</w:t>
            </w:r>
          </w:p>
        </w:tc>
        <w:tc>
          <w:tcPr>
            <w:tcW w:w="3000" w:type="dxa"/>
            <w:vAlign w:val="bottom"/>
            <w:tcBorders>
              <w:bottom w:val="single" w:sz="8" w:color="732282"/>
            </w:tcBorders>
            <w:gridSpan w:val="3"/>
            <w:shd w:val="clear" w:color="auto" w:fill="732282"/>
          </w:tcPr>
          <w:p>
            <w:pPr>
              <w:jc w:val="right"/>
              <w:ind w:right="100"/>
              <w:spacing w:after="0"/>
              <w:rPr>
                <w:sz w:val="20"/>
                <w:szCs w:val="20"/>
                <w:color w:val="auto"/>
              </w:rPr>
            </w:pPr>
            <w:r>
              <w:rPr>
                <w:rFonts w:ascii="Arial" w:cs="Arial" w:eastAsia="Arial" w:hAnsi="Arial"/>
                <w:sz w:val="18"/>
                <w:szCs w:val="18"/>
                <w:b w:val="1"/>
                <w:bCs w:val="1"/>
                <w:color w:val="FFFFFF"/>
              </w:rPr>
              <w:t>December 31, 2023</w:t>
            </w:r>
          </w:p>
        </w:tc>
      </w:tr>
      <w:tr>
        <w:trPr>
          <w:trHeight w:val="318"/>
        </w:trPr>
        <w:tc>
          <w:tcPr>
            <w:tcW w:w="8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U.S. GAAP net earnings</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$55</w:t>
            </w:r>
          </w:p>
        </w:tc>
      </w:tr>
      <w:tr>
        <w:trPr>
          <w:trHeight w:val="288"/>
        </w:trPr>
        <w:tc>
          <w:tcPr>
            <w:tcW w:w="8020" w:type="dxa"/>
            <w:vAlign w:val="bottom"/>
          </w:tcPr>
          <w:p>
            <w:pPr>
              <w:ind w:left="60"/>
              <w:spacing w:after="0"/>
              <w:rPr>
                <w:sz w:val="20"/>
                <w:szCs w:val="20"/>
                <w:color w:val="auto"/>
              </w:rPr>
            </w:pPr>
            <w:r>
              <w:rPr>
                <w:rFonts w:ascii="Arial" w:cs="Arial" w:eastAsia="Arial" w:hAnsi="Arial"/>
                <w:sz w:val="18"/>
                <w:szCs w:val="18"/>
                <w:color w:val="auto"/>
              </w:rPr>
              <w:t>Add adjustments:</w:t>
            </w: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Income tax provision</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148</w:t>
            </w:r>
          </w:p>
        </w:tc>
      </w:tr>
      <w:tr>
        <w:trPr>
          <w:trHeight w:val="446"/>
        </w:trPr>
        <w:tc>
          <w:tcPr>
            <w:tcW w:w="8020" w:type="dxa"/>
            <w:vAlign w:val="bottom"/>
          </w:tcPr>
          <w:p>
            <w:pPr>
              <w:ind w:left="360"/>
              <w:spacing w:after="0"/>
              <w:rPr>
                <w:sz w:val="20"/>
                <w:szCs w:val="20"/>
                <w:color w:val="auto"/>
              </w:rPr>
            </w:pPr>
            <w:r>
              <w:rPr>
                <w:rFonts w:ascii="Arial" w:cs="Arial" w:eastAsia="Arial" w:hAnsi="Arial"/>
                <w:sz w:val="18"/>
                <w:szCs w:val="18"/>
                <w:color w:val="auto"/>
              </w:rPr>
              <w:t>Interest expense</w:t>
            </w:r>
            <w:r>
              <w:rPr>
                <w:rFonts w:ascii="Arial" w:cs="Arial" w:eastAsia="Arial" w:hAnsi="Arial"/>
                <w:sz w:val="26"/>
                <w:szCs w:val="26"/>
                <w:color w:val="auto"/>
                <w:vertAlign w:val="superscript"/>
              </w:rPr>
              <w:t>(a)</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573</w:t>
            </w:r>
          </w:p>
        </w:tc>
      </w:tr>
      <w:tr>
        <w:trPr>
          <w:trHeight w:val="445"/>
        </w:trPr>
        <w:tc>
          <w:tcPr>
            <w:tcW w:w="80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6"/>
                <w:szCs w:val="26"/>
                <w:color w:val="auto"/>
                <w:vertAlign w:val="superscript"/>
              </w:rPr>
              <w:t>(b)</w:t>
            </w:r>
          </w:p>
        </w:tc>
        <w:tc>
          <w:tcPr>
            <w:tcW w:w="3000" w:type="dxa"/>
            <w:vAlign w:val="bottom"/>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2,741</w:t>
            </w:r>
          </w:p>
        </w:tc>
      </w:tr>
      <w:tr>
        <w:trPr>
          <w:trHeight w:val="288"/>
        </w:trPr>
        <w:tc>
          <w:tcPr>
            <w:tcW w:w="8020" w:type="dxa"/>
            <w:vAlign w:val="bottom"/>
          </w:tcPr>
          <w:p>
            <w:pPr>
              <w:ind w:left="60"/>
              <w:spacing w:after="0"/>
              <w:rPr>
                <w:sz w:val="20"/>
                <w:szCs w:val="20"/>
                <w:color w:val="auto"/>
              </w:rPr>
            </w:pPr>
            <w:r>
              <w:rPr>
                <w:rFonts w:ascii="Arial" w:cs="Arial" w:eastAsia="Arial" w:hAnsi="Arial"/>
                <w:sz w:val="18"/>
                <w:szCs w:val="18"/>
                <w:color w:val="auto"/>
              </w:rPr>
              <w:t>EBITDA</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$3,517</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8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Add adjustments:</w:t>
            </w:r>
          </w:p>
        </w:tc>
        <w:tc>
          <w:tcPr>
            <w:tcW w:w="200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400" w:type="dxa"/>
            <w:vAlign w:val="bottom"/>
            <w:tcBorders>
              <w:bottom w:val="single" w:sz="8" w:color="E5E5E5"/>
            </w:tcBorders>
            <w:shd w:val="clear" w:color="auto" w:fill="E5E5E5"/>
          </w:tcPr>
          <w:p>
            <w:pPr>
              <w:spacing w:after="0"/>
              <w:rPr>
                <w:sz w:val="24"/>
                <w:szCs w:val="24"/>
                <w:color w:val="auto"/>
              </w:rPr>
            </w:pPr>
          </w:p>
        </w:tc>
      </w:tr>
      <w:tr>
        <w:trPr>
          <w:trHeight w:val="288"/>
        </w:trPr>
        <w:tc>
          <w:tcPr>
            <w:tcW w:w="80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181</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Litigation settlements and other contingencies, net</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111</w:t>
            </w:r>
          </w:p>
        </w:tc>
      </w:tr>
      <w:tr>
        <w:trPr>
          <w:trHeight w:val="288"/>
        </w:trPr>
        <w:tc>
          <w:tcPr>
            <w:tcW w:w="8020" w:type="dxa"/>
            <w:vAlign w:val="bottom"/>
          </w:tcPr>
          <w:p>
            <w:pPr>
              <w:ind w:left="360"/>
              <w:spacing w:after="0"/>
              <w:rPr>
                <w:sz w:val="20"/>
                <w:szCs w:val="20"/>
                <w:color w:val="auto"/>
              </w:rPr>
            </w:pPr>
            <w:r>
              <w:rPr>
                <w:rFonts w:ascii="Arial" w:cs="Arial" w:eastAsia="Arial" w:hAnsi="Arial"/>
                <w:sz w:val="18"/>
                <w:szCs w:val="18"/>
                <w:color w:val="auto"/>
              </w:rPr>
              <w:t>Loss on divestitures of businesses</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240</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7"/>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Impairment of goodwill related to assets held for sale</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580</w:t>
            </w:r>
          </w:p>
        </w:tc>
      </w:tr>
      <w:tr>
        <w:trPr>
          <w:trHeight w:val="446"/>
        </w:trPr>
        <w:tc>
          <w:tcPr>
            <w:tcW w:w="8020" w:type="dxa"/>
            <w:vAlign w:val="bottom"/>
          </w:tcPr>
          <w:p>
            <w:pPr>
              <w:ind w:left="360"/>
              <w:spacing w:after="0"/>
              <w:rPr>
                <w:sz w:val="20"/>
                <w:szCs w:val="20"/>
                <w:color w:val="auto"/>
              </w:rPr>
            </w:pPr>
            <w:r>
              <w:rPr>
                <w:rFonts w:ascii="Arial" w:cs="Arial" w:eastAsia="Arial" w:hAnsi="Arial"/>
                <w:sz w:val="18"/>
                <w:szCs w:val="18"/>
                <w:color w:val="auto"/>
              </w:rPr>
              <w:t>Restructuring, acquisition and divestiture-related and other special items</w:t>
            </w:r>
            <w:r>
              <w:rPr>
                <w:rFonts w:ascii="Arial" w:cs="Arial" w:eastAsia="Arial" w:hAnsi="Arial"/>
                <w:sz w:val="26"/>
                <w:szCs w:val="26"/>
                <w:color w:val="auto"/>
                <w:vertAlign w:val="superscript"/>
              </w:rPr>
              <w:t>(c)</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495</w:t>
            </w: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4"/>
        </w:trPr>
        <w:tc>
          <w:tcPr>
            <w:tcW w:w="8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Adjusted EBITDA (as reported)</w:t>
            </w:r>
          </w:p>
        </w:tc>
        <w:tc>
          <w:tcPr>
            <w:tcW w:w="2000" w:type="dxa"/>
            <w:vAlign w:val="bottom"/>
            <w:tcBorders>
              <w:bottom w:val="single" w:sz="8" w:color="E5E5E5"/>
            </w:tcBorders>
            <w:shd w:val="clear" w:color="auto" w:fill="E5E5E5"/>
          </w:tcPr>
          <w:p>
            <w:pPr>
              <w:spacing w:after="0"/>
              <w:rPr>
                <w:sz w:val="24"/>
                <w:szCs w:val="24"/>
                <w:color w:val="auto"/>
              </w:rPr>
            </w:pPr>
          </w:p>
        </w:tc>
        <w:tc>
          <w:tcPr>
            <w:tcW w:w="1000" w:type="dxa"/>
            <w:vAlign w:val="bottom"/>
            <w:tcBorders>
              <w:bottom w:val="single" w:sz="8" w:color="E5E5E5"/>
            </w:tcBorders>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$5,124</w:t>
            </w: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2"/>
        </w:trPr>
        <w:tc>
          <w:tcPr>
            <w:tcW w:w="8020" w:type="dxa"/>
            <w:vAlign w:val="bottom"/>
          </w:tcPr>
          <w:p>
            <w:pPr>
              <w:ind w:left="360"/>
              <w:spacing w:after="0"/>
              <w:rPr>
                <w:sz w:val="20"/>
                <w:szCs w:val="20"/>
                <w:color w:val="auto"/>
              </w:rPr>
            </w:pPr>
            <w:r>
              <w:rPr>
                <w:rFonts w:ascii="Arial" w:cs="Arial" w:eastAsia="Arial" w:hAnsi="Arial"/>
                <w:sz w:val="18"/>
                <w:szCs w:val="18"/>
                <w:color w:val="auto"/>
              </w:rPr>
              <w:t>Impact of divestitures</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20</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Acquired IPR&amp;D costs</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105</w:t>
            </w:r>
          </w:p>
        </w:tc>
      </w:tr>
      <w:tr>
        <w:trPr>
          <w:trHeight w:val="288"/>
        </w:trPr>
        <w:tc>
          <w:tcPr>
            <w:tcW w:w="8020" w:type="dxa"/>
            <w:vAlign w:val="bottom"/>
          </w:tcPr>
          <w:p>
            <w:pPr>
              <w:ind w:left="360"/>
              <w:spacing w:after="0"/>
              <w:rPr>
                <w:sz w:val="20"/>
                <w:szCs w:val="20"/>
                <w:color w:val="auto"/>
              </w:rPr>
            </w:pPr>
            <w:r>
              <w:rPr>
                <w:rFonts w:ascii="Arial" w:cs="Arial" w:eastAsia="Arial" w:hAnsi="Arial"/>
                <w:sz w:val="18"/>
                <w:szCs w:val="18"/>
                <w:color w:val="auto"/>
              </w:rPr>
              <w:t>Currency impact</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118</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1"/>
        </w:trPr>
        <w:tc>
          <w:tcPr>
            <w:tcW w:w="8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Adjusted EBITDA (for 2023 annual incentive compensation)</w:t>
            </w:r>
          </w:p>
        </w:tc>
        <w:tc>
          <w:tcPr>
            <w:tcW w:w="26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6"/>
                <w:szCs w:val="16"/>
                <w:color w:val="auto"/>
              </w:rPr>
              <w:t>$5,367</w:t>
            </w:r>
          </w:p>
        </w:tc>
        <w:tc>
          <w:tcPr>
            <w:tcW w:w="400" w:type="dxa"/>
            <w:vAlign w:val="bottom"/>
            <w:tcBorders>
              <w:bottom w:val="single" w:sz="8" w:color="E5E5E5"/>
            </w:tcBorders>
            <w:shd w:val="clear" w:color="auto" w:fill="E5E5E5"/>
          </w:tcPr>
          <w:p>
            <w:pPr>
              <w:spacing w:after="0"/>
              <w:rPr>
                <w:sz w:val="24"/>
                <w:szCs w:val="24"/>
                <w:color w:val="auto"/>
              </w:rPr>
            </w:pPr>
          </w:p>
        </w:tc>
      </w:tr>
      <w:tr>
        <w:trPr>
          <w:trHeight w:val="20"/>
        </w:trPr>
        <w:tc>
          <w:tcPr>
            <w:tcW w:w="8020" w:type="dxa"/>
            <w:vAlign w:val="bottom"/>
            <w:shd w:val="clear" w:color="auto" w:fill="732282"/>
          </w:tcPr>
          <w:p>
            <w:pPr>
              <w:spacing w:after="0" w:line="20" w:lineRule="exact"/>
              <w:rPr>
                <w:sz w:val="1"/>
                <w:szCs w:val="1"/>
                <w:color w:val="auto"/>
              </w:rPr>
            </w:pPr>
          </w:p>
        </w:tc>
        <w:tc>
          <w:tcPr>
            <w:tcW w:w="200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400" w:type="dxa"/>
            <w:vAlign w:val="bottom"/>
            <w:shd w:val="clear" w:color="auto" w:fill="732282"/>
          </w:tcPr>
          <w:p>
            <w:pPr>
              <w:spacing w:after="0" w:line="20" w:lineRule="exact"/>
              <w:rPr>
                <w:sz w:val="1"/>
                <w:szCs w:val="1"/>
                <w:color w:val="auto"/>
              </w:rPr>
            </w:pPr>
          </w:p>
        </w:tc>
      </w:tr>
    </w:tbl>
    <w:p>
      <w:pPr>
        <w:spacing w:after="0" w:line="112"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4"/>
          <w:szCs w:val="14"/>
          <w:color w:val="3F3F3F"/>
        </w:rPr>
      </w:pPr>
      <w:r>
        <w:rPr>
          <w:rFonts w:ascii="Arial" w:cs="Arial" w:eastAsia="Arial" w:hAnsi="Arial"/>
          <w:sz w:val="14"/>
          <w:szCs w:val="14"/>
          <w:color w:val="3F3F3F"/>
        </w:rPr>
        <w:t>Includes amortization of premiums and discounts on long-term debt.</w:t>
      </w:r>
    </w:p>
    <w:p>
      <w:pPr>
        <w:spacing w:after="0" w:line="15" w:lineRule="exact"/>
        <w:rPr>
          <w:rFonts w:ascii="Arial" w:cs="Arial" w:eastAsia="Arial" w:hAnsi="Arial"/>
          <w:sz w:val="14"/>
          <w:szCs w:val="14"/>
          <w:color w:val="3F3F3F"/>
        </w:rPr>
      </w:pPr>
    </w:p>
    <w:p>
      <w:pPr>
        <w:ind w:left="540" w:hanging="424"/>
        <w:spacing w:after="0"/>
        <w:tabs>
          <w:tab w:leader="none" w:pos="540" w:val="left"/>
        </w:tabs>
        <w:numPr>
          <w:ilvl w:val="0"/>
          <w:numId w:val="132"/>
        </w:numPr>
        <w:rPr>
          <w:rFonts w:ascii="Arial" w:cs="Arial" w:eastAsia="Arial" w:hAnsi="Arial"/>
          <w:sz w:val="14"/>
          <w:szCs w:val="14"/>
          <w:color w:val="3F3F3F"/>
        </w:rPr>
      </w:pPr>
      <w:r>
        <w:rPr>
          <w:rFonts w:ascii="Arial" w:cs="Arial" w:eastAsia="Arial" w:hAnsi="Arial"/>
          <w:sz w:val="14"/>
          <w:szCs w:val="14"/>
          <w:color w:val="3F3F3F"/>
        </w:rPr>
        <w:t>Includes purchase accounting related amortization.</w:t>
      </w:r>
    </w:p>
    <w:p>
      <w:pPr>
        <w:spacing w:after="0" w:line="1" w:lineRule="exact"/>
        <w:rPr>
          <w:rFonts w:ascii="Arial" w:cs="Arial" w:eastAsia="Arial" w:hAnsi="Arial"/>
          <w:sz w:val="14"/>
          <w:szCs w:val="14"/>
          <w:color w:val="3F3F3F"/>
        </w:rPr>
      </w:pPr>
    </w:p>
    <w:p>
      <w:pPr>
        <w:ind w:left="540" w:right="360" w:hanging="424"/>
        <w:spacing w:after="0" w:line="264" w:lineRule="auto"/>
        <w:tabs>
          <w:tab w:leader="none" w:pos="540" w:val="left"/>
        </w:tabs>
        <w:numPr>
          <w:ilvl w:val="0"/>
          <w:numId w:val="132"/>
        </w:numPr>
        <w:rPr>
          <w:rFonts w:ascii="Arial" w:cs="Arial" w:eastAsia="Arial" w:hAnsi="Arial"/>
          <w:sz w:val="14"/>
          <w:szCs w:val="14"/>
          <w:color w:val="3F3F3F"/>
        </w:rPr>
      </w:pPr>
      <w:r>
        <w:rPr>
          <w:rFonts w:ascii="Arial" w:cs="Arial" w:eastAsia="Arial" w:hAnsi="Arial"/>
          <w:sz w:val="14"/>
          <w:szCs w:val="14"/>
          <w:color w:val="3F3F3F"/>
        </w:rPr>
        <w:t>Includes restructuring related costs, acquisition and divestiture related costs (primarily included in selling, general and administrative expenses) and other special items included in cost of sales, R&amp;D expense, selling, general and administrative expense, and other expense</w:t>
      </w:r>
      <w:r>
        <w:rPr>
          <w:rFonts w:ascii="Arial" w:cs="Arial" w:eastAsia="Arial" w:hAnsi="Arial"/>
          <w:sz w:val="14"/>
          <w:szCs w:val="14"/>
          <w:i w:val="1"/>
          <w:iCs w:val="1"/>
          <w:color w:val="3F3F3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7029450" cy="68580"/>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231161"/>
        </w:rPr>
        <w:t>Free Cash Flow</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231161"/>
        </w:rPr>
        <w:t>2023 Annual Incentive Program</w:t>
      </w:r>
    </w:p>
    <w:p>
      <w:pPr>
        <w:spacing w:after="0" w:line="10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3F3F3F"/>
        </w:rPr>
        <w:t>Free cash flow is derived from Viatris’ audited financial statements in the same manner as Viatris’ publicly reported free cash flow for 2023 (U.S. GAAP net cash provided by operating activities, less capital expenditures) (“as reported”), except that the calculation for the 2023 annual incentive program (“for 2023 annual incentive compensation”) utilized 2023 budgeted foreign exchange rates (“currency impact”) and further adjusts for transaction costs and taxes related to the acquisitions of Oyster Point and Famy Life Sciences as well as any incremental transaction costs and taxes related to other select assets sales or reshaping initiatives and other impacts of divestitures (“transaction costs”), acquired IPR&amp;D costs, and proceeds from the sale of property, plant and equipment.</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020" w:type="dxa"/>
            <w:vAlign w:val="bottom"/>
            <w:shd w:val="clear" w:color="auto" w:fill="732282"/>
          </w:tcPr>
          <w:p>
            <w:pPr>
              <w:spacing w:after="0"/>
              <w:rPr>
                <w:sz w:val="17"/>
                <w:szCs w:val="17"/>
                <w:color w:val="auto"/>
              </w:rPr>
            </w:pPr>
          </w:p>
        </w:tc>
        <w:tc>
          <w:tcPr>
            <w:tcW w:w="3000" w:type="dxa"/>
            <w:vAlign w:val="bottom"/>
            <w:gridSpan w:val="3"/>
            <w:shd w:val="clear" w:color="auto" w:fill="732282"/>
          </w:tcPr>
          <w:p>
            <w:pPr>
              <w:jc w:val="right"/>
              <w:ind w:right="380"/>
              <w:spacing w:after="0"/>
              <w:rPr>
                <w:sz w:val="20"/>
                <w:szCs w:val="20"/>
                <w:color w:val="auto"/>
              </w:rPr>
            </w:pPr>
            <w:r>
              <w:rPr>
                <w:rFonts w:ascii="Arial" w:cs="Arial" w:eastAsia="Arial" w:hAnsi="Arial"/>
                <w:sz w:val="18"/>
                <w:szCs w:val="18"/>
                <w:b w:val="1"/>
                <w:bCs w:val="1"/>
                <w:color w:val="FFFFFF"/>
              </w:rPr>
              <w:t>Year Ended </w:t>
            </w:r>
          </w:p>
        </w:tc>
      </w:tr>
      <w:tr>
        <w:trPr>
          <w:trHeight w:val="269"/>
        </w:trPr>
        <w:tc>
          <w:tcPr>
            <w:tcW w:w="802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8"/>
                <w:szCs w:val="18"/>
                <w:b w:val="1"/>
                <w:bCs w:val="1"/>
                <w:color w:val="FFFFFF"/>
              </w:rPr>
              <w:t>(in millions)</w:t>
            </w:r>
          </w:p>
        </w:tc>
        <w:tc>
          <w:tcPr>
            <w:tcW w:w="3000" w:type="dxa"/>
            <w:vAlign w:val="bottom"/>
            <w:tcBorders>
              <w:bottom w:val="single" w:sz="8" w:color="732282"/>
            </w:tcBorders>
            <w:gridSpan w:val="3"/>
            <w:shd w:val="clear" w:color="auto" w:fill="732282"/>
          </w:tcPr>
          <w:p>
            <w:pPr>
              <w:jc w:val="right"/>
              <w:ind w:right="100"/>
              <w:spacing w:after="0"/>
              <w:rPr>
                <w:sz w:val="20"/>
                <w:szCs w:val="20"/>
                <w:color w:val="auto"/>
              </w:rPr>
            </w:pPr>
            <w:r>
              <w:rPr>
                <w:rFonts w:ascii="Arial" w:cs="Arial" w:eastAsia="Arial" w:hAnsi="Arial"/>
                <w:sz w:val="18"/>
                <w:szCs w:val="18"/>
                <w:b w:val="1"/>
                <w:bCs w:val="1"/>
                <w:color w:val="FFFFFF"/>
              </w:rPr>
              <w:t>December 31, 2023</w:t>
            </w:r>
          </w:p>
        </w:tc>
      </w:tr>
      <w:tr>
        <w:trPr>
          <w:trHeight w:val="318"/>
        </w:trPr>
        <w:tc>
          <w:tcPr>
            <w:tcW w:w="8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U.S. GAAP net cash provided by operating activities</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$2,800</w:t>
            </w:r>
          </w:p>
        </w:tc>
      </w:tr>
      <w:tr>
        <w:trPr>
          <w:trHeight w:val="288"/>
        </w:trPr>
        <w:tc>
          <w:tcPr>
            <w:tcW w:w="8020" w:type="dxa"/>
            <w:vAlign w:val="bottom"/>
          </w:tcPr>
          <w:p>
            <w:pPr>
              <w:ind w:left="60"/>
              <w:spacing w:after="0"/>
              <w:rPr>
                <w:sz w:val="20"/>
                <w:szCs w:val="20"/>
                <w:color w:val="auto"/>
              </w:rPr>
            </w:pPr>
            <w:r>
              <w:rPr>
                <w:rFonts w:ascii="Arial" w:cs="Arial" w:eastAsia="Arial" w:hAnsi="Arial"/>
                <w:sz w:val="18"/>
                <w:szCs w:val="18"/>
                <w:color w:val="auto"/>
              </w:rPr>
              <w:t>Add / (deduct):</w:t>
            </w:r>
          </w:p>
        </w:tc>
        <w:tc>
          <w:tcPr>
            <w:tcW w:w="2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7"/>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Capital expenditures</w:t>
            </w:r>
          </w:p>
        </w:tc>
        <w:tc>
          <w:tcPr>
            <w:tcW w:w="2000" w:type="dxa"/>
            <w:vAlign w:val="bottom"/>
            <w:tcBorders>
              <w:bottom w:val="single" w:sz="8" w:color="E5E5E5"/>
            </w:tcBorders>
            <w:shd w:val="clear" w:color="auto" w:fill="E5E5E5"/>
          </w:tcPr>
          <w:p>
            <w:pPr>
              <w:spacing w:after="0"/>
              <w:rPr>
                <w:sz w:val="24"/>
                <w:szCs w:val="24"/>
                <w:color w:val="auto"/>
              </w:rPr>
            </w:pPr>
          </w:p>
        </w:tc>
        <w:tc>
          <w:tcPr>
            <w:tcW w:w="1000" w:type="dxa"/>
            <w:vAlign w:val="bottom"/>
            <w:tcBorders>
              <w:bottom w:val="single" w:sz="8" w:color="E5E5E5"/>
            </w:tcBorders>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(377)</w:t>
            </w: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5"/>
        </w:trPr>
        <w:tc>
          <w:tcPr>
            <w:tcW w:w="8020" w:type="dxa"/>
            <w:vAlign w:val="bottom"/>
          </w:tcPr>
          <w:p>
            <w:pPr>
              <w:ind w:left="60"/>
              <w:spacing w:after="0"/>
              <w:rPr>
                <w:sz w:val="20"/>
                <w:szCs w:val="20"/>
                <w:color w:val="auto"/>
              </w:rPr>
            </w:pPr>
            <w:r>
              <w:rPr>
                <w:rFonts w:ascii="Arial" w:cs="Arial" w:eastAsia="Arial" w:hAnsi="Arial"/>
                <w:sz w:val="18"/>
                <w:szCs w:val="18"/>
                <w:color w:val="auto"/>
              </w:rPr>
              <w:t>Free cash flow (as reported)</w:t>
            </w:r>
          </w:p>
        </w:tc>
        <w:tc>
          <w:tcPr>
            <w:tcW w:w="200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2,423</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2"/>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Transaction costs</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235</w:t>
            </w:r>
          </w:p>
        </w:tc>
      </w:tr>
      <w:tr>
        <w:trPr>
          <w:trHeight w:val="288"/>
        </w:trPr>
        <w:tc>
          <w:tcPr>
            <w:tcW w:w="8020" w:type="dxa"/>
            <w:vAlign w:val="bottom"/>
          </w:tcPr>
          <w:p>
            <w:pPr>
              <w:ind w:left="360"/>
              <w:spacing w:after="0"/>
              <w:rPr>
                <w:sz w:val="20"/>
                <w:szCs w:val="20"/>
                <w:color w:val="auto"/>
              </w:rPr>
            </w:pPr>
            <w:r>
              <w:rPr>
                <w:rFonts w:ascii="Arial" w:cs="Arial" w:eastAsia="Arial" w:hAnsi="Arial"/>
                <w:sz w:val="18"/>
                <w:szCs w:val="18"/>
                <w:color w:val="auto"/>
              </w:rPr>
              <w:t>Acquired IPR&amp;D costs</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8020" w:type="dxa"/>
            <w:vAlign w:val="bottom"/>
            <w:tcBorders>
              <w:bottom w:val="single" w:sz="8" w:color="E5E5E5"/>
            </w:tcBorders>
            <w:shd w:val="clear" w:color="auto" w:fill="E5E5E5"/>
          </w:tcPr>
          <w:p>
            <w:pPr>
              <w:ind w:left="360"/>
              <w:spacing w:after="0"/>
              <w:rPr>
                <w:sz w:val="20"/>
                <w:szCs w:val="20"/>
                <w:color w:val="auto"/>
              </w:rPr>
            </w:pPr>
            <w:r>
              <w:rPr>
                <w:rFonts w:ascii="Arial" w:cs="Arial" w:eastAsia="Arial" w:hAnsi="Arial"/>
                <w:sz w:val="18"/>
                <w:szCs w:val="18"/>
                <w:color w:val="auto"/>
              </w:rPr>
              <w:t>Proceeds from the sale of certain property, plant and equipment</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13</w:t>
            </w:r>
          </w:p>
        </w:tc>
      </w:tr>
      <w:tr>
        <w:trPr>
          <w:trHeight w:val="288"/>
        </w:trPr>
        <w:tc>
          <w:tcPr>
            <w:tcW w:w="8020" w:type="dxa"/>
            <w:vAlign w:val="bottom"/>
          </w:tcPr>
          <w:p>
            <w:pPr>
              <w:ind w:left="360"/>
              <w:spacing w:after="0"/>
              <w:rPr>
                <w:sz w:val="20"/>
                <w:szCs w:val="20"/>
                <w:color w:val="auto"/>
              </w:rPr>
            </w:pPr>
            <w:r>
              <w:rPr>
                <w:rFonts w:ascii="Arial" w:cs="Arial" w:eastAsia="Arial" w:hAnsi="Arial"/>
                <w:sz w:val="18"/>
                <w:szCs w:val="18"/>
                <w:color w:val="auto"/>
              </w:rPr>
              <w:t>Currency impact</w:t>
            </w:r>
          </w:p>
        </w:tc>
        <w:tc>
          <w:tcPr>
            <w:tcW w:w="3000" w:type="dxa"/>
            <w:vAlign w:val="bottom"/>
            <w:gridSpan w:val="3"/>
          </w:tcPr>
          <w:p>
            <w:pPr>
              <w:jc w:val="right"/>
              <w:ind w:right="400"/>
              <w:spacing w:after="0"/>
              <w:rPr>
                <w:sz w:val="20"/>
                <w:szCs w:val="20"/>
                <w:color w:val="auto"/>
              </w:rPr>
            </w:pPr>
            <w:r>
              <w:rPr>
                <w:rFonts w:ascii="Arial" w:cs="Arial" w:eastAsia="Arial" w:hAnsi="Arial"/>
                <w:sz w:val="18"/>
                <w:szCs w:val="18"/>
                <w:color w:val="auto"/>
              </w:rPr>
              <w:t>145</w:t>
            </w:r>
          </w:p>
        </w:tc>
      </w:tr>
      <w:tr>
        <w:trPr>
          <w:trHeight w:val="50"/>
        </w:trPr>
        <w:tc>
          <w:tcPr>
            <w:tcW w:w="8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0"/>
        </w:trPr>
        <w:tc>
          <w:tcPr>
            <w:tcW w:w="8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80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Free cash flow (for 2023 annual incentive compensation)</w:t>
            </w:r>
          </w:p>
        </w:tc>
        <w:tc>
          <w:tcPr>
            <w:tcW w:w="300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8"/>
                <w:szCs w:val="18"/>
                <w:color w:val="auto"/>
              </w:rPr>
              <w:t>$2,916</w:t>
            </w:r>
          </w:p>
        </w:tc>
      </w:tr>
      <w:tr>
        <w:trPr>
          <w:trHeight w:val="20"/>
        </w:trPr>
        <w:tc>
          <w:tcPr>
            <w:tcW w:w="8020" w:type="dxa"/>
            <w:vAlign w:val="bottom"/>
            <w:shd w:val="clear" w:color="auto" w:fill="732282"/>
          </w:tcPr>
          <w:p>
            <w:pPr>
              <w:spacing w:after="0" w:line="20" w:lineRule="exact"/>
              <w:rPr>
                <w:sz w:val="1"/>
                <w:szCs w:val="1"/>
                <w:color w:val="auto"/>
              </w:rPr>
            </w:pPr>
          </w:p>
        </w:tc>
        <w:tc>
          <w:tcPr>
            <w:tcW w:w="200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400" w:type="dxa"/>
            <w:vAlign w:val="bottom"/>
            <w:shd w:val="clear" w:color="auto" w:fill="732282"/>
          </w:tcPr>
          <w:p>
            <w:pPr>
              <w:spacing w:after="0" w:line="20" w:lineRule="exact"/>
              <w:rPr>
                <w:sz w:val="1"/>
                <w:szCs w:val="1"/>
                <w:color w:val="auto"/>
              </w:rPr>
            </w:pPr>
          </w:p>
        </w:tc>
      </w:tr>
    </w:tbl>
    <w:p>
      <w:pPr>
        <w:spacing w:after="0" w:line="20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231161"/>
        </w:rPr>
        <w:t>2023 PRSUs</w:t>
      </w:r>
    </w:p>
    <w:p>
      <w:pPr>
        <w:spacing w:after="0" w:line="147"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Free cash flow is derived from Viatris’ audited financial statements in the same manner as the calculation for Viatris’ 2023 annual incentive program, except that the calculation for the 2023 PRSUs further adjusts for any of the following, as applicable: transaction costs and taxes related to certain acquisitions and divestitures as well as any incremental transaction costs and taxes related to other select asset sales or reshaping initiatives and other impacts of divestitures, unbudgeted restructuring costs, unbudgeted R&amp;D expense, material unplanned litigation gains or losses equal to or greater than $25 million in the aggregate, changes in tax laws, and all impacts of material acquisition activities. Free cash flow for the 2023 PRSUs will be the sum of such free cash flow measure for each of the years ended December 31, 2023, 2024 and 2025 and will utilize budgeted foreign exchange rates for the relevant year.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231161"/>
        </w:rPr>
        <w:t>2021-2023 Three-Year PRSUs</w:t>
      </w:r>
    </w:p>
    <w:p>
      <w:pPr>
        <w:spacing w:after="0" w:line="147"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Free cash flow is derived from Viatris’ audited financial statements in the same manner as Viatris’ free cash flow (as reported), except that the calculation for the 2021-2023 three-year PRSUs (“for 2021-2023 three-year PRSUs”) utilized budgeted foreign exchange rates for the relevant year (“currency impact”) and further adjusts for the following, as applicable: transaction costs and taxes related to the acquisitions of Oyster Point and Famy Life Sciences as well as any incremental transaction costs and taxes related to other select assets sales or reshaping initiatives and other impact of divestitures (“transaction costs”), acquired IPR&amp;D costs, proceeds from the sale of property, plant and equipment, material unplanned litigation gains or losses equal to or greater than $25 million in the aggregate, all impacts of the Biocon Biologics Transaction following its consummation including results after closing and transaction-related costs, and sales of intellectual property up to $750 million annually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29450" cy="6858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B-5 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2288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865505" cy="2228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3F3F3F"/>
        </w:rPr>
        <w:t>aggregate. Free cash flow for the 2021-2023 three-year PRSUs is the sum of such free cash flow measure for each of the years ended December 31, 2021, 2022 and 2023.</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8140" w:type="dxa"/>
            <w:vAlign w:val="bottom"/>
            <w:shd w:val="clear" w:color="auto" w:fill="732282"/>
          </w:tcPr>
          <w:p>
            <w:pPr>
              <w:spacing w:after="0"/>
              <w:rPr>
                <w:sz w:val="24"/>
                <w:szCs w:val="24"/>
                <w:color w:val="auto"/>
              </w:rPr>
            </w:pPr>
          </w:p>
        </w:tc>
        <w:tc>
          <w:tcPr>
            <w:tcW w:w="120" w:type="dxa"/>
            <w:vAlign w:val="bottom"/>
            <w:shd w:val="clear" w:color="auto" w:fill="732282"/>
          </w:tcPr>
          <w:p>
            <w:pPr>
              <w:spacing w:after="0"/>
              <w:rPr>
                <w:sz w:val="24"/>
                <w:szCs w:val="24"/>
                <w:color w:val="auto"/>
              </w:rPr>
            </w:pPr>
          </w:p>
        </w:tc>
        <w:tc>
          <w:tcPr>
            <w:tcW w:w="2760" w:type="dxa"/>
            <w:vAlign w:val="bottom"/>
            <w:gridSpan w:val="7"/>
            <w:shd w:val="clear" w:color="auto" w:fill="732282"/>
          </w:tcPr>
          <w:p>
            <w:pPr>
              <w:ind w:left="360"/>
              <w:spacing w:after="0"/>
              <w:rPr>
                <w:sz w:val="20"/>
                <w:szCs w:val="20"/>
                <w:color w:val="auto"/>
              </w:rPr>
            </w:pPr>
            <w:r>
              <w:rPr>
                <w:rFonts w:ascii="Arial" w:cs="Arial" w:eastAsia="Arial" w:hAnsi="Arial"/>
                <w:sz w:val="16"/>
                <w:szCs w:val="16"/>
                <w:b w:val="1"/>
                <w:bCs w:val="1"/>
                <w:color w:val="FFFFFF"/>
              </w:rPr>
              <w:t>Year Ended December 31,</w:t>
            </w:r>
          </w:p>
        </w:tc>
      </w:tr>
      <w:tr>
        <w:trPr>
          <w:trHeight w:val="298"/>
        </w:trPr>
        <w:tc>
          <w:tcPr>
            <w:tcW w:w="814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(in millions)</w:t>
            </w:r>
          </w:p>
        </w:tc>
        <w:tc>
          <w:tcPr>
            <w:tcW w:w="640" w:type="dxa"/>
            <w:vAlign w:val="bottom"/>
            <w:tcBorders>
              <w:bottom w:val="single" w:sz="8" w:color="732282"/>
            </w:tcBorders>
            <w:gridSpan w:val="2"/>
            <w:shd w:val="clear" w:color="auto" w:fill="732282"/>
          </w:tcPr>
          <w:p>
            <w:pPr>
              <w:jc w:val="right"/>
              <w:spacing w:after="0"/>
              <w:rPr>
                <w:sz w:val="20"/>
                <w:szCs w:val="20"/>
                <w:color w:val="auto"/>
              </w:rPr>
            </w:pPr>
            <w:r>
              <w:rPr>
                <w:rFonts w:ascii="Arial" w:cs="Arial" w:eastAsia="Arial" w:hAnsi="Arial"/>
                <w:sz w:val="16"/>
                <w:szCs w:val="16"/>
                <w:b w:val="1"/>
                <w:bCs w:val="1"/>
                <w:color w:val="FFFFFF"/>
              </w:rPr>
              <w:t>2021</w:t>
            </w:r>
          </w:p>
        </w:tc>
        <w:tc>
          <w:tcPr>
            <w:tcW w:w="200" w:type="dxa"/>
            <w:vAlign w:val="bottom"/>
            <w:tcBorders>
              <w:bottom w:val="single" w:sz="8" w:color="732282"/>
            </w:tcBorders>
            <w:shd w:val="clear" w:color="auto" w:fill="732282"/>
          </w:tcPr>
          <w:p>
            <w:pPr>
              <w:spacing w:after="0"/>
              <w:rPr>
                <w:sz w:val="24"/>
                <w:szCs w:val="24"/>
                <w:color w:val="auto"/>
              </w:rPr>
            </w:pPr>
          </w:p>
        </w:tc>
        <w:tc>
          <w:tcPr>
            <w:tcW w:w="520" w:type="dxa"/>
            <w:vAlign w:val="bottom"/>
            <w:tcBorders>
              <w:bottom w:val="single" w:sz="8" w:color="732282"/>
            </w:tcBorders>
            <w:shd w:val="clear" w:color="auto" w:fill="732282"/>
          </w:tcPr>
          <w:p>
            <w:pPr>
              <w:jc w:val="right"/>
              <w:spacing w:after="0"/>
              <w:rPr>
                <w:sz w:val="20"/>
                <w:szCs w:val="20"/>
                <w:color w:val="auto"/>
              </w:rPr>
            </w:pPr>
            <w:r>
              <w:rPr>
                <w:rFonts w:ascii="Arial" w:cs="Arial" w:eastAsia="Arial" w:hAnsi="Arial"/>
                <w:sz w:val="16"/>
                <w:szCs w:val="16"/>
                <w:b w:val="1"/>
                <w:bCs w:val="1"/>
                <w:color w:val="FFFFFF"/>
              </w:rPr>
              <w:t>2022</w:t>
            </w:r>
          </w:p>
        </w:tc>
        <w:tc>
          <w:tcPr>
            <w:tcW w:w="220" w:type="dxa"/>
            <w:vAlign w:val="bottom"/>
            <w:tcBorders>
              <w:bottom w:val="single" w:sz="8" w:color="732282"/>
            </w:tcBorders>
            <w:shd w:val="clear" w:color="auto" w:fill="732282"/>
          </w:tcPr>
          <w:p>
            <w:pPr>
              <w:spacing w:after="0"/>
              <w:rPr>
                <w:sz w:val="24"/>
                <w:szCs w:val="24"/>
                <w:color w:val="auto"/>
              </w:rPr>
            </w:pPr>
          </w:p>
        </w:tc>
        <w:tc>
          <w:tcPr>
            <w:tcW w:w="500" w:type="dxa"/>
            <w:vAlign w:val="bottom"/>
            <w:tcBorders>
              <w:bottom w:val="single" w:sz="8" w:color="732282"/>
            </w:tcBorders>
            <w:shd w:val="clear" w:color="auto" w:fill="732282"/>
          </w:tcPr>
          <w:p>
            <w:pPr>
              <w:jc w:val="right"/>
              <w:spacing w:after="0"/>
              <w:rPr>
                <w:sz w:val="20"/>
                <w:szCs w:val="20"/>
                <w:color w:val="auto"/>
              </w:rPr>
            </w:pPr>
            <w:r>
              <w:rPr>
                <w:rFonts w:ascii="Arial" w:cs="Arial" w:eastAsia="Arial" w:hAnsi="Arial"/>
                <w:sz w:val="16"/>
                <w:szCs w:val="16"/>
                <w:b w:val="1"/>
                <w:bCs w:val="1"/>
                <w:color w:val="FFFFFF"/>
              </w:rPr>
              <w:t>2023</w:t>
            </w:r>
          </w:p>
        </w:tc>
        <w:tc>
          <w:tcPr>
            <w:tcW w:w="140" w:type="dxa"/>
            <w:vAlign w:val="bottom"/>
            <w:tcBorders>
              <w:bottom w:val="single" w:sz="8" w:color="732282"/>
            </w:tcBorders>
            <w:shd w:val="clear" w:color="auto" w:fill="732282"/>
          </w:tcPr>
          <w:p>
            <w:pPr>
              <w:spacing w:after="0"/>
              <w:rPr>
                <w:sz w:val="24"/>
                <w:szCs w:val="24"/>
                <w:color w:val="auto"/>
              </w:rPr>
            </w:pPr>
          </w:p>
        </w:tc>
        <w:tc>
          <w:tcPr>
            <w:tcW w:w="660" w:type="dxa"/>
            <w:vAlign w:val="bottom"/>
            <w:tcBorders>
              <w:bottom w:val="single" w:sz="8" w:color="732282"/>
            </w:tcBorders>
            <w:shd w:val="clear" w:color="auto" w:fill="732282"/>
          </w:tcPr>
          <w:p>
            <w:pPr>
              <w:jc w:val="center"/>
              <w:spacing w:after="0"/>
              <w:rPr>
                <w:sz w:val="20"/>
                <w:szCs w:val="20"/>
                <w:color w:val="auto"/>
              </w:rPr>
            </w:pPr>
            <w:r>
              <w:rPr>
                <w:rFonts w:ascii="Arial" w:cs="Arial" w:eastAsia="Arial" w:hAnsi="Arial"/>
                <w:sz w:val="16"/>
                <w:szCs w:val="16"/>
                <w:b w:val="1"/>
                <w:bCs w:val="1"/>
                <w:color w:val="FFFFFF"/>
                <w:w w:val="94"/>
              </w:rPr>
              <w:t>Total</w:t>
            </w:r>
          </w:p>
        </w:tc>
      </w:tr>
      <w:tr>
        <w:trPr>
          <w:trHeight w:val="304"/>
        </w:trPr>
        <w:tc>
          <w:tcPr>
            <w:tcW w:w="8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U.S. GAAP net cash provided by operating activities</w:t>
            </w:r>
          </w:p>
        </w:tc>
        <w:tc>
          <w:tcPr>
            <w:tcW w:w="840" w:type="dxa"/>
            <w:vAlign w:val="bottom"/>
            <w:tcBorders>
              <w:bottom w:val="single" w:sz="8" w:color="E5E5E5"/>
            </w:tcBorders>
            <w:gridSpan w:val="3"/>
            <w:shd w:val="clear" w:color="auto" w:fill="E5E5E5"/>
          </w:tcPr>
          <w:p>
            <w:pPr>
              <w:jc w:val="right"/>
              <w:ind w:right="200"/>
              <w:spacing w:after="0"/>
              <w:rPr>
                <w:sz w:val="20"/>
                <w:szCs w:val="20"/>
                <w:color w:val="auto"/>
              </w:rPr>
            </w:pPr>
            <w:r>
              <w:rPr>
                <w:rFonts w:ascii="Arial" w:cs="Arial" w:eastAsia="Arial" w:hAnsi="Arial"/>
                <w:sz w:val="16"/>
                <w:szCs w:val="16"/>
                <w:color w:val="auto"/>
              </w:rPr>
              <w:t>$3,017</w:t>
            </w:r>
          </w:p>
        </w:tc>
        <w:tc>
          <w:tcPr>
            <w:tcW w:w="740" w:type="dxa"/>
            <w:vAlign w:val="bottom"/>
            <w:tcBorders>
              <w:bottom w:val="single" w:sz="8" w:color="E5E5E5"/>
            </w:tcBorders>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$2,953</w:t>
            </w:r>
          </w:p>
        </w:tc>
        <w:tc>
          <w:tcPr>
            <w:tcW w:w="640" w:type="dxa"/>
            <w:vAlign w:val="bottom"/>
            <w:tcBorders>
              <w:bottom w:val="single" w:sz="8" w:color="E5E5E5"/>
            </w:tcBorders>
            <w:gridSpan w:val="2"/>
            <w:shd w:val="clear" w:color="auto" w:fill="E5E5E5"/>
          </w:tcPr>
          <w:p>
            <w:pPr>
              <w:jc w:val="right"/>
              <w:ind w:right="140"/>
              <w:spacing w:after="0"/>
              <w:rPr>
                <w:sz w:val="20"/>
                <w:szCs w:val="20"/>
                <w:color w:val="auto"/>
              </w:rPr>
            </w:pPr>
            <w:r>
              <w:rPr>
                <w:rFonts w:ascii="Arial" w:cs="Arial" w:eastAsia="Arial" w:hAnsi="Arial"/>
                <w:sz w:val="16"/>
                <w:szCs w:val="16"/>
                <w:color w:val="auto"/>
                <w:w w:val="98"/>
              </w:rPr>
              <w:t>$2,800</w:t>
            </w:r>
          </w:p>
        </w:tc>
        <w:tc>
          <w:tcPr>
            <w:tcW w:w="660" w:type="dxa"/>
            <w:vAlign w:val="bottom"/>
            <w:tcBorders>
              <w:bottom w:val="single" w:sz="8" w:color="E5E5E5"/>
            </w:tcBorders>
            <w:shd w:val="clear" w:color="auto" w:fill="E5E5E5"/>
          </w:tcPr>
          <w:p>
            <w:pPr>
              <w:spacing w:after="0"/>
              <w:rPr>
                <w:sz w:val="24"/>
                <w:szCs w:val="24"/>
                <w:color w:val="auto"/>
              </w:rPr>
            </w:pPr>
          </w:p>
        </w:tc>
      </w:tr>
      <w:tr>
        <w:trPr>
          <w:trHeight w:val="268"/>
        </w:trPr>
        <w:tc>
          <w:tcPr>
            <w:tcW w:w="8140" w:type="dxa"/>
            <w:vAlign w:val="bottom"/>
          </w:tcPr>
          <w:p>
            <w:pPr>
              <w:ind w:left="60"/>
              <w:spacing w:after="0"/>
              <w:rPr>
                <w:sz w:val="20"/>
                <w:szCs w:val="20"/>
                <w:color w:val="auto"/>
              </w:rPr>
            </w:pPr>
            <w:r>
              <w:rPr>
                <w:rFonts w:ascii="Arial" w:cs="Arial" w:eastAsia="Arial" w:hAnsi="Arial"/>
                <w:sz w:val="16"/>
                <w:szCs w:val="16"/>
                <w:color w:val="auto"/>
              </w:rPr>
              <w:t>Add / (deduct):</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56"/>
        </w:trPr>
        <w:tc>
          <w:tcPr>
            <w:tcW w:w="8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(457)</w:t>
            </w:r>
          </w:p>
        </w:tc>
        <w:tc>
          <w:tcPr>
            <w:tcW w:w="740" w:type="dxa"/>
            <w:vAlign w:val="bottom"/>
            <w:tcBorders>
              <w:bottom w:val="single" w:sz="8" w:color="E5E5E5"/>
            </w:tcBorders>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(406)</w:t>
            </w:r>
          </w:p>
        </w:tc>
        <w:tc>
          <w:tcPr>
            <w:tcW w:w="640" w:type="dxa"/>
            <w:vAlign w:val="bottom"/>
            <w:tcBorders>
              <w:bottom w:val="single" w:sz="8" w:color="E5E5E5"/>
            </w:tcBorders>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(377)</w:t>
            </w:r>
          </w:p>
        </w:tc>
        <w:tc>
          <w:tcPr>
            <w:tcW w:w="660" w:type="dxa"/>
            <w:vAlign w:val="bottom"/>
            <w:tcBorders>
              <w:bottom w:val="single" w:sz="8" w:color="E5E5E5"/>
            </w:tcBorders>
            <w:shd w:val="clear" w:color="auto" w:fill="E5E5E5"/>
          </w:tcPr>
          <w:p>
            <w:pPr>
              <w:spacing w:after="0"/>
              <w:rPr>
                <w:sz w:val="24"/>
                <w:szCs w:val="24"/>
                <w:color w:val="auto"/>
              </w:rPr>
            </w:pPr>
          </w:p>
        </w:tc>
      </w:tr>
      <w:tr>
        <w:trPr>
          <w:trHeight w:val="27"/>
        </w:trPr>
        <w:tc>
          <w:tcPr>
            <w:tcW w:w="8140" w:type="dxa"/>
            <w:vAlign w:val="bottom"/>
            <w:shd w:val="clear" w:color="auto" w:fill="E5E5E5"/>
          </w:tcPr>
          <w:p>
            <w:pPr>
              <w:spacing w:after="0"/>
              <w:rPr>
                <w:sz w:val="2"/>
                <w:szCs w:val="2"/>
                <w:color w:val="auto"/>
              </w:rPr>
            </w:pPr>
          </w:p>
        </w:tc>
        <w:tc>
          <w:tcPr>
            <w:tcW w:w="120" w:type="dxa"/>
            <w:vAlign w:val="bottom"/>
            <w:shd w:val="clear" w:color="auto" w:fill="E5E5E5"/>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E5E5E5"/>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660" w:type="dxa"/>
            <w:vAlign w:val="bottom"/>
            <w:shd w:val="clear" w:color="auto" w:fill="E5E5E5"/>
          </w:tcPr>
          <w:p>
            <w:pPr>
              <w:spacing w:after="0"/>
              <w:rPr>
                <w:sz w:val="2"/>
                <w:szCs w:val="2"/>
                <w:color w:val="auto"/>
              </w:rPr>
            </w:pPr>
          </w:p>
        </w:tc>
      </w:tr>
      <w:tr>
        <w:trPr>
          <w:trHeight w:val="268"/>
        </w:trPr>
        <w:tc>
          <w:tcPr>
            <w:tcW w:w="8140" w:type="dxa"/>
            <w:vAlign w:val="bottom"/>
          </w:tcPr>
          <w:p>
            <w:pPr>
              <w:ind w:left="60"/>
              <w:spacing w:after="0"/>
              <w:rPr>
                <w:sz w:val="20"/>
                <w:szCs w:val="20"/>
                <w:color w:val="auto"/>
              </w:rPr>
            </w:pPr>
            <w:r>
              <w:rPr>
                <w:rFonts w:ascii="Arial" w:cs="Arial" w:eastAsia="Arial" w:hAnsi="Arial"/>
                <w:sz w:val="16"/>
                <w:szCs w:val="16"/>
                <w:color w:val="auto"/>
              </w:rPr>
              <w:t>Free cash flow (as reported)</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2,560</w:t>
            </w:r>
          </w:p>
        </w:tc>
        <w:tc>
          <w:tcPr>
            <w:tcW w:w="2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2,547</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2,423</w:t>
            </w:r>
          </w:p>
        </w:tc>
        <w:tc>
          <w:tcPr>
            <w:tcW w:w="660" w:type="dxa"/>
            <w:vAlign w:val="bottom"/>
          </w:tcPr>
          <w:p>
            <w:pPr>
              <w:spacing w:after="0"/>
              <w:rPr>
                <w:sz w:val="23"/>
                <w:szCs w:val="23"/>
                <w:color w:val="auto"/>
              </w:rPr>
            </w:pPr>
          </w:p>
        </w:tc>
      </w:tr>
      <w:tr>
        <w:trPr>
          <w:trHeight w:val="56"/>
        </w:trPr>
        <w:tc>
          <w:tcPr>
            <w:tcW w:w="8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8"/>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Transaction costs</w:t>
            </w:r>
          </w:p>
        </w:tc>
        <w:tc>
          <w:tcPr>
            <w:tcW w:w="12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E5E5"/>
            </w:tcBorders>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5E5E5"/>
            </w:tcBorders>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235</w:t>
            </w:r>
          </w:p>
        </w:tc>
        <w:tc>
          <w:tcPr>
            <w:tcW w:w="660" w:type="dxa"/>
            <w:vAlign w:val="bottom"/>
            <w:tcBorders>
              <w:bottom w:val="single" w:sz="8" w:color="E5E5E5"/>
            </w:tcBorders>
            <w:shd w:val="clear" w:color="auto" w:fill="E5E5E5"/>
          </w:tcPr>
          <w:p>
            <w:pPr>
              <w:spacing w:after="0"/>
              <w:rPr>
                <w:sz w:val="24"/>
                <w:szCs w:val="24"/>
                <w:color w:val="auto"/>
              </w:rPr>
            </w:pPr>
          </w:p>
        </w:tc>
      </w:tr>
      <w:tr>
        <w:trPr>
          <w:trHeight w:val="242"/>
        </w:trPr>
        <w:tc>
          <w:tcPr>
            <w:tcW w:w="8140" w:type="dxa"/>
            <w:vAlign w:val="bottom"/>
          </w:tcPr>
          <w:p>
            <w:pPr>
              <w:ind w:left="320"/>
              <w:spacing w:after="0"/>
              <w:rPr>
                <w:sz w:val="20"/>
                <w:szCs w:val="20"/>
                <w:color w:val="auto"/>
              </w:rPr>
            </w:pPr>
            <w:r>
              <w:rPr>
                <w:rFonts w:ascii="Arial" w:cs="Arial" w:eastAsia="Arial" w:hAnsi="Arial"/>
                <w:sz w:val="16"/>
                <w:szCs w:val="16"/>
                <w:color w:val="auto"/>
              </w:rPr>
              <w:t>Biocon Biologics Transaction related taxes and transaction costs and results of the divested biosimilars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5"/>
        </w:trPr>
        <w:tc>
          <w:tcPr>
            <w:tcW w:w="8140" w:type="dxa"/>
            <w:vAlign w:val="bottom"/>
          </w:tcPr>
          <w:p>
            <w:pPr>
              <w:ind w:left="320"/>
              <w:spacing w:after="0"/>
              <w:rPr>
                <w:sz w:val="20"/>
                <w:szCs w:val="20"/>
                <w:color w:val="auto"/>
              </w:rPr>
            </w:pPr>
            <w:r>
              <w:rPr>
                <w:rFonts w:ascii="Arial" w:cs="Arial" w:eastAsia="Arial" w:hAnsi="Arial"/>
                <w:sz w:val="16"/>
                <w:szCs w:val="16"/>
                <w:color w:val="auto"/>
              </w:rPr>
              <w:t>business from the closing of the transaction on November 29, 2022 through December 31, 2022</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r>
      <w:tr>
        <w:trPr>
          <w:trHeight w:val="56"/>
        </w:trPr>
        <w:tc>
          <w:tcPr>
            <w:tcW w:w="8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Unplanned litigation – Lyrica settlement</w:t>
            </w:r>
          </w:p>
        </w:tc>
        <w:tc>
          <w:tcPr>
            <w:tcW w:w="12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E5E5"/>
            </w:tcBorders>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86</w:t>
            </w:r>
          </w:p>
        </w:tc>
        <w:tc>
          <w:tcPr>
            <w:tcW w:w="640" w:type="dxa"/>
            <w:vAlign w:val="bottom"/>
            <w:tcBorders>
              <w:bottom w:val="single" w:sz="8" w:color="E5E5E5"/>
            </w:tcBorders>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5E5E5"/>
            </w:tcBorders>
            <w:shd w:val="clear" w:color="auto" w:fill="E5E5E5"/>
          </w:tcPr>
          <w:p>
            <w:pPr>
              <w:spacing w:after="0"/>
              <w:rPr>
                <w:sz w:val="24"/>
                <w:szCs w:val="24"/>
                <w:color w:val="auto"/>
              </w:rPr>
            </w:pPr>
          </w:p>
        </w:tc>
      </w:tr>
      <w:tr>
        <w:trPr>
          <w:trHeight w:val="268"/>
        </w:trPr>
        <w:tc>
          <w:tcPr>
            <w:tcW w:w="8140" w:type="dxa"/>
            <w:vAlign w:val="bottom"/>
          </w:tcPr>
          <w:p>
            <w:pPr>
              <w:ind w:left="320"/>
              <w:spacing w:after="0"/>
              <w:rPr>
                <w:sz w:val="20"/>
                <w:szCs w:val="20"/>
                <w:color w:val="auto"/>
              </w:rPr>
            </w:pPr>
            <w:r>
              <w:rPr>
                <w:rFonts w:ascii="Arial" w:cs="Arial" w:eastAsia="Arial" w:hAnsi="Arial"/>
                <w:sz w:val="16"/>
                <w:szCs w:val="16"/>
                <w:color w:val="auto"/>
              </w:rPr>
              <w:t>Sales of intellectual property</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97</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750</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r>
      <w:tr>
        <w:trPr>
          <w:trHeight w:val="56"/>
        </w:trPr>
        <w:tc>
          <w:tcPr>
            <w:tcW w:w="814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Proceeds from the sale of certain property, plant and equipment</w:t>
            </w:r>
          </w:p>
        </w:tc>
        <w:tc>
          <w:tcPr>
            <w:tcW w:w="840" w:type="dxa"/>
            <w:vAlign w:val="bottom"/>
            <w:tcBorders>
              <w:bottom w:val="single" w:sz="8" w:color="E5E5E5"/>
            </w:tcBorders>
            <w:gridSpan w:val="3"/>
            <w:shd w:val="clear" w:color="auto" w:fill="E5E5E5"/>
          </w:tcPr>
          <w:p>
            <w:pPr>
              <w:jc w:val="right"/>
              <w:ind w:right="200"/>
              <w:spacing w:after="0"/>
              <w:rPr>
                <w:sz w:val="20"/>
                <w:szCs w:val="20"/>
                <w:color w:val="auto"/>
              </w:rPr>
            </w:pPr>
            <w:r>
              <w:rPr>
                <w:rFonts w:ascii="Arial" w:cs="Arial" w:eastAsia="Arial" w:hAnsi="Arial"/>
                <w:sz w:val="16"/>
                <w:szCs w:val="16"/>
                <w:color w:val="auto"/>
              </w:rPr>
              <w:t>18</w:t>
            </w:r>
          </w:p>
        </w:tc>
        <w:tc>
          <w:tcPr>
            <w:tcW w:w="740" w:type="dxa"/>
            <w:vAlign w:val="bottom"/>
            <w:tcBorders>
              <w:bottom w:val="single" w:sz="8" w:color="E5E5E5"/>
            </w:tcBorders>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14</w:t>
            </w:r>
          </w:p>
        </w:tc>
        <w:tc>
          <w:tcPr>
            <w:tcW w:w="640" w:type="dxa"/>
            <w:vAlign w:val="bottom"/>
            <w:tcBorders>
              <w:bottom w:val="single" w:sz="8" w:color="E5E5E5"/>
            </w:tcBorders>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13</w:t>
            </w:r>
          </w:p>
        </w:tc>
        <w:tc>
          <w:tcPr>
            <w:tcW w:w="660" w:type="dxa"/>
            <w:vAlign w:val="bottom"/>
            <w:tcBorders>
              <w:bottom w:val="single" w:sz="8" w:color="E5E5E5"/>
            </w:tcBorders>
            <w:shd w:val="clear" w:color="auto" w:fill="E5E5E5"/>
          </w:tcPr>
          <w:p>
            <w:pPr>
              <w:spacing w:after="0"/>
              <w:rPr>
                <w:sz w:val="24"/>
                <w:szCs w:val="24"/>
                <w:color w:val="auto"/>
              </w:rPr>
            </w:pPr>
          </w:p>
        </w:tc>
      </w:tr>
      <w:tr>
        <w:trPr>
          <w:trHeight w:val="268"/>
        </w:trPr>
        <w:tc>
          <w:tcPr>
            <w:tcW w:w="8140" w:type="dxa"/>
            <w:vAlign w:val="bottom"/>
          </w:tcPr>
          <w:p>
            <w:pPr>
              <w:ind w:left="320"/>
              <w:spacing w:after="0"/>
              <w:rPr>
                <w:sz w:val="20"/>
                <w:szCs w:val="20"/>
                <w:color w:val="auto"/>
              </w:rPr>
            </w:pPr>
            <w:r>
              <w:rPr>
                <w:rFonts w:ascii="Arial" w:cs="Arial" w:eastAsia="Arial" w:hAnsi="Arial"/>
                <w:sz w:val="16"/>
                <w:szCs w:val="16"/>
                <w:color w:val="auto"/>
              </w:rPr>
              <w:t>Acquired IPR&amp;D costs</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36</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r>
      <w:tr>
        <w:trPr>
          <w:trHeight w:val="56"/>
        </w:trPr>
        <w:tc>
          <w:tcPr>
            <w:tcW w:w="8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Currency impact</w:t>
            </w:r>
          </w:p>
        </w:tc>
        <w:tc>
          <w:tcPr>
            <w:tcW w:w="12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E5E5"/>
            </w:tcBorders>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213</w:t>
            </w:r>
          </w:p>
        </w:tc>
        <w:tc>
          <w:tcPr>
            <w:tcW w:w="640" w:type="dxa"/>
            <w:vAlign w:val="bottom"/>
            <w:tcBorders>
              <w:bottom w:val="single" w:sz="8" w:color="E5E5E5"/>
            </w:tcBorders>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145</w:t>
            </w:r>
          </w:p>
        </w:tc>
        <w:tc>
          <w:tcPr>
            <w:tcW w:w="660" w:type="dxa"/>
            <w:vAlign w:val="bottom"/>
            <w:tcBorders>
              <w:bottom w:val="single" w:sz="8" w:color="E5E5E5"/>
            </w:tcBorders>
            <w:shd w:val="clear" w:color="auto" w:fill="E5E5E5"/>
          </w:tcPr>
          <w:p>
            <w:pPr>
              <w:spacing w:after="0"/>
              <w:rPr>
                <w:sz w:val="24"/>
                <w:szCs w:val="24"/>
                <w:color w:val="auto"/>
              </w:rPr>
            </w:pPr>
          </w:p>
        </w:tc>
      </w:tr>
      <w:tr>
        <w:trPr>
          <w:trHeight w:val="27"/>
        </w:trPr>
        <w:tc>
          <w:tcPr>
            <w:tcW w:w="8140" w:type="dxa"/>
            <w:vAlign w:val="bottom"/>
            <w:shd w:val="clear" w:color="auto" w:fill="E5E5E5"/>
          </w:tcPr>
          <w:p>
            <w:pPr>
              <w:spacing w:after="0"/>
              <w:rPr>
                <w:sz w:val="2"/>
                <w:szCs w:val="2"/>
                <w:color w:val="auto"/>
              </w:rPr>
            </w:pPr>
          </w:p>
        </w:tc>
        <w:tc>
          <w:tcPr>
            <w:tcW w:w="120" w:type="dxa"/>
            <w:vAlign w:val="bottom"/>
            <w:shd w:val="clear" w:color="auto" w:fill="E5E5E5"/>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E5E5E5"/>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E5E5E5"/>
          </w:tcPr>
          <w:p>
            <w:pPr>
              <w:spacing w:after="0"/>
              <w:rPr>
                <w:sz w:val="2"/>
                <w:szCs w:val="2"/>
                <w:color w:val="auto"/>
              </w:rPr>
            </w:pPr>
          </w:p>
        </w:tc>
        <w:tc>
          <w:tcPr>
            <w:tcW w:w="660" w:type="dxa"/>
            <w:vAlign w:val="bottom"/>
            <w:shd w:val="clear" w:color="auto" w:fill="E5E5E5"/>
          </w:tcPr>
          <w:p>
            <w:pPr>
              <w:spacing w:after="0"/>
              <w:rPr>
                <w:sz w:val="2"/>
                <w:szCs w:val="2"/>
                <w:color w:val="auto"/>
              </w:rPr>
            </w:pPr>
          </w:p>
        </w:tc>
      </w:tr>
      <w:tr>
        <w:trPr>
          <w:trHeight w:val="268"/>
        </w:trPr>
        <w:tc>
          <w:tcPr>
            <w:tcW w:w="8140" w:type="dxa"/>
            <w:vAlign w:val="bottom"/>
          </w:tcPr>
          <w:p>
            <w:pPr>
              <w:ind w:left="60"/>
              <w:spacing w:after="0"/>
              <w:rPr>
                <w:sz w:val="20"/>
                <w:szCs w:val="20"/>
                <w:color w:val="auto"/>
              </w:rPr>
            </w:pPr>
            <w:r>
              <w:rPr>
                <w:rFonts w:ascii="Arial" w:cs="Arial" w:eastAsia="Arial" w:hAnsi="Arial"/>
                <w:sz w:val="16"/>
                <w:szCs w:val="16"/>
                <w:color w:val="auto"/>
              </w:rPr>
              <w:t>Free cash flow (for 2021-2023 three-year PRSUs)</w:t>
            </w: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$2,675</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$3,918</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$2,916</w:t>
            </w:r>
          </w:p>
        </w:tc>
        <w:tc>
          <w:tcPr>
            <w:tcW w:w="660" w:type="dxa"/>
            <w:vAlign w:val="bottom"/>
          </w:tcPr>
          <w:p>
            <w:pPr>
              <w:jc w:val="right"/>
              <w:spacing w:after="0"/>
              <w:rPr>
                <w:sz w:val="20"/>
                <w:szCs w:val="20"/>
                <w:color w:val="auto"/>
              </w:rPr>
            </w:pPr>
            <w:r>
              <w:rPr>
                <w:rFonts w:ascii="Arial" w:cs="Arial" w:eastAsia="Arial" w:hAnsi="Arial"/>
                <w:sz w:val="16"/>
                <w:szCs w:val="16"/>
                <w:color w:val="auto"/>
              </w:rPr>
              <w:t>$9,509</w:t>
            </w:r>
          </w:p>
        </w:tc>
      </w:tr>
      <w:tr>
        <w:trPr>
          <w:trHeight w:val="56"/>
        </w:trPr>
        <w:tc>
          <w:tcPr>
            <w:tcW w:w="8140" w:type="dxa"/>
            <w:vAlign w:val="bottom"/>
            <w:tcBorders>
              <w:bottom w:val="single" w:sz="8" w:color="732282"/>
            </w:tcBorders>
          </w:tcPr>
          <w:p>
            <w:pPr>
              <w:spacing w:after="0"/>
              <w:rPr>
                <w:sz w:val="4"/>
                <w:szCs w:val="4"/>
                <w:color w:val="auto"/>
              </w:rPr>
            </w:pPr>
          </w:p>
        </w:tc>
        <w:tc>
          <w:tcPr>
            <w:tcW w:w="120" w:type="dxa"/>
            <w:vAlign w:val="bottom"/>
            <w:tcBorders>
              <w:bottom w:val="single" w:sz="8" w:color="732282"/>
            </w:tcBorders>
          </w:tcPr>
          <w:p>
            <w:pPr>
              <w:spacing w:after="0"/>
              <w:rPr>
                <w:sz w:val="4"/>
                <w:szCs w:val="4"/>
                <w:color w:val="auto"/>
              </w:rPr>
            </w:pPr>
          </w:p>
        </w:tc>
        <w:tc>
          <w:tcPr>
            <w:tcW w:w="520" w:type="dxa"/>
            <w:vAlign w:val="bottom"/>
            <w:tcBorders>
              <w:bottom w:val="single" w:sz="8" w:color="732282"/>
            </w:tcBorders>
          </w:tcPr>
          <w:p>
            <w:pPr>
              <w:spacing w:after="0"/>
              <w:rPr>
                <w:sz w:val="4"/>
                <w:szCs w:val="4"/>
                <w:color w:val="auto"/>
              </w:rPr>
            </w:pPr>
          </w:p>
        </w:tc>
        <w:tc>
          <w:tcPr>
            <w:tcW w:w="200" w:type="dxa"/>
            <w:vAlign w:val="bottom"/>
            <w:tcBorders>
              <w:bottom w:val="single" w:sz="8" w:color="732282"/>
            </w:tcBorders>
          </w:tcPr>
          <w:p>
            <w:pPr>
              <w:spacing w:after="0"/>
              <w:rPr>
                <w:sz w:val="4"/>
                <w:szCs w:val="4"/>
                <w:color w:val="auto"/>
              </w:rPr>
            </w:pPr>
          </w:p>
        </w:tc>
        <w:tc>
          <w:tcPr>
            <w:tcW w:w="520" w:type="dxa"/>
            <w:vAlign w:val="bottom"/>
            <w:tcBorders>
              <w:bottom w:val="single" w:sz="8" w:color="732282"/>
            </w:tcBorders>
          </w:tcPr>
          <w:p>
            <w:pPr>
              <w:spacing w:after="0"/>
              <w:rPr>
                <w:sz w:val="4"/>
                <w:szCs w:val="4"/>
                <w:color w:val="auto"/>
              </w:rPr>
            </w:pPr>
          </w:p>
        </w:tc>
        <w:tc>
          <w:tcPr>
            <w:tcW w:w="220" w:type="dxa"/>
            <w:vAlign w:val="bottom"/>
            <w:tcBorders>
              <w:bottom w:val="single" w:sz="8" w:color="732282"/>
            </w:tcBorders>
          </w:tcPr>
          <w:p>
            <w:pPr>
              <w:spacing w:after="0"/>
              <w:rPr>
                <w:sz w:val="4"/>
                <w:szCs w:val="4"/>
                <w:color w:val="auto"/>
              </w:rPr>
            </w:pPr>
          </w:p>
        </w:tc>
        <w:tc>
          <w:tcPr>
            <w:tcW w:w="500" w:type="dxa"/>
            <w:vAlign w:val="bottom"/>
            <w:tcBorders>
              <w:bottom w:val="single" w:sz="8" w:color="732282"/>
            </w:tcBorders>
          </w:tcPr>
          <w:p>
            <w:pPr>
              <w:spacing w:after="0"/>
              <w:rPr>
                <w:sz w:val="4"/>
                <w:szCs w:val="4"/>
                <w:color w:val="auto"/>
              </w:rPr>
            </w:pPr>
          </w:p>
        </w:tc>
        <w:tc>
          <w:tcPr>
            <w:tcW w:w="140" w:type="dxa"/>
            <w:vAlign w:val="bottom"/>
            <w:tcBorders>
              <w:bottom w:val="single" w:sz="8" w:color="732282"/>
            </w:tcBorders>
          </w:tcPr>
          <w:p>
            <w:pPr>
              <w:spacing w:after="0"/>
              <w:rPr>
                <w:sz w:val="4"/>
                <w:szCs w:val="4"/>
                <w:color w:val="auto"/>
              </w:rPr>
            </w:pPr>
          </w:p>
        </w:tc>
        <w:tc>
          <w:tcPr>
            <w:tcW w:w="660" w:type="dxa"/>
            <w:vAlign w:val="bottom"/>
            <w:tcBorders>
              <w:bottom w:val="single" w:sz="8" w:color="732282"/>
            </w:tcBorders>
          </w:tcPr>
          <w:p>
            <w:pPr>
              <w:spacing w:after="0"/>
              <w:rPr>
                <w:sz w:val="4"/>
                <w:szCs w:val="4"/>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231161"/>
        </w:rPr>
        <w:t>Gross Leverage Ratio</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231161"/>
        </w:rPr>
        <w:t>2021-2023 Three-Year PRSUs</w:t>
      </w:r>
    </w:p>
    <w:p>
      <w:pPr>
        <w:spacing w:after="0" w:line="147"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3F3F3F"/>
        </w:rPr>
        <w:t>Viatris’ publicly reported gross leverage ratio (“as reported”) compares Adjusted EBITDA (as reported) to total debt at notional amounts (as reported).</w:t>
      </w:r>
    </w:p>
    <w:p>
      <w:pPr>
        <w:spacing w:after="0" w:line="86" w:lineRule="exact"/>
        <w:rPr>
          <w:sz w:val="20"/>
          <w:szCs w:val="20"/>
          <w:color w:val="auto"/>
        </w:rPr>
      </w:pPr>
    </w:p>
    <w:p>
      <w:pPr>
        <w:ind w:left="120" w:right="100"/>
        <w:spacing w:after="0"/>
        <w:rPr>
          <w:sz w:val="20"/>
          <w:szCs w:val="20"/>
          <w:color w:val="auto"/>
        </w:rPr>
      </w:pPr>
      <w:r>
        <w:rPr>
          <w:rFonts w:ascii="Arial" w:cs="Arial" w:eastAsia="Arial" w:hAnsi="Arial"/>
          <w:sz w:val="18"/>
          <w:szCs w:val="18"/>
          <w:color w:val="3F3F3F"/>
        </w:rPr>
        <w:t>For purposes of the 2021-2023 three-year PRSUs, gross leverage ratio is calculated as 2023 Adjusted EBITDA compared to total debt at notional amounts as of December 31, 2023 (each calculated for purposes of the 2021-2023 three-year PRSUs as described herein). For purposes of the 2021-2023 three-year PRSUs, Adjusted EBITDA is derived from Viatris’ audited financial statements in the same manner as the calculation of Adjusted EBITDA (as reported) for 2023 described above, except that the calculation of Adjusted EBITDA for the 2021-2023 three-year PRSUs (“for 2021-2023 three-year PRSUs”) utilized budgeted foreign exchange rates for the relevant year (“currency impact”) and further adjusts for the following: the acquisitions of Oyster Point and Famy Life Sciences (“acquisitions”), acquired IPR&amp;D costs, and the contribution of divestitures closed in 2023 to Adjusted EBITDA (as reported) for the year (“Adjusted EBITDA contribution from closed divestitures”).</w:t>
      </w:r>
    </w:p>
    <w:p>
      <w:pPr>
        <w:spacing w:after="0" w:line="99" w:lineRule="exact"/>
        <w:rPr>
          <w:sz w:val="20"/>
          <w:szCs w:val="20"/>
          <w:color w:val="auto"/>
        </w:rPr>
      </w:pPr>
    </w:p>
    <w:p>
      <w:pPr>
        <w:ind w:left="120" w:right="180"/>
        <w:spacing w:after="0"/>
        <w:rPr>
          <w:sz w:val="20"/>
          <w:szCs w:val="20"/>
          <w:color w:val="auto"/>
        </w:rPr>
      </w:pPr>
      <w:r>
        <w:rPr>
          <w:rFonts w:ascii="Arial" w:cs="Arial" w:eastAsia="Arial" w:hAnsi="Arial"/>
          <w:sz w:val="18"/>
          <w:szCs w:val="18"/>
          <w:color w:val="3F3F3F"/>
        </w:rPr>
        <w:t>For purposes of the 2021-2023 three-year PRSUs, total debt at notional amounts is derived from Viatris’ audited financial statements in the same manner as Viatris’ publicly reported total debt at notional amounts at December 31, 2023 (Viatris’ publicly reported debt balances adjusted for net premiums on various debt issuances and deferred financing fees) (“as reported”), except that the calculation of total debt at notional amounts for the 2021-2023 three-year PRSUs (“for 2021-2023 three-year PRSUs”) utilized budgeted foreign exchange rates for the relevant year (“currency impact”) and further adjusted for the following: cash disbursed for the Oyster Point and Famy Life Sciences acquisitions, acquired IPR&amp;D costs, share repurchase costs in 2023, transaction-related one-time costs and taxes, excess balance sheet cash above the $500 million target minimum and Oyster Point net operating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ind w:left="9080"/>
        <w:spacing w:after="0"/>
        <w:rPr>
          <w:sz w:val="20"/>
          <w:szCs w:val="20"/>
          <w:color w:val="auto"/>
        </w:rPr>
      </w:pPr>
      <w:r>
        <w:rPr>
          <w:rFonts w:ascii="Arial" w:cs="Arial" w:eastAsia="Arial" w:hAnsi="Arial"/>
          <w:sz w:val="15"/>
          <w:szCs w:val="15"/>
          <w:color w:val="3F3F3F"/>
        </w:rPr>
        <w:t>2024 Proxy Statement  |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-99695</wp:posOffset>
            </wp:positionV>
            <wp:extent cx="865505" cy="23177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8260" w:type="dxa"/>
            <w:vAlign w:val="bottom"/>
            <w:shd w:val="clear" w:color="auto" w:fill="732282"/>
          </w:tcPr>
          <w:p>
            <w:pPr>
              <w:spacing w:after="0"/>
              <w:rPr>
                <w:sz w:val="21"/>
                <w:szCs w:val="21"/>
                <w:color w:val="auto"/>
              </w:rPr>
            </w:pPr>
          </w:p>
        </w:tc>
        <w:tc>
          <w:tcPr>
            <w:tcW w:w="2760" w:type="dxa"/>
            <w:vAlign w:val="bottom"/>
            <w:gridSpan w:val="3"/>
            <w:shd w:val="clear" w:color="auto" w:fill="732282"/>
          </w:tcPr>
          <w:p>
            <w:pPr>
              <w:jc w:val="right"/>
              <w:ind w:right="400"/>
              <w:spacing w:after="0"/>
              <w:rPr>
                <w:sz w:val="20"/>
                <w:szCs w:val="20"/>
                <w:color w:val="auto"/>
              </w:rPr>
            </w:pPr>
            <w:r>
              <w:rPr>
                <w:rFonts w:ascii="Arial" w:cs="Arial" w:eastAsia="Arial" w:hAnsi="Arial"/>
                <w:sz w:val="16"/>
                <w:szCs w:val="16"/>
                <w:b w:val="1"/>
                <w:bCs w:val="1"/>
                <w:color w:val="FFFFFF"/>
              </w:rPr>
              <w:t>Year ended</w:t>
            </w:r>
          </w:p>
        </w:tc>
      </w:tr>
      <w:tr>
        <w:trPr>
          <w:trHeight w:val="251"/>
        </w:trPr>
        <w:tc>
          <w:tcPr>
            <w:tcW w:w="826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(in millions)</w:t>
            </w:r>
          </w:p>
        </w:tc>
        <w:tc>
          <w:tcPr>
            <w:tcW w:w="2760" w:type="dxa"/>
            <w:vAlign w:val="bottom"/>
            <w:tcBorders>
              <w:bottom w:val="single" w:sz="8" w:color="732282"/>
            </w:tcBorders>
            <w:gridSpan w:val="3"/>
            <w:shd w:val="clear" w:color="auto" w:fill="732282"/>
          </w:tcPr>
          <w:p>
            <w:pPr>
              <w:jc w:val="right"/>
              <w:ind w:right="100"/>
              <w:spacing w:after="0"/>
              <w:rPr>
                <w:sz w:val="20"/>
                <w:szCs w:val="20"/>
                <w:color w:val="auto"/>
              </w:rPr>
            </w:pPr>
            <w:r>
              <w:rPr>
                <w:rFonts w:ascii="Arial" w:cs="Arial" w:eastAsia="Arial" w:hAnsi="Arial"/>
                <w:sz w:val="16"/>
                <w:szCs w:val="16"/>
                <w:b w:val="1"/>
                <w:bCs w:val="1"/>
                <w:color w:val="FFFFFF"/>
              </w:rPr>
              <w:t>December 31, 2023</w:t>
            </w:r>
          </w:p>
        </w:tc>
      </w:tr>
      <w:tr>
        <w:trPr>
          <w:trHeight w:val="304"/>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Adjusted EBITDA (as reported)</w:t>
            </w:r>
          </w:p>
        </w:tc>
        <w:tc>
          <w:tcPr>
            <w:tcW w:w="244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6"/>
                <w:szCs w:val="16"/>
                <w:color w:val="auto"/>
              </w:rPr>
              <w:t>$5,124</w:t>
            </w:r>
          </w:p>
        </w:tc>
        <w:tc>
          <w:tcPr>
            <w:tcW w:w="320" w:type="dxa"/>
            <w:vAlign w:val="bottom"/>
            <w:tcBorders>
              <w:bottom w:val="single" w:sz="8" w:color="E5E5E5"/>
            </w:tcBorders>
            <w:shd w:val="clear" w:color="auto" w:fill="E5E5E5"/>
          </w:tcPr>
          <w:p>
            <w:pPr>
              <w:spacing w:after="0"/>
              <w:rPr>
                <w:sz w:val="24"/>
                <w:szCs w:val="24"/>
                <w:color w:val="auto"/>
              </w:rPr>
            </w:pP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Currency impact</w:t>
            </w:r>
          </w:p>
        </w:tc>
        <w:tc>
          <w:tcPr>
            <w:tcW w:w="2760" w:type="dxa"/>
            <w:vAlign w:val="bottom"/>
            <w:gridSpan w:val="3"/>
          </w:tcPr>
          <w:p>
            <w:pPr>
              <w:jc w:val="right"/>
              <w:ind w:right="320"/>
              <w:spacing w:after="0"/>
              <w:rPr>
                <w:sz w:val="20"/>
                <w:szCs w:val="20"/>
                <w:color w:val="auto"/>
              </w:rPr>
            </w:pPr>
            <w:r>
              <w:rPr>
                <w:rFonts w:ascii="Arial" w:cs="Arial" w:eastAsia="Arial" w:hAnsi="Arial"/>
                <w:sz w:val="16"/>
                <w:szCs w:val="16"/>
                <w:color w:val="auto"/>
              </w:rPr>
              <w:t>490</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Acquisitions</w:t>
            </w:r>
          </w:p>
        </w:tc>
        <w:tc>
          <w:tcPr>
            <w:tcW w:w="2760" w:type="dxa"/>
            <w:vAlign w:val="bottom"/>
            <w:tcBorders>
              <w:bottom w:val="single" w:sz="8" w:color="E5E5E5"/>
            </w:tcBorders>
            <w:gridSpan w:val="3"/>
            <w:shd w:val="clear" w:color="auto" w:fill="E5E5E5"/>
          </w:tcPr>
          <w:p>
            <w:pPr>
              <w:jc w:val="right"/>
              <w:ind w:right="320"/>
              <w:spacing w:after="0"/>
              <w:rPr>
                <w:sz w:val="20"/>
                <w:szCs w:val="20"/>
                <w:color w:val="auto"/>
              </w:rPr>
            </w:pPr>
            <w:r>
              <w:rPr>
                <w:rFonts w:ascii="Arial" w:cs="Arial" w:eastAsia="Arial" w:hAnsi="Arial"/>
                <w:sz w:val="16"/>
                <w:szCs w:val="16"/>
                <w:color w:val="auto"/>
              </w:rPr>
              <w:t>159</w:t>
            </w: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Acquired IPR&amp;D costs</w:t>
            </w:r>
          </w:p>
        </w:tc>
        <w:tc>
          <w:tcPr>
            <w:tcW w:w="2760" w:type="dxa"/>
            <w:vAlign w:val="bottom"/>
            <w:gridSpan w:val="3"/>
          </w:tcPr>
          <w:p>
            <w:pPr>
              <w:jc w:val="right"/>
              <w:ind w:right="320"/>
              <w:spacing w:after="0"/>
              <w:rPr>
                <w:sz w:val="20"/>
                <w:szCs w:val="20"/>
                <w:color w:val="auto"/>
              </w:rPr>
            </w:pPr>
            <w:r>
              <w:rPr>
                <w:rFonts w:ascii="Arial" w:cs="Arial" w:eastAsia="Arial" w:hAnsi="Arial"/>
                <w:sz w:val="16"/>
                <w:szCs w:val="16"/>
                <w:color w:val="auto"/>
              </w:rPr>
              <w:t>105</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36"/>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Adjusted EBITDA contribution from closed divestitures</w:t>
            </w:r>
          </w:p>
        </w:tc>
        <w:tc>
          <w:tcPr>
            <w:tcW w:w="1840" w:type="dxa"/>
            <w:vAlign w:val="bottom"/>
            <w:tcBorders>
              <w:bottom w:val="single" w:sz="8" w:color="E5E5E5"/>
            </w:tcBorders>
            <w:shd w:val="clear" w:color="auto" w:fill="E5E5E5"/>
          </w:tcPr>
          <w:p>
            <w:pPr>
              <w:spacing w:after="0"/>
              <w:rPr>
                <w:sz w:val="24"/>
                <w:szCs w:val="24"/>
                <w:color w:val="auto"/>
              </w:rPr>
            </w:pPr>
          </w:p>
        </w:tc>
        <w:tc>
          <w:tcPr>
            <w:tcW w:w="920" w:type="dxa"/>
            <w:vAlign w:val="bottom"/>
            <w:tcBorders>
              <w:bottom w:val="single" w:sz="8" w:color="E5E5E5"/>
            </w:tcBorders>
            <w:gridSpan w:val="2"/>
            <w:shd w:val="clear" w:color="auto" w:fill="E5E5E5"/>
          </w:tcPr>
          <w:p>
            <w:pPr>
              <w:jc w:val="right"/>
              <w:ind w:right="260"/>
              <w:spacing w:after="0"/>
              <w:rPr>
                <w:sz w:val="20"/>
                <w:szCs w:val="20"/>
                <w:color w:val="auto"/>
              </w:rPr>
            </w:pPr>
            <w:r>
              <w:rPr>
                <w:rFonts w:ascii="Arial" w:cs="Arial" w:eastAsia="Arial" w:hAnsi="Arial"/>
                <w:sz w:val="16"/>
                <w:szCs w:val="16"/>
                <w:color w:val="auto"/>
              </w:rPr>
              <w:t>(94)</w:t>
            </w:r>
          </w:p>
        </w:tc>
      </w:tr>
      <w:tr>
        <w:trPr>
          <w:trHeight w:val="268"/>
        </w:trPr>
        <w:tc>
          <w:tcPr>
            <w:tcW w:w="8260" w:type="dxa"/>
            <w:vAlign w:val="bottom"/>
            <w:tcBorders>
              <w:top w:val="single" w:sz="8" w:color="E5E5E5"/>
            </w:tcBorders>
          </w:tcPr>
          <w:p>
            <w:pPr>
              <w:ind w:left="60"/>
              <w:spacing w:after="0"/>
              <w:rPr>
                <w:sz w:val="20"/>
                <w:szCs w:val="20"/>
                <w:color w:val="auto"/>
              </w:rPr>
            </w:pPr>
            <w:r>
              <w:rPr>
                <w:rFonts w:ascii="Arial" w:cs="Arial" w:eastAsia="Arial" w:hAnsi="Arial"/>
                <w:sz w:val="16"/>
                <w:szCs w:val="16"/>
                <w:color w:val="auto"/>
              </w:rPr>
              <w:t>Adjusted EBITDA (for 2021-2023 three-year PRSUs)</w:t>
            </w:r>
          </w:p>
        </w:tc>
        <w:tc>
          <w:tcPr>
            <w:tcW w:w="1840" w:type="dxa"/>
            <w:vAlign w:val="bottom"/>
            <w:tcBorders>
              <w:top w:val="single" w:sz="8" w:color="E5E5E5"/>
            </w:tcBorders>
          </w:tcPr>
          <w:p>
            <w:pPr>
              <w:spacing w:after="0"/>
              <w:rPr>
                <w:sz w:val="23"/>
                <w:szCs w:val="2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$5,784</w:t>
            </w:r>
          </w:p>
        </w:tc>
        <w:tc>
          <w:tcPr>
            <w:tcW w:w="320" w:type="dxa"/>
            <w:vAlign w:val="bottom"/>
            <w:tcBorders>
              <w:top w:val="single" w:sz="8" w:color="E5E5E5"/>
            </w:tcBorders>
          </w:tcPr>
          <w:p>
            <w:pPr>
              <w:spacing w:after="0"/>
              <w:rPr>
                <w:sz w:val="23"/>
                <w:szCs w:val="23"/>
                <w:color w:val="auto"/>
              </w:rPr>
            </w:pP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r>
      <w:tr>
        <w:trPr>
          <w:trHeight w:val="20"/>
        </w:trPr>
        <w:tc>
          <w:tcPr>
            <w:tcW w:w="8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8"/>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Reported Debt Balances:</w:t>
            </w:r>
          </w:p>
        </w:tc>
        <w:tc>
          <w:tcPr>
            <w:tcW w:w="18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E5E5E5"/>
            </w:tcBorders>
            <w:shd w:val="clear" w:color="auto" w:fill="E5E5E5"/>
          </w:tcPr>
          <w:p>
            <w:pPr>
              <w:spacing w:after="0"/>
              <w:rPr>
                <w:sz w:val="24"/>
                <w:szCs w:val="24"/>
                <w:color w:val="auto"/>
              </w:rPr>
            </w:pP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Long-term debt, including current portion</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18,123</w:t>
            </w:r>
          </w:p>
        </w:tc>
        <w:tc>
          <w:tcPr>
            <w:tcW w:w="320" w:type="dxa"/>
            <w:vAlign w:val="bottom"/>
          </w:tcPr>
          <w:p>
            <w:pPr>
              <w:spacing w:after="0"/>
              <w:rPr>
                <w:sz w:val="23"/>
                <w:szCs w:val="23"/>
                <w:color w:val="auto"/>
              </w:rPr>
            </w:pP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Short term borrowings and other current obligations</w:t>
            </w:r>
          </w:p>
        </w:tc>
        <w:tc>
          <w:tcPr>
            <w:tcW w:w="1840" w:type="dxa"/>
            <w:vAlign w:val="bottom"/>
            <w:tcBorders>
              <w:bottom w:val="single" w:sz="8" w:color="E5E5E5"/>
            </w:tcBorders>
            <w:shd w:val="clear" w:color="auto" w:fill="E5E5E5"/>
          </w:tcPr>
          <w:p>
            <w:pPr>
              <w:spacing w:after="0"/>
              <w:rPr>
                <w:sz w:val="24"/>
                <w:szCs w:val="24"/>
                <w:color w:val="auto"/>
              </w:rPr>
            </w:pPr>
          </w:p>
        </w:tc>
        <w:tc>
          <w:tcPr>
            <w:tcW w:w="920" w:type="dxa"/>
            <w:vAlign w:val="bottom"/>
            <w:tcBorders>
              <w:bottom w:val="single" w:sz="8" w:color="E5E5E5"/>
            </w:tcBorders>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r>
      <w:tr>
        <w:trPr>
          <w:trHeight w:val="268"/>
        </w:trPr>
        <w:tc>
          <w:tcPr>
            <w:tcW w:w="8260" w:type="dxa"/>
            <w:vAlign w:val="bottom"/>
          </w:tcPr>
          <w:p>
            <w:pPr>
              <w:ind w:left="60"/>
              <w:spacing w:after="0"/>
              <w:rPr>
                <w:sz w:val="20"/>
                <w:szCs w:val="20"/>
                <w:color w:val="auto"/>
              </w:rPr>
            </w:pPr>
            <w:r>
              <w:rPr>
                <w:rFonts w:ascii="Arial" w:cs="Arial" w:eastAsia="Arial" w:hAnsi="Arial"/>
                <w:sz w:val="16"/>
                <w:szCs w:val="16"/>
                <w:color w:val="auto"/>
              </w:rPr>
              <w:t>Total</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18,123</w:t>
            </w:r>
          </w:p>
        </w:tc>
        <w:tc>
          <w:tcPr>
            <w:tcW w:w="320" w:type="dxa"/>
            <w:vAlign w:val="bottom"/>
          </w:tcPr>
          <w:p>
            <w:pPr>
              <w:spacing w:after="0"/>
              <w:rPr>
                <w:sz w:val="23"/>
                <w:szCs w:val="23"/>
                <w:color w:val="auto"/>
              </w:rPr>
            </w:pP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Add/(deduct):</w:t>
            </w:r>
          </w:p>
        </w:tc>
        <w:tc>
          <w:tcPr>
            <w:tcW w:w="18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E5E5E5"/>
            </w:tcBorders>
            <w:shd w:val="clear" w:color="auto" w:fill="E5E5E5"/>
          </w:tcPr>
          <w:p>
            <w:pPr>
              <w:spacing w:after="0"/>
              <w:rPr>
                <w:sz w:val="24"/>
                <w:szCs w:val="24"/>
                <w:color w:val="auto"/>
              </w:rPr>
            </w:pP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Net premiums on various debt issuances</w:t>
            </w:r>
          </w:p>
        </w:tc>
        <w:tc>
          <w:tcPr>
            <w:tcW w:w="2760" w:type="dxa"/>
            <w:vAlign w:val="bottom"/>
            <w:gridSpan w:val="3"/>
          </w:tcPr>
          <w:p>
            <w:pPr>
              <w:jc w:val="right"/>
              <w:ind w:right="260"/>
              <w:spacing w:after="0"/>
              <w:rPr>
                <w:sz w:val="20"/>
                <w:szCs w:val="20"/>
                <w:color w:val="auto"/>
              </w:rPr>
            </w:pPr>
            <w:r>
              <w:rPr>
                <w:rFonts w:ascii="Arial" w:cs="Arial" w:eastAsia="Arial" w:hAnsi="Arial"/>
                <w:sz w:val="16"/>
                <w:szCs w:val="16"/>
                <w:color w:val="auto"/>
              </w:rPr>
              <w:t>(537)</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36"/>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Deferred financing fees</w:t>
            </w:r>
          </w:p>
        </w:tc>
        <w:tc>
          <w:tcPr>
            <w:tcW w:w="1840" w:type="dxa"/>
            <w:vAlign w:val="bottom"/>
            <w:tcBorders>
              <w:bottom w:val="single" w:sz="8" w:color="E5E5E5"/>
            </w:tcBorders>
            <w:shd w:val="clear" w:color="auto" w:fill="E5E5E5"/>
          </w:tcPr>
          <w:p>
            <w:pPr>
              <w:spacing w:after="0"/>
              <w:rPr>
                <w:sz w:val="24"/>
                <w:szCs w:val="24"/>
                <w:color w:val="auto"/>
              </w:rPr>
            </w:pPr>
          </w:p>
        </w:tc>
        <w:tc>
          <w:tcPr>
            <w:tcW w:w="920" w:type="dxa"/>
            <w:vAlign w:val="bottom"/>
            <w:tcBorders>
              <w:bottom w:val="single" w:sz="8" w:color="E5E5E5"/>
            </w:tcBorders>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30</w:t>
            </w:r>
          </w:p>
        </w:tc>
      </w:tr>
      <w:tr>
        <w:trPr>
          <w:trHeight w:val="268"/>
        </w:trPr>
        <w:tc>
          <w:tcPr>
            <w:tcW w:w="8260" w:type="dxa"/>
            <w:vAlign w:val="bottom"/>
            <w:tcBorders>
              <w:top w:val="single" w:sz="8" w:color="E5E5E5"/>
            </w:tcBorders>
          </w:tcPr>
          <w:p>
            <w:pPr>
              <w:ind w:left="60"/>
              <w:spacing w:after="0"/>
              <w:rPr>
                <w:sz w:val="20"/>
                <w:szCs w:val="20"/>
                <w:color w:val="auto"/>
              </w:rPr>
            </w:pPr>
            <w:r>
              <w:rPr>
                <w:rFonts w:ascii="Arial" w:cs="Arial" w:eastAsia="Arial" w:hAnsi="Arial"/>
                <w:sz w:val="16"/>
                <w:szCs w:val="16"/>
                <w:color w:val="auto"/>
              </w:rPr>
              <w:t>Total debt at notional amounts (as reported)</w:t>
            </w:r>
          </w:p>
        </w:tc>
        <w:tc>
          <w:tcPr>
            <w:tcW w:w="1840" w:type="dxa"/>
            <w:vAlign w:val="bottom"/>
            <w:tcBorders>
              <w:top w:val="single" w:sz="8" w:color="E5E5E5"/>
            </w:tcBorders>
          </w:tcPr>
          <w:p>
            <w:pPr>
              <w:spacing w:after="0"/>
              <w:rPr>
                <w:sz w:val="23"/>
                <w:szCs w:val="2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$17,616</w:t>
            </w:r>
          </w:p>
        </w:tc>
        <w:tc>
          <w:tcPr>
            <w:tcW w:w="320" w:type="dxa"/>
            <w:vAlign w:val="bottom"/>
            <w:tcBorders>
              <w:top w:val="single" w:sz="8" w:color="E5E5E5"/>
            </w:tcBorders>
          </w:tcPr>
          <w:p>
            <w:pPr>
              <w:spacing w:after="0"/>
              <w:rPr>
                <w:sz w:val="23"/>
                <w:szCs w:val="23"/>
                <w:color w:val="auto"/>
              </w:rPr>
            </w:pP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r>
      <w:tr>
        <w:trPr>
          <w:trHeight w:val="20"/>
        </w:trPr>
        <w:tc>
          <w:tcPr>
            <w:tcW w:w="8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8"/>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Add/deduct:</w:t>
            </w:r>
          </w:p>
        </w:tc>
        <w:tc>
          <w:tcPr>
            <w:tcW w:w="18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E5E5E5"/>
            </w:tcBorders>
            <w:shd w:val="clear" w:color="auto" w:fill="E5E5E5"/>
          </w:tcPr>
          <w:p>
            <w:pPr>
              <w:spacing w:after="0"/>
              <w:rPr>
                <w:sz w:val="24"/>
                <w:szCs w:val="24"/>
                <w:color w:val="auto"/>
              </w:rPr>
            </w:pP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Currency impact</w:t>
            </w:r>
          </w:p>
        </w:tc>
        <w:tc>
          <w:tcPr>
            <w:tcW w:w="2760" w:type="dxa"/>
            <w:vAlign w:val="bottom"/>
            <w:gridSpan w:val="3"/>
          </w:tcPr>
          <w:p>
            <w:pPr>
              <w:jc w:val="right"/>
              <w:ind w:right="320"/>
              <w:spacing w:after="0"/>
              <w:rPr>
                <w:sz w:val="20"/>
                <w:szCs w:val="20"/>
                <w:color w:val="auto"/>
              </w:rPr>
            </w:pPr>
            <w:r>
              <w:rPr>
                <w:rFonts w:ascii="Arial" w:cs="Arial" w:eastAsia="Arial" w:hAnsi="Arial"/>
                <w:sz w:val="16"/>
                <w:szCs w:val="16"/>
                <w:color w:val="auto"/>
              </w:rPr>
              <w:t>806</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Cash disbursed for Oyster Point and Famy Life Sciences</w:t>
            </w:r>
          </w:p>
        </w:tc>
        <w:tc>
          <w:tcPr>
            <w:tcW w:w="2760" w:type="dxa"/>
            <w:vAlign w:val="bottom"/>
            <w:tcBorders>
              <w:bottom w:val="single" w:sz="8" w:color="E5E5E5"/>
            </w:tcBorders>
            <w:gridSpan w:val="3"/>
            <w:shd w:val="clear" w:color="auto" w:fill="E5E5E5"/>
          </w:tcPr>
          <w:p>
            <w:pPr>
              <w:jc w:val="right"/>
              <w:ind w:right="260"/>
              <w:spacing w:after="0"/>
              <w:rPr>
                <w:sz w:val="20"/>
                <w:szCs w:val="20"/>
                <w:color w:val="auto"/>
              </w:rPr>
            </w:pPr>
            <w:r>
              <w:rPr>
                <w:rFonts w:ascii="Arial" w:cs="Arial" w:eastAsia="Arial" w:hAnsi="Arial"/>
                <w:sz w:val="16"/>
                <w:szCs w:val="16"/>
                <w:color w:val="auto"/>
              </w:rPr>
              <w:t>(703)</w:t>
            </w: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Share repurchase costs in 2023</w:t>
            </w:r>
          </w:p>
        </w:tc>
        <w:tc>
          <w:tcPr>
            <w:tcW w:w="2760" w:type="dxa"/>
            <w:vAlign w:val="bottom"/>
            <w:gridSpan w:val="3"/>
          </w:tcPr>
          <w:p>
            <w:pPr>
              <w:jc w:val="right"/>
              <w:ind w:right="260"/>
              <w:spacing w:after="0"/>
              <w:rPr>
                <w:sz w:val="20"/>
                <w:szCs w:val="20"/>
                <w:color w:val="auto"/>
              </w:rPr>
            </w:pPr>
            <w:r>
              <w:rPr>
                <w:rFonts w:ascii="Arial" w:cs="Arial" w:eastAsia="Arial" w:hAnsi="Arial"/>
                <w:sz w:val="16"/>
                <w:szCs w:val="16"/>
                <w:color w:val="auto"/>
              </w:rPr>
              <w:t>(250)</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Acquired IPR&amp;D costs</w:t>
            </w:r>
          </w:p>
        </w:tc>
        <w:tc>
          <w:tcPr>
            <w:tcW w:w="2760" w:type="dxa"/>
            <w:vAlign w:val="bottom"/>
            <w:tcBorders>
              <w:bottom w:val="single" w:sz="8" w:color="E5E5E5"/>
            </w:tcBorders>
            <w:gridSpan w:val="3"/>
            <w:shd w:val="clear" w:color="auto" w:fill="E5E5E5"/>
          </w:tcPr>
          <w:p>
            <w:pPr>
              <w:jc w:val="right"/>
              <w:ind w:right="260"/>
              <w:spacing w:after="0"/>
              <w:rPr>
                <w:sz w:val="20"/>
                <w:szCs w:val="20"/>
                <w:color w:val="auto"/>
              </w:rPr>
            </w:pPr>
            <w:r>
              <w:rPr>
                <w:rFonts w:ascii="Arial" w:cs="Arial" w:eastAsia="Arial" w:hAnsi="Arial"/>
                <w:sz w:val="16"/>
                <w:szCs w:val="16"/>
                <w:color w:val="auto"/>
              </w:rPr>
              <w:t>(207)</w:t>
            </w: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Transaction-related one-time costs and taxes</w:t>
            </w:r>
          </w:p>
        </w:tc>
        <w:tc>
          <w:tcPr>
            <w:tcW w:w="2760" w:type="dxa"/>
            <w:vAlign w:val="bottom"/>
            <w:gridSpan w:val="3"/>
          </w:tcPr>
          <w:p>
            <w:pPr>
              <w:jc w:val="right"/>
              <w:ind w:right="260"/>
              <w:spacing w:after="0"/>
              <w:rPr>
                <w:sz w:val="20"/>
                <w:szCs w:val="20"/>
                <w:color w:val="auto"/>
              </w:rPr>
            </w:pPr>
            <w:r>
              <w:rPr>
                <w:rFonts w:ascii="Arial" w:cs="Arial" w:eastAsia="Arial" w:hAnsi="Arial"/>
                <w:sz w:val="16"/>
                <w:szCs w:val="16"/>
                <w:color w:val="auto"/>
              </w:rPr>
              <w:t>(204)</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Excess balance sheet cash</w:t>
            </w:r>
          </w:p>
        </w:tc>
        <w:tc>
          <w:tcPr>
            <w:tcW w:w="2760" w:type="dxa"/>
            <w:vAlign w:val="bottom"/>
            <w:tcBorders>
              <w:bottom w:val="single" w:sz="8" w:color="E5E5E5"/>
            </w:tcBorders>
            <w:gridSpan w:val="3"/>
            <w:shd w:val="clear" w:color="auto" w:fill="E5E5E5"/>
          </w:tcPr>
          <w:p>
            <w:pPr>
              <w:jc w:val="right"/>
              <w:ind w:right="260"/>
              <w:spacing w:after="0"/>
              <w:rPr>
                <w:sz w:val="20"/>
                <w:szCs w:val="20"/>
                <w:color w:val="auto"/>
              </w:rPr>
            </w:pPr>
            <w:r>
              <w:rPr>
                <w:rFonts w:ascii="Arial" w:cs="Arial" w:eastAsia="Arial" w:hAnsi="Arial"/>
                <w:sz w:val="16"/>
                <w:szCs w:val="16"/>
                <w:color w:val="auto"/>
              </w:rPr>
              <w:t>(494)</w:t>
            </w:r>
          </w:p>
        </w:tc>
      </w:tr>
      <w:tr>
        <w:trPr>
          <w:trHeight w:val="268"/>
        </w:trPr>
        <w:tc>
          <w:tcPr>
            <w:tcW w:w="8260" w:type="dxa"/>
            <w:vAlign w:val="bottom"/>
          </w:tcPr>
          <w:p>
            <w:pPr>
              <w:ind w:left="320"/>
              <w:spacing w:after="0"/>
              <w:rPr>
                <w:sz w:val="20"/>
                <w:szCs w:val="20"/>
                <w:color w:val="auto"/>
              </w:rPr>
            </w:pPr>
            <w:r>
              <w:rPr>
                <w:rFonts w:ascii="Arial" w:cs="Arial" w:eastAsia="Arial" w:hAnsi="Arial"/>
                <w:sz w:val="16"/>
                <w:szCs w:val="16"/>
                <w:color w:val="auto"/>
              </w:rPr>
              <w:t>Oyster Point net operating cash outflows</w:t>
            </w:r>
          </w:p>
        </w:tc>
        <w:tc>
          <w:tcPr>
            <w:tcW w:w="2760" w:type="dxa"/>
            <w:vAlign w:val="bottom"/>
            <w:gridSpan w:val="3"/>
          </w:tcPr>
          <w:p>
            <w:pPr>
              <w:jc w:val="right"/>
              <w:ind w:right="260"/>
              <w:spacing w:after="0"/>
              <w:rPr>
                <w:sz w:val="20"/>
                <w:szCs w:val="20"/>
                <w:color w:val="auto"/>
              </w:rPr>
            </w:pPr>
            <w:r>
              <w:rPr>
                <w:rFonts w:ascii="Arial" w:cs="Arial" w:eastAsia="Arial" w:hAnsi="Arial"/>
                <w:sz w:val="16"/>
                <w:szCs w:val="16"/>
                <w:color w:val="auto"/>
              </w:rPr>
              <w:t>(111)</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r>
      <w:tr>
        <w:trPr>
          <w:trHeight w:val="20"/>
        </w:trPr>
        <w:tc>
          <w:tcPr>
            <w:tcW w:w="8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6"/>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Total debt at notional amounts (for 2021-2023 PRSUs)</w:t>
            </w:r>
          </w:p>
        </w:tc>
        <w:tc>
          <w:tcPr>
            <w:tcW w:w="1840" w:type="dxa"/>
            <w:vAlign w:val="bottom"/>
            <w:tcBorders>
              <w:bottom w:val="single" w:sz="8" w:color="E5E5E5"/>
            </w:tcBorders>
            <w:shd w:val="clear" w:color="auto" w:fill="E5E5E5"/>
          </w:tcPr>
          <w:p>
            <w:pPr>
              <w:spacing w:after="0"/>
              <w:rPr>
                <w:sz w:val="24"/>
                <w:szCs w:val="24"/>
                <w:color w:val="auto"/>
              </w:rPr>
            </w:pPr>
          </w:p>
        </w:tc>
        <w:tc>
          <w:tcPr>
            <w:tcW w:w="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$16,453</w:t>
            </w:r>
          </w:p>
        </w:tc>
        <w:tc>
          <w:tcPr>
            <w:tcW w:w="320" w:type="dxa"/>
            <w:vAlign w:val="bottom"/>
            <w:tcBorders>
              <w:bottom w:val="single" w:sz="8" w:color="E5E5E5"/>
            </w:tcBorders>
            <w:shd w:val="clear" w:color="auto" w:fill="E5E5E5"/>
          </w:tcPr>
          <w:p>
            <w:pPr>
              <w:spacing w:after="0"/>
              <w:rPr>
                <w:sz w:val="24"/>
                <w:szCs w:val="24"/>
                <w:color w:val="auto"/>
              </w:rPr>
            </w:pPr>
          </w:p>
        </w:tc>
      </w:tr>
      <w:tr>
        <w:trPr>
          <w:trHeight w:val="20"/>
        </w:trPr>
        <w:tc>
          <w:tcPr>
            <w:tcW w:w="8260" w:type="dxa"/>
            <w:vAlign w:val="bottom"/>
            <w:tcBorders>
              <w:top w:val="single" w:sz="8" w:color="E5E5E5"/>
            </w:tcBorders>
            <w:shd w:val="clear" w:color="auto" w:fill="E5E5E5"/>
          </w:tcPr>
          <w:p>
            <w:pPr>
              <w:spacing w:after="0" w:line="20" w:lineRule="exact"/>
              <w:rPr>
                <w:sz w:val="1"/>
                <w:szCs w:val="1"/>
                <w:color w:val="auto"/>
              </w:rPr>
            </w:pPr>
          </w:p>
        </w:tc>
        <w:tc>
          <w:tcPr>
            <w:tcW w:w="1840" w:type="dxa"/>
            <w:vAlign w:val="bottom"/>
            <w:tcBorders>
              <w:top w:val="single" w:sz="8" w:color="E5E5E5"/>
            </w:tcBorders>
            <w:shd w:val="clear" w:color="auto" w:fill="E5E5E5"/>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5E5E5"/>
            </w:tcBorders>
            <w:shd w:val="clear" w:color="auto" w:fill="E5E5E5"/>
          </w:tcPr>
          <w:p>
            <w:pPr>
              <w:spacing w:after="0" w:line="20" w:lineRule="exact"/>
              <w:rPr>
                <w:sz w:val="1"/>
                <w:szCs w:val="1"/>
                <w:color w:val="auto"/>
              </w:rPr>
            </w:pPr>
          </w:p>
        </w:tc>
      </w:tr>
      <w:tr>
        <w:trPr>
          <w:trHeight w:val="262"/>
        </w:trPr>
        <w:tc>
          <w:tcPr>
            <w:tcW w:w="8260" w:type="dxa"/>
            <w:vAlign w:val="bottom"/>
          </w:tcPr>
          <w:p>
            <w:pPr>
              <w:ind w:left="60"/>
              <w:spacing w:after="0"/>
              <w:rPr>
                <w:sz w:val="20"/>
                <w:szCs w:val="20"/>
                <w:color w:val="auto"/>
              </w:rPr>
            </w:pPr>
            <w:r>
              <w:rPr>
                <w:rFonts w:ascii="Arial" w:cs="Arial" w:eastAsia="Arial" w:hAnsi="Arial"/>
                <w:sz w:val="16"/>
                <w:szCs w:val="16"/>
                <w:color w:val="auto"/>
              </w:rPr>
              <w:t>Gross leverage ratio (as reported)</w:t>
            </w:r>
          </w:p>
        </w:tc>
        <w:tc>
          <w:tcPr>
            <w:tcW w:w="184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color w:val="auto"/>
              </w:rPr>
              <w:t>3.4x</w:t>
            </w:r>
          </w:p>
        </w:tc>
      </w:tr>
      <w:tr>
        <w:trPr>
          <w:trHeight w:val="56"/>
        </w:trPr>
        <w:tc>
          <w:tcPr>
            <w:tcW w:w="8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8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Gross leverage ratio (for 2021-2023 PRSUs)</w:t>
            </w:r>
          </w:p>
        </w:tc>
        <w:tc>
          <w:tcPr>
            <w:tcW w:w="1840" w:type="dxa"/>
            <w:vAlign w:val="bottom"/>
            <w:tcBorders>
              <w:bottom w:val="single" w:sz="8" w:color="E5E5E5"/>
            </w:tcBorders>
            <w:shd w:val="clear" w:color="auto" w:fill="E5E5E5"/>
          </w:tcPr>
          <w:p>
            <w:pPr>
              <w:spacing w:after="0"/>
              <w:rPr>
                <w:sz w:val="24"/>
                <w:szCs w:val="24"/>
                <w:color w:val="auto"/>
              </w:rPr>
            </w:pPr>
          </w:p>
        </w:tc>
        <w:tc>
          <w:tcPr>
            <w:tcW w:w="920" w:type="dxa"/>
            <w:vAlign w:val="bottom"/>
            <w:tcBorders>
              <w:bottom w:val="single" w:sz="8" w:color="E5E5E5"/>
            </w:tcBorders>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2.84x</w:t>
            </w:r>
          </w:p>
        </w:tc>
      </w:tr>
      <w:tr>
        <w:trPr>
          <w:trHeight w:val="20"/>
        </w:trPr>
        <w:tc>
          <w:tcPr>
            <w:tcW w:w="8260" w:type="dxa"/>
            <w:vAlign w:val="bottom"/>
            <w:shd w:val="clear" w:color="auto" w:fill="732282"/>
          </w:tcPr>
          <w:p>
            <w:pPr>
              <w:spacing w:after="0" w:line="20" w:lineRule="exact"/>
              <w:rPr>
                <w:sz w:val="1"/>
                <w:szCs w:val="1"/>
                <w:color w:val="auto"/>
              </w:rPr>
            </w:pPr>
          </w:p>
        </w:tc>
        <w:tc>
          <w:tcPr>
            <w:tcW w:w="184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320" w:type="dxa"/>
            <w:vAlign w:val="bottom"/>
            <w:shd w:val="clear" w:color="auto" w:fill="732282"/>
          </w:tcPr>
          <w:p>
            <w:pPr>
              <w:spacing w:after="0" w:line="20" w:lineRule="exact"/>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231161"/>
        </w:rPr>
        <w:t>Long-Term Gross Leverage Target</w:t>
      </w:r>
    </w:p>
    <w:p>
      <w:pPr>
        <w:spacing w:after="0" w:line="131" w:lineRule="exact"/>
        <w:rPr>
          <w:sz w:val="20"/>
          <w:szCs w:val="20"/>
          <w:color w:val="auto"/>
        </w:rPr>
      </w:pPr>
    </w:p>
    <w:p>
      <w:pPr>
        <w:ind w:left="120" w:right="200"/>
        <w:spacing w:after="0" w:line="261" w:lineRule="auto"/>
        <w:rPr>
          <w:sz w:val="20"/>
          <w:szCs w:val="20"/>
          <w:color w:val="auto"/>
        </w:rPr>
      </w:pPr>
      <w:r>
        <w:rPr>
          <w:rFonts w:ascii="Arial" w:cs="Arial" w:eastAsia="Arial" w:hAnsi="Arial"/>
          <w:sz w:val="17"/>
          <w:szCs w:val="17"/>
          <w:color w:val="3F3F3F"/>
        </w:rPr>
        <w:t>The stated forward-looking non-GAAP financial measure of long-term gross leverage target of 3.0x, with a range of 2.8x – 3.2x, is based on the ratio of (i) targeted notional gross debt (as reported) and (ii) targeted Adjusted EBITDA (as reported). However, the Company has not quantified future amounts to develop this target but has stated its goal to manage notional gross debt (as reported) and Adjusted EBITDA (as reported) over time in order to generally maintain or reach the target. This target does not reflect Company guidance. A reconciliation of gross leverage ratio (as reported) for the year ended December 31, 2023 is set forth above in this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029450" cy="68580"/>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B-7 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77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C</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3F3F3F"/>
        </w:rPr>
        <w:t>Amendment to the</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3F3F3F"/>
        </w:rPr>
        <w:t>Viatris Inc. 2020 Stock Incentive Plan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3F3F3F"/>
        </w:rPr>
        <w:t>WHEREAS</w:t>
      </w:r>
      <w:r>
        <w:rPr>
          <w:rFonts w:ascii="Arial" w:cs="Arial" w:eastAsia="Arial" w:hAnsi="Arial"/>
          <w:sz w:val="22"/>
          <w:szCs w:val="22"/>
          <w:color w:val="3F3F3F"/>
        </w:rPr>
        <w:t>, the Company currently maintains and sponsors the 2020 Plan;</w:t>
      </w:r>
    </w:p>
    <w:p>
      <w:pPr>
        <w:spacing w:after="0" w:line="247" w:lineRule="exact"/>
        <w:rPr>
          <w:sz w:val="20"/>
          <w:szCs w:val="20"/>
          <w:color w:val="auto"/>
        </w:rPr>
      </w:pPr>
    </w:p>
    <w:p>
      <w:pPr>
        <w:ind w:left="120" w:right="240" w:firstLine="881"/>
        <w:spacing w:after="0"/>
        <w:rPr>
          <w:sz w:val="20"/>
          <w:szCs w:val="20"/>
          <w:color w:val="auto"/>
        </w:rPr>
      </w:pPr>
      <w:r>
        <w:rPr>
          <w:rFonts w:ascii="Arial" w:cs="Arial" w:eastAsia="Arial" w:hAnsi="Arial"/>
          <w:sz w:val="22"/>
          <w:szCs w:val="22"/>
          <w:b w:val="1"/>
          <w:bCs w:val="1"/>
          <w:color w:val="3F3F3F"/>
        </w:rPr>
        <w:t>WHEREAS</w:t>
      </w:r>
      <w:r>
        <w:rPr>
          <w:rFonts w:ascii="Arial" w:cs="Arial" w:eastAsia="Arial" w:hAnsi="Arial"/>
          <w:sz w:val="22"/>
          <w:szCs w:val="22"/>
          <w:color w:val="3F3F3F"/>
        </w:rPr>
        <w:t>, Section 13(a) of the 2020 Plan provides that the Board may amend the Plan from time to</w:t>
      </w:r>
      <w:r>
        <w:rPr>
          <w:rFonts w:ascii="Arial" w:cs="Arial" w:eastAsia="Arial" w:hAnsi="Arial"/>
          <w:sz w:val="22"/>
          <w:szCs w:val="22"/>
          <w:b w:val="1"/>
          <w:bCs w:val="1"/>
          <w:color w:val="3F3F3F"/>
        </w:rPr>
        <w:t xml:space="preserve"> </w:t>
      </w:r>
      <w:r>
        <w:rPr>
          <w:rFonts w:ascii="Arial" w:cs="Arial" w:eastAsia="Arial" w:hAnsi="Arial"/>
          <w:sz w:val="22"/>
          <w:szCs w:val="22"/>
          <w:color w:val="3F3F3F"/>
        </w:rPr>
        <w:t>time, except that shareholder approval shall be required for any amendment that would increase the maximum number of shares of common stock, par value $0.01 per share, of the Company (“Shares”) for which awards may be granted under the 2020 Plan; and</w:t>
      </w:r>
    </w:p>
    <w:p>
      <w:pPr>
        <w:spacing w:after="0" w:line="217" w:lineRule="exact"/>
        <w:rPr>
          <w:sz w:val="20"/>
          <w:szCs w:val="20"/>
          <w:color w:val="auto"/>
        </w:rPr>
      </w:pPr>
    </w:p>
    <w:p>
      <w:pPr>
        <w:ind w:left="120" w:right="400" w:firstLine="881"/>
        <w:spacing w:after="0" w:line="261" w:lineRule="auto"/>
        <w:rPr>
          <w:sz w:val="20"/>
          <w:szCs w:val="20"/>
          <w:color w:val="auto"/>
        </w:rPr>
      </w:pPr>
      <w:r>
        <w:rPr>
          <w:rFonts w:ascii="Arial" w:cs="Arial" w:eastAsia="Arial" w:hAnsi="Arial"/>
          <w:sz w:val="22"/>
          <w:szCs w:val="22"/>
          <w:b w:val="1"/>
          <w:bCs w:val="1"/>
          <w:color w:val="3F3F3F"/>
        </w:rPr>
        <w:t>WHEREAS</w:t>
      </w:r>
      <w:r>
        <w:rPr>
          <w:rFonts w:ascii="Arial" w:cs="Arial" w:eastAsia="Arial" w:hAnsi="Arial"/>
          <w:sz w:val="22"/>
          <w:szCs w:val="22"/>
          <w:color w:val="3F3F3F"/>
        </w:rPr>
        <w:t>, the Board has determined it to be in its best interests to amend the 2020 Plan as set forth</w:t>
      </w:r>
      <w:r>
        <w:rPr>
          <w:rFonts w:ascii="Arial" w:cs="Arial" w:eastAsia="Arial" w:hAnsi="Arial"/>
          <w:sz w:val="22"/>
          <w:szCs w:val="22"/>
          <w:b w:val="1"/>
          <w:bCs w:val="1"/>
          <w:color w:val="3F3F3F"/>
        </w:rPr>
        <w:t xml:space="preserve"> </w:t>
      </w:r>
      <w:r>
        <w:rPr>
          <w:rFonts w:ascii="Arial" w:cs="Arial" w:eastAsia="Arial" w:hAnsi="Arial"/>
          <w:sz w:val="22"/>
          <w:szCs w:val="22"/>
          <w:color w:val="3F3F3F"/>
        </w:rPr>
        <w:t>herein (this “Amendment”).</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3F3F3F"/>
        </w:rPr>
        <w:t>NOW, THEREFORE</w:t>
      </w:r>
      <w:r>
        <w:rPr>
          <w:rFonts w:ascii="Arial" w:cs="Arial" w:eastAsia="Arial" w:hAnsi="Arial"/>
          <w:sz w:val="22"/>
          <w:szCs w:val="22"/>
          <w:color w:val="3F3F3F"/>
        </w:rPr>
        <w:t>, the 2020 Plan shall be amended as follows:</w:t>
      </w:r>
    </w:p>
    <w:p>
      <w:pPr>
        <w:spacing w:after="0" w:line="289" w:lineRule="exact"/>
        <w:rPr>
          <w:sz w:val="20"/>
          <w:szCs w:val="20"/>
          <w:color w:val="auto"/>
        </w:rPr>
      </w:pPr>
    </w:p>
    <w:p>
      <w:pPr>
        <w:ind w:left="1880" w:right="220" w:hanging="887"/>
        <w:spacing w:after="0"/>
        <w:tabs>
          <w:tab w:leader="none" w:pos="1880" w:val="left"/>
        </w:tabs>
        <w:numPr>
          <w:ilvl w:val="0"/>
          <w:numId w:val="133"/>
        </w:numPr>
        <w:rPr>
          <w:rFonts w:ascii="Arial" w:cs="Arial" w:eastAsia="Arial" w:hAnsi="Arial"/>
          <w:sz w:val="22"/>
          <w:szCs w:val="22"/>
          <w:color w:val="3F3F3F"/>
        </w:rPr>
      </w:pPr>
      <w:r>
        <w:rPr>
          <w:rFonts w:ascii="Arial" w:cs="Arial" w:eastAsia="Arial" w:hAnsi="Arial"/>
          <w:sz w:val="22"/>
          <w:szCs w:val="22"/>
          <w:color w:val="3F3F3F"/>
        </w:rPr>
        <w:t>Capitalized terms that are not defined in this Amendment shall have the meanings ascribed thereto in the 2020 Plan, except as otherwise provided herein. As used in this Amendment, the word “herein” refers to this Amendment as a whole and not to any particular article, section or other subdivision of this instrument.</w:t>
      </w:r>
    </w:p>
    <w:p>
      <w:pPr>
        <w:spacing w:after="0" w:line="257" w:lineRule="exact"/>
        <w:rPr>
          <w:rFonts w:ascii="Arial" w:cs="Arial" w:eastAsia="Arial" w:hAnsi="Arial"/>
          <w:sz w:val="22"/>
          <w:szCs w:val="22"/>
          <w:color w:val="3F3F3F"/>
        </w:rPr>
      </w:pPr>
    </w:p>
    <w:p>
      <w:pPr>
        <w:ind w:left="1880" w:right="40" w:hanging="887"/>
        <w:spacing w:after="0" w:line="238" w:lineRule="auto"/>
        <w:tabs>
          <w:tab w:leader="none" w:pos="1880" w:val="left"/>
        </w:tabs>
        <w:numPr>
          <w:ilvl w:val="0"/>
          <w:numId w:val="133"/>
        </w:numPr>
        <w:rPr>
          <w:rFonts w:ascii="Arial" w:cs="Arial" w:eastAsia="Arial" w:hAnsi="Arial"/>
          <w:sz w:val="22"/>
          <w:szCs w:val="22"/>
          <w:color w:val="3F3F3F"/>
        </w:rPr>
      </w:pPr>
      <w:r>
        <w:rPr>
          <w:rFonts w:ascii="Arial" w:cs="Arial" w:eastAsia="Arial" w:hAnsi="Arial"/>
          <w:sz w:val="22"/>
          <w:szCs w:val="22"/>
          <w:color w:val="3F3F3F"/>
        </w:rPr>
        <w:t>Effective upon approval by the shareholders of the Company at the Company’s Annual Meeting of Shareholders on December 6, 2024, Section 4(a) of the 2020 Plan shall be, and hereby is, amended to increase the Share Limit by forty-nine million (49,000,000) Shares. Therefore, a new sentence is hereby added to Section 4(a) immediately following the first sentence thereof to read as follows:</w:t>
      </w:r>
    </w:p>
    <w:p>
      <w:pPr>
        <w:spacing w:after="0" w:line="258" w:lineRule="exact"/>
        <w:rPr>
          <w:sz w:val="20"/>
          <w:szCs w:val="20"/>
          <w:color w:val="auto"/>
        </w:rPr>
      </w:pPr>
    </w:p>
    <w:p>
      <w:pPr>
        <w:ind w:left="1880" w:right="80" w:hanging="887"/>
        <w:spacing w:after="0" w:line="283" w:lineRule="auto"/>
        <w:tabs>
          <w:tab w:leader="none" w:pos="1880" w:val="left"/>
        </w:tabs>
        <w:numPr>
          <w:ilvl w:val="0"/>
          <w:numId w:val="134"/>
        </w:numPr>
        <w:rPr>
          <w:rFonts w:ascii="Arial" w:cs="Arial" w:eastAsia="Arial" w:hAnsi="Arial"/>
          <w:sz w:val="21"/>
          <w:szCs w:val="21"/>
          <w:color w:val="3F3F3F"/>
        </w:rPr>
      </w:pPr>
      <w:r>
        <w:rPr>
          <w:rFonts w:ascii="Arial" w:cs="Arial" w:eastAsia="Arial" w:hAnsi="Arial"/>
          <w:sz w:val="21"/>
          <w:szCs w:val="21"/>
          <w:color w:val="3F3F3F"/>
        </w:rPr>
        <w:t>“In addition, effective as of December 6, 2024, subject to adjustment as provided in Section 4(c), the Share Limit shall be increased by an additional forty-nine million (49,000,000) Shares.”</w:t>
      </w:r>
    </w:p>
    <w:p>
      <w:pPr>
        <w:spacing w:after="0" w:line="214" w:lineRule="exact"/>
        <w:rPr>
          <w:sz w:val="20"/>
          <w:szCs w:val="20"/>
          <w:color w:val="auto"/>
        </w:rPr>
      </w:pPr>
    </w:p>
    <w:p>
      <w:pPr>
        <w:ind w:left="1880" w:hanging="887"/>
        <w:spacing w:after="0" w:line="259" w:lineRule="auto"/>
        <w:tabs>
          <w:tab w:leader="none" w:pos="1880" w:val="left"/>
        </w:tabs>
        <w:numPr>
          <w:ilvl w:val="0"/>
          <w:numId w:val="135"/>
        </w:numPr>
        <w:rPr>
          <w:rFonts w:ascii="Arial" w:cs="Arial" w:eastAsia="Arial" w:hAnsi="Arial"/>
          <w:sz w:val="22"/>
          <w:szCs w:val="22"/>
          <w:color w:val="3F3F3F"/>
        </w:rPr>
      </w:pPr>
      <w:r>
        <w:rPr>
          <w:rFonts w:ascii="Arial" w:cs="Arial" w:eastAsia="Arial" w:hAnsi="Arial"/>
          <w:sz w:val="22"/>
          <w:szCs w:val="22"/>
          <w:color w:val="3F3F3F"/>
        </w:rPr>
        <w:t>Effective immediately, Section 4(b) of the 2020 Plan shall be, and hereby is, deleted in its entirety and replaced with the following:</w:t>
      </w:r>
    </w:p>
    <w:p>
      <w:pPr>
        <w:spacing w:after="0" w:line="237" w:lineRule="exact"/>
        <w:rPr>
          <w:sz w:val="20"/>
          <w:szCs w:val="20"/>
          <w:color w:val="auto"/>
        </w:rPr>
      </w:pPr>
    </w:p>
    <w:p>
      <w:pPr>
        <w:ind w:left="1880" w:right="40" w:hanging="887"/>
        <w:spacing w:after="0" w:line="248" w:lineRule="auto"/>
        <w:tabs>
          <w:tab w:leader="none" w:pos="1880" w:val="left"/>
        </w:tabs>
        <w:numPr>
          <w:ilvl w:val="0"/>
          <w:numId w:val="136"/>
        </w:numPr>
        <w:rPr>
          <w:rFonts w:ascii="Arial" w:cs="Arial" w:eastAsia="Arial" w:hAnsi="Arial"/>
          <w:sz w:val="21"/>
          <w:szCs w:val="21"/>
          <w:color w:val="3F3F3F"/>
        </w:rPr>
      </w:pPr>
      <w:r>
        <w:rPr>
          <w:rFonts w:ascii="Arial" w:cs="Arial" w:eastAsia="Arial" w:hAnsi="Arial"/>
          <w:sz w:val="21"/>
          <w:szCs w:val="21"/>
          <w:color w:val="3F3F3F"/>
        </w:rPr>
        <w:t>“Notwithstanding any other provision of the 2020 Plan to the contrary, any Awards granted under the 2020 Plan (excluding, for this purpose, any (i) Substitute Awards, (ii) Shares delivered in lieu of fully vested cash-denominated Awards and (iii) Awards to Non-Employee Directors that vest on the earlier of the one year anniversary of the date of grant or the next annual meeting of stockholders which is at least 50 weeks after the immediately preceding year’s annual meeting) shall be granted subject to a minimum vesting period of at least twelve (12) months, such that no such Awards shall vest prior to the first anniversary of the applicable grant date (subject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029450" cy="68580"/>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2024 Proxy Statement  |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5" w:lineRule="exact"/>
        <w:rPr>
          <w:sz w:val="20"/>
          <w:szCs w:val="20"/>
          <w:color w:val="auto"/>
        </w:rPr>
      </w:pPr>
    </w:p>
    <w:p>
      <w:pPr>
        <w:ind w:left="1880" w:right="520"/>
        <w:spacing w:after="0" w:line="238" w:lineRule="auto"/>
        <w:rPr>
          <w:sz w:val="20"/>
          <w:szCs w:val="20"/>
          <w:color w:val="auto"/>
        </w:rPr>
      </w:pPr>
      <w:r>
        <w:rPr>
          <w:rFonts w:ascii="Arial" w:cs="Arial" w:eastAsia="Arial" w:hAnsi="Arial"/>
          <w:sz w:val="22"/>
          <w:szCs w:val="22"/>
          <w:color w:val="3F3F3F"/>
        </w:rPr>
        <w:t xml:space="preserve">accelerated vesting otherwise permitted by the terms of the 2020 Plan); </w:t>
      </w:r>
      <w:r>
        <w:rPr>
          <w:rFonts w:ascii="Arial" w:cs="Arial" w:eastAsia="Arial" w:hAnsi="Arial"/>
          <w:sz w:val="22"/>
          <w:szCs w:val="22"/>
          <w:u w:val="single" w:color="auto"/>
          <w:color w:val="3F3F3F"/>
        </w:rPr>
        <w:t>provided</w:t>
      </w:r>
      <w:r>
        <w:rPr>
          <w:rFonts w:ascii="Arial" w:cs="Arial" w:eastAsia="Arial" w:hAnsi="Arial"/>
          <w:sz w:val="22"/>
          <w:szCs w:val="22"/>
          <w:color w:val="3F3F3F"/>
        </w:rPr>
        <w:t xml:space="preserve"> that the Committee may grant any such Awards without regard to the foregoing minimum vesting requirement with respect to a maximum of five (5) percent of the shares of Common Stock reserved for issuance under the 2020 Plan pursuant to Section 4(a) hereof (subject to adjustment under Section 4(c)).”</w:t>
      </w:r>
    </w:p>
    <w:p>
      <w:pPr>
        <w:spacing w:after="0" w:line="258" w:lineRule="exact"/>
        <w:rPr>
          <w:sz w:val="20"/>
          <w:szCs w:val="20"/>
          <w:color w:val="auto"/>
        </w:rPr>
      </w:pPr>
    </w:p>
    <w:p>
      <w:pPr>
        <w:ind w:left="1880" w:right="260" w:hanging="887"/>
        <w:spacing w:after="0" w:line="259" w:lineRule="auto"/>
        <w:tabs>
          <w:tab w:leader="none" w:pos="1880" w:val="left"/>
        </w:tabs>
        <w:numPr>
          <w:ilvl w:val="0"/>
          <w:numId w:val="137"/>
        </w:numPr>
        <w:rPr>
          <w:rFonts w:ascii="Arial" w:cs="Arial" w:eastAsia="Arial" w:hAnsi="Arial"/>
          <w:sz w:val="22"/>
          <w:szCs w:val="22"/>
          <w:color w:val="3F3F3F"/>
        </w:rPr>
      </w:pPr>
      <w:r>
        <w:rPr>
          <w:rFonts w:ascii="Arial" w:cs="Arial" w:eastAsia="Arial" w:hAnsi="Arial"/>
          <w:sz w:val="22"/>
          <w:szCs w:val="22"/>
          <w:color w:val="3F3F3F"/>
        </w:rPr>
        <w:t>Except as modified by this Amendment, all of the terms and conditions of the 2020 Plan shall remain valid and in full force and effect.</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3F3F3F"/>
        </w:rPr>
        <w:t>IN WITNESS WHEREOF</w:t>
      </w:r>
      <w:r>
        <w:rPr>
          <w:rFonts w:ascii="Arial" w:cs="Arial" w:eastAsia="Arial" w:hAnsi="Arial"/>
          <w:sz w:val="21"/>
          <w:szCs w:val="21"/>
          <w:color w:val="3F3F3F"/>
        </w:rPr>
        <w:t>, the Company has executed this Amendment to the 2020 Plan as of December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6, 2024.</w:t>
      </w:r>
    </w:p>
    <w:p>
      <w:pPr>
        <w:spacing w:after="0" w:line="265" w:lineRule="exact"/>
        <w:rPr>
          <w:sz w:val="20"/>
          <w:szCs w:val="20"/>
          <w:color w:val="auto"/>
        </w:rPr>
      </w:pPr>
    </w:p>
    <w:p>
      <w:pPr>
        <w:ind w:left="7480"/>
        <w:spacing w:after="0"/>
        <w:rPr>
          <w:sz w:val="20"/>
          <w:szCs w:val="20"/>
          <w:color w:val="auto"/>
        </w:rPr>
      </w:pPr>
      <w:r>
        <w:rPr>
          <w:rFonts w:ascii="Arial" w:cs="Arial" w:eastAsia="Arial" w:hAnsi="Arial"/>
          <w:sz w:val="22"/>
          <w:szCs w:val="22"/>
          <w:b w:val="1"/>
          <w:bCs w:val="1"/>
          <w:color w:val="3F3F3F"/>
        </w:rPr>
        <w:t>VIATRIS INC.</w:t>
      </w:r>
    </w:p>
    <w:p>
      <w:pPr>
        <w:spacing w:after="0" w:line="200" w:lineRule="exact"/>
        <w:rPr>
          <w:sz w:val="20"/>
          <w:szCs w:val="20"/>
          <w:color w:val="auto"/>
        </w:rPr>
      </w:pPr>
    </w:p>
    <w:p>
      <w:pPr>
        <w:spacing w:after="0" w:line="224" w:lineRule="exact"/>
        <w:rPr>
          <w:sz w:val="20"/>
          <w:szCs w:val="20"/>
          <w:color w:val="auto"/>
        </w:rPr>
      </w:pPr>
    </w:p>
    <w:p>
      <w:pPr>
        <w:ind w:left="6900"/>
        <w:spacing w:after="0"/>
        <w:rPr>
          <w:sz w:val="20"/>
          <w:szCs w:val="20"/>
          <w:color w:val="auto"/>
        </w:rPr>
      </w:pPr>
      <w:r>
        <w:rPr>
          <w:rFonts w:ascii="Arial" w:cs="Arial" w:eastAsia="Arial" w:hAnsi="Arial"/>
          <w:sz w:val="22"/>
          <w:szCs w:val="22"/>
          <w:color w:val="3F3F3F"/>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19050</wp:posOffset>
            </wp:positionV>
            <wp:extent cx="2314575" cy="8890"/>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1" w:lineRule="exact"/>
        <w:rPr>
          <w:sz w:val="20"/>
          <w:szCs w:val="20"/>
          <w:color w:val="auto"/>
        </w:rPr>
      </w:pPr>
    </w:p>
    <w:p>
      <w:pPr>
        <w:ind w:left="7480"/>
        <w:spacing w:after="0"/>
        <w:rPr>
          <w:sz w:val="20"/>
          <w:szCs w:val="20"/>
          <w:color w:val="auto"/>
        </w:rPr>
      </w:pPr>
      <w:r>
        <w:rPr>
          <w:rFonts w:ascii="Arial" w:cs="Arial" w:eastAsia="Arial" w:hAnsi="Arial"/>
          <w:sz w:val="22"/>
          <w:szCs w:val="22"/>
          <w:color w:val="3F3F3F"/>
        </w:rPr>
        <w:t> Name:</w:t>
      </w:r>
    </w:p>
    <w:p>
      <w:pPr>
        <w:spacing w:after="0" w:line="10" w:lineRule="exact"/>
        <w:rPr>
          <w:sz w:val="20"/>
          <w:szCs w:val="20"/>
          <w:color w:val="auto"/>
        </w:rPr>
      </w:pPr>
    </w:p>
    <w:p>
      <w:pPr>
        <w:ind w:left="7480"/>
        <w:spacing w:after="0"/>
        <w:rPr>
          <w:sz w:val="20"/>
          <w:szCs w:val="20"/>
          <w:color w:val="auto"/>
        </w:rPr>
      </w:pPr>
      <w:r>
        <w:rPr>
          <w:rFonts w:ascii="Arial" w:cs="Arial" w:eastAsia="Arial" w:hAnsi="Arial"/>
          <w:sz w:val="22"/>
          <w:szCs w:val="22"/>
          <w:color w:val="3F3F3F"/>
        </w:rPr>
        <w: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29450" cy="68580"/>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C-2 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-107315</wp:posOffset>
            </wp:positionV>
            <wp:extent cx="865505" cy="231140"/>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317615" cy="8229600"/>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631761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YOUR VOTE IS IMPORTANT</w:t>
      </w:r>
    </w:p>
    <w:p>
      <w:pPr>
        <w:jc w:val="center"/>
        <w:ind w:right="-139"/>
        <w:spacing w:after="0"/>
        <w:rPr>
          <w:sz w:val="20"/>
          <w:szCs w:val="20"/>
          <w:color w:val="auto"/>
        </w:rPr>
      </w:pPr>
      <w:r>
        <w:rPr>
          <w:rFonts w:ascii="Times New Roman" w:cs="Times New Roman" w:eastAsia="Times New Roman" w:hAnsi="Times New Roman"/>
          <w:sz w:val="18"/>
          <w:szCs w:val="18"/>
          <w:color w:val="auto"/>
        </w:rPr>
        <w:t>Please take a moment to vote your common stock of Viatris Inc.</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 the upcoming 2024 annual meeting of shareholders.</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auto"/>
        </w:rPr>
        <w:t>PLEASE REVIEW THE PROXY STATEMENT AND VOTE TODAY IN ONE OF THREE WAYS:</w:t>
      </w:r>
    </w:p>
    <w:p>
      <w:pPr>
        <w:spacing w:after="0" w:line="121" w:lineRule="exact"/>
        <w:rPr>
          <w:sz w:val="20"/>
          <w:szCs w:val="20"/>
          <w:color w:val="auto"/>
        </w:rPr>
      </w:pPr>
    </w:p>
    <w:p>
      <w:pPr>
        <w:ind w:left="340" w:right="520" w:hanging="224"/>
        <w:spacing w:after="0" w:line="286" w:lineRule="auto"/>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Vote by Telephone — </w:t>
      </w:r>
      <w:r>
        <w:rPr>
          <w:rFonts w:ascii="Times New Roman" w:cs="Times New Roman" w:eastAsia="Times New Roman" w:hAnsi="Times New Roman"/>
          <w:sz w:val="18"/>
          <w:szCs w:val="18"/>
          <w:color w:val="auto"/>
        </w:rPr>
        <w:t>Please call toll-free in the U.S. or Canada at 1-855-429-7917, on a touch-tone phone. If outside the U.S. or Canada, call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1-575-208-6225. Please follow the simple instructions. You will be required to provide the unique control number printed below.</w:t>
      </w:r>
    </w:p>
    <w:p>
      <w:pPr>
        <w:spacing w:after="0" w:line="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1" w:lineRule="exact"/>
        <w:rPr>
          <w:sz w:val="20"/>
          <w:szCs w:val="20"/>
          <w:color w:val="auto"/>
        </w:rPr>
      </w:pPr>
    </w:p>
    <w:p>
      <w:pPr>
        <w:ind w:left="340" w:right="260" w:hanging="224"/>
        <w:spacing w:after="0" w:line="286" w:lineRule="auto"/>
        <w:tabs>
          <w:tab w:leader="none" w:pos="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Vote by Internet — </w:t>
      </w:r>
      <w:r>
        <w:rPr>
          <w:rFonts w:ascii="Times New Roman" w:cs="Times New Roman" w:eastAsia="Times New Roman" w:hAnsi="Times New Roman"/>
          <w:sz w:val="18"/>
          <w:szCs w:val="18"/>
          <w:color w:val="auto"/>
        </w:rPr>
        <w:t>Please access https://www.proxyvotenow.com/vtrs, and follow the simple instructions. Please note you must type an “s”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129540</wp:posOffset>
            </wp:positionV>
            <wp:extent cx="3025775" cy="57467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3025775" cy="5746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860"/>
        <w:spacing w:after="0"/>
        <w:tabs>
          <w:tab w:leader="none" w:pos="4120" w:val="left"/>
          <w:tab w:leader="none" w:pos="4320" w:val="left"/>
        </w:tabs>
        <w:rPr>
          <w:sz w:val="20"/>
          <w:szCs w:val="20"/>
          <w:color w:val="auto"/>
        </w:rPr>
      </w:pPr>
      <w:r>
        <w:rPr>
          <w:rFonts w:ascii="Times New Roman" w:cs="Times New Roman" w:eastAsia="Times New Roman" w:hAnsi="Times New Roman"/>
          <w:sz w:val="22"/>
          <w:szCs w:val="22"/>
          <w:color w:val="auto"/>
        </w:rPr>
        <w:t>CONTROL NUMBER: </w:t>
        <w:tab/>
        <w:t> </w:t>
      </w:r>
      <w:r>
        <w:rPr>
          <w:sz w:val="20"/>
          <w:szCs w:val="20"/>
          <w:color w:val="auto"/>
        </w:rPr>
        <w:tab/>
      </w: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377825</wp:posOffset>
            </wp:positionV>
            <wp:extent cx="6998970" cy="355600"/>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520"/>
        <w:spacing w:after="0" w:line="282" w:lineRule="auto"/>
        <w:rPr>
          <w:sz w:val="20"/>
          <w:szCs w:val="20"/>
          <w:color w:val="auto"/>
        </w:rPr>
      </w:pPr>
      <w:r>
        <w:rPr>
          <w:rFonts w:ascii="Times New Roman" w:cs="Times New Roman" w:eastAsia="Times New Roman" w:hAnsi="Times New Roman"/>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21" w:lineRule="exact"/>
        <w:rPr>
          <w:sz w:val="20"/>
          <w:szCs w:val="20"/>
          <w:color w:val="auto"/>
        </w:rPr>
      </w:pPr>
    </w:p>
    <w:p>
      <w:pPr>
        <w:jc w:val="both"/>
        <w:ind w:left="340" w:right="200" w:hanging="224"/>
        <w:spacing w:after="0" w:line="268" w:lineRule="auto"/>
        <w:tabs>
          <w:tab w:leader="none" w:pos="3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Vote by Mail — </w:t>
      </w:r>
      <w:r>
        <w:rPr>
          <w:rFonts w:ascii="Times New Roman" w:cs="Times New Roman" w:eastAsia="Times New Roman" w:hAnsi="Times New Roman"/>
          <w:sz w:val="18"/>
          <w:szCs w:val="18"/>
          <w:color w:val="auto"/>
        </w:rPr>
        <w:t>If you do not wish to vote by telephone or over the Internet, please complete, sign, date and return the proxy card in the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or mail to: Viatris Inc. c/o First Coast Results, Inc., P.O. Box 3672 Ponte Vedra Beach, FL 32004-9911. However, we strongly encourage you to use this option only if you do not have access to a touch-tone telephone or to the Internet.</w:t>
      </w:r>
    </w:p>
    <w:p>
      <w:pPr>
        <w:spacing w:after="0" w:line="85" w:lineRule="exact"/>
        <w:rPr>
          <w:sz w:val="20"/>
          <w:szCs w:val="20"/>
          <w:color w:val="auto"/>
        </w:rPr>
      </w:pPr>
    </w:p>
    <w:p>
      <w:pPr>
        <w:jc w:val="center"/>
        <w:ind w:right="-139"/>
        <w:spacing w:after="0"/>
        <w:rPr>
          <w:sz w:val="20"/>
          <w:szCs w:val="20"/>
          <w:color w:val="auto"/>
        </w:rPr>
      </w:pPr>
      <w:r>
        <w:rPr>
          <w:sz w:val="1"/>
          <w:szCs w:val="1"/>
          <w:color w:val="auto"/>
        </w:rPr>
        <w:drawing>
          <wp:inline distT="0" distB="0" distL="0" distR="0">
            <wp:extent cx="120015" cy="93980"/>
            <wp:effectExtent l="0" t="0" r="0" b="0"/>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r>
        <w:rPr>
          <w:rFonts w:ascii="Times New Roman" w:cs="Times New Roman" w:eastAsia="Times New Roman" w:hAnsi="Times New Roman"/>
          <w:sz w:val="13"/>
          <w:szCs w:val="13"/>
          <w:color w:val="auto"/>
        </w:rPr>
        <w:t xml:space="preserve">  TO VOTE BY MAIL, PLEASE DETACH PROXY CARD HERE AND SIGN, DATE AND RETURN IN THE POSTAGE-PAID ENVELOPE PROVIDED  </w:t>
      </w:r>
      <w:r>
        <w:rPr>
          <w:sz w:val="1"/>
          <w:szCs w:val="1"/>
          <w:color w:val="auto"/>
        </w:rPr>
        <w:drawing>
          <wp:inline distT="0" distB="0" distL="0" distR="0">
            <wp:extent cx="120015" cy="93980"/>
            <wp:effectExtent l="0" t="0" r="0" b="0"/>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144780</wp:posOffset>
            </wp:positionV>
            <wp:extent cx="428625" cy="40322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428625" cy="40322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161925</wp:posOffset>
            </wp:positionV>
            <wp:extent cx="274320" cy="32575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274320" cy="325755"/>
                    </a:xfrm>
                    <a:prstGeom prst="rect">
                      <a:avLst/>
                    </a:prstGeom>
                    <a:noFill/>
                  </pic:spPr>
                </pic:pic>
              </a:graphicData>
            </a:graphic>
          </wp:anchor>
        </w:drawing>
      </w:r>
    </w:p>
    <w:p>
      <w:pPr>
        <w:spacing w:after="0" w:line="310" w:lineRule="exact"/>
        <w:rPr>
          <w:sz w:val="20"/>
          <w:szCs w:val="20"/>
          <w:color w:val="auto"/>
        </w:rPr>
      </w:pPr>
    </w:p>
    <w:p>
      <w:pPr>
        <w:jc w:val="center"/>
        <w:ind w:right="8520"/>
        <w:spacing w:after="0"/>
        <w:rPr>
          <w:sz w:val="20"/>
          <w:szCs w:val="20"/>
          <w:color w:val="auto"/>
        </w:rPr>
      </w:pPr>
      <w:r>
        <w:rPr>
          <w:rFonts w:ascii="Times New Roman" w:cs="Times New Roman" w:eastAsia="Times New Roman" w:hAnsi="Times New Roman"/>
          <w:sz w:val="13"/>
          <w:szCs w:val="13"/>
          <w:b w:val="1"/>
          <w:bCs w:val="1"/>
          <w:color w:val="auto"/>
        </w:rPr>
        <w:t>To vote, mark boxes</w:t>
      </w:r>
    </w:p>
    <w:p>
      <w:pPr>
        <w:jc w:val="center"/>
        <w:ind w:right="8480"/>
        <w:spacing w:after="0" w:line="219" w:lineRule="auto"/>
        <w:rPr>
          <w:sz w:val="20"/>
          <w:szCs w:val="20"/>
          <w:color w:val="auto"/>
        </w:rPr>
      </w:pPr>
      <w:r>
        <w:rPr>
          <w:rFonts w:ascii="Times New Roman" w:cs="Times New Roman" w:eastAsia="Times New Roman" w:hAnsi="Times New Roman"/>
          <w:sz w:val="13"/>
          <w:szCs w:val="13"/>
          <w:b w:val="1"/>
          <w:bCs w:val="1"/>
          <w:color w:val="auto"/>
        </w:rPr>
        <w:t>below in blue or</w:t>
      </w:r>
    </w:p>
    <w:p>
      <w:pPr>
        <w:jc w:val="center"/>
        <w:ind w:right="8540"/>
        <w:spacing w:after="0"/>
        <w:rPr>
          <w:sz w:val="20"/>
          <w:szCs w:val="20"/>
          <w:color w:val="auto"/>
        </w:rPr>
      </w:pPr>
      <w:r>
        <w:rPr>
          <w:rFonts w:ascii="Times New Roman" w:cs="Times New Roman" w:eastAsia="Times New Roman" w:hAnsi="Times New Roman"/>
          <w:sz w:val="13"/>
          <w:szCs w:val="13"/>
          <w:b w:val="1"/>
          <w:bCs w:val="1"/>
          <w:color w:val="auto"/>
        </w:rPr>
        <w:t>black ink as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VIATRIS INC. BOARD OF DIRECTORS RECOMMENDS A VOTE “FOR” EACH DIRECTOR IN ITEM 1 AND “FOR” ITEMS 2, 3 AND 4.</w:t>
      </w:r>
    </w:p>
    <w:p>
      <w:pPr>
        <w:sectPr>
          <w:pgSz w:w="11900" w:h="16838" w:orient="portrait"/>
          <w:cols w:equalWidth="0" w:num="1">
            <w:col w:w="11120"/>
          </w:cols>
          <w:pgMar w:left="320" w:top="482" w:right="459" w:bottom="1440" w:gutter="0" w:footer="0" w:header="0"/>
        </w:sectPr>
      </w:pP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Company Proposals (Items 1 through 4)</w:t>
      </w:r>
    </w:p>
    <w:p>
      <w:pPr>
        <w:spacing w:after="0" w:line="154" w:lineRule="exact"/>
        <w:rPr>
          <w:sz w:val="20"/>
          <w:szCs w:val="20"/>
          <w:color w:val="auto"/>
        </w:rPr>
      </w:pPr>
    </w:p>
    <w:p>
      <w:pPr>
        <w:ind w:left="300" w:right="400" w:hanging="169"/>
        <w:spacing w:after="0" w:line="280" w:lineRule="auto"/>
        <w:rPr>
          <w:sz w:val="20"/>
          <w:szCs w:val="20"/>
          <w:color w:val="auto"/>
        </w:rPr>
      </w:pPr>
      <w:r>
        <w:rPr>
          <w:rFonts w:ascii="Times New Roman" w:cs="Times New Roman" w:eastAsia="Times New Roman" w:hAnsi="Times New Roman"/>
          <w:sz w:val="16"/>
          <w:szCs w:val="16"/>
          <w:color w:val="auto"/>
        </w:rPr>
        <w:t>1.  Election of the following 12 directors, each to hold office until the 2025 annual meeting of shareholders:</w:t>
      </w:r>
    </w:p>
    <w:p>
      <w:pPr>
        <w:spacing w:after="0" w:line="32" w:lineRule="exact"/>
        <w:rPr>
          <w:sz w:val="20"/>
          <w:szCs w:val="20"/>
          <w:color w:val="auto"/>
        </w:rPr>
      </w:pPr>
    </w:p>
    <w:p>
      <w:pPr>
        <w:jc w:val="both"/>
        <w:ind w:left="3780"/>
        <w:spacing w:after="0"/>
        <w:tabs>
          <w:tab w:leader="none" w:pos="4320" w:val="left"/>
          <w:tab w:leader="none" w:pos="4920" w:val="left"/>
        </w:tabs>
        <w:rPr>
          <w:sz w:val="20"/>
          <w:szCs w:val="20"/>
          <w:color w:val="auto"/>
        </w:rPr>
      </w:pPr>
      <w:r>
        <w:rPr>
          <w:rFonts w:ascii="Times New Roman" w:cs="Times New Roman" w:eastAsia="Times New Roman" w:hAnsi="Times New Roman"/>
          <w:sz w:val="9"/>
          <w:szCs w:val="9"/>
          <w:b w:val="1"/>
          <w:bCs w:val="1"/>
          <w:color w:val="auto"/>
        </w:rPr>
        <w:t>FOR</w:t>
      </w:r>
      <w:r>
        <w:rPr>
          <w:sz w:val="20"/>
          <w:szCs w:val="20"/>
          <w:color w:val="auto"/>
        </w:rPr>
        <w:tab/>
      </w:r>
      <w:r>
        <w:rPr>
          <w:rFonts w:ascii="Times New Roman" w:cs="Times New Roman" w:eastAsia="Times New Roman" w:hAnsi="Times New Roman"/>
          <w:sz w:val="9"/>
          <w:szCs w:val="9"/>
          <w:b w:val="1"/>
          <w:bCs w:val="1"/>
          <w:color w:val="auto"/>
        </w:rPr>
        <w:t>AGAINST</w:t>
      </w:r>
      <w:r>
        <w:rPr>
          <w:sz w:val="20"/>
          <w:szCs w:val="20"/>
          <w:color w:val="auto"/>
        </w:rPr>
        <w:tab/>
      </w:r>
      <w:r>
        <w:rPr>
          <w:rFonts w:ascii="Times New Roman" w:cs="Times New Roman" w:eastAsia="Times New Roman" w:hAnsi="Times New Roman"/>
          <w:sz w:val="8"/>
          <w:szCs w:val="8"/>
          <w:b w:val="1"/>
          <w:bCs w:val="1"/>
          <w:color w:val="auto"/>
        </w:rPr>
        <w:t>ABSTAIN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35" w:lineRule="exact"/>
        <w:rPr>
          <w:sz w:val="20"/>
          <w:szCs w:val="20"/>
          <w:color w:val="auto"/>
        </w:rPr>
      </w:pPr>
    </w:p>
    <w:p>
      <w:pPr>
        <w:ind w:left="160" w:hanging="161"/>
        <w:spacing w:after="0" w:line="253" w:lineRule="auto"/>
        <w:rPr>
          <w:sz w:val="20"/>
          <w:szCs w:val="20"/>
          <w:color w:val="auto"/>
        </w:rPr>
      </w:pPr>
      <w:r>
        <w:rPr>
          <w:rFonts w:ascii="Times New Roman" w:cs="Times New Roman" w:eastAsia="Times New Roman" w:hAnsi="Times New Roman"/>
          <w:sz w:val="16"/>
          <w:szCs w:val="16"/>
          <w:color w:val="auto"/>
        </w:rPr>
        <w:t>2. Approval of, on a non-binding advisory basis, the 2023 compensation of the named executive officers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360" w:val="left"/>
          <w:tab w:leader="none" w:pos="900" w:val="left"/>
        </w:tabs>
        <w:rPr>
          <w:sz w:val="20"/>
          <w:szCs w:val="20"/>
          <w:color w:val="auto"/>
        </w:rPr>
      </w:pPr>
      <w:r>
        <w:rPr>
          <w:rFonts w:ascii="Times New Roman" w:cs="Times New Roman" w:eastAsia="Times New Roman" w:hAnsi="Times New Roman"/>
          <w:sz w:val="9"/>
          <w:szCs w:val="9"/>
          <w:b w:val="1"/>
          <w:bCs w:val="1"/>
          <w:color w:val="auto"/>
        </w:rPr>
        <w:t>FOR</w:t>
        <w:tab/>
        <w:t>AGAINST</w:t>
      </w:r>
      <w:r>
        <w:rPr>
          <w:sz w:val="20"/>
          <w:szCs w:val="20"/>
          <w:color w:val="auto"/>
        </w:rPr>
        <w:tab/>
      </w:r>
      <w:r>
        <w:rPr>
          <w:rFonts w:ascii="Times New Roman" w:cs="Times New Roman" w:eastAsia="Times New Roman" w:hAnsi="Times New Roman"/>
          <w:sz w:val="8"/>
          <w:szCs w:val="8"/>
          <w:b w:val="1"/>
          <w:bCs w:val="1"/>
          <w:color w:val="auto"/>
        </w:rPr>
        <w:t>ABSTAIN</w:t>
      </w:r>
    </w:p>
    <w:p>
      <w:pPr>
        <w:spacing w:after="0" w:line="5"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181" w:lineRule="exact"/>
        <w:rPr>
          <w:sz w:val="20"/>
          <w:szCs w:val="20"/>
          <w:color w:val="auto"/>
        </w:rPr>
      </w:pPr>
    </w:p>
    <w:p>
      <w:pPr>
        <w:sectPr>
          <w:pgSz w:w="11900" w:h="16838" w:orient="portrait"/>
          <w:cols w:equalWidth="0" w:num="3">
            <w:col w:w="5340" w:space="400"/>
            <w:col w:w="3720" w:space="320"/>
            <w:col w:w="1340"/>
          </w:cols>
          <w:pgMar w:left="320" w:top="482" w:right="459" w:bottom="1440" w:gutter="0" w:footer="0" w:header="0"/>
          <w:type w:val="continuous"/>
        </w:sectPr>
      </w:pPr>
    </w:p>
    <w:p>
      <w:pPr>
        <w:spacing w:after="0" w:line="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 W. Don Cornwell</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B. JoEllen Lyons Dillon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 Elisha Finney</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 Leo Groothuis</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E. Melina Higgins</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 James M. Kilts</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G. Harry Korman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H. Rajiv Malik</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 Richard Mark</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J. Mark Parrish</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K. Scott A. Smith</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 Rogério Vivaldi Coelho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723265</wp:posOffset>
            </wp:positionV>
            <wp:extent cx="445770" cy="42862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4457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tabs>
          <w:tab w:leader="none" w:pos="560" w:val="left"/>
        </w:tabs>
        <w:rPr>
          <w:sz w:val="20"/>
          <w:szCs w:val="20"/>
          <w:color w:val="auto"/>
        </w:rPr>
      </w:pPr>
      <w:r>
        <w:rPr>
          <w:rFonts w:ascii="Times New Roman" w:cs="Times New Roman" w:eastAsia="Times New Roman" w:hAnsi="Times New Roman"/>
          <w:sz w:val="18"/>
          <w:szCs w:val="18"/>
          <w:color w:val="auto"/>
        </w:rPr>
        <w:t> </w:t>
        <w:tab/>
        <w:t> </w:t>
      </w:r>
    </w:p>
    <w:p>
      <w:pPr>
        <w:spacing w:after="0" w:line="20" w:lineRule="exact"/>
        <w:rPr>
          <w:sz w:val="20"/>
          <w:szCs w:val="20"/>
          <w:color w:val="auto"/>
        </w:rPr>
      </w:pPr>
      <w:r>
        <w:rPr>
          <w:sz w:val="20"/>
          <w:szCs w:val="20"/>
          <w:color w:val="auto"/>
        </w:rPr>
        <w:br w:type="column"/>
      </w:r>
    </w:p>
    <w:p>
      <w:pPr>
        <w:spacing w:after="0" w:line="197" w:lineRule="exact"/>
        <w:tabs>
          <w:tab w:leader="none" w:pos="640" w:val="left"/>
          <w:tab w:leader="none" w:pos="1240" w:val="left"/>
        </w:tabs>
        <w:rPr>
          <w:sz w:val="20"/>
          <w:szCs w:val="20"/>
          <w:color w:val="auto"/>
        </w:rPr>
      </w:pPr>
      <w:r>
        <w:rPr>
          <w:rFonts w:ascii="MS PGothic" w:cs="MS PGothic" w:eastAsia="MS PGothic" w:hAnsi="MS PGothic"/>
          <w:sz w:val="29"/>
          <w:szCs w:val="29"/>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7"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6"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17" w:lineRule="exact"/>
        <w:tabs>
          <w:tab w:leader="none" w:pos="640" w:val="left"/>
          <w:tab w:leader="none" w:pos="1240" w:val="left"/>
        </w:tabs>
        <w:rPr>
          <w:sz w:val="20"/>
          <w:szCs w:val="20"/>
          <w:color w:val="auto"/>
        </w:rPr>
      </w:pPr>
      <w:r>
        <w:rPr>
          <w:rFonts w:ascii="MS PGothic" w:cs="MS PGothic" w:eastAsia="MS PGothic" w:hAnsi="MS PGothic"/>
          <w:sz w:val="28"/>
          <w:szCs w:val="28"/>
          <w:color w:val="auto"/>
        </w:rPr>
        <w:t>☐</w:t>
        <w:tab/>
        <w:t>☐</w:t>
      </w:r>
      <w:r>
        <w:rPr>
          <w:sz w:val="20"/>
          <w:szCs w:val="20"/>
          <w:color w:val="auto"/>
        </w:rPr>
        <w:tab/>
      </w:r>
      <w:r>
        <w:rPr>
          <w:rFonts w:ascii="MS PGothic" w:cs="MS PGothic" w:eastAsia="MS PGothic" w:hAnsi="MS PGothic"/>
          <w:sz w:val="26"/>
          <w:szCs w:val="26"/>
          <w:color w:val="auto"/>
        </w:rPr>
        <w:t>☐</w:t>
      </w:r>
    </w:p>
    <w:p>
      <w:pPr>
        <w:spacing w:after="0" w:line="291" w:lineRule="exact"/>
        <w:tabs>
          <w:tab w:leader="none" w:pos="640" w:val="left"/>
          <w:tab w:leader="none" w:pos="1240" w:val="left"/>
        </w:tabs>
        <w:rPr>
          <w:sz w:val="20"/>
          <w:szCs w:val="20"/>
          <w:color w:val="auto"/>
        </w:rPr>
      </w:pPr>
      <w:r>
        <w:rPr>
          <w:rFonts w:ascii="MS PGothic" w:cs="MS PGothic" w:eastAsia="MS PGothic" w:hAnsi="MS PGothic"/>
          <w:sz w:val="29"/>
          <w:szCs w:val="29"/>
          <w:color w:val="auto"/>
        </w:rPr>
        <w:t>☐</w:t>
        <w:tab/>
        <w:t>☐</w:t>
      </w:r>
      <w:r>
        <w:rPr>
          <w:sz w:val="20"/>
          <w:szCs w:val="20"/>
          <w:color w:val="auto"/>
        </w:rPr>
        <w:tab/>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404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3. Ratification of the selection of Deloitte &amp; Touche LLP as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FOR</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w w:val="97"/>
              </w:rPr>
              <w:t>AGAINST</w:t>
            </w:r>
          </w:p>
        </w:tc>
        <w:tc>
          <w:tcPr>
            <w:tcW w:w="100" w:type="dxa"/>
            <w:vAlign w:val="bottom"/>
          </w:tcPr>
          <w:p>
            <w:pPr>
              <w:spacing w:after="0"/>
              <w:rPr>
                <w:sz w:val="8"/>
                <w:szCs w:val="8"/>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w w:val="89"/>
              </w:rPr>
              <w:t>ABSTAIN</w:t>
            </w:r>
          </w:p>
        </w:tc>
        <w:tc>
          <w:tcPr>
            <w:tcW w:w="0" w:type="dxa"/>
            <w:vAlign w:val="bottom"/>
          </w:tcPr>
          <w:p>
            <w:pPr>
              <w:spacing w:after="0"/>
              <w:rPr>
                <w:sz w:val="1"/>
                <w:szCs w:val="1"/>
                <w:color w:val="auto"/>
              </w:rPr>
            </w:pPr>
          </w:p>
        </w:tc>
      </w:tr>
      <w:tr>
        <w:trPr>
          <w:trHeight w:val="94"/>
        </w:trPr>
        <w:tc>
          <w:tcPr>
            <w:tcW w:w="4040" w:type="dxa"/>
            <w:vAlign w:val="bottom"/>
            <w:gridSpan w:val="10"/>
            <w:vMerge w:val="continue"/>
          </w:tcPr>
          <w:p>
            <w:pPr>
              <w:spacing w:after="0"/>
              <w:rPr>
                <w:sz w:val="8"/>
                <w:szCs w:val="8"/>
                <w:color w:val="auto"/>
              </w:rPr>
            </w:pPr>
          </w:p>
        </w:tc>
        <w:tc>
          <w:tcPr>
            <w:tcW w:w="1300" w:type="dxa"/>
            <w:vAlign w:val="bottom"/>
            <w:gridSpan w:val="8"/>
            <w:vMerge w:val="restart"/>
          </w:tcPr>
          <w:p>
            <w:pPr>
              <w:spacing w:after="0" w:line="291" w:lineRule="exact"/>
              <w:rPr>
                <w:sz w:val="20"/>
                <w:szCs w:val="20"/>
                <w:color w:val="auto"/>
              </w:rPr>
            </w:pPr>
            <w:r>
              <w:rPr>
                <w:rFonts w:ascii="MS PGothic" w:cs="MS PGothic" w:eastAsia="MS PGothic" w:hAnsi="MS PGothic"/>
                <w:sz w:val="29"/>
                <w:szCs w:val="29"/>
                <w:color w:val="auto"/>
                <w:highlight w:val="black"/>
              </w:rPr>
              <w:t>☐ ☐ ☐</w:t>
            </w:r>
          </w:p>
        </w:tc>
        <w:tc>
          <w:tcPr>
            <w:tcW w:w="0" w:type="dxa"/>
            <w:vAlign w:val="bottom"/>
          </w:tcPr>
          <w:p>
            <w:pPr>
              <w:spacing w:after="0"/>
              <w:rPr>
                <w:sz w:val="1"/>
                <w:szCs w:val="1"/>
                <w:color w:val="auto"/>
              </w:rPr>
            </w:pPr>
          </w:p>
        </w:tc>
      </w:tr>
      <w:tr>
        <w:trPr>
          <w:trHeight w:val="202"/>
        </w:trPr>
        <w:tc>
          <w:tcPr>
            <w:tcW w:w="3860" w:type="dxa"/>
            <w:vAlign w:val="bottom"/>
            <w:gridSpan w:val="9"/>
          </w:tcPr>
          <w:p>
            <w:pPr>
              <w:ind w:left="160"/>
              <w:spacing w:after="0"/>
              <w:rPr>
                <w:sz w:val="20"/>
                <w:szCs w:val="20"/>
                <w:color w:val="auto"/>
              </w:rPr>
            </w:pPr>
            <w:r>
              <w:rPr>
                <w:rFonts w:ascii="Times New Roman" w:cs="Times New Roman" w:eastAsia="Times New Roman" w:hAnsi="Times New Roman"/>
                <w:sz w:val="16"/>
                <w:szCs w:val="16"/>
                <w:color w:val="auto"/>
              </w:rPr>
              <w:t>the Company’s independent registered public accounting</w:t>
            </w:r>
          </w:p>
        </w:tc>
        <w:tc>
          <w:tcPr>
            <w:tcW w:w="180" w:type="dxa"/>
            <w:vAlign w:val="bottom"/>
          </w:tcPr>
          <w:p>
            <w:pPr>
              <w:spacing w:after="0"/>
              <w:rPr>
                <w:sz w:val="17"/>
                <w:szCs w:val="17"/>
                <w:color w:val="auto"/>
              </w:rPr>
            </w:pPr>
          </w:p>
        </w:tc>
        <w:tc>
          <w:tcPr>
            <w:tcW w:w="130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firm for the fiscal year ending December 31, 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04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4. Approval of an amendment to the Viatris Inc. 2020 Stock</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FOR</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w w:val="97"/>
              </w:rPr>
              <w:t>AGAINST</w:t>
            </w:r>
          </w:p>
        </w:tc>
        <w:tc>
          <w:tcPr>
            <w:tcW w:w="100" w:type="dxa"/>
            <w:vAlign w:val="bottom"/>
          </w:tcPr>
          <w:p>
            <w:pPr>
              <w:spacing w:after="0"/>
              <w:rPr>
                <w:sz w:val="12"/>
                <w:szCs w:val="12"/>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w w:val="89"/>
              </w:rPr>
              <w:t>ABSTAIN</w:t>
            </w:r>
          </w:p>
        </w:tc>
        <w:tc>
          <w:tcPr>
            <w:tcW w:w="0" w:type="dxa"/>
            <w:vAlign w:val="bottom"/>
          </w:tcPr>
          <w:p>
            <w:pPr>
              <w:spacing w:after="0"/>
              <w:rPr>
                <w:sz w:val="1"/>
                <w:szCs w:val="1"/>
                <w:color w:val="auto"/>
              </w:rPr>
            </w:pPr>
          </w:p>
        </w:tc>
      </w:tr>
      <w:tr>
        <w:trPr>
          <w:trHeight w:val="94"/>
        </w:trPr>
        <w:tc>
          <w:tcPr>
            <w:tcW w:w="4040" w:type="dxa"/>
            <w:vAlign w:val="bottom"/>
            <w:gridSpan w:val="10"/>
            <w:vMerge w:val="continue"/>
          </w:tcPr>
          <w:p>
            <w:pPr>
              <w:spacing w:after="0"/>
              <w:rPr>
                <w:sz w:val="8"/>
                <w:szCs w:val="8"/>
                <w:color w:val="auto"/>
              </w:rPr>
            </w:pPr>
          </w:p>
        </w:tc>
        <w:tc>
          <w:tcPr>
            <w:tcW w:w="1300" w:type="dxa"/>
            <w:vAlign w:val="bottom"/>
            <w:gridSpan w:val="8"/>
            <w:vMerge w:val="restart"/>
          </w:tcPr>
          <w:p>
            <w:pPr>
              <w:spacing w:after="0" w:line="257" w:lineRule="exact"/>
              <w:rPr>
                <w:sz w:val="20"/>
                <w:szCs w:val="20"/>
                <w:color w:val="auto"/>
              </w:rPr>
            </w:pPr>
            <w:r>
              <w:rPr>
                <w:rFonts w:ascii="MS PGothic" w:cs="MS PGothic" w:eastAsia="MS PGothic" w:hAnsi="MS PGothic"/>
                <w:sz w:val="29"/>
                <w:szCs w:val="29"/>
                <w:color w:val="auto"/>
                <w:highlight w:val="black"/>
              </w:rPr>
              <w:t>☐ ☐ ☐</w:t>
            </w:r>
          </w:p>
        </w:tc>
        <w:tc>
          <w:tcPr>
            <w:tcW w:w="0" w:type="dxa"/>
            <w:vAlign w:val="bottom"/>
          </w:tcPr>
          <w:p>
            <w:pPr>
              <w:spacing w:after="0"/>
              <w:rPr>
                <w:sz w:val="1"/>
                <w:szCs w:val="1"/>
                <w:color w:val="auto"/>
              </w:rPr>
            </w:pPr>
          </w:p>
        </w:tc>
      </w:tr>
      <w:tr>
        <w:trPr>
          <w:trHeight w:val="162"/>
        </w:trPr>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auto"/>
              </w:rPr>
              <w:t>Incentive Plan.</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8"/>
        </w:trPr>
        <w:tc>
          <w:tcPr>
            <w:tcW w:w="14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5"/>
                <w:szCs w:val="5"/>
                <w:color w:val="auto"/>
                <w:w w:val="79"/>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w w:val="99"/>
              </w:rPr>
              <w:t>   , 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Signature</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4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6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Signature (if held jointly)</w:t>
            </w: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4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 </w:t>
            </w: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5"/>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360"/>
        <w:spacing w:after="0" w:line="231" w:lineRule="auto"/>
        <w:rPr>
          <w:sz w:val="20"/>
          <w:szCs w:val="20"/>
          <w:color w:val="auto"/>
        </w:rPr>
      </w:pPr>
      <w:r>
        <w:rPr>
          <w:rFonts w:ascii="Times New Roman" w:cs="Times New Roman" w:eastAsia="Times New Roman" w:hAnsi="Times New Roman"/>
          <w:sz w:val="14"/>
          <w:szCs w:val="14"/>
          <w:color w:val="auto"/>
        </w:rPr>
        <w:t>NOTE: Please sign exactly as your name(s) appear(s) hereon. When shares are held jointly, joint owners should each sign. Executors, administrators, trustees, etc., should indicate the capacity in which signing. If a corporation, please sign in full corporate name by an authorized officer. If a partnership, please sign in partnership name by authorized person.</w:t>
      </w:r>
    </w:p>
    <w:p>
      <w:pPr>
        <w:sectPr>
          <w:pgSz w:w="11900" w:h="16838" w:orient="portrait"/>
          <w:cols w:equalWidth="0" w:num="3">
            <w:col w:w="3040" w:space="720"/>
            <w:col w:w="1520" w:space="460"/>
            <w:col w:w="5380"/>
          </w:cols>
          <w:pgMar w:left="320" w:top="482" w:right="45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PLEASE VOTE BY TELEPHONE OR INTERNET TODAY!</w:t>
      </w: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SEE REVERSE SIDE</w:t>
      </w: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FOR SIMPLE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1081405</wp:posOffset>
            </wp:positionV>
            <wp:extent cx="6583680" cy="960120"/>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658368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660"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Internet Availability of Proxy Materials: </w:t>
      </w:r>
      <w:r>
        <w:rPr>
          <w:rFonts w:ascii="Times New Roman" w:cs="Times New Roman" w:eastAsia="Times New Roman" w:hAnsi="Times New Roman"/>
          <w:sz w:val="18"/>
          <w:szCs w:val="18"/>
          <w:color w:val="auto"/>
        </w:rPr>
        <w:t>The proxy materials for the 2024 Viatris Inc.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Shareholders, including the 2023 Annual Report and the Proxy Statement, are available over the Internet. To view the proxy materials, please have the reverse side of this proxy card available and visit www.eproxyaccess.com/vtrs2024.</w:t>
      </w:r>
    </w:p>
    <w:p>
      <w:pPr>
        <w:spacing w:after="0" w:line="103" w:lineRule="exact"/>
        <w:rPr>
          <w:sz w:val="20"/>
          <w:szCs w:val="20"/>
          <w:color w:val="auto"/>
        </w:rPr>
      </w:pPr>
    </w:p>
    <w:p>
      <w:pPr>
        <w:ind w:left="66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Delivery of Future Proxy Materials: </w:t>
      </w:r>
      <w:r>
        <w:rPr>
          <w:rFonts w:ascii="Times New Roman" w:cs="Times New Roman" w:eastAsia="Times New Roman" w:hAnsi="Times New Roman"/>
          <w:sz w:val="18"/>
          <w:szCs w:val="18"/>
          <w:color w:val="auto"/>
        </w:rPr>
        <w:t>If you wish to receive all future proxy materials electronically by email, please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www.eproxyaccess.com/vtrs2024 and follow the instructions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sz w:val="1"/>
          <w:szCs w:val="1"/>
          <w:color w:val="auto"/>
        </w:rPr>
        <w:drawing>
          <wp:inline distT="0" distB="0" distL="0" distR="0">
            <wp:extent cx="120015" cy="94615"/>
            <wp:effectExtent l="0" t="0" r="0" b="0"/>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120015" cy="94615"/>
                    </a:xfrm>
                    <a:prstGeom prst="rect">
                      <a:avLst/>
                    </a:prstGeom>
                    <a:noFill/>
                    <a:ln>
                      <a:noFill/>
                    </a:ln>
                  </pic:spPr>
                </pic:pic>
              </a:graphicData>
            </a:graphic>
          </wp:inline>
        </w:drawing>
      </w:r>
      <w:r>
        <w:rPr>
          <w:rFonts w:ascii="Times New Roman" w:cs="Times New Roman" w:eastAsia="Times New Roman" w:hAnsi="Times New Roman"/>
          <w:sz w:val="13"/>
          <w:szCs w:val="13"/>
          <w:color w:val="auto"/>
        </w:rPr>
        <w:t xml:space="preserve">  TO VOTE BY MAIL, PLEASE DETACH PROXY CARD HERE, AND SIGN, DATE AND RETURN IN THE ENVELOPE PROVIDED  </w:t>
      </w:r>
      <w:r>
        <w:rPr>
          <w:sz w:val="1"/>
          <w:szCs w:val="1"/>
          <w:color w:val="auto"/>
        </w:rPr>
        <w:drawing>
          <wp:inline distT="0" distB="0" distL="0" distR="0">
            <wp:extent cx="120015" cy="94615"/>
            <wp:effectExtent l="0" t="0" r="0" b="0"/>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120015" cy="94615"/>
                    </a:xfrm>
                    <a:prstGeom prst="rect">
                      <a:avLst/>
                    </a:prstGeom>
                    <a:noFill/>
                    <a:ln>
                      <a:noFill/>
                    </a:ln>
                  </pic:spPr>
                </pic:pic>
              </a:graphicData>
            </a:graphic>
          </wp:inline>
        </w:drawing>
      </w: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PROXY FOR THE 2024 ANNUAL MEETING OF SHAREHOLDERS</w:t>
      </w:r>
    </w:p>
    <w:p>
      <w:pPr>
        <w:ind w:left="2980"/>
        <w:spacing w:after="0" w:line="233" w:lineRule="auto"/>
        <w:rPr>
          <w:sz w:val="20"/>
          <w:szCs w:val="20"/>
          <w:color w:val="auto"/>
        </w:rPr>
      </w:pPr>
      <w:r>
        <w:rPr>
          <w:rFonts w:ascii="Times New Roman" w:cs="Times New Roman" w:eastAsia="Times New Roman" w:hAnsi="Times New Roman"/>
          <w:sz w:val="22"/>
          <w:szCs w:val="22"/>
          <w:b w:val="1"/>
          <w:bCs w:val="1"/>
          <w:color w:val="auto"/>
        </w:rPr>
        <w:t>To Be Held on December 6, 2024 at 11:00 a.m. Eastern Time</w:t>
      </w:r>
    </w:p>
    <w:p>
      <w:pPr>
        <w:spacing w:after="0" w:line="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PROXY VOTING DEADLINE: 11:00 a.m. Eastern Time DECEMBER 5, 2024</w:t>
      </w:r>
    </w:p>
    <w:p>
      <w:pPr>
        <w:spacing w:after="0" w:line="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 Viatris Inc. (the “Board”)</w:t>
      </w:r>
    </w:p>
    <w:p>
      <w:pPr>
        <w:spacing w:after="0" w:line="29"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 undersigned hereby appoints Melina Higgins and Mark Parrish, and each with full power to act without the other, as proxies, with full power of substitution, for and in the name of the undersigned to vote and act with respect to all common stock of Viatris Inc. (“Viatris” or the “Company”) which the undersigned is entitled to vote and act at the 2024 Annual Meeting of Shareholders of Viatris to be held on December 6, 2024 at 11:00 a.m. Eastern Time at the DoubleTree Crystal City, 300 Army Navy Drive, Arlington, VA 22202, with all the powers the undersigned would possess if personally present at the meeting or at any postponement or adjournment thereof and particularly, but without limiting the generality of the foregoing:</w:t>
      </w:r>
    </w:p>
    <w:p>
      <w:pPr>
        <w:spacing w:after="0" w:line="37" w:lineRule="exact"/>
        <w:rPr>
          <w:sz w:val="20"/>
          <w:szCs w:val="20"/>
          <w:color w:val="auto"/>
        </w:rPr>
      </w:pPr>
    </w:p>
    <w:p>
      <w:pPr>
        <w:ind w:left="560" w:hanging="444"/>
        <w:spacing w:after="0" w:line="182" w:lineRule="auto"/>
        <w:tabs>
          <w:tab w:leader="none" w:pos="560" w:val="left"/>
        </w:tabs>
        <w:numPr>
          <w:ilvl w:val="0"/>
          <w:numId w:val="141"/>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4"/>
          <w:szCs w:val="14"/>
          <w:b w:val="1"/>
          <w:bCs w:val="1"/>
          <w:color w:val="auto"/>
        </w:rPr>
        <w:t>This proxy, when properly executed, will be voted in the manner directed herein. This proxy will be voted “FOR” EACH DIRECTOR IN ITEM 1 AND “FOR” ITEMS 2, 3 AND 4 if no choice is specified. The proxies are hereby authorized to vote in their discretion upon</w:t>
      </w:r>
    </w:p>
    <w:p>
      <w:pPr>
        <w:ind w:left="560" w:hanging="444"/>
        <w:spacing w:after="0" w:line="188" w:lineRule="auto"/>
        <w:tabs>
          <w:tab w:leader="none" w:pos="560" w:val="left"/>
        </w:tabs>
        <w:numPr>
          <w:ilvl w:val="0"/>
          <w:numId w:val="142"/>
        </w:numPr>
        <w:rPr>
          <w:rFonts w:ascii="Times New Roman" w:cs="Times New Roman" w:eastAsia="Times New Roman" w:hAnsi="Times New Roman"/>
          <w:sz w:val="26"/>
          <w:szCs w:val="26"/>
          <w:b w:val="1"/>
          <w:bCs w:val="1"/>
          <w:color w:val="auto"/>
        </w:rPr>
      </w:pPr>
      <w:r>
        <w:rPr>
          <w:rFonts w:ascii="Times New Roman" w:cs="Times New Roman" w:eastAsia="Times New Roman" w:hAnsi="Times New Roman"/>
          <w:sz w:val="16"/>
          <w:szCs w:val="16"/>
          <w:b w:val="1"/>
          <w:bCs w:val="1"/>
          <w:color w:val="auto"/>
        </w:rPr>
        <w:t>such other matters as may properly come before the meeting and any postponement or adjournment thereof.</w:t>
      </w:r>
    </w:p>
    <w:p>
      <w:pPr>
        <w:spacing w:after="0" w:line="56" w:lineRule="exact"/>
        <w:rPr>
          <w:sz w:val="20"/>
          <w:szCs w:val="20"/>
          <w:color w:val="auto"/>
        </w:rPr>
      </w:pPr>
    </w:p>
    <w:p>
      <w:pPr>
        <w:ind w:left="560" w:right="140" w:hanging="444"/>
        <w:spacing w:after="0" w:line="180" w:lineRule="auto"/>
        <w:tabs>
          <w:tab w:leader="none" w:pos="560" w:val="left"/>
        </w:tabs>
        <w:numPr>
          <w:ilvl w:val="0"/>
          <w:numId w:val="143"/>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4"/>
          <w:szCs w:val="14"/>
          <w:color w:val="auto"/>
        </w:rPr>
        <w:t>For Plan Participants Only: If the undersigned has a beneficial interest in shares held in the Mylan Profit Sharing 401(k) Plan, the Pfizer Pharmaceuticals LLC Profit Sharing Employee Savings Plan (formerly, the Mylan Puerto Rico Profit Sharing Employee Savings Plan), or the</w:t>
      </w:r>
    </w:p>
    <w:tbl>
      <w:tblPr>
        <w:tblLayout w:type="fixed"/>
        <w:tblInd w:w="120" w:type="dxa"/>
        <w:tblCellMar>
          <w:top w:w="0" w:type="dxa"/>
          <w:left w:w="0" w:type="dxa"/>
          <w:bottom w:w="0" w:type="dxa"/>
          <w:right w:w="0" w:type="dxa"/>
        </w:tblCellMar>
      </w:tblPr>
      <w:tr>
        <w:trPr>
          <w:trHeight w:val="234"/>
        </w:trPr>
        <w:tc>
          <w:tcPr>
            <w:tcW w:w="320" w:type="dxa"/>
            <w:vAlign w:val="bottom"/>
          </w:tcPr>
          <w:p>
            <w:pPr>
              <w:spacing w:after="0" w:line="233" w:lineRule="exact"/>
              <w:rPr>
                <w:sz w:val="20"/>
                <w:szCs w:val="20"/>
                <w:color w:val="auto"/>
              </w:rPr>
            </w:pPr>
            <w:r>
              <w:rPr>
                <w:rFonts w:ascii="Times New Roman" w:cs="Times New Roman" w:eastAsia="Times New Roman" w:hAnsi="Times New Roman"/>
                <w:sz w:val="27"/>
                <w:szCs w:val="27"/>
                <w:b w:val="1"/>
                <w:bCs w:val="1"/>
                <w:color w:val="auto"/>
              </w:rPr>
              <w:t>X</w:t>
            </w: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Auro PR Inc. Profit Sharing Employee Savings Plan (the “Auro PR Plan”, formerly known as the Aurobindo Employee Savings Plan and</w:t>
            </w:r>
          </w:p>
        </w:tc>
        <w:tc>
          <w:tcPr>
            <w:tcW w:w="0" w:type="dxa"/>
            <w:vAlign w:val="bottom"/>
          </w:tcPr>
          <w:p>
            <w:pPr>
              <w:spacing w:after="0"/>
              <w:rPr>
                <w:sz w:val="1"/>
                <w:szCs w:val="1"/>
                <w:color w:val="auto"/>
              </w:rPr>
            </w:pPr>
          </w:p>
        </w:tc>
      </w:tr>
      <w:tr>
        <w:trPr>
          <w:trHeight w:val="196"/>
        </w:trPr>
        <w:tc>
          <w:tcPr>
            <w:tcW w:w="320" w:type="dxa"/>
            <w:vAlign w:val="bottom"/>
            <w:vMerge w:val="restart"/>
          </w:tcPr>
          <w:p>
            <w:pPr>
              <w:spacing w:after="0"/>
              <w:rPr>
                <w:sz w:val="20"/>
                <w:szCs w:val="20"/>
                <w:color w:val="auto"/>
              </w:rPr>
            </w:pPr>
            <w:r>
              <w:rPr>
                <w:rFonts w:ascii="Times New Roman" w:cs="Times New Roman" w:eastAsia="Times New Roman" w:hAnsi="Times New Roman"/>
                <w:sz w:val="31"/>
                <w:szCs w:val="31"/>
                <w:b w:val="1"/>
                <w:bCs w:val="1"/>
                <w:color w:val="auto"/>
              </w:rPr>
              <w:t>Y</w:t>
            </w:r>
          </w:p>
        </w:tc>
        <w:tc>
          <w:tcPr>
            <w:tcW w:w="104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formerly the Mylan LLC Profit Sharing Employee Savings Plan that was transferred to Auro PR Inc. as part of the purchase of Mylan</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Healthcare, Inc. on December 31, 2021), the undersigned hereby directs Bank of America, N.A., as trustee for the Mylan Profit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Sharing 401(k) Plan, and Banco Popular de Puerto Rico, as trustee for the Pfizer Pharmaceuticals LLC Profit Sharing Employee Savings Plan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and the Auro PR Plan (together, the “Trustees”), to appoint Melina Higgins and Mark Parrish, and each with full power to act without the other,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proxies, with full power of substitution, for and in the name of the Trustees to vote and act with respect to all common stock of Viatris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credited to the accounts of the undersigned under the above-named plans which the Trustees are entitled to vote and act on behalf of the</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undersigned at the 2024 Annual Meeting of Shareholders of Viatris, with all the powers the Trustees would possess if personally present at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meeting or any postponement or adjournment thereof, and particularly, but without limiting the generality of the foregoing: </w:t>
            </w:r>
            <w:r>
              <w:rPr>
                <w:rFonts w:ascii="Times New Roman" w:cs="Times New Roman" w:eastAsia="Times New Roman" w:hAnsi="Times New Roman"/>
                <w:sz w:val="18"/>
                <w:szCs w:val="18"/>
                <w:b w:val="1"/>
                <w:bCs w:val="1"/>
                <w:color w:val="auto"/>
              </w:rPr>
              <w:t>If properly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executed and received by the relevant Trustee prior to the Plan Voting Deadline, this voting instruction form will be voted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EACH DIRECTOR IN ITEM 1 AND “FOR” ITEMS 2, 3 AND 4 unless a contrary vote is indicated, in which case the proxy will be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voted as directed. Voting instructions with respect to such plan shares must be provided by 8:00 a.m. Eastern Time on December 4,</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0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 (the “Plan Voting Deadline”).</w:t>
            </w: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1">
            <w:col w:w="10900"/>
          </w:cols>
          <w:pgMar w:left="320" w:top="482" w:right="679" w:bottom="1440" w:gutter="0" w:footer="0" w:header="0"/>
        </w:sectPr>
      </w:pPr>
    </w:p>
    <w:p>
      <w:pPr>
        <w:ind w:left="4180"/>
        <w:spacing w:after="0"/>
        <w:rPr>
          <w:sz w:val="20"/>
          <w:szCs w:val="20"/>
          <w:color w:val="auto"/>
        </w:rPr>
      </w:pPr>
      <w:r>
        <w:rPr>
          <w:rFonts w:ascii="Times New Roman" w:cs="Times New Roman" w:eastAsia="Times New Roman" w:hAnsi="Times New Roman"/>
          <w:sz w:val="16"/>
          <w:szCs w:val="16"/>
          <w:color w:val="auto"/>
        </w:rPr>
        <w:t>(Continued and to be signed on the reverse side)</w:t>
      </w:r>
    </w:p>
    <w:sectPr>
      <w:pgSz w:w="11900" w:h="16838" w:orient="portrait"/>
      <w:cols w:equalWidth="0" w:num="1">
        <w:col w:w="10900"/>
      </w:cols>
      <w:pgMar w:left="320" w:top="482"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1"/>
      <w:numFmt w:val="bullet"/>
      <w:start w:val="1"/>
    </w:lvl>
  </w:abstractNum>
  <w:abstractNum w:abstractNumId="8">
    <w:nsid w:val="613EFDC5"/>
    <w:multiLevelType w:val="hybridMultilevel"/>
    <w:lvl w:ilvl="0">
      <w:lvlJc w:val="left"/>
      <w:lvlText w:val="2"/>
      <w:numFmt w:val="bullet"/>
      <w:start w:val="1"/>
    </w:lvl>
  </w:abstractNum>
  <w:abstractNum w:abstractNumId="9">
    <w:nsid w:val="BF72B14"/>
    <w:multiLevelType w:val="hybridMultilevel"/>
    <w:lvl w:ilvl="0">
      <w:lvlJc w:val="left"/>
      <w:lvlText w:val=" "/>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1"/>
      <w:numFmt w:val="bullet"/>
      <w:start w:val="1"/>
    </w:lvl>
  </w:abstractNum>
  <w:abstractNum w:abstractNumId="12">
    <w:nsid w:val="A0382C5"/>
    <w:multiLevelType w:val="hybridMultilevel"/>
    <w:lvl w:ilvl="0">
      <w:lvlJc w:val="left"/>
      <w:lvlText w:val=" "/>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2"/>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3"/>
      <w:numFmt w:val="bullet"/>
      <w:start w:val="1"/>
    </w:lvl>
  </w:abstractNum>
  <w:abstractNum w:abstractNumId="23">
    <w:nsid w:val="71EA1109"/>
    <w:multiLevelType w:val="hybridMultilevel"/>
    <w:lvl w:ilvl="0">
      <w:lvlJc w:val="left"/>
      <w:lvlText w:val="(%1)"/>
      <w:numFmt w:val="decimal"/>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1)"/>
      <w:numFmt w:val="decimal"/>
      <w:start w:val="1"/>
    </w:lvl>
  </w:abstractNum>
  <w:abstractNum w:abstractNumId="29">
    <w:nsid w:val="885E1B"/>
    <w:multiLevelType w:val="hybridMultilevel"/>
    <w:lvl w:ilvl="0">
      <w:lvlJc w:val="left"/>
      <w:lvlText w:val="(%1)"/>
      <w:numFmt w:val="lowerRoman"/>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1)"/>
      <w:numFmt w:val="decimal"/>
      <w:start w:val="1"/>
    </w:lvl>
  </w:abstractNum>
  <w:abstractNum w:abstractNumId="32">
    <w:nsid w:val="1716703B"/>
    <w:multiLevelType w:val="hybridMultilevel"/>
    <w:lvl w:ilvl="0">
      <w:lvlJc w:val="left"/>
      <w:lvlText w:val="(%1)"/>
      <w:numFmt w:val="decimal"/>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4"/>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1)"/>
      <w:numFmt w:val="decimal"/>
      <w:start w:val="1"/>
    </w:lvl>
  </w:abstractNum>
  <w:abstractNum w:abstractNumId="39">
    <w:nsid w:val="4A2AC315"/>
    <w:multiLevelType w:val="hybridMultilevel"/>
    <w:lvl w:ilvl="0">
      <w:lvlJc w:val="left"/>
      <w:lvlText w:val="(%1)"/>
      <w:numFmt w:val="decimal"/>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1)"/>
      <w:numFmt w:val="decimal"/>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decimal"/>
      <w:start w:val="2"/>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5"/>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5"/>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1)"/>
      <w:numFmt w:val="decimal"/>
      <w:start w:val="1"/>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1)"/>
      <w:numFmt w:val="decimal"/>
      <w:start w:val="4"/>
    </w:lvl>
  </w:abstractNum>
  <w:abstractNum w:abstractNumId="61">
    <w:nsid w:val="555C55B5"/>
    <w:multiLevelType w:val="hybridMultilevel"/>
    <w:lvl w:ilvl="0">
      <w:lvlJc w:val="left"/>
      <w:lvlText w:val="(%1)"/>
      <w:numFmt w:val="decimal"/>
      <w:start w:val="5"/>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1"/>
    </w:lvl>
  </w:abstractNum>
  <w:abstractNum w:abstractNumId="67">
    <w:nsid w:val="53299938"/>
    <w:multiLevelType w:val="hybridMultilevel"/>
    <w:lvl w:ilvl="0">
      <w:lvlJc w:val="left"/>
      <w:lvlText w:val="(%1)"/>
      <w:numFmt w:val="decimal"/>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1:"/>
      <w:numFmt w:val="upperLetter"/>
      <w:start w:val="17"/>
    </w:lvl>
  </w:abstractNum>
  <w:abstractNum w:abstractNumId="73">
    <w:nsid w:val="2A155DBC"/>
    <w:multiLevelType w:val="hybridMultilevel"/>
    <w:lvl w:ilvl="0">
      <w:lvlJc w:val="left"/>
      <w:lvlText w:val="%1:"/>
      <w:numFmt w:val="upperLetter"/>
      <w:start w:val="1"/>
    </w:lvl>
  </w:abstractNum>
  <w:abstractNum w:abstractNumId="74">
    <w:nsid w:val="1D9F6E5F"/>
    <w:multiLevelType w:val="hybridMultilevel"/>
    <w:lvl w:ilvl="0">
      <w:lvlJc w:val="left"/>
      <w:lvlText w:val="%1:"/>
      <w:numFmt w:val="upperLetter"/>
      <w:start w:val="17"/>
    </w:lvl>
  </w:abstractNum>
  <w:abstractNum w:abstractNumId="75">
    <w:nsid w:val="97E1B4E"/>
    <w:multiLevelType w:val="hybridMultilevel"/>
    <w:lvl w:ilvl="0">
      <w:lvlJc w:val="left"/>
      <w:lvlText w:val="%1:"/>
      <w:numFmt w:val="upperLetter"/>
      <w:start w:val="1"/>
    </w:lvl>
  </w:abstractNum>
  <w:abstractNum w:abstractNumId="76">
    <w:nsid w:val="51088277"/>
    <w:multiLevelType w:val="hybridMultilevel"/>
    <w:lvl w:ilvl="0">
      <w:lvlJc w:val="left"/>
      <w:lvlText w:val="%1:"/>
      <w:numFmt w:val="upperLetter"/>
      <w:start w:val="17"/>
    </w:lvl>
  </w:abstractNum>
  <w:abstractNum w:abstractNumId="77">
    <w:nsid w:val="1CA0C5FA"/>
    <w:multiLevelType w:val="hybridMultilevel"/>
    <w:lvl w:ilvl="0">
      <w:lvlJc w:val="left"/>
      <w:lvlText w:val="%1:"/>
      <w:numFmt w:val="upperLetter"/>
      <w:start w:val="1"/>
    </w:lvl>
  </w:abstractNum>
  <w:abstractNum w:abstractNumId="78">
    <w:nsid w:val="53584BCB"/>
    <w:multiLevelType w:val="hybridMultilevel"/>
    <w:lvl w:ilvl="0">
      <w:lvlJc w:val="left"/>
      <w:lvlText w:val="%1:"/>
      <w:numFmt w:val="upperLetter"/>
      <w:start w:val="17"/>
    </w:lvl>
  </w:abstractNum>
  <w:abstractNum w:abstractNumId="79">
    <w:nsid w:val="415E286C"/>
    <w:multiLevelType w:val="hybridMultilevel"/>
    <w:lvl w:ilvl="0">
      <w:lvlJc w:val="left"/>
      <w:lvlText w:val="%1:"/>
      <w:numFmt w:val="upperLetter"/>
      <w:start w:val="1"/>
    </w:lvl>
  </w:abstractNum>
  <w:abstractNum w:abstractNumId="80">
    <w:nsid w:val="7C58FD05"/>
    <w:multiLevelType w:val="hybridMultilevel"/>
    <w:lvl w:ilvl="0">
      <w:lvlJc w:val="left"/>
      <w:lvlText w:val="%1:"/>
      <w:numFmt w:val="upperLetter"/>
      <w:start w:val="17"/>
    </w:lvl>
  </w:abstractNum>
  <w:abstractNum w:abstractNumId="81">
    <w:nsid w:val="23D86AAC"/>
    <w:multiLevelType w:val="hybridMultilevel"/>
    <w:lvl w:ilvl="0">
      <w:lvlJc w:val="left"/>
      <w:lvlText w:val="%1:"/>
      <w:numFmt w:val="upperLetter"/>
      <w:start w:val="1"/>
    </w:lvl>
  </w:abstractNum>
  <w:abstractNum w:abstractNumId="82">
    <w:nsid w:val="45E6D486"/>
    <w:multiLevelType w:val="hybridMultilevel"/>
    <w:lvl w:ilvl="0">
      <w:lvlJc w:val="left"/>
      <w:lvlText w:val="%1."/>
      <w:numFmt w:val="decimal"/>
      <w:start w:val="1"/>
    </w:lvl>
  </w:abstractNum>
  <w:abstractNum w:abstractNumId="83">
    <w:nsid w:val="5C10FE21"/>
    <w:multiLevelType w:val="hybridMultilevel"/>
    <w:lvl w:ilvl="0">
      <w:lvlJc w:val="left"/>
      <w:lvlText w:val="%1:"/>
      <w:numFmt w:val="upperLetter"/>
      <w:start w:val="17"/>
    </w:lvl>
  </w:abstractNum>
  <w:abstractNum w:abstractNumId="84">
    <w:nsid w:val="E7FFA2B"/>
    <w:multiLevelType w:val="hybridMultilevel"/>
    <w:lvl w:ilvl="0">
      <w:lvlJc w:val="left"/>
      <w:lvlText w:val="%1:"/>
      <w:numFmt w:val="upperLetter"/>
      <w:start w:val="1"/>
    </w:lvl>
  </w:abstractNum>
  <w:abstractNum w:abstractNumId="85">
    <w:nsid w:val="3C5991AA"/>
    <w:multiLevelType w:val="hybridMultilevel"/>
    <w:lvl w:ilvl="0">
      <w:lvlJc w:val="left"/>
      <w:lvlText w:val="%1:"/>
      <w:numFmt w:val="upperLetter"/>
      <w:start w:val="17"/>
    </w:lvl>
  </w:abstractNum>
  <w:abstractNum w:abstractNumId="86">
    <w:nsid w:val="4BD8591A"/>
    <w:multiLevelType w:val="hybridMultilevel"/>
    <w:lvl w:ilvl="0">
      <w:lvlJc w:val="left"/>
      <w:lvlText w:val="%1:"/>
      <w:numFmt w:val="upperLetter"/>
      <w:start w:val="1"/>
    </w:lvl>
  </w:abstractNum>
  <w:abstractNum w:abstractNumId="87">
    <w:nsid w:val="78DF6A55"/>
    <w:multiLevelType w:val="hybridMultilevel"/>
    <w:lvl w:ilvl="0">
      <w:lvlJc w:val="left"/>
      <w:lvlText w:val="%1:"/>
      <w:numFmt w:val="upperLetter"/>
      <w:start w:val="17"/>
    </w:lvl>
  </w:abstractNum>
  <w:abstractNum w:abstractNumId="88">
    <w:nsid w:val="39B7AAA2"/>
    <w:multiLevelType w:val="hybridMultilevel"/>
    <w:lvl w:ilvl="0">
      <w:lvlJc w:val="left"/>
      <w:lvlText w:val="%1:"/>
      <w:numFmt w:val="upperLetter"/>
      <w:start w:val="1"/>
    </w:lvl>
  </w:abstractNum>
  <w:abstractNum w:abstractNumId="89">
    <w:nsid w:val="2B0D8DBE"/>
    <w:multiLevelType w:val="hybridMultilevel"/>
    <w:lvl w:ilvl="0">
      <w:lvlJc w:val="left"/>
      <w:lvlText w:val="%1:"/>
      <w:numFmt w:val="upperLetter"/>
      <w:start w:val="17"/>
    </w:lvl>
  </w:abstractNum>
  <w:abstractNum w:abstractNumId="90">
    <w:nsid w:val="6C80EC70"/>
    <w:multiLevelType w:val="hybridMultilevel"/>
    <w:lvl w:ilvl="0">
      <w:lvlJc w:val="left"/>
      <w:lvlText w:val="%1:"/>
      <w:numFmt w:val="upperLetter"/>
      <w:start w:val="1"/>
    </w:lvl>
  </w:abstractNum>
  <w:abstractNum w:abstractNumId="91">
    <w:nsid w:val="379E21B5"/>
    <w:multiLevelType w:val="hybridMultilevel"/>
    <w:lvl w:ilvl="0">
      <w:lvlJc w:val="left"/>
      <w:lvlText w:val="%1:"/>
      <w:numFmt w:val="upperLetter"/>
      <w:start w:val="17"/>
    </w:lvl>
  </w:abstractNum>
  <w:abstractNum w:abstractNumId="92">
    <w:nsid w:val="69E373"/>
    <w:multiLevelType w:val="hybridMultilevel"/>
    <w:lvl w:ilvl="0">
      <w:lvlJc w:val="left"/>
      <w:lvlText w:val="%1:"/>
      <w:numFmt w:val="upperLetter"/>
      <w:start w:val="1"/>
    </w:lvl>
    <w:lvl w:ilvl="1">
      <w:lvlJc w:val="left"/>
      <w:lvlText w:val="•"/>
      <w:numFmt w:val="bullet"/>
      <w:start w:val="1"/>
    </w:lvl>
  </w:abstractNum>
  <w:abstractNum w:abstractNumId="93">
    <w:nsid w:val="2C27173B"/>
    <w:multiLevelType w:val="hybridMultilevel"/>
    <w:lvl w:ilvl="0">
      <w:lvlJc w:val="left"/>
      <w:lvlText w:val="%1:"/>
      <w:numFmt w:val="upperLetter"/>
      <w:start w:val="17"/>
    </w:lvl>
  </w:abstractNum>
  <w:abstractNum w:abstractNumId="94">
    <w:nsid w:val="4C9B0904"/>
    <w:multiLevelType w:val="hybridMultilevel"/>
    <w:lvl w:ilvl="0">
      <w:lvlJc w:val="left"/>
      <w:lvlText w:val="%1:"/>
      <w:numFmt w:val="upperLetter"/>
      <w:start w:val="1"/>
    </w:lvl>
  </w:abstractNum>
  <w:abstractNum w:abstractNumId="95">
    <w:nsid w:val="6AA7B75C"/>
    <w:multiLevelType w:val="hybridMultilevel"/>
    <w:lvl w:ilvl="0">
      <w:lvlJc w:val="left"/>
      <w:lvlText w:val="%1:"/>
      <w:numFmt w:val="upperLetter"/>
      <w:start w:val="17"/>
    </w:lvl>
  </w:abstractNum>
  <w:abstractNum w:abstractNumId="96">
    <w:nsid w:val="1DF029D3"/>
    <w:multiLevelType w:val="hybridMultilevel"/>
    <w:lvl w:ilvl="0">
      <w:lvlJc w:val="left"/>
      <w:lvlText w:val="%1:"/>
      <w:numFmt w:val="upperLetter"/>
      <w:start w:val="1"/>
    </w:lvl>
  </w:abstractNum>
  <w:abstractNum w:abstractNumId="97">
    <w:nsid w:val="5675FF36"/>
    <w:multiLevelType w:val="hybridMultilevel"/>
    <w:lvl w:ilvl="0">
      <w:lvlJc w:val="left"/>
      <w:lvlText w:val="%1:"/>
      <w:numFmt w:val="upperLetter"/>
      <w:start w:val="17"/>
    </w:lvl>
  </w:abstractNum>
  <w:abstractNum w:abstractNumId="98">
    <w:nsid w:val="3DD15094"/>
    <w:multiLevelType w:val="hybridMultilevel"/>
    <w:lvl w:ilvl="0">
      <w:lvlJc w:val="left"/>
      <w:lvlText w:val="%1:"/>
      <w:numFmt w:val="upperLetter"/>
      <w:start w:val="1"/>
    </w:lvl>
  </w:abstractNum>
  <w:abstractNum w:abstractNumId="99">
    <w:nsid w:val="3DB012B3"/>
    <w:multiLevelType w:val="hybridMultilevel"/>
    <w:lvl w:ilvl="0">
      <w:lvlJc w:val="left"/>
      <w:lvlText w:val="%1:"/>
      <w:numFmt w:val="upperLetter"/>
      <w:start w:val="17"/>
    </w:lvl>
  </w:abstractNum>
  <w:abstractNum w:abstractNumId="100">
    <w:nsid w:val="2708C9AF"/>
    <w:multiLevelType w:val="hybridMultilevel"/>
    <w:lvl w:ilvl="0">
      <w:lvlJc w:val="left"/>
      <w:lvlText w:val="%1:"/>
      <w:numFmt w:val="upperLetter"/>
      <w:start w:val="1"/>
    </w:lvl>
  </w:abstractNum>
  <w:abstractNum w:abstractNumId="101">
    <w:nsid w:val="5B25ACE2"/>
    <w:multiLevelType w:val="hybridMultilevel"/>
    <w:lvl w:ilvl="0">
      <w:lvlJc w:val="left"/>
      <w:lvlText w:val="%1:"/>
      <w:numFmt w:val="upperLetter"/>
      <w:start w:val="17"/>
    </w:lvl>
  </w:abstractNum>
  <w:abstractNum w:abstractNumId="102">
    <w:nsid w:val="175DFCF0"/>
    <w:multiLevelType w:val="hybridMultilevel"/>
    <w:lvl w:ilvl="0">
      <w:lvlJc w:val="left"/>
      <w:lvlText w:val="%1:"/>
      <w:numFmt w:val="upperLetter"/>
      <w:start w:val="1"/>
    </w:lvl>
  </w:abstractNum>
  <w:abstractNum w:abstractNumId="103">
    <w:nsid w:val="4F97E3E4"/>
    <w:multiLevelType w:val="hybridMultilevel"/>
    <w:lvl w:ilvl="0">
      <w:lvlJc w:val="left"/>
      <w:lvlText w:val="%1:"/>
      <w:numFmt w:val="upperLetter"/>
      <w:start w:val="17"/>
    </w:lvl>
  </w:abstractNum>
  <w:abstractNum w:abstractNumId="104">
    <w:nsid w:val="53B0A9E"/>
    <w:multiLevelType w:val="hybridMultilevel"/>
    <w:lvl w:ilvl="0">
      <w:lvlJc w:val="left"/>
      <w:lvlText w:val="%1:"/>
      <w:numFmt w:val="upperLetter"/>
      <w:start w:val="1"/>
    </w:lvl>
  </w:abstractNum>
  <w:abstractNum w:abstractNumId="105">
    <w:nsid w:val="34FD6B4F"/>
    <w:multiLevelType w:val="hybridMultilevel"/>
    <w:lvl w:ilvl="0">
      <w:lvlJc w:val="left"/>
      <w:lvlText w:val="%1:"/>
      <w:numFmt w:val="upperLetter"/>
      <w:start w:val="17"/>
    </w:lvl>
  </w:abstractNum>
  <w:abstractNum w:abstractNumId="106">
    <w:nsid w:val="5915FF32"/>
    <w:multiLevelType w:val="hybridMultilevel"/>
    <w:lvl w:ilvl="0">
      <w:lvlJc w:val="left"/>
      <w:lvlText w:val="%1:"/>
      <w:numFmt w:val="upperLetter"/>
      <w:start w:val="1"/>
    </w:lvl>
  </w:abstractNum>
  <w:abstractNum w:abstractNumId="107">
    <w:nsid w:val="56438D15"/>
    <w:multiLevelType w:val="hybridMultilevel"/>
    <w:lvl w:ilvl="0">
      <w:lvlJc w:val="left"/>
      <w:lvlText w:val="%1:"/>
      <w:numFmt w:val="upperLetter"/>
      <w:start w:val="17"/>
    </w:lvl>
  </w:abstractNum>
  <w:abstractNum w:abstractNumId="108">
    <w:nsid w:val="519E3149"/>
    <w:multiLevelType w:val="hybridMultilevel"/>
    <w:lvl w:ilvl="0">
      <w:lvlJc w:val="left"/>
      <w:lvlText w:val="%1:"/>
      <w:numFmt w:val="upperLetter"/>
      <w:start w:val="1"/>
    </w:lvl>
  </w:abstractNum>
  <w:abstractNum w:abstractNumId="109">
    <w:nsid w:val="2C6E4AFD"/>
    <w:multiLevelType w:val="hybridMultilevel"/>
    <w:lvl w:ilvl="0">
      <w:lvlJc w:val="left"/>
      <w:lvlText w:val="%1:"/>
      <w:numFmt w:val="upperLetter"/>
      <w:start w:val="17"/>
    </w:lvl>
  </w:abstractNum>
  <w:abstractNum w:abstractNumId="110">
    <w:nsid w:val="17A1B582"/>
    <w:multiLevelType w:val="hybridMultilevel"/>
    <w:lvl w:ilvl="0">
      <w:lvlJc w:val="left"/>
      <w:lvlText w:val="%1:"/>
      <w:numFmt w:val="upperLetter"/>
      <w:start w:val="1"/>
    </w:lvl>
  </w:abstractNum>
  <w:abstractNum w:abstractNumId="111">
    <w:nsid w:val="4DF72E4E"/>
    <w:multiLevelType w:val="hybridMultilevel"/>
    <w:lvl w:ilvl="0">
      <w:lvlJc w:val="left"/>
      <w:lvlText w:val="%1:"/>
      <w:numFmt w:val="upperLetter"/>
      <w:start w:val="17"/>
    </w:lvl>
  </w:abstractNum>
  <w:abstractNum w:abstractNumId="112">
    <w:nsid w:val="5046B5A9"/>
    <w:multiLevelType w:val="hybridMultilevel"/>
    <w:lvl w:ilvl="0">
      <w:lvlJc w:val="left"/>
      <w:lvlText w:val="%1:"/>
      <w:numFmt w:val="upperLetter"/>
      <w:start w:val="1"/>
    </w:lvl>
  </w:abstractNum>
  <w:abstractNum w:abstractNumId="113">
    <w:nsid w:val="5D888A08"/>
    <w:multiLevelType w:val="hybridMultilevel"/>
    <w:lvl w:ilvl="0">
      <w:lvlJc w:val="left"/>
      <w:lvlText w:val="%1:"/>
      <w:numFmt w:val="upperLetter"/>
      <w:start w:val="17"/>
    </w:lvl>
  </w:abstractNum>
  <w:abstractNum w:abstractNumId="114">
    <w:nsid w:val="2A082C70"/>
    <w:multiLevelType w:val="hybridMultilevel"/>
    <w:lvl w:ilvl="0">
      <w:lvlJc w:val="left"/>
      <w:lvlText w:val="%1:"/>
      <w:numFmt w:val="upperLetter"/>
      <w:start w:val="1"/>
    </w:lvl>
  </w:abstractNum>
  <w:abstractNum w:abstractNumId="115">
    <w:nsid w:val="5EC6AFD4"/>
    <w:multiLevelType w:val="hybridMultilevel"/>
    <w:lvl w:ilvl="0">
      <w:lvlJc w:val="left"/>
      <w:lvlText w:val="%1:"/>
      <w:numFmt w:val="upperLetter"/>
      <w:start w:val="17"/>
    </w:lvl>
  </w:abstractNum>
  <w:abstractNum w:abstractNumId="116">
    <w:nsid w:val="19E21BB2"/>
    <w:multiLevelType w:val="hybridMultilevel"/>
    <w:lvl w:ilvl="0">
      <w:lvlJc w:val="left"/>
      <w:lvlText w:val="%1:"/>
      <w:numFmt w:val="upperLetter"/>
      <w:start w:val="1"/>
    </w:lvl>
  </w:abstractNum>
  <w:abstractNum w:abstractNumId="117">
    <w:nsid w:val="75E0858A"/>
    <w:multiLevelType w:val="hybridMultilevel"/>
    <w:lvl w:ilvl="0">
      <w:lvlJc w:val="left"/>
      <w:lvlText w:val="%1:"/>
      <w:numFmt w:val="upperLetter"/>
      <w:start w:val="17"/>
    </w:lvl>
  </w:abstractNum>
  <w:abstractNum w:abstractNumId="118">
    <w:nsid w:val="57A61A29"/>
    <w:multiLevelType w:val="hybridMultilevel"/>
    <w:lvl w:ilvl="0">
      <w:lvlJc w:val="left"/>
      <w:lvlText w:val="%1:"/>
      <w:numFmt w:val="upperLetter"/>
      <w:start w:val="1"/>
    </w:lvl>
  </w:abstractNum>
  <w:abstractNum w:abstractNumId="119">
    <w:nsid w:val="5399C654"/>
    <w:multiLevelType w:val="hybridMultilevel"/>
    <w:lvl w:ilvl="0">
      <w:lvlJc w:val="left"/>
      <w:lvlText w:val="%1:"/>
      <w:numFmt w:val="upperLetter"/>
      <w:start w:val="17"/>
    </w:lvl>
  </w:abstractNum>
  <w:abstractNum w:abstractNumId="120">
    <w:nsid w:val="20EE1348"/>
    <w:multiLevelType w:val="hybridMultilevel"/>
    <w:lvl w:ilvl="0">
      <w:lvlJc w:val="left"/>
      <w:lvlText w:val="%1:"/>
      <w:numFmt w:val="upperLetter"/>
      <w:start w:val="1"/>
    </w:lvl>
  </w:abstractNum>
  <w:abstractNum w:abstractNumId="121">
    <w:nsid w:val="4427069A"/>
    <w:multiLevelType w:val="hybridMultilevel"/>
    <w:lvl w:ilvl="0">
      <w:lvlJc w:val="left"/>
      <w:lvlText w:val="%1:"/>
      <w:numFmt w:val="upperLetter"/>
      <w:start w:val="17"/>
    </w:lvl>
  </w:abstractNum>
  <w:abstractNum w:abstractNumId="122">
    <w:nsid w:val="B37E80A"/>
    <w:multiLevelType w:val="hybridMultilevel"/>
    <w:lvl w:ilvl="0">
      <w:lvlJc w:val="left"/>
      <w:lvlText w:val="%1:"/>
      <w:numFmt w:val="upperLetter"/>
      <w:start w:val="1"/>
    </w:lvl>
  </w:abstractNum>
  <w:abstractNum w:abstractNumId="123">
    <w:nsid w:val="2157F6BC"/>
    <w:multiLevelType w:val="hybridMultilevel"/>
    <w:lvl w:ilvl="0">
      <w:lvlJc w:val="left"/>
      <w:lvlText w:val="%1:"/>
      <w:numFmt w:val="upperLetter"/>
      <w:start w:val="17"/>
    </w:lvl>
  </w:abstractNum>
  <w:abstractNum w:abstractNumId="124">
    <w:nsid w:val="704E1DD5"/>
    <w:multiLevelType w:val="hybridMultilevel"/>
    <w:lvl w:ilvl="0">
      <w:lvlJc w:val="left"/>
      <w:lvlText w:val="%1:"/>
      <w:numFmt w:val="upperLetter"/>
      <w:start w:val="1"/>
    </w:lvl>
    <w:lvl w:ilvl="1">
      <w:lvlJc w:val="left"/>
      <w:lvlText w:val="(%2)"/>
      <w:numFmt w:val="lowerRoman"/>
      <w:start w:val="2"/>
    </w:lvl>
  </w:abstractNum>
  <w:abstractNum w:abstractNumId="125">
    <w:nsid w:val="57D2F10E"/>
    <w:multiLevelType w:val="hybridMultilevel"/>
    <w:lvl w:ilvl="0">
      <w:lvlJc w:val="left"/>
      <w:lvlText w:val="%1:"/>
      <w:numFmt w:val="upperLetter"/>
      <w:start w:val="17"/>
    </w:lvl>
  </w:abstractNum>
  <w:abstractNum w:abstractNumId="126">
    <w:nsid w:val="BFFAE18"/>
    <w:multiLevelType w:val="hybridMultilevel"/>
    <w:lvl w:ilvl="0">
      <w:lvlJc w:val="left"/>
      <w:lvlText w:val="%1:"/>
      <w:numFmt w:val="upperLetter"/>
      <w:start w:val="1"/>
    </w:lvl>
  </w:abstractNum>
  <w:abstractNum w:abstractNumId="127">
    <w:nsid w:val="E3E47A8"/>
    <w:multiLevelType w:val="hybridMultilevel"/>
    <w:lvl w:ilvl="0">
      <w:lvlJc w:val="left"/>
      <w:lvlText w:val="%1:"/>
      <w:numFmt w:val="upperLetter"/>
      <w:start w:val="17"/>
    </w:lvl>
  </w:abstractNum>
  <w:abstractNum w:abstractNumId="128">
    <w:nsid w:val="2E48F044"/>
    <w:multiLevelType w:val="hybridMultilevel"/>
    <w:lvl w:ilvl="0">
      <w:lvlJc w:val="left"/>
      <w:lvlText w:val="%1:"/>
      <w:numFmt w:val="upperLetter"/>
      <w:start w:val="1"/>
    </w:lvl>
  </w:abstractNum>
  <w:abstractNum w:abstractNumId="129">
    <w:nsid w:val="49D0FEAC"/>
    <w:multiLevelType w:val="hybridMultilevel"/>
    <w:lvl w:ilvl="0">
      <w:lvlJc w:val="left"/>
      <w:lvlText w:val="•"/>
      <w:numFmt w:val="bullet"/>
      <w:start w:val="1"/>
    </w:lvl>
  </w:abstractNum>
  <w:abstractNum w:abstractNumId="130">
    <w:nsid w:val="4BEE5A5B"/>
    <w:multiLevelType w:val="hybridMultilevel"/>
    <w:lvl w:ilvl="0">
      <w:lvlJc w:val="left"/>
      <w:lvlText w:val="•"/>
      <w:numFmt w:val="bullet"/>
      <w:start w:val="1"/>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decimal"/>
      <w:start w:val="1"/>
    </w:lvl>
  </w:abstractNum>
  <w:abstractNum w:abstractNumId="133">
    <w:nsid w:val="634C574C"/>
    <w:multiLevelType w:val="hybridMultilevel"/>
    <w:lvl w:ilvl="0">
      <w:lvlJc w:val="left"/>
      <w:lvlText w:val=" "/>
      <w:numFmt w:val="bullet"/>
      <w:start w:val="1"/>
    </w:lvl>
  </w:abstractNum>
  <w:abstractNum w:abstractNumId="134">
    <w:nsid w:val="24E99DD7"/>
    <w:multiLevelType w:val="hybridMultilevel"/>
    <w:lvl w:ilvl="0">
      <w:lvlJc w:val="left"/>
      <w:lvlText w:val="%1."/>
      <w:numFmt w:val="decimal"/>
      <w:start w:val="3"/>
    </w:lvl>
  </w:abstractNum>
  <w:abstractNum w:abstractNumId="135">
    <w:nsid w:val="2A31B62D"/>
    <w:multiLevelType w:val="hybridMultilevel"/>
    <w:lvl w:ilvl="0">
      <w:lvlJc w:val="left"/>
      <w:lvlText w:val=" "/>
      <w:numFmt w:val="bullet"/>
      <w:start w:val="1"/>
    </w:lvl>
  </w:abstractNum>
  <w:abstractNum w:abstractNumId="136">
    <w:nsid w:val="1849C29B"/>
    <w:multiLevelType w:val="hybridMultilevel"/>
    <w:lvl w:ilvl="0">
      <w:lvlJc w:val="left"/>
      <w:lvlText w:val="%1."/>
      <w:numFmt w:val="decimal"/>
      <w:start w:val="4"/>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2"/>
    </w:lvl>
  </w:abstractNum>
  <w:abstractNum w:abstractNumId="139">
    <w:nsid w:val="69E7F3E5"/>
    <w:multiLevelType w:val="hybridMultilevel"/>
    <w:lvl w:ilvl="0">
      <w:lvlJc w:val="left"/>
      <w:lvlText w:val="%1."/>
      <w:numFmt w:val="decimal"/>
      <w:start w:val="3"/>
    </w:lvl>
  </w:abstractNum>
  <w:abstractNum w:abstractNumId="140">
    <w:nsid w:val="2A6DE806"/>
    <w:multiLevelType w:val="hybridMultilevel"/>
    <w:lvl w:ilvl="0">
      <w:lvlJc w:val="left"/>
      <w:lvlText w:val="P"/>
      <w:numFmt w:val="bullet"/>
      <w:start w:val="1"/>
    </w:lvl>
  </w:abstractNum>
  <w:abstractNum w:abstractNumId="141">
    <w:nsid w:val="1816F8C4"/>
    <w:multiLevelType w:val="hybridMultilevel"/>
    <w:lvl w:ilvl="0">
      <w:lvlJc w:val="left"/>
      <w:lvlText w:val="R"/>
      <w:numFmt w:val="bullet"/>
      <w:start w:val="1"/>
    </w:lvl>
  </w:abstractNum>
  <w:abstractNum w:abstractNumId="142">
    <w:nsid w:val="37DF2233"/>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jpe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jpeg"/><Relationship Id="rId2096" Type="http://schemas.openxmlformats.org/officeDocument/2006/relationships/image" Target="media/image2089.jpeg"/><Relationship Id="rId2097" Type="http://schemas.openxmlformats.org/officeDocument/2006/relationships/image" Target="media/image2090.jpe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jpe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jpeg"/><Relationship Id="rId2740" Type="http://schemas.openxmlformats.org/officeDocument/2006/relationships/image" Target="media/image2733.jpeg"/><Relationship Id="rId2741" Type="http://schemas.openxmlformats.org/officeDocument/2006/relationships/image" Target="media/image2734.jpe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jpeg"/><Relationship Id="rId3065" Type="http://schemas.openxmlformats.org/officeDocument/2006/relationships/image" Target="media/image3058.jpeg"/><Relationship Id="rId3066" Type="http://schemas.openxmlformats.org/officeDocument/2006/relationships/image" Target="media/image3059.jpe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jpeg"/><Relationship Id="rId3389" Type="http://schemas.openxmlformats.org/officeDocument/2006/relationships/image" Target="media/image3382.jpeg"/><Relationship Id="rId3390" Type="http://schemas.openxmlformats.org/officeDocument/2006/relationships/image" Target="media/image3383.jpe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jpeg"/><Relationship Id="rId3724" Type="http://schemas.openxmlformats.org/officeDocument/2006/relationships/image" Target="media/image3717.jpe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jpeg"/><Relationship Id="rId4052" Type="http://schemas.openxmlformats.org/officeDocument/2006/relationships/image" Target="media/image4045.jpe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jpeg"/><Relationship Id="rId4056" Type="http://schemas.openxmlformats.org/officeDocument/2006/relationships/image" Target="media/image4049.jpe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jpeg"/><Relationship Id="rId4061" Type="http://schemas.openxmlformats.org/officeDocument/2006/relationships/image" Target="media/image4054.jpe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jpeg"/><Relationship Id="rId4066" Type="http://schemas.openxmlformats.org/officeDocument/2006/relationships/image" Target="media/image4059.jpe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jpeg"/><Relationship Id="rId4070" Type="http://schemas.openxmlformats.org/officeDocument/2006/relationships/image" Target="media/image4063.jpe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jpeg"/><Relationship Id="rId4211" Type="http://schemas.openxmlformats.org/officeDocument/2006/relationships/image" Target="media/image4204.jpe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jpeg"/><Relationship Id="rId4218" Type="http://schemas.openxmlformats.org/officeDocument/2006/relationships/image" Target="media/image4211.jpe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jpeg"/><Relationship Id="rId4228" Type="http://schemas.openxmlformats.org/officeDocument/2006/relationships/image" Target="media/image4221.jpeg"/><Relationship Id="rId4229" Type="http://schemas.openxmlformats.org/officeDocument/2006/relationships/image" Target="media/image4222.png"/><Relationship Id="rId4230" Type="http://schemas.openxmlformats.org/officeDocument/2006/relationships/image" Target="media/image4223.jpeg"/><Relationship Id="rId4231" Type="http://schemas.openxmlformats.org/officeDocument/2006/relationships/image" Target="media/image4224.jpe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jpeg"/><Relationship Id="rId4236" Type="http://schemas.openxmlformats.org/officeDocument/2006/relationships/image" Target="media/image4229.jpe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jpeg"/><Relationship Id="rId4240" Type="http://schemas.openxmlformats.org/officeDocument/2006/relationships/image" Target="media/image4233.jpe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jpeg"/><Relationship Id="rId4244" Type="http://schemas.openxmlformats.org/officeDocument/2006/relationships/image" Target="media/image4237.jpeg"/><Relationship Id="rId4245" Type="http://schemas.openxmlformats.org/officeDocument/2006/relationships/image" Target="media/image4238.png"/><Relationship Id="rId4246" Type="http://schemas.openxmlformats.org/officeDocument/2006/relationships/image" Target="media/image4239.jpeg"/><Relationship Id="rId4247" Type="http://schemas.openxmlformats.org/officeDocument/2006/relationships/image" Target="media/image4240.jpeg"/><Relationship Id="rId4248" Type="http://schemas.openxmlformats.org/officeDocument/2006/relationships/image" Target="media/image4241.png"/><Relationship Id="rId4249" Type="http://schemas.openxmlformats.org/officeDocument/2006/relationships/image" Target="media/image4242.jpeg"/><Relationship Id="rId4250" Type="http://schemas.openxmlformats.org/officeDocument/2006/relationships/image" Target="media/image4243.jpe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jpeg"/><Relationship Id="rId4254" Type="http://schemas.openxmlformats.org/officeDocument/2006/relationships/image" Target="media/image4247.jpe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jpeg"/><Relationship Id="rId4258" Type="http://schemas.openxmlformats.org/officeDocument/2006/relationships/image" Target="media/image4251.jpeg"/><Relationship Id="rId4259" Type="http://schemas.openxmlformats.org/officeDocument/2006/relationships/image" Target="media/image4252.png"/><Relationship Id="rId4260" Type="http://schemas.openxmlformats.org/officeDocument/2006/relationships/image" Target="media/image4253.jpeg"/><Relationship Id="rId4261" Type="http://schemas.openxmlformats.org/officeDocument/2006/relationships/image" Target="media/image4254.jpe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jpeg"/><Relationship Id="rId4265" Type="http://schemas.openxmlformats.org/officeDocument/2006/relationships/image" Target="media/image4258.jpeg"/><Relationship Id="rId4266" Type="http://schemas.openxmlformats.org/officeDocument/2006/relationships/image" Target="media/image4259.png"/><Relationship Id="rId4267" Type="http://schemas.openxmlformats.org/officeDocument/2006/relationships/image" Target="media/image4260.jpeg"/><Relationship Id="rId4268" Type="http://schemas.openxmlformats.org/officeDocument/2006/relationships/image" Target="media/image4261.jpe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jpeg"/><Relationship Id="rId4272" Type="http://schemas.openxmlformats.org/officeDocument/2006/relationships/image" Target="media/image4265.jpe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jpeg"/><Relationship Id="rId4277" Type="http://schemas.openxmlformats.org/officeDocument/2006/relationships/image" Target="media/image4270.jpeg"/><Relationship Id="rId4278" Type="http://schemas.openxmlformats.org/officeDocument/2006/relationships/image" Target="media/image4271.png"/><Relationship Id="rId4279" Type="http://schemas.openxmlformats.org/officeDocument/2006/relationships/image" Target="media/image4272.jpeg"/><Relationship Id="rId4280" Type="http://schemas.openxmlformats.org/officeDocument/2006/relationships/image" Target="media/image4273.jpeg"/><Relationship Id="rId4281" Type="http://schemas.openxmlformats.org/officeDocument/2006/relationships/image" Target="media/image4274.png"/><Relationship Id="rId4282" Type="http://schemas.openxmlformats.org/officeDocument/2006/relationships/image" Target="media/image4275.jpeg"/><Relationship Id="rId4283" Type="http://schemas.openxmlformats.org/officeDocument/2006/relationships/image" Target="media/image4276.jpeg"/><Relationship Id="rId4284" Type="http://schemas.openxmlformats.org/officeDocument/2006/relationships/image" Target="media/image4277.png"/><Relationship Id="rId4285" Type="http://schemas.openxmlformats.org/officeDocument/2006/relationships/image" Target="media/image4278.jpeg"/><Relationship Id="rId4286" Type="http://schemas.openxmlformats.org/officeDocument/2006/relationships/image" Target="media/image4279.jpe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jpeg"/><Relationship Id="rId4292" Type="http://schemas.openxmlformats.org/officeDocument/2006/relationships/image" Target="media/image4285.png"/><Relationship Id="rId4293" Type="http://schemas.openxmlformats.org/officeDocument/2006/relationships/image" Target="media/image4286.jpe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jpeg"/><Relationship Id="rId4302" Type="http://schemas.openxmlformats.org/officeDocument/2006/relationships/image" Target="media/image4295.png"/><Relationship Id="rId4303" Type="http://schemas.openxmlformats.org/officeDocument/2006/relationships/image" Target="media/image4296.jpe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jpeg"/><Relationship Id="rId4307" Type="http://schemas.openxmlformats.org/officeDocument/2006/relationships/image" Target="media/image4300.jpeg"/><Relationship Id="rId4308" Type="http://schemas.openxmlformats.org/officeDocument/2006/relationships/image" Target="media/image4301.jpeg"/><Relationship Id="rId4309" Type="http://schemas.openxmlformats.org/officeDocument/2006/relationships/image" Target="media/image4302.jpeg"/><Relationship Id="rId4310" Type="http://schemas.openxmlformats.org/officeDocument/2006/relationships/image" Target="media/image4303.png"/><Relationship Id="rId4311" Type="http://schemas.openxmlformats.org/officeDocument/2006/relationships/image" Target="media/image4304.jpeg"/><Relationship Id="rId4312" Type="http://schemas.openxmlformats.org/officeDocument/2006/relationships/image" Target="media/image4305.jpe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jpeg"/><Relationship Id="rId4316" Type="http://schemas.openxmlformats.org/officeDocument/2006/relationships/image" Target="media/image4309.jpe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jpeg"/><Relationship Id="rId4321" Type="http://schemas.openxmlformats.org/officeDocument/2006/relationships/image" Target="media/image4314.jpe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jpeg"/><Relationship Id="rId4325" Type="http://schemas.openxmlformats.org/officeDocument/2006/relationships/image" Target="media/image4318.jpe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jpeg"/><Relationship Id="rId4340" Type="http://schemas.openxmlformats.org/officeDocument/2006/relationships/image" Target="media/image4333.jpeg"/><Relationship Id="rId4341" Type="http://schemas.openxmlformats.org/officeDocument/2006/relationships/image" Target="media/image4334.png"/><Relationship Id="rId4342" Type="http://schemas.openxmlformats.org/officeDocument/2006/relationships/image" Target="media/image4335.jpeg"/><Relationship Id="rId4343" Type="http://schemas.openxmlformats.org/officeDocument/2006/relationships/image" Target="media/image4336.jpe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jpeg"/><Relationship Id="rId4359" Type="http://schemas.openxmlformats.org/officeDocument/2006/relationships/image" Target="media/image4352.jpeg"/><Relationship Id="rId4360" Type="http://schemas.openxmlformats.org/officeDocument/2006/relationships/image" Target="media/image4353.png"/><Relationship Id="rId4361" Type="http://schemas.openxmlformats.org/officeDocument/2006/relationships/image" Target="media/image4354.jpeg"/><Relationship Id="rId4362" Type="http://schemas.openxmlformats.org/officeDocument/2006/relationships/image" Target="media/image4355.jpeg"/><Relationship Id="rId4363" Type="http://schemas.openxmlformats.org/officeDocument/2006/relationships/image" Target="media/image4356.png"/><Relationship Id="rId4364" Type="http://schemas.openxmlformats.org/officeDocument/2006/relationships/image" Target="media/image4357.jpeg"/><Relationship Id="rId4365" Type="http://schemas.openxmlformats.org/officeDocument/2006/relationships/image" Target="media/image4358.jpe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jpeg"/><Relationship Id="rId4370" Type="http://schemas.openxmlformats.org/officeDocument/2006/relationships/image" Target="media/image4363.jpeg"/><Relationship Id="rId4371" Type="http://schemas.openxmlformats.org/officeDocument/2006/relationships/image" Target="media/image4364.png"/><Relationship Id="rId4372" Type="http://schemas.openxmlformats.org/officeDocument/2006/relationships/image" Target="media/image4365.jpeg"/><Relationship Id="rId4373" Type="http://schemas.openxmlformats.org/officeDocument/2006/relationships/image" Target="media/image4366.jpeg"/><Relationship Id="rId4374" Type="http://schemas.openxmlformats.org/officeDocument/2006/relationships/image" Target="media/image4367.png"/><Relationship Id="rId4375" Type="http://schemas.openxmlformats.org/officeDocument/2006/relationships/image" Target="media/image4368.jpeg"/><Relationship Id="rId4376" Type="http://schemas.openxmlformats.org/officeDocument/2006/relationships/image" Target="media/image4369.jpeg"/><Relationship Id="rId4377" Type="http://schemas.openxmlformats.org/officeDocument/2006/relationships/image" Target="media/image4370.png"/><Relationship Id="rId4378" Type="http://schemas.openxmlformats.org/officeDocument/2006/relationships/image" Target="media/image4371.jpeg"/><Relationship Id="rId4379" Type="http://schemas.openxmlformats.org/officeDocument/2006/relationships/image" Target="media/image4372.jpeg"/><Relationship Id="rId4380" Type="http://schemas.openxmlformats.org/officeDocument/2006/relationships/image" Target="media/image4373.png"/><Relationship Id="rId4381" Type="http://schemas.openxmlformats.org/officeDocument/2006/relationships/image" Target="media/image4374.jpeg"/><Relationship Id="rId4382" Type="http://schemas.openxmlformats.org/officeDocument/2006/relationships/image" Target="media/image4375.jpe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jpeg"/><Relationship Id="rId4386" Type="http://schemas.openxmlformats.org/officeDocument/2006/relationships/image" Target="media/image4379.jpeg"/><Relationship Id="rId4387" Type="http://schemas.openxmlformats.org/officeDocument/2006/relationships/image" Target="media/image4380.png"/><Relationship Id="rId4388" Type="http://schemas.openxmlformats.org/officeDocument/2006/relationships/image" Target="media/image4381.jpeg"/><Relationship Id="rId4389" Type="http://schemas.openxmlformats.org/officeDocument/2006/relationships/image" Target="media/image4382.jpeg"/><Relationship Id="rId4390" Type="http://schemas.openxmlformats.org/officeDocument/2006/relationships/image" Target="media/image4383.png"/><Relationship Id="rId4391" Type="http://schemas.openxmlformats.org/officeDocument/2006/relationships/image" Target="media/image4384.jpeg"/><Relationship Id="rId4392" Type="http://schemas.openxmlformats.org/officeDocument/2006/relationships/image" Target="media/image4385.jpeg"/><Relationship Id="rId4393" Type="http://schemas.openxmlformats.org/officeDocument/2006/relationships/image" Target="media/image4386.png"/><Relationship Id="rId4394" Type="http://schemas.openxmlformats.org/officeDocument/2006/relationships/image" Target="media/image4387.jpeg"/><Relationship Id="rId4395" Type="http://schemas.openxmlformats.org/officeDocument/2006/relationships/image" Target="media/image4388.jpeg"/><Relationship Id="rId4396" Type="http://schemas.openxmlformats.org/officeDocument/2006/relationships/image" Target="media/image4389.png"/><Relationship Id="rId4397" Type="http://schemas.openxmlformats.org/officeDocument/2006/relationships/image" Target="media/image4390.jpeg"/><Relationship Id="rId4398" Type="http://schemas.openxmlformats.org/officeDocument/2006/relationships/image" Target="media/image4391.jpeg"/><Relationship Id="rId4399" Type="http://schemas.openxmlformats.org/officeDocument/2006/relationships/image" Target="media/image4392.png"/><Relationship Id="rId4400" Type="http://schemas.openxmlformats.org/officeDocument/2006/relationships/image" Target="media/image4393.jpeg"/><Relationship Id="rId4401" Type="http://schemas.openxmlformats.org/officeDocument/2006/relationships/image" Target="media/image4394.jpeg"/><Relationship Id="rId4402" Type="http://schemas.openxmlformats.org/officeDocument/2006/relationships/image" Target="media/image4395.png"/><Relationship Id="rId4403" Type="http://schemas.openxmlformats.org/officeDocument/2006/relationships/image" Target="media/image4396.jpeg"/><Relationship Id="rId4404" Type="http://schemas.openxmlformats.org/officeDocument/2006/relationships/image" Target="media/image4397.jpeg"/><Relationship Id="rId4405" Type="http://schemas.openxmlformats.org/officeDocument/2006/relationships/image" Target="media/image4398.png"/><Relationship Id="rId4406" Type="http://schemas.openxmlformats.org/officeDocument/2006/relationships/image" Target="media/image4399.jpeg"/><Relationship Id="rId4407" Type="http://schemas.openxmlformats.org/officeDocument/2006/relationships/image" Target="media/image4400.jpe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jpeg"/><Relationship Id="rId4411" Type="http://schemas.openxmlformats.org/officeDocument/2006/relationships/image" Target="media/image4404.jpeg"/><Relationship Id="rId4412" Type="http://schemas.openxmlformats.org/officeDocument/2006/relationships/image" Target="media/image4405.png"/><Relationship Id="rId4413" Type="http://schemas.openxmlformats.org/officeDocument/2006/relationships/image" Target="media/image4406.jpeg"/><Relationship Id="rId4414" Type="http://schemas.openxmlformats.org/officeDocument/2006/relationships/image" Target="media/image4407.jpeg"/><Relationship Id="rId4415" Type="http://schemas.openxmlformats.org/officeDocument/2006/relationships/image" Target="media/image4408.png"/><Relationship Id="rId4416" Type="http://schemas.openxmlformats.org/officeDocument/2006/relationships/image" Target="media/image4409.jpeg"/><Relationship Id="rId4417" Type="http://schemas.openxmlformats.org/officeDocument/2006/relationships/image" Target="media/image4410.jpeg"/><Relationship Id="rId4418" Type="http://schemas.openxmlformats.org/officeDocument/2006/relationships/image" Target="media/image4411.png"/><Relationship Id="rId4419" Type="http://schemas.openxmlformats.org/officeDocument/2006/relationships/image" Target="media/image4412.jpeg"/><Relationship Id="rId4420" Type="http://schemas.openxmlformats.org/officeDocument/2006/relationships/image" Target="media/image4413.jpeg"/><Relationship Id="rId4421" Type="http://schemas.openxmlformats.org/officeDocument/2006/relationships/image" Target="media/image4414.png"/><Relationship Id="rId4422" Type="http://schemas.openxmlformats.org/officeDocument/2006/relationships/image" Target="media/image4415.jpeg"/><Relationship Id="rId4423" Type="http://schemas.openxmlformats.org/officeDocument/2006/relationships/image" Target="media/image4416.jpe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jpeg"/><Relationship Id="rId4427" Type="http://schemas.openxmlformats.org/officeDocument/2006/relationships/image" Target="media/image4420.jpeg"/><Relationship Id="rId4428" Type="http://schemas.openxmlformats.org/officeDocument/2006/relationships/image" Target="media/image4421.png"/><Relationship Id="rId4429" Type="http://schemas.openxmlformats.org/officeDocument/2006/relationships/image" Target="media/image4422.jpeg"/><Relationship Id="rId4430" Type="http://schemas.openxmlformats.org/officeDocument/2006/relationships/image" Target="media/image4423.jpeg"/><Relationship Id="rId4431" Type="http://schemas.openxmlformats.org/officeDocument/2006/relationships/image" Target="media/image4424.png"/><Relationship Id="rId4432" Type="http://schemas.openxmlformats.org/officeDocument/2006/relationships/image" Target="media/image4425.jpeg"/><Relationship Id="rId4433" Type="http://schemas.openxmlformats.org/officeDocument/2006/relationships/image" Target="media/image4426.jpeg"/><Relationship Id="rId4434" Type="http://schemas.openxmlformats.org/officeDocument/2006/relationships/image" Target="media/image4427.png"/><Relationship Id="rId4435" Type="http://schemas.openxmlformats.org/officeDocument/2006/relationships/image" Target="media/image4428.jpeg"/><Relationship Id="rId4436" Type="http://schemas.openxmlformats.org/officeDocument/2006/relationships/image" Target="media/image4429.jpeg"/><Relationship Id="rId4437" Type="http://schemas.openxmlformats.org/officeDocument/2006/relationships/image" Target="media/image4430.png"/><Relationship Id="rId4438" Type="http://schemas.openxmlformats.org/officeDocument/2006/relationships/image" Target="media/image4431.jpeg"/><Relationship Id="rId4439" Type="http://schemas.openxmlformats.org/officeDocument/2006/relationships/image" Target="media/image4432.jpeg"/><Relationship Id="rId4440" Type="http://schemas.openxmlformats.org/officeDocument/2006/relationships/image" Target="media/image4433.jpe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jpeg"/><Relationship Id="rId4444" Type="http://schemas.openxmlformats.org/officeDocument/2006/relationships/image" Target="media/image4437.png"/><Relationship Id="rId4445" Type="http://schemas.openxmlformats.org/officeDocument/2006/relationships/image" Target="media/image4438.jpe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jpeg"/><Relationship Id="rId4451" Type="http://schemas.openxmlformats.org/officeDocument/2006/relationships/image" Target="media/image4444.jpeg"/><Relationship Id="rId4452" Type="http://schemas.openxmlformats.org/officeDocument/2006/relationships/image" Target="media/image4445.png"/><Relationship Id="rId4453" Type="http://schemas.openxmlformats.org/officeDocument/2006/relationships/image" Target="media/image4446.jpeg"/><Relationship Id="rId4454" Type="http://schemas.openxmlformats.org/officeDocument/2006/relationships/image" Target="media/image4447.jpe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jpeg"/><Relationship Id="rId4459" Type="http://schemas.openxmlformats.org/officeDocument/2006/relationships/image" Target="media/image4452.jpe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jpeg"/><Relationship Id="rId4463" Type="http://schemas.openxmlformats.org/officeDocument/2006/relationships/image" Target="media/image4456.jpe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jpeg"/><Relationship Id="rId4467" Type="http://schemas.openxmlformats.org/officeDocument/2006/relationships/image" Target="media/image4460.jpe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jpeg"/><Relationship Id="rId4471" Type="http://schemas.openxmlformats.org/officeDocument/2006/relationships/image" Target="media/image4464.jpe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jpeg"/><Relationship Id="rId4477" Type="http://schemas.openxmlformats.org/officeDocument/2006/relationships/image" Target="media/image4470.jpe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jpeg"/><Relationship Id="rId4483" Type="http://schemas.openxmlformats.org/officeDocument/2006/relationships/image" Target="media/image4476.jpe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jpeg"/><Relationship Id="rId4490" Type="http://schemas.openxmlformats.org/officeDocument/2006/relationships/image" Target="media/image4483.jpe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jpeg"/><Relationship Id="rId4497" Type="http://schemas.openxmlformats.org/officeDocument/2006/relationships/image" Target="media/image4490.jpe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jpeg"/><Relationship Id="rId4503" Type="http://schemas.openxmlformats.org/officeDocument/2006/relationships/image" Target="media/image4496.jpeg"/><Relationship Id="rId4504" Type="http://schemas.openxmlformats.org/officeDocument/2006/relationships/image" Target="media/image4497.png"/><Relationship Id="rId4505" Type="http://schemas.openxmlformats.org/officeDocument/2006/relationships/image" Target="media/image4498.jpeg"/><Relationship Id="rId4506" Type="http://schemas.openxmlformats.org/officeDocument/2006/relationships/image" Target="media/image4499.jpe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jpeg"/><Relationship Id="rId4511" Type="http://schemas.openxmlformats.org/officeDocument/2006/relationships/image" Target="media/image4504.jpe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jpeg"/><Relationship Id="rId4519" Type="http://schemas.openxmlformats.org/officeDocument/2006/relationships/image" Target="media/image4512.jpeg"/><Relationship Id="rId4520" Type="http://schemas.openxmlformats.org/officeDocument/2006/relationships/image" Target="media/image4513.png"/><Relationship Id="rId4521" Type="http://schemas.openxmlformats.org/officeDocument/2006/relationships/image" Target="media/image4514.jpeg"/><Relationship Id="rId4522" Type="http://schemas.openxmlformats.org/officeDocument/2006/relationships/image" Target="media/image4515.jpeg"/><Relationship Id="rId4523" Type="http://schemas.openxmlformats.org/officeDocument/2006/relationships/image" Target="media/image4516.png"/><Relationship Id="rId4524" Type="http://schemas.openxmlformats.org/officeDocument/2006/relationships/image" Target="media/image4517.jpeg"/><Relationship Id="rId4525" Type="http://schemas.openxmlformats.org/officeDocument/2006/relationships/image" Target="media/image4518.jpeg"/><Relationship Id="rId4526" Type="http://schemas.openxmlformats.org/officeDocument/2006/relationships/image" Target="media/image4519.png"/><Relationship Id="rId4527" Type="http://schemas.openxmlformats.org/officeDocument/2006/relationships/image" Target="media/image4520.jpeg"/><Relationship Id="rId4528" Type="http://schemas.openxmlformats.org/officeDocument/2006/relationships/image" Target="media/image4521.jpeg"/><Relationship Id="rId4529" Type="http://schemas.openxmlformats.org/officeDocument/2006/relationships/image" Target="media/image4522.png"/><Relationship Id="rId4530" Type="http://schemas.openxmlformats.org/officeDocument/2006/relationships/image" Target="media/image4523.jpeg"/><Relationship Id="rId4531" Type="http://schemas.openxmlformats.org/officeDocument/2006/relationships/image" Target="media/image4524.jpeg"/><Relationship Id="rId4532" Type="http://schemas.openxmlformats.org/officeDocument/2006/relationships/image" Target="media/image4525.png"/><Relationship Id="rId4533" Type="http://schemas.openxmlformats.org/officeDocument/2006/relationships/image" Target="media/image4526.jpeg"/><Relationship Id="rId4534" Type="http://schemas.openxmlformats.org/officeDocument/2006/relationships/image" Target="media/image4527.jpeg"/><Relationship Id="rId4535" Type="http://schemas.openxmlformats.org/officeDocument/2006/relationships/image" Target="media/image4528.png"/><Relationship Id="rId4536" Type="http://schemas.openxmlformats.org/officeDocument/2006/relationships/image" Target="media/image4529.jpeg"/><Relationship Id="rId4537" Type="http://schemas.openxmlformats.org/officeDocument/2006/relationships/image" Target="media/image4530.jpeg"/><Relationship Id="rId4538" Type="http://schemas.openxmlformats.org/officeDocument/2006/relationships/image" Target="media/image4531.png"/><Relationship Id="rId4539" Type="http://schemas.openxmlformats.org/officeDocument/2006/relationships/image" Target="media/image4532.jpeg"/><Relationship Id="rId4540" Type="http://schemas.openxmlformats.org/officeDocument/2006/relationships/image" Target="media/image4533.jpeg"/><Relationship Id="rId4541" Type="http://schemas.openxmlformats.org/officeDocument/2006/relationships/image" Target="media/image4534.png"/><Relationship Id="rId4542" Type="http://schemas.openxmlformats.org/officeDocument/2006/relationships/image" Target="media/image4535.jpeg"/><Relationship Id="rId4543" Type="http://schemas.openxmlformats.org/officeDocument/2006/relationships/image" Target="media/image4536.jpeg"/><Relationship Id="rId4544" Type="http://schemas.openxmlformats.org/officeDocument/2006/relationships/image" Target="media/image4537.png"/><Relationship Id="rId4545" Type="http://schemas.openxmlformats.org/officeDocument/2006/relationships/image" Target="media/image4538.jpeg"/><Relationship Id="rId4546" Type="http://schemas.openxmlformats.org/officeDocument/2006/relationships/image" Target="media/image4539.jpe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jpeg"/><Relationship Id="rId4550" Type="http://schemas.openxmlformats.org/officeDocument/2006/relationships/image" Target="media/image4543.jpe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jpeg"/><Relationship Id="rId4554" Type="http://schemas.openxmlformats.org/officeDocument/2006/relationships/image" Target="media/image4547.jpeg"/><Relationship Id="rId4555" Type="http://schemas.openxmlformats.org/officeDocument/2006/relationships/image" Target="media/image4548.png"/><Relationship Id="rId4556" Type="http://schemas.openxmlformats.org/officeDocument/2006/relationships/image" Target="media/image4549.jpeg"/><Relationship Id="rId4557" Type="http://schemas.openxmlformats.org/officeDocument/2006/relationships/image" Target="media/image4550.jpe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jpeg"/><Relationship Id="rId4561" Type="http://schemas.openxmlformats.org/officeDocument/2006/relationships/image" Target="media/image4554.jpeg"/><Relationship Id="rId4562" Type="http://schemas.openxmlformats.org/officeDocument/2006/relationships/image" Target="media/image4555.png"/><Relationship Id="rId4563" Type="http://schemas.openxmlformats.org/officeDocument/2006/relationships/image" Target="media/image4556.jpeg"/><Relationship Id="rId4564" Type="http://schemas.openxmlformats.org/officeDocument/2006/relationships/image" Target="media/image4557.jpeg"/><Relationship Id="rId4565" Type="http://schemas.openxmlformats.org/officeDocument/2006/relationships/image" Target="media/image4558.png"/><Relationship Id="rId4566" Type="http://schemas.openxmlformats.org/officeDocument/2006/relationships/image" Target="media/image4559.jpeg"/><Relationship Id="rId4567" Type="http://schemas.openxmlformats.org/officeDocument/2006/relationships/image" Target="media/image4560.jpeg"/><Relationship Id="rId4568" Type="http://schemas.openxmlformats.org/officeDocument/2006/relationships/image" Target="media/image4561.png"/><Relationship Id="rId4569" Type="http://schemas.openxmlformats.org/officeDocument/2006/relationships/image" Target="media/image4562.jpeg"/><Relationship Id="rId4570" Type="http://schemas.openxmlformats.org/officeDocument/2006/relationships/image" Target="media/image4563.jpeg"/><Relationship Id="rId4571" Type="http://schemas.openxmlformats.org/officeDocument/2006/relationships/image" Target="media/image4564.png"/><Relationship Id="rId4572" Type="http://schemas.openxmlformats.org/officeDocument/2006/relationships/image" Target="media/image4565.jpeg"/><Relationship Id="rId4573" Type="http://schemas.openxmlformats.org/officeDocument/2006/relationships/image" Target="media/image4566.jpe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jpeg"/><Relationship Id="rId4577" Type="http://schemas.openxmlformats.org/officeDocument/2006/relationships/image" Target="media/image4570.jpeg"/><Relationship Id="rId4578" Type="http://schemas.openxmlformats.org/officeDocument/2006/relationships/image" Target="media/image4571.png"/><Relationship Id="rId4579" Type="http://schemas.openxmlformats.org/officeDocument/2006/relationships/image" Target="media/image4572.jpeg"/><Relationship Id="rId4580" Type="http://schemas.openxmlformats.org/officeDocument/2006/relationships/image" Target="media/image4573.png"/><Relationship Id="rId4581" Type="http://schemas.openxmlformats.org/officeDocument/2006/relationships/image" Target="media/image4574.jpeg"/><Relationship Id="rId4582" Type="http://schemas.openxmlformats.org/officeDocument/2006/relationships/image" Target="media/image4575.png"/><Relationship Id="rId4583" Type="http://schemas.openxmlformats.org/officeDocument/2006/relationships/image" Target="media/image4576.jpeg"/><Relationship Id="rId4584" Type="http://schemas.openxmlformats.org/officeDocument/2006/relationships/image" Target="media/image4577.jpeg"/><Relationship Id="rId4585" Type="http://schemas.openxmlformats.org/officeDocument/2006/relationships/image" Target="media/image4578.png"/><Relationship Id="rId4586" Type="http://schemas.openxmlformats.org/officeDocument/2006/relationships/image" Target="media/image4579.jpe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jpeg"/><Relationship Id="rId4591" Type="http://schemas.openxmlformats.org/officeDocument/2006/relationships/image" Target="media/image45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2024-10-25T16:11:02Z</dcterms:created>
  <dcterms:modified xsi:type="dcterms:W3CDTF">2024-10-25T16:11:02Z</dcterms:modified>
</cp:coreProperties>
</file>