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August 9, 2021</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32"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382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001-39695</w:t>
            </w:r>
          </w:p>
        </w:tc>
        <w:tc>
          <w:tcPr>
            <w:tcW w:w="3380" w:type="dxa"/>
            <w:vAlign w:val="bottom"/>
          </w:tcPr>
          <w:p>
            <w:pPr>
              <w:jc w:val="right"/>
              <w:ind w:right="790"/>
              <w:spacing w:after="0"/>
              <w:rPr>
                <w:sz w:val="20"/>
                <w:szCs w:val="20"/>
                <w:color w:val="auto"/>
              </w:rPr>
            </w:pPr>
            <w:r>
              <w:rPr>
                <w:rFonts w:ascii="Arial" w:cs="Arial" w:eastAsia="Arial" w:hAnsi="Arial"/>
                <w:sz w:val="18"/>
                <w:szCs w:val="18"/>
                <w:b w:val="1"/>
                <w:bCs w:val="1"/>
                <w:color w:val="auto"/>
              </w:rPr>
              <w:t>83-4364296</w:t>
            </w:r>
          </w:p>
        </w:tc>
        <w:tc>
          <w:tcPr>
            <w:tcW w:w="0" w:type="dxa"/>
            <w:vAlign w:val="bottom"/>
          </w:tcPr>
          <w:p>
            <w:pPr>
              <w:spacing w:after="0"/>
              <w:rPr>
                <w:sz w:val="1"/>
                <w:szCs w:val="1"/>
                <w:color w:val="auto"/>
              </w:rPr>
            </w:pPr>
          </w:p>
        </w:tc>
      </w:tr>
      <w:tr>
        <w:trPr>
          <w:trHeight w:val="176"/>
        </w:trPr>
        <w:tc>
          <w:tcPr>
            <w:tcW w:w="3820" w:type="dxa"/>
            <w:vAlign w:val="bottom"/>
            <w:vMerge w:val="restart"/>
          </w:tcPr>
          <w:p>
            <w:pPr>
              <w:jc w:val="center"/>
              <w:ind w:right="510"/>
              <w:spacing w:after="0"/>
              <w:rPr>
                <w:sz w:val="20"/>
                <w:szCs w:val="20"/>
                <w:color w:val="auto"/>
              </w:rPr>
            </w:pPr>
            <w:r>
              <w:rPr>
                <w:rFonts w:ascii="Arial" w:cs="Arial" w:eastAsia="Arial" w:hAnsi="Arial"/>
                <w:sz w:val="18"/>
                <w:szCs w:val="18"/>
                <w:color w:val="auto"/>
                <w:w w:val="91"/>
              </w:rPr>
              <w:t>(State or Other Jurisdiction of Incorporation)</w:t>
            </w:r>
          </w:p>
        </w:tc>
        <w:tc>
          <w:tcPr>
            <w:tcW w:w="23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3"/>
              </w:rPr>
              <w:t>(Commission</w:t>
            </w:r>
          </w:p>
        </w:tc>
        <w:tc>
          <w:tcPr>
            <w:tcW w:w="3380" w:type="dxa"/>
            <w:vAlign w:val="bottom"/>
            <w:vMerge w:val="restart"/>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820" w:type="dxa"/>
            <w:vAlign w:val="bottom"/>
            <w:vMerge w:val="continue"/>
          </w:tcPr>
          <w:p>
            <w:pPr>
              <w:spacing w:after="0"/>
              <w:rPr>
                <w:sz w:val="20"/>
                <w:szCs w:val="20"/>
                <w:color w:val="auto"/>
              </w:rPr>
            </w:pPr>
          </w:p>
        </w:tc>
        <w:tc>
          <w:tcPr>
            <w:tcW w:w="23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3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(724) 514-1800</w:t>
      </w:r>
    </w:p>
    <w:p>
      <w:pPr>
        <w:spacing w:after="0" w:line="327" w:lineRule="exact"/>
        <w:rPr>
          <w:sz w:val="24"/>
          <w:szCs w:val="24"/>
          <w:color w:val="auto"/>
        </w:rPr>
      </w:pPr>
    </w:p>
    <w:p>
      <w:pPr>
        <w:ind w:right="3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44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5"/>
              </w:rPr>
              <w:t>Title of each class</w:t>
            </w:r>
          </w:p>
        </w:tc>
        <w:tc>
          <w:tcPr>
            <w:tcW w:w="238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Trading Symbol(s)</w:t>
            </w:r>
          </w:p>
        </w:tc>
        <w:tc>
          <w:tcPr>
            <w:tcW w:w="4360" w:type="dxa"/>
            <w:vAlign w:val="bottom"/>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r>
      <w:tr>
        <w:trPr>
          <w:trHeight w:val="228"/>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w:t>
            </w:r>
          </w:p>
        </w:tc>
      </w:tr>
    </w:tbl>
    <w:p>
      <w:pPr>
        <w:spacing w:after="0" w:line="399"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left="340"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August 9, 2021, Viatris Inc. (“Viatris” or the “Company”) issued a press release reporting the Company's financial results for the period ended June 30, 2021. A copy of the press release is attached hereto as Exhibit 99.1 and is incorporated herein by reference.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previously announced, Viatris will host a conference call and live webcast today at 10:00 a.m. ET to review the Company's financial results for the period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(d)</w:t>
            </w:r>
          </w:p>
        </w:tc>
        <w:tc>
          <w:tcPr>
            <w:tcW w:w="10020" w:type="dxa"/>
            <w:vAlign w:val="bottom"/>
          </w:tcPr>
          <w:p>
            <w:pPr>
              <w:ind w:left="320"/>
              <w:spacing w:after="0"/>
              <w:rPr>
                <w:sz w:val="20"/>
                <w:szCs w:val="20"/>
                <w:color w:val="auto"/>
              </w:rPr>
            </w:pPr>
            <w:r>
              <w:rPr>
                <w:rFonts w:ascii="Arial" w:cs="Arial" w:eastAsia="Arial" w:hAnsi="Arial"/>
                <w:sz w:val="18"/>
                <w:szCs w:val="18"/>
                <w:color w:val="auto"/>
              </w:rPr>
              <w:t>Exhibits.</w:t>
            </w:r>
          </w:p>
        </w:tc>
      </w:tr>
      <w:tr>
        <w:trPr>
          <w:trHeight w:val="445"/>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0" w:type="dxa"/>
            <w:vAlign w:val="bottom"/>
          </w:tcPr>
          <w:p>
            <w:pPr>
              <w:spacing w:after="0"/>
              <w:rPr>
                <w:sz w:val="16"/>
                <w:szCs w:val="16"/>
                <w:color w:val="auto"/>
              </w:rPr>
            </w:pPr>
          </w:p>
        </w:tc>
        <w:tc>
          <w:tcPr>
            <w:tcW w:w="1200" w:type="dxa"/>
            <w:vAlign w:val="bottom"/>
            <w:gridSpan w:val="2"/>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020" w:type="dxa"/>
            <w:vAlign w:val="bottom"/>
          </w:tcPr>
          <w:p>
            <w:pPr>
              <w:ind w:left="320"/>
              <w:spacing w:after="0" w:line="190" w:lineRule="exact"/>
              <w:rPr>
                <w:sz w:val="20"/>
                <w:szCs w:val="20"/>
                <w:color w:val="auto"/>
              </w:rPr>
            </w:pPr>
            <w:r>
              <w:rPr>
                <w:rFonts w:ascii="Arial" w:cs="Arial" w:eastAsia="Arial" w:hAnsi="Arial"/>
                <w:sz w:val="18"/>
                <w:szCs w:val="18"/>
                <w:color w:val="auto"/>
              </w:rPr>
              <w:t>Press release announcing the Company's financial results for the second quarter of 2021, dated August 9, 2021.</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880" w:type="dxa"/>
            <w:vAlign w:val="bottom"/>
          </w:tcPr>
          <w:p>
            <w:pPr>
              <w:spacing w:after="0"/>
              <w:rPr>
                <w:sz w:val="21"/>
                <w:szCs w:val="21"/>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6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Arial" w:cs="Arial" w:eastAsia="Arial" w:hAnsi="Arial"/>
          <w:sz w:val="18"/>
          <w:szCs w:val="18"/>
          <w:color w:val="auto"/>
        </w:rPr>
        <w:t>Date:</w:t>
        <w:tab/>
        <w:t>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Sanjeev Narula</w:t>
      </w:r>
    </w:p>
    <w:p>
      <w:pPr>
        <w:ind w:left="7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320" w:top="1215" w:right="8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Viatris Reports Strong Second Quarter Results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Declares Quarterly Dividend of Eleven Cents ($0.11) per Share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Raises 2021 Financial Guidance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PITTSBURGH – August 9, 2021</w:t>
      </w:r>
    </w:p>
    <w:p>
      <w:pPr>
        <w:spacing w:after="0" w:line="225" w:lineRule="exact"/>
        <w:rPr>
          <w:sz w:val="20"/>
          <w:szCs w:val="20"/>
          <w:color w:val="auto"/>
        </w:rPr>
      </w:pPr>
    </w:p>
    <w:p>
      <w:pPr>
        <w:ind w:left="660" w:right="380" w:hanging="328"/>
        <w:spacing w:after="0" w:line="291" w:lineRule="auto"/>
        <w:tabs>
          <w:tab w:leader="none" w:pos="655" w:val="left"/>
        </w:tabs>
        <w:numPr>
          <w:ilvl w:val="1"/>
          <w:numId w:val="2"/>
        </w:numPr>
        <w:rPr>
          <w:rFonts w:ascii="Arial" w:cs="Arial" w:eastAsia="Arial" w:hAnsi="Arial"/>
          <w:sz w:val="17"/>
          <w:szCs w:val="17"/>
          <w:color w:val="auto"/>
        </w:rPr>
      </w:pPr>
      <w:r>
        <w:rPr>
          <w:rFonts w:ascii="Arial" w:cs="Arial" w:eastAsia="Arial" w:hAnsi="Arial"/>
          <w:sz w:val="17"/>
          <w:szCs w:val="17"/>
          <w:color w:val="auto"/>
        </w:rPr>
        <w:t>Reports Second Quarter 2021 Financial Results - Total Revenues of $4.58 billion, U.S. GAAP Net Loss of $279 million, Adjusted EBITDA of $1.68 billion, U.S. GAAP Net Cash Provided by Operating Activities of $559 million, Free Cash Flow of $470 million</w:t>
      </w:r>
    </w:p>
    <w:p>
      <w:pPr>
        <w:spacing w:after="0" w:line="173" w:lineRule="exact"/>
        <w:rPr>
          <w:rFonts w:ascii="Arial" w:cs="Arial" w:eastAsia="Arial" w:hAnsi="Arial"/>
          <w:sz w:val="17"/>
          <w:szCs w:val="17"/>
          <w:color w:val="auto"/>
        </w:rPr>
      </w:pPr>
    </w:p>
    <w:p>
      <w:pPr>
        <w:jc w:val="both"/>
        <w:ind w:left="660" w:right="160" w:hanging="328"/>
        <w:spacing w:after="0" w:line="256"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Updates 2021 Financial Guidance (1) - Raises Total Revenues Guidance Range to $17.5 billion to $17.9 billion from $17.2 billion to $17.8 billion, Raises Adjusted EBITDA Guidance Range to $6.15 billion to $6.45 billion from $6.0 billion to $6.4 billion, Raises Free Cash Flow Guidance Range to $2.2 billion to $2.4 billion from $2.0 billion to $2.3 billion</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b w:val="1"/>
          <w:bCs w:val="1"/>
          <w:color w:val="4C16AE"/>
        </w:rPr>
      </w:pPr>
      <w:r>
        <w:rPr>
          <w:rFonts w:ascii="Arial" w:cs="Arial" w:eastAsia="Arial" w:hAnsi="Arial"/>
          <w:sz w:val="18"/>
          <w:szCs w:val="18"/>
          <w:color w:val="auto"/>
        </w:rPr>
        <w:t>Announces Board of Directors Declares Quarterly Dividend of Eleven Cents ($0.11) per Share</w:t>
      </w:r>
    </w:p>
    <w:p>
      <w:pPr>
        <w:spacing w:after="0" w:line="225" w:lineRule="exact"/>
        <w:rPr>
          <w:rFonts w:ascii="Arial" w:cs="Arial" w:eastAsia="Arial" w:hAnsi="Arial"/>
          <w:sz w:val="18"/>
          <w:szCs w:val="18"/>
          <w:b w:val="1"/>
          <w:bCs w:val="1"/>
          <w:color w:val="4C16AE"/>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Pays Down $1.15 billion of Debt in First Half of 2021</w:t>
      </w:r>
    </w:p>
    <w:p>
      <w:pPr>
        <w:spacing w:after="0" w:line="225" w:lineRule="exact"/>
        <w:rPr>
          <w:rFonts w:ascii="Arial" w:cs="Arial" w:eastAsia="Arial" w:hAnsi="Arial"/>
          <w:sz w:val="18"/>
          <w:szCs w:val="18"/>
          <w:color w:val="auto"/>
        </w:rPr>
      </w:pPr>
    </w:p>
    <w:p>
      <w:pPr>
        <w:ind w:left="660" w:right="620" w:hanging="328"/>
        <w:spacing w:after="0" w:line="261"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Receives Historic Approval for First Interchangeable Biosimilar in the U.S. for Semglee® for the Treatment of Diabetes in July (substitutable for the reference product, Lantus®)</w:t>
      </w:r>
    </w:p>
    <w:p>
      <w:pPr>
        <w:spacing w:after="0" w:line="319" w:lineRule="exact"/>
        <w:rPr>
          <w:rFonts w:ascii="Arial" w:cs="Arial" w:eastAsia="Arial" w:hAnsi="Arial"/>
          <w:sz w:val="18"/>
          <w:szCs w:val="18"/>
          <w:color w:val="auto"/>
        </w:rPr>
      </w:pPr>
    </w:p>
    <w:p>
      <w:pPr>
        <w:ind w:left="340" w:right="80" w:hanging="332"/>
        <w:spacing w:after="0" w:line="263" w:lineRule="auto"/>
        <w:tabs>
          <w:tab w:leader="none" w:pos="33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Viatris is not providing forward-looking guidance for U.S. GAAP net (loss) earnings or a quantitative reconciliation of its 2021 adjusted EBITDA guidance. U.S. GAAP net cash provided by operating activities for 2021 is estimated to be between $2.80 billion and $2.95 billion. Please see "Updated 2021 Financial Guidance" and "Non-GAAP Financial Measures" for additional information.</w:t>
      </w:r>
    </w:p>
    <w:p>
      <w:pPr>
        <w:spacing w:after="0" w:line="19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Viatris Inc. (NASDAQ: VTRS) today reported results for the second quarter of 2021, highlighted by strong performance across the entire business and substantial cash flow generation.</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Viatris also announced that its Board of Directors declared a quarterly dividend of eleven cents ($0.11) for each issued and outstanding share of the company’s common stock. The dividend is payable on September 16, 2021 to stockholders of record at the close of business on August 24,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Executive Comments</w:t>
      </w:r>
    </w:p>
    <w:p>
      <w:pPr>
        <w:spacing w:after="0" w:line="247"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color w:val="auto"/>
        </w:rPr>
        <w:t>“We delivered another quarter of strong results," said Viatris Chief Executive Officer Michael Goettler. “We are executing at a high level across the entire business, and we continue to leverage our scientific and R&amp;D capabilities to pave the way for patients’ access to safe, effective, and high-quality medicines. We have raised our financial guidance for the year, and we have strong momentum going into the second half of 2021. Therefore, at the end of the third quarter, we will be open, once again, to reassess financial guidance.”</w:t>
      </w:r>
    </w:p>
    <w:p>
      <w:pPr>
        <w:spacing w:after="0" w:line="20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historic approval for the first interchangeable biosimilar in the U.S. we recently received is, perhaps, one of the most significant milestones to date demonstrating the success of our scientific capabilities," said Viatris President Rajiv Malik. “We fully intend to leverage these scientific capabilities to continue to add high-value assets to our pipeline going forward, to break down barriers to access, bring forth first-to-market products and blaze new trails to increase access to complex treatments for patients.”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 continues to highlight our ability to generate substantial cash flow which was above our expectations," said Viatris Chief Financial Officer Sanjeev Narula. “Our strong cash flow performance allowed us to repay $1.15 billion of debt in the first half of the year, while also paying our first quarterly dividend. We anticipate significant increases in cash flow generation in the coming years, driven by strong underlying business performance, a reduction in one-time costs and continued improvement in cash flow conversion.”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4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4C16AE"/>
        </w:rPr>
        <w:t>Financial Summary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center"/>
              <w:ind w:left="708"/>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 LOE</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75"/>
        </w:trPr>
        <w:tc>
          <w:tcPr>
            <w:tcW w:w="46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(1)</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Change</w:t>
            </w:r>
            <w:r>
              <w:rPr>
                <w:rFonts w:ascii="Arial" w:cs="Arial" w:eastAsia="Arial" w:hAnsi="Arial"/>
                <w:sz w:val="8"/>
                <w:szCs w:val="8"/>
                <w:b w:val="1"/>
                <w:bCs w:val="1"/>
                <w:color w:val="auto"/>
              </w:rPr>
              <w:t>(2)(3)</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Change</w:t>
            </w:r>
            <w:r>
              <w:rPr>
                <w:rFonts w:ascii="Arial" w:cs="Arial" w:eastAsia="Arial" w:hAnsi="Arial"/>
                <w:sz w:val="8"/>
                <w:szCs w:val="8"/>
                <w:b w:val="1"/>
                <w:bCs w:val="1"/>
                <w:color w:val="auto"/>
              </w:rPr>
              <w:t>(2)(3)</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4,561.7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2,695.9</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69%</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4%</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2,640.4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1,982.7</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33%</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2%</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410.3</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12%</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JANZ</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501.0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280.2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79%</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(22)%</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 by Product Category</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Brands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2,701.7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1,073.0</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(3)%</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Complex Gx and Biosimilars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351.1</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Generics</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1,527.2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1,271.8</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20%</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8%</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U.S. GAAP Gross Profit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1,327.7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1,025.7</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29%</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Gross Margin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2,677.2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1,482.8</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81%</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(4)</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Net Earnings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1,180.6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574.3</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1,281.8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569.1</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1,675.4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878.6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91%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379.5</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47%</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44.5</w:t>
            </w:r>
          </w:p>
        </w:tc>
        <w:tc>
          <w:tcPr>
            <w:tcW w:w="128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335.0</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40%</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102"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 LOE</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76"/>
        </w:trPr>
        <w:tc>
          <w:tcPr>
            <w:tcW w:w="46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(1)</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1"/>
              </w:rPr>
              <w:t>Change</w:t>
            </w:r>
            <w:r>
              <w:rPr>
                <w:rFonts w:ascii="Arial" w:cs="Arial" w:eastAsia="Arial" w:hAnsi="Arial"/>
                <w:sz w:val="18"/>
                <w:szCs w:val="18"/>
                <w:b w:val="1"/>
                <w:bCs w:val="1"/>
                <w:color w:val="auto"/>
                <w:w w:val="91"/>
                <w:vertAlign w:val="superscript"/>
              </w:rPr>
              <w:t>(2)(3)</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Change</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8,961.8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5,284.1</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70%</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5,212.0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3,969.1</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31%</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(2)%</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1,624.7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753.8</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116%</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JANZ</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982.9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523.4</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88%</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(23)%</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1,142.2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 by Product Category</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Brands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5,426.3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2,134.5</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154%</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(6)%</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Complex Gx and Biosimilars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604.4</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8"/>
              </w:rPr>
              <w:t>9%</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7%</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Generics</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2,873.8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2,545.2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13%</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U.S. GAAP Gross Profit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2,455.0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1,931.8</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27%</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Gross Margin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5,317.1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2,863.2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86%</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(4)</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Net Earnings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2,297.0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1,041.5</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2,449.9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1,152.0</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3,312.0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1,629.3</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103%</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(10)%</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1,408.2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670.6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87.9</w:t>
            </w:r>
          </w:p>
        </w:tc>
        <w:tc>
          <w:tcPr>
            <w:tcW w:w="128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w w:val="99"/>
              </w:rPr>
              <w:t>58%</w:t>
            </w: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1,269.4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582.7</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2" w:lineRule="exact"/>
        <w:rPr>
          <w:sz w:val="20"/>
          <w:szCs w:val="20"/>
          <w:color w:val="auto"/>
        </w:rPr>
      </w:pPr>
    </w:p>
    <w:p>
      <w:pPr>
        <w:jc w:val="both"/>
        <w:ind w:left="660" w:hanging="328"/>
        <w:spacing w:after="0" w:line="249" w:lineRule="auto"/>
        <w:tabs>
          <w:tab w:leader="none" w:pos="653" w:val="left"/>
        </w:tabs>
        <w:numPr>
          <w:ilvl w:val="0"/>
          <w:numId w:val="3"/>
        </w:numPr>
        <w:rPr>
          <w:rFonts w:ascii="Arial" w:cs="Arial" w:eastAsia="Arial" w:hAnsi="Arial"/>
          <w:sz w:val="9"/>
          <w:szCs w:val="9"/>
          <w:color w:val="auto"/>
        </w:rPr>
      </w:pPr>
      <w:r>
        <w:rPr>
          <w:rFonts w:ascii="Arial" w:cs="Arial" w:eastAsia="Arial" w:hAnsi="Arial"/>
          <w:sz w:val="14"/>
          <w:szCs w:val="14"/>
          <w:color w:val="auto"/>
        </w:rPr>
        <w:t>Q2 2020 and YTD 2020 represent Mylan standalone results for the respective 2020 periods. Mylan was the accounting acquiror in the combination of Mylan N.V. with Pfizer Inc.'s Upjohn business and therefore the historical financial statements of Mylan for periods prior to the combination are considered to be the historical financial statements of Viatris.</w:t>
      </w:r>
    </w:p>
    <w:p>
      <w:pPr>
        <w:spacing w:after="0" w:line="38" w:lineRule="exact"/>
        <w:rPr>
          <w:rFonts w:ascii="Arial" w:cs="Arial" w:eastAsia="Arial" w:hAnsi="Arial"/>
          <w:sz w:val="9"/>
          <w:szCs w:val="9"/>
          <w:color w:val="auto"/>
        </w:rPr>
      </w:pPr>
    </w:p>
    <w:p>
      <w:pPr>
        <w:ind w:left="640" w:hanging="308"/>
        <w:spacing w:after="0"/>
        <w:tabs>
          <w:tab w:leader="none" w:pos="640" w:val="left"/>
        </w:tabs>
        <w:numPr>
          <w:ilvl w:val="0"/>
          <w:numId w:val="3"/>
        </w:numPr>
        <w:rPr>
          <w:rFonts w:ascii="Arial" w:cs="Arial" w:eastAsia="Arial" w:hAnsi="Arial"/>
          <w:sz w:val="9"/>
          <w:szCs w:val="9"/>
          <w:color w:val="auto"/>
        </w:rPr>
      </w:pPr>
      <w:r>
        <w:rPr>
          <w:rFonts w:ascii="Arial" w:cs="Arial" w:eastAsia="Arial" w:hAnsi="Arial"/>
          <w:sz w:val="14"/>
          <w:szCs w:val="14"/>
          <w:color w:val="auto"/>
        </w:rPr>
        <w:t>Represents operational change for net sales. See “Certain Key Terms” in this release for more information.</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3"/>
        </w:numPr>
        <w:rPr>
          <w:rFonts w:ascii="Arial" w:cs="Arial" w:eastAsia="Arial" w:hAnsi="Arial"/>
          <w:sz w:val="9"/>
          <w:szCs w:val="9"/>
          <w:color w:val="auto"/>
        </w:rPr>
      </w:pPr>
      <w:r>
        <w:rPr>
          <w:rFonts w:ascii="Arial" w:cs="Arial" w:eastAsia="Arial" w:hAnsi="Arial"/>
          <w:sz w:val="14"/>
          <w:szCs w:val="14"/>
          <w:color w:val="auto"/>
        </w:rPr>
        <w:t>See “Certain Key Terms” for more information about Combined Adjusted Q2 and YTD 2020 results and Combined LOE Adjusted Q2 and YTD 2020 results.</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3"/>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Second Quarter Highlights</w:t>
      </w:r>
    </w:p>
    <w:p>
      <w:pPr>
        <w:spacing w:after="0" w:line="247" w:lineRule="exact"/>
        <w:rPr>
          <w:sz w:val="20"/>
          <w:szCs w:val="20"/>
          <w:color w:val="auto"/>
        </w:rPr>
      </w:pPr>
    </w:p>
    <w:p>
      <w:pPr>
        <w:ind w:left="340" w:right="80" w:hanging="332"/>
        <w:spacing w:after="0" w:line="25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quarter 2021 net sales totaled $4.56 billion, flat compared to combined adjusted Q2 2020 results, up 4% compared to combined LOE adjusted Q2 2020 results, driven by solid performance across all four of our segments—Developed Markets, Emerging Markets, JANZ (Japan, Australia and New Zealand), and Greater China.</w:t>
      </w:r>
    </w:p>
    <w:p>
      <w:pPr>
        <w:spacing w:after="0" w:line="20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Brands performed better than expectations, driven by products such as Viagra®, Dymista® and the Thrombosis portfolio.</w:t>
      </w:r>
    </w:p>
    <w:p>
      <w:pPr>
        <w:spacing w:after="0" w:line="225"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generics and biosimilars performed in line with expectations, with 40% growth in Biosimilars offset by anticipated competition in select Complex Gx products.</w:t>
      </w:r>
    </w:p>
    <w:p>
      <w:pPr>
        <w:spacing w:after="0" w:line="197"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extended-release oral solids, injectables, transdermals and topicals, performed better than expectations, driven primarily by COVID-19 related products.</w:t>
      </w:r>
    </w:p>
    <w:p>
      <w:pPr>
        <w:spacing w:after="0" w:line="197" w:lineRule="exact"/>
        <w:rPr>
          <w:rFonts w:ascii="Arial" w:cs="Arial" w:eastAsia="Arial" w:hAnsi="Arial"/>
          <w:sz w:val="18"/>
          <w:szCs w:val="18"/>
          <w:color w:val="auto"/>
        </w:rPr>
      </w:pPr>
    </w:p>
    <w:p>
      <w:pPr>
        <w:ind w:left="340" w:right="42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generated an additional $224 million in new product revenue (as defined in "Certain Key Terms" below) in the second quarter ($397 million for the year to date period), and is on track to meet $690 million in new product revenue in 2021.</w:t>
      </w:r>
    </w:p>
    <w:p>
      <w:pPr>
        <w:spacing w:after="0" w:line="197"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generated $470 million of free cash flow in the second quarter ($1.27 billion for the year to date period), primarily driven by solid U.S. GAAP net cash provided by operating activities of $559 million in the quarter ($1.41 billion for the year to date period).</w:t>
      </w:r>
    </w:p>
    <w:p>
      <w:pPr>
        <w:spacing w:after="0" w:line="197"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solid progress in advancing key pipeline programs for biosimilars, complex products and complex injectables, including the approval of Semglee® as the first interchangeable biosimilar in the U.S. in July.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Integration and Restructuring</w:t>
      </w:r>
    </w:p>
    <w:p>
      <w:pPr>
        <w:spacing w:after="0" w:line="24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Workforce actions related to the Company’s previously announced global restructuring program are well underway.</w:t>
      </w:r>
    </w:p>
    <w:p>
      <w:pPr>
        <w:spacing w:after="0" w:line="225"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remains on track to realize approximately $500 million of cost synergies this year and to achieve at least $1 billion of cost synergies by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Capital Allocation</w:t>
      </w:r>
    </w:p>
    <w:p>
      <w:pPr>
        <w:spacing w:after="0" w:line="247" w:lineRule="exact"/>
        <w:rPr>
          <w:sz w:val="20"/>
          <w:szCs w:val="20"/>
          <w:color w:val="auto"/>
        </w:rPr>
      </w:pPr>
    </w:p>
    <w:p>
      <w:pPr>
        <w:ind w:left="340" w:right="50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Viatris paid its inaugural quarterly cash dividend of eleven cents ($0.11) per share on June 16, 2021. The Viatris Board of Directors declared a second quarterly dividend of eleven cents ($0.11) per share payable on September 16, 2021.</w:t>
      </w:r>
    </w:p>
    <w:p>
      <w:pPr>
        <w:spacing w:after="0" w:line="197" w:lineRule="exact"/>
        <w:rPr>
          <w:rFonts w:ascii="Arial" w:cs="Arial" w:eastAsia="Arial" w:hAnsi="Arial"/>
          <w:sz w:val="18"/>
          <w:szCs w:val="18"/>
          <w:color w:val="auto"/>
        </w:rPr>
      </w:pPr>
    </w:p>
    <w:p>
      <w:pPr>
        <w:ind w:left="340" w:right="280" w:hanging="332"/>
        <w:spacing w:after="0" w:line="25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six months ended June 30, 2021, the Company has repaid approximately $1.15 billion of debt and expects to repay additional debt in the second half of 2021, which is in line with the commitment to repay approximately $6.5 billion of debt through 2023, and remains fully committed to maintaining its investment grade credit rating.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COVID-19 Response</w:t>
      </w:r>
    </w:p>
    <w:p>
      <w:pPr>
        <w:spacing w:after="0" w:line="24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continues to support the health and safety of colleagues and their families around the world as a top priority.</w:t>
      </w:r>
    </w:p>
    <w:p>
      <w:pPr>
        <w:spacing w:after="0" w:line="225" w:lineRule="exact"/>
        <w:rPr>
          <w:rFonts w:ascii="Arial" w:cs="Arial" w:eastAsia="Arial" w:hAnsi="Arial"/>
          <w:sz w:val="18"/>
          <w:szCs w:val="18"/>
          <w:color w:val="auto"/>
        </w:rPr>
      </w:pPr>
    </w:p>
    <w:p>
      <w:pPr>
        <w:ind w:left="340" w:right="120" w:hanging="332"/>
        <w:spacing w:after="0" w:line="261"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Viatris has ramped up production of antiviral medicines, and continues to work with government authorities in India to further reduce the cost of the medicines and educate more than 20,000 healthcare professionals about product usage.</w:t>
      </w:r>
    </w:p>
    <w:p>
      <w:pPr>
        <w:spacing w:after="0" w:line="197" w:lineRule="exact"/>
        <w:rPr>
          <w:rFonts w:ascii="Arial" w:cs="Arial" w:eastAsia="Arial" w:hAnsi="Arial"/>
          <w:sz w:val="18"/>
          <w:szCs w:val="18"/>
          <w:color w:val="auto"/>
        </w:rPr>
      </w:pPr>
    </w:p>
    <w:p>
      <w:pPr>
        <w:ind w:left="340" w:right="320" w:hanging="332"/>
        <w:spacing w:after="0" w:line="256"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Viatris has a broad, diverse and resilient global manufacturing and supply chain footprint. The Company is not dependent on any one country or site. Even in India, the Company's manufacturing footprint is spread over five different states, which mitigates the risk of disruption in any given part of the country.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02" w:right="359" w:bottom="1440" w:gutter="0" w:footer="0" w:header="0"/>
        </w:sectPr>
      </w:pPr>
    </w:p>
    <w:bookmarkStart w:id="7" w:name="page8"/>
    <w:bookmarkEnd w:id="7"/>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Updated 2021 Financial Guidance</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result of the underlying strength of the business, Viatris is raising its financial guidance for 2021 as set forth below. The Company is not providing forward-looking guidance for U.S. GAAP net loss or a quantitative reconciliation of its 2021 adjusted EBITDA guidance to the most directly comparable U.S. GAAP measure, U.S. GAAP net (loss) earnings,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2021 is estimated to be between $2.80 billion and $2.95 billion, with a midpoint of approximately $2.875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2021 Financial Guidance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40" w:type="dxa"/>
            <w:vAlign w:val="bottom"/>
            <w:gridSpan w:val="4"/>
          </w:tcPr>
          <w:p>
            <w:pPr>
              <w:ind w:left="320"/>
              <w:spacing w:after="0"/>
              <w:rPr>
                <w:sz w:val="20"/>
                <w:szCs w:val="20"/>
                <w:color w:val="auto"/>
              </w:rPr>
            </w:pPr>
            <w:r>
              <w:rPr>
                <w:rFonts w:ascii="Arial" w:cs="Arial" w:eastAsia="Arial" w:hAnsi="Arial"/>
                <w:sz w:val="14"/>
                <w:szCs w:val="14"/>
                <w:b w:val="1"/>
                <w:bCs w:val="1"/>
                <w:color w:val="auto"/>
              </w:rPr>
              <w:t>Updated Guidance</w:t>
            </w:r>
          </w:p>
        </w:tc>
        <w:tc>
          <w:tcPr>
            <w:tcW w:w="780" w:type="dxa"/>
            <w:vAlign w:val="bottom"/>
          </w:tcPr>
          <w:p>
            <w:pPr>
              <w:spacing w:after="0"/>
              <w:rPr>
                <w:sz w:val="16"/>
                <w:szCs w:val="16"/>
                <w:color w:val="auto"/>
              </w:rPr>
            </w:pPr>
          </w:p>
        </w:tc>
        <w:tc>
          <w:tcPr>
            <w:tcW w:w="2600" w:type="dxa"/>
            <w:vAlign w:val="bottom"/>
            <w:gridSpan w:val="3"/>
          </w:tcPr>
          <w:p>
            <w:pPr>
              <w:ind w:left="260"/>
              <w:spacing w:after="0"/>
              <w:rPr>
                <w:sz w:val="20"/>
                <w:szCs w:val="20"/>
                <w:color w:val="auto"/>
              </w:rPr>
            </w:pPr>
            <w:r>
              <w:rPr>
                <w:rFonts w:ascii="Arial" w:cs="Arial" w:eastAsia="Arial" w:hAnsi="Arial"/>
                <w:sz w:val="14"/>
                <w:szCs w:val="14"/>
                <w:b w:val="1"/>
                <w:bCs w:val="1"/>
                <w:color w:val="auto"/>
              </w:rPr>
              <w:t>Previous Guidance</w:t>
            </w:r>
          </w:p>
        </w:tc>
      </w:tr>
      <w:tr>
        <w:trPr>
          <w:trHeight w:val="189"/>
        </w:trPr>
        <w:tc>
          <w:tcPr>
            <w:tcW w:w="424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(In billions)</w:t>
            </w:r>
          </w:p>
        </w:tc>
        <w:tc>
          <w:tcPr>
            <w:tcW w:w="1780" w:type="dxa"/>
            <w:vAlign w:val="bottom"/>
            <w:gridSpan w:val="3"/>
          </w:tcPr>
          <w:p>
            <w:pPr>
              <w:ind w:left="600"/>
              <w:spacing w:after="0"/>
              <w:rPr>
                <w:sz w:val="20"/>
                <w:szCs w:val="20"/>
                <w:color w:val="auto"/>
              </w:rPr>
            </w:pPr>
            <w:r>
              <w:rPr>
                <w:rFonts w:ascii="Arial" w:cs="Arial" w:eastAsia="Arial" w:hAnsi="Arial"/>
                <w:sz w:val="14"/>
                <w:szCs w:val="14"/>
                <w:b w:val="1"/>
                <w:bCs w:val="1"/>
                <w:color w:val="auto"/>
              </w:rPr>
              <w:t>Range</w:t>
            </w:r>
          </w:p>
        </w:tc>
        <w:tc>
          <w:tcPr>
            <w:tcW w:w="1820" w:type="dxa"/>
            <w:vAlign w:val="bottom"/>
            <w:gridSpan w:val="2"/>
          </w:tcPr>
          <w:p>
            <w:pPr>
              <w:ind w:left="520"/>
              <w:spacing w:after="0"/>
              <w:rPr>
                <w:sz w:val="20"/>
                <w:szCs w:val="20"/>
                <w:color w:val="auto"/>
              </w:rPr>
            </w:pPr>
            <w:r>
              <w:rPr>
                <w:rFonts w:ascii="Arial" w:cs="Arial" w:eastAsia="Arial" w:hAnsi="Arial"/>
                <w:sz w:val="14"/>
                <w:szCs w:val="14"/>
                <w:b w:val="1"/>
                <w:bCs w:val="1"/>
                <w:color w:val="auto"/>
              </w:rPr>
              <w:t>Midpoint</w:t>
            </w:r>
          </w:p>
        </w:tc>
        <w:tc>
          <w:tcPr>
            <w:tcW w:w="1740" w:type="dxa"/>
            <w:vAlign w:val="bottom"/>
            <w:gridSpan w:val="3"/>
          </w:tcPr>
          <w:p>
            <w:pPr>
              <w:ind w:left="600"/>
              <w:spacing w:after="0"/>
              <w:rPr>
                <w:sz w:val="20"/>
                <w:szCs w:val="20"/>
                <w:color w:val="auto"/>
              </w:rPr>
            </w:pPr>
            <w:r>
              <w:rPr>
                <w:rFonts w:ascii="Arial" w:cs="Arial" w:eastAsia="Arial" w:hAnsi="Arial"/>
                <w:sz w:val="14"/>
                <w:szCs w:val="14"/>
                <w:b w:val="1"/>
                <w:bCs w:val="1"/>
                <w:color w:val="auto"/>
              </w:rPr>
              <w:t>Range</w:t>
            </w:r>
          </w:p>
        </w:tc>
        <w:tc>
          <w:tcPr>
            <w:tcW w:w="1640" w:type="dxa"/>
            <w:vAlign w:val="bottom"/>
          </w:tcPr>
          <w:p>
            <w:pPr>
              <w:ind w:left="520"/>
              <w:spacing w:after="0"/>
              <w:rPr>
                <w:sz w:val="20"/>
                <w:szCs w:val="20"/>
                <w:color w:val="auto"/>
              </w:rPr>
            </w:pPr>
            <w:r>
              <w:rPr>
                <w:rFonts w:ascii="Arial" w:cs="Arial" w:eastAsia="Arial" w:hAnsi="Arial"/>
                <w:sz w:val="14"/>
                <w:szCs w:val="14"/>
                <w:b w:val="1"/>
                <w:bCs w:val="1"/>
                <w:color w:val="auto"/>
              </w:rPr>
              <w:t>Midpoint</w:t>
            </w:r>
          </w:p>
        </w:tc>
      </w:tr>
      <w:tr>
        <w:trPr>
          <w:trHeight w:val="18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$17.9</w:t>
            </w:r>
          </w:p>
        </w:tc>
        <w:tc>
          <w:tcPr>
            <w:tcW w:w="16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$17.7</w:t>
            </w: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$17.8</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$17.5</w:t>
            </w:r>
          </w:p>
        </w:tc>
      </w:tr>
      <w:tr>
        <w:trPr>
          <w:trHeight w:val="189"/>
        </w:trPr>
        <w:tc>
          <w:tcPr>
            <w:tcW w:w="4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$6.15</w:t>
            </w:r>
          </w:p>
        </w:tc>
        <w:tc>
          <w:tcPr>
            <w:tcW w:w="860" w:type="dxa"/>
            <w:vAlign w:val="bottom"/>
          </w:tcPr>
          <w:p>
            <w:pPr>
              <w:ind w:left="20"/>
              <w:spacing w:after="0"/>
              <w:rPr>
                <w:sz w:val="20"/>
                <w:szCs w:val="20"/>
                <w:color w:val="auto"/>
              </w:rPr>
            </w:pPr>
            <w:r>
              <w:rPr>
                <w:rFonts w:ascii="Arial" w:cs="Arial" w:eastAsia="Arial" w:hAnsi="Arial"/>
                <w:sz w:val="14"/>
                <w:szCs w:val="14"/>
                <w:color w:val="auto"/>
              </w:rPr>
              <w:t>- $6.45</w:t>
            </w: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60" w:type="dxa"/>
            <w:vAlign w:val="bottom"/>
          </w:tcPr>
          <w:p>
            <w:pPr>
              <w:ind w:left="20"/>
              <w:spacing w:after="0"/>
              <w:rPr>
                <w:sz w:val="20"/>
                <w:szCs w:val="20"/>
                <w:color w:val="auto"/>
              </w:rPr>
            </w:pPr>
            <w:r>
              <w:rPr>
                <w:rFonts w:ascii="Arial" w:cs="Arial" w:eastAsia="Arial" w:hAnsi="Arial"/>
                <w:sz w:val="14"/>
                <w:szCs w:val="14"/>
                <w:color w:val="auto"/>
              </w:rPr>
              <w:t>- $6.4</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$6.2</w:t>
            </w:r>
          </w:p>
        </w:tc>
      </w:tr>
      <w:tr>
        <w:trPr>
          <w:trHeight w:val="189"/>
        </w:trPr>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$2.4</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$2.3</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$2.15</w:t>
            </w:r>
          </w:p>
        </w:tc>
      </w:tr>
    </w:tbl>
    <w:p>
      <w:pPr>
        <w:spacing w:after="0" w:line="161" w:lineRule="exact"/>
        <w:rPr>
          <w:sz w:val="20"/>
          <w:szCs w:val="20"/>
          <w:color w:val="auto"/>
        </w:rPr>
      </w:pPr>
    </w:p>
    <w:p>
      <w:pPr>
        <w:ind w:left="540" w:hanging="208"/>
        <w:spacing w:after="0"/>
        <w:tabs>
          <w:tab w:leader="none" w:pos="5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Conference Call and Earnings Materials</w:t>
      </w:r>
    </w:p>
    <w:p>
      <w:pPr>
        <w:spacing w:after="0" w:line="2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Viatris Inc. will host a conference call and live webcast, today at 10:00 a.m. ET, to review the Company's financial results for the second quarter ended June 30, 2021. Investors and the general public are invited to listen to a live webcast of the call at investor.viatris.com or by calling 855.493.3607 or 346.354.0950 for international callers (ID#: 9972248). The "Viatris Q2 Earnings Presentation", which will be referenced during the call, can be found at investor.viatris.com. A replay of the webcast also will be available on the website.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Key Terms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combined measures described herein are calculated as indicated, are reflected as approximations and/or with rounding, and do not reflect pro forma results in accordance with ASC 805 or Article 11 of Regulation S-X. Such measures also do not reflect the effect of any purchase accounting adjustments, including but not limited to the elimination of intercompany sales and the fair value of assets and liabilities. Viatris believes these combined 2020 measures provide useful information to understanding and assessing our 2021 performance because they include both Mylan and Upjohn business results, adjusted as set forth below, whereas historical financial information of Viatris prior to November 16, 2020 only represents Mylan’s historical results as Mylan is considered the accounting acquiror of the Upjohn business.</w:t>
      </w:r>
    </w:p>
    <w:p>
      <w:pPr>
        <w:spacing w:after="0" w:line="20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u w:val="single" w:color="auto"/>
          <w:color w:val="auto"/>
        </w:rPr>
        <w:t>Combined Adjusted Q2 and YTD 2020 results</w:t>
      </w:r>
      <w:r>
        <w:rPr>
          <w:rFonts w:ascii="Arial" w:cs="Arial" w:eastAsia="Arial" w:hAnsi="Arial"/>
          <w:sz w:val="18"/>
          <w:szCs w:val="18"/>
          <w:color w:val="auto"/>
        </w:rPr>
        <w:t xml:space="preserve"> refer to the sum of Mylan’s standalone results and the standalone carve-out results from the Upjohn Business for the 2020 period presented, adjusted for product divestitures in connection with the Combination and sales to Pfizer for pharmaceutical products provided under its U.S. healthcare plan.</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u w:val="single" w:color="auto"/>
          <w:color w:val="auto"/>
        </w:rPr>
        <w:t>Combined LOE Adjusted Q2 and YTD 2020 results</w:t>
      </w:r>
      <w:r>
        <w:rPr>
          <w:rFonts w:ascii="Arial" w:cs="Arial" w:eastAsia="Arial" w:hAnsi="Arial"/>
          <w:sz w:val="18"/>
          <w:szCs w:val="18"/>
          <w:color w:val="auto"/>
        </w:rPr>
        <w:t xml:space="preserve"> refer to Combined Adjusted Q2 and YTD 2020 results, adjusted for the impact of loss of exclusivity (“LOE”) of Lyrica and Celebrex in Japan which occurred after Q2 2020.</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 to revenue from new products launched in 2021 and the carryover impact of new products, including business development, launched since July 1, 2020 (e.g., acquisition of Aspen's thrombosis business in November 2020).</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 and is derived by translating net sales or revenues for the current periods presented at prior year comparative period exchange rates, and in doing so shows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percentage change from 2021 constant currency net sales or revenues to the corresponding amount in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adjusted R&amp;D and as a</w:t>
      </w:r>
    </w:p>
    <w:p>
      <w:pPr>
        <w:spacing w:after="0" w:line="1" w:lineRule="exact"/>
        <w:rPr>
          <w:sz w:val="20"/>
          <w:szCs w:val="20"/>
          <w:color w:val="auto"/>
        </w:rPr>
      </w:pPr>
    </w:p>
    <w:p>
      <w:pPr>
        <w:ind w:firstLine="8"/>
        <w:spacing w:after="0" w:line="250"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total revenues, adjusted SG&amp;A and as a % of total revenues, adjusted earnings from operations, adjusted interest expense, adjusted other (income) expense, adjusted effective tax rate, constant currency total revenues and constant currency net sales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and net sales. These measures provide information on the change in total revenues and net sales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net sales on an actual and constant currency basis for each reportable segment for the three and six months ended June 30, 2021 and 2020 as well as for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908"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Viatris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Viatris Inc. (NASDAQ: VTRS) is a new kind of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 -communicable and infectious diseases, including globally recognized brands, complex generic and branded medicines, a growing portfolio of biosimilars and a variety of over-the-counter consumer products. With a global workforce of over 40,000, Viatris is headquartered in the U.S., with global centers in Pittsburgh, Shanghai and Hyderabad, India. Learn more at viatris.com and investor.viatris.com, and connect with us on Twitter at @ViatrisInc, LinkedIn and YouTube.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Communications@viatris.com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Jennifer Mauer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Communications and Corporate Brand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Jennifer.Mauer@viatris.com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+1.724.514.1813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InvestorRelations@viatris.com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Bill Szablewski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William.Szablewski@viatris.com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Melissa Trombetta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Melissa.Trombetta@viatris.com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2021 guidance; quarterly dividend of $0.11 per share payable on September 16, 2021 to stockholders of record at the close of business on August 24, 2021; we are executing at a high level across the entire business, and we continue to leverage our scientific and R&amp;D capabilities to pave the way for patients’ access to safe, effective, and high-quality medicines; we have raised our financial guidance for the year, and we have strong momentum going into the second half of 2021; at the end of the third quarter, we will be open, once again, to reassess financial guidance; the historic approval for the first interchangeable biosimilar in the U.S. we recently received is, perhaps, one of the most significant milestones to date demonstrating the success of our scientific capabilities; we fully intend to leverage these scientific capabilities to continue to add high-value assets to our pipeline going forward, to break down barriers to access, bring forth first-to-market products and blaze new trails to increase access to complex treatments for patients; this quarter continues to highlight our ability to generate substantial cash flow which was above our expectations; we anticipate significant increases in cash flow generation in the coming years, driven by strong underlying business performance, a reduction in one-time costs and continued improvement in cash flow conversion; workforce actions related to the Company’s previously announced global restructuring program are well underway; the Company remains on track to realize approximately $500 million of cost synergies this year and to achieve at least $1 billion of cost synergies by 2023; for the six months ended June 30, 2021, the Company has repaid approximately $1.15 billion of debt and expects to repay additional debt in the second half of 2021, which is in line with the commitment to repay approximately $6.5 billion of debt through 2023, and remains fully committed to maintaining its investment grade credit rating; Viatris has ramped up production of antiviral medicines, and continues to work with government authorities in India to further reduce the cost of the</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102" w:right="339" w:bottom="1440" w:gutter="0" w:footer="0" w:header="0"/>
          <w:type w:val="continuous"/>
        </w:sectPr>
      </w:pPr>
    </w:p>
    <w:bookmarkStart w:id="10" w:name="page11"/>
    <w:bookmarkEnd w:id="10"/>
    <w:p>
      <w:pPr>
        <w:spacing w:after="0" w:line="250" w:lineRule="auto"/>
        <w:rPr>
          <w:sz w:val="20"/>
          <w:szCs w:val="20"/>
          <w:color w:val="auto"/>
        </w:rPr>
      </w:pPr>
      <w:r>
        <w:rPr>
          <w:rFonts w:ascii="Arial" w:cs="Arial" w:eastAsia="Arial" w:hAnsi="Arial"/>
          <w:sz w:val="18"/>
          <w:szCs w:val="18"/>
          <w:color w:val="auto"/>
        </w:rPr>
        <w:t>medicines and educate more than 20,000 healthcare professionals about product usage; Viatris has a broad, diverse and resilient global manufacturing and supply chain footprint; the Company is not dependent on any one country or site; even in India, the Company's manufacturing footprint is spread over five different states, which mitigates the risk of disruption in any given part of the country; and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integration of Mylan and the Upjohn Business or the implementation of the Company’s global restructuring program being more difficult, time consuming or costly than expected; the possibility that the Company may be unable to achieve expected benefits, synergies and operating efficiencies in connection with the Combination or its global restructuring program within the expected timeframe or at all; the possibility that the Company may be unable to successfully integrate Mylan and the Upjohn Business or implement its global restructuring program; operational or financial difficulties or losses associated with the Company’s reliance on agreements with Pfizer in connection with the Combination, including with respect to transition services; the possibility that the Company may be unable to achieve all intended benefits of its strategic initiatives;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in the 2020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 revisions or changes after the date of this release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908"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Net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4,561.7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2,695.9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8,961.8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5,284.1</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revenues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2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4,577.8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2,731.2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9,008.1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5,350.4</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3,250.1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6,553.1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3,418.6</w:t>
            </w: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1,327.7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2,455.0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1,931.8</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270.5</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1,324.8</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3"/>
        </w:trPr>
        <w:tc>
          <w:tcPr>
            <w:tcW w:w="6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1,375.5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2,769.0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1,612.9</w:t>
            </w:r>
          </w:p>
        </w:tc>
        <w:tc>
          <w:tcPr>
            <w:tcW w:w="0" w:type="dxa"/>
            <w:vAlign w:val="bottom"/>
          </w:tcPr>
          <w:p>
            <w:pPr>
              <w:spacing w:after="0"/>
              <w:rPr>
                <w:sz w:val="1"/>
                <w:szCs w:val="1"/>
                <w:color w:val="auto"/>
              </w:rPr>
            </w:pP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color w:val="auto"/>
              </w:rPr>
              <w:t>(Loss) earnings from operations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318.9</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earnings before income taxes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656.4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earnings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(Loss) earnings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shares outstanding:</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1,208.8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1,208.2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540" w:type="dxa"/>
            <w:vAlign w:val="bottom"/>
            <w:tcBorders>
              <w:bottom w:val="single" w:sz="8" w:color="CCEEFF"/>
            </w:tcBorders>
          </w:tcPr>
          <w:p>
            <w:pPr>
              <w:spacing w:after="0"/>
              <w:rPr>
                <w:sz w:val="15"/>
                <w:szCs w:val="15"/>
                <w:color w:val="auto"/>
              </w:rPr>
            </w:pPr>
          </w:p>
        </w:tc>
        <w:tc>
          <w:tcPr>
            <w:tcW w:w="38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69"/>
        </w:trPr>
        <w:tc>
          <w:tcPr>
            <w:tcW w:w="4540" w:type="dxa"/>
            <w:vAlign w:val="bottom"/>
            <w:shd w:val="clear" w:color="auto" w:fill="CCEEFF"/>
          </w:tcPr>
          <w:p>
            <w:pPr>
              <w:spacing w:after="0"/>
              <w:rPr>
                <w:sz w:val="14"/>
                <w:szCs w:val="14"/>
                <w:color w:val="auto"/>
              </w:rPr>
            </w:pPr>
          </w:p>
        </w:tc>
        <w:tc>
          <w:tcPr>
            <w:tcW w:w="3840" w:type="dxa"/>
            <w:vAlign w:val="bottom"/>
            <w:shd w:val="clear" w:color="auto" w:fill="CCEEFF"/>
          </w:tcPr>
          <w:p>
            <w:pPr>
              <w:jc w:val="center"/>
              <w:ind w:right="1628"/>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Assets</w:t>
            </w: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assets:</w:t>
            </w:r>
          </w:p>
        </w:tc>
        <w:tc>
          <w:tcPr>
            <w:tcW w:w="3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45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4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673.9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844.4</w:t>
            </w:r>
          </w:p>
        </w:tc>
      </w:tr>
      <w:tr>
        <w:trPr>
          <w:trHeight w:val="189"/>
        </w:trPr>
        <w:tc>
          <w:tcPr>
            <w:tcW w:w="4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3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4,843.8</w:t>
            </w:r>
          </w:p>
        </w:tc>
      </w:tr>
      <w:tr>
        <w:trPr>
          <w:trHeight w:val="189"/>
        </w:trPr>
        <w:tc>
          <w:tcPr>
            <w:tcW w:w="454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4,487.6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5,471.9</w:t>
            </w:r>
          </w:p>
        </w:tc>
      </w:tr>
      <w:tr>
        <w:trPr>
          <w:trHeight w:val="189"/>
        </w:trPr>
        <w:tc>
          <w:tcPr>
            <w:tcW w:w="4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38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2,109.6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1,707.4</w:t>
            </w:r>
          </w:p>
        </w:tc>
      </w:tr>
      <w:tr>
        <w:trPr>
          <w:trHeight w:val="183"/>
        </w:trPr>
        <w:tc>
          <w:tcPr>
            <w:tcW w:w="454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3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11,749.8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12,867.5</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assets, net</w:t>
            </w:r>
          </w:p>
        </w:tc>
        <w:tc>
          <w:tcPr>
            <w:tcW w:w="3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27,863.7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29,683.2</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Goodwill</w:t>
            </w: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11,990.4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12,347.0</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38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6,380.2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6,655.3</w:t>
            </w: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4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57,984.1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61,553.0</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540" w:type="dxa"/>
            <w:vAlign w:val="bottom"/>
            <w:shd w:val="clear" w:color="auto" w:fill="CCEEFF"/>
          </w:tcPr>
          <w:p>
            <w:pPr>
              <w:spacing w:after="0"/>
              <w:rPr>
                <w:sz w:val="13"/>
                <w:szCs w:val="13"/>
                <w:color w:val="auto"/>
              </w:rPr>
            </w:pPr>
          </w:p>
        </w:tc>
        <w:tc>
          <w:tcPr>
            <w:tcW w:w="3840" w:type="dxa"/>
            <w:vAlign w:val="bottom"/>
            <w:shd w:val="clear" w:color="auto" w:fill="CCEEFF"/>
          </w:tcPr>
          <w:p>
            <w:pPr>
              <w:jc w:val="center"/>
              <w:ind w:right="1648"/>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 and other long-term obligations</w:t>
            </w:r>
          </w:p>
        </w:tc>
        <w:tc>
          <w:tcPr>
            <w:tcW w:w="4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2,308.5</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7,948.2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8,254.4</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3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20,917.0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22,429.2</w:t>
            </w:r>
          </w:p>
        </w:tc>
      </w:tr>
      <w:tr>
        <w:trPr>
          <w:trHeight w:val="189"/>
        </w:trPr>
        <w:tc>
          <w:tcPr>
            <w:tcW w:w="4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38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5,727.6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5,606.8</w:t>
            </w: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36,777.2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38,598.9</w:t>
            </w:r>
          </w:p>
        </w:tc>
      </w:t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Shareholders' equity</w:t>
            </w:r>
          </w:p>
        </w:tc>
        <w:tc>
          <w:tcPr>
            <w:tcW w:w="38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21,206.9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22,954.1</w:t>
            </w: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4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57,984.1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61,553.0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40" w:top="886"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Viatris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 Key Product Net Sales, on a Consolidated Basis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Six Months Ended June 30, 2021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6"/>
        </w:trPr>
        <w:tc>
          <w:tcPr>
            <w:tcW w:w="724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Select Key Global Products</w:t>
            </w: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Lipitor ®</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862.9</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Norvasc ®</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Lyrica ®</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Viagra ®</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EpiPen® Auto-Injectors</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Effexor ®</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Celebrex ®</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Creon ®</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Zoloft ®</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Xalabrands</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Select Key Segment Products</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Dymista ®</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Amitiza ®</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Xanax ®</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90"/>
        </w:trPr>
        <w:tc>
          <w:tcPr>
            <w:tcW w:w="7240" w:type="dxa"/>
            <w:vAlign w:val="bottom"/>
          </w:tcPr>
          <w:p>
            <w:pPr>
              <w:ind w:left="140"/>
              <w:spacing w:after="0"/>
              <w:rPr>
                <w:sz w:val="20"/>
                <w:szCs w:val="20"/>
                <w:color w:val="auto"/>
              </w:rPr>
            </w:pPr>
            <w:r>
              <w:rPr>
                <w:rFonts w:ascii="Arial" w:cs="Arial" w:eastAsia="Arial" w:hAnsi="Arial"/>
                <w:sz w:val="14"/>
                <w:szCs w:val="14"/>
                <w:color w:val="auto"/>
              </w:rPr>
              <w:t>Yupelri ®</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36"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The Company does not disclose net sales for any products considered competitively sensitive.</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Products disclosed may change in future periods, including as a result of seasonality, competition or new product introductions.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7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(Loss) Earnings to Adjusted Net Earnings</w:t>
      </w:r>
    </w:p>
    <w:p>
      <w:pPr>
        <w:spacing w:after="0" w:line="13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Below is a reconciliation of U.S. GAAP net (loss) earnings to adjusted net earnings for the three and six months ended June 30, 2021 compared to the prior year period: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22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0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8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89"/>
        </w:trPr>
        <w:tc>
          <w:tcPr>
            <w:tcW w:w="68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Purchase accounting related amortization (primarily included in cost of sales) </w:t>
            </w:r>
            <w:r>
              <w:rPr>
                <w:rFonts w:ascii="Arial" w:cs="Arial" w:eastAsia="Arial" w:hAnsi="Arial"/>
                <w:sz w:val="18"/>
                <w:szCs w:val="18"/>
                <w:color w:val="auto"/>
                <w:vertAlign w:val="superscript"/>
              </w:rPr>
              <w:t>(a)</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704.0</w:t>
            </w:r>
          </w:p>
        </w:tc>
      </w:t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Litigation settlements and other contingencies,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89"/>
        </w:trPr>
        <w:tc>
          <w:tcPr>
            <w:tcW w:w="6860" w:type="dxa"/>
            <w:vAlign w:val="bottom"/>
          </w:tcPr>
          <w:p>
            <w:pPr>
              <w:ind w:left="20"/>
              <w:spacing w:after="0"/>
              <w:rPr>
                <w:sz w:val="20"/>
                <w:szCs w:val="20"/>
                <w:color w:val="auto"/>
              </w:rPr>
            </w:pPr>
            <w:r>
              <w:rPr>
                <w:rFonts w:ascii="Arial" w:cs="Arial" w:eastAsia="Arial" w:hAnsi="Arial"/>
                <w:sz w:val="14"/>
                <w:szCs w:val="14"/>
                <w:color w:val="auto"/>
              </w:rPr>
              <w:t>Interest expense (primarily amortization of premiums and discounts on long term debt)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energy investments pre-tax loss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89"/>
        </w:trPr>
        <w:tc>
          <w:tcPr>
            <w:tcW w:w="68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Acquisition related costs (primarily included in SG&amp;A) </w:t>
            </w:r>
            <w:r>
              <w:rPr>
                <w:rFonts w:ascii="Arial" w:cs="Arial" w:eastAsia="Arial" w:hAnsi="Arial"/>
                <w:sz w:val="18"/>
                <w:szCs w:val="18"/>
                <w:color w:val="auto"/>
                <w:vertAlign w:val="superscript"/>
              </w:rPr>
              <w:t>(b)</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145.9</w:t>
            </w:r>
          </w:p>
        </w:tc>
      </w:tr>
      <w:tr>
        <w:trPr>
          <w:trHeight w:val="189"/>
        </w:trPr>
        <w:tc>
          <w:tcPr>
            <w:tcW w:w="6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Restructuring related costs </w:t>
            </w:r>
            <w:r>
              <w:rPr>
                <w:rFonts w:ascii="Arial" w:cs="Arial" w:eastAsia="Arial" w:hAnsi="Arial"/>
                <w:sz w:val="18"/>
                <w:szCs w:val="18"/>
                <w:color w:val="auto"/>
                <w:vertAlign w:val="superscript"/>
              </w:rPr>
              <w:t>(c)</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r>
      <w:tr>
        <w:trPr>
          <w:trHeight w:val="189"/>
        </w:trPr>
        <w:tc>
          <w:tcPr>
            <w:tcW w:w="686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special items included in: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686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Cost of sales </w:t>
            </w:r>
            <w:r>
              <w:rPr>
                <w:rFonts w:ascii="Arial" w:cs="Arial" w:eastAsia="Arial" w:hAnsi="Arial"/>
                <w:sz w:val="18"/>
                <w:szCs w:val="18"/>
                <w:color w:val="auto"/>
                <w:vertAlign w:val="superscript"/>
              </w:rPr>
              <w:t>(d)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215.7</w:t>
            </w:r>
          </w:p>
        </w:tc>
      </w:tr>
      <w:tr>
        <w:trPr>
          <w:trHeight w:val="189"/>
        </w:trPr>
        <w:tc>
          <w:tcPr>
            <w:tcW w:w="686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Research and development expense </w:t>
            </w:r>
            <w:r>
              <w:rPr>
                <w:rFonts w:ascii="Arial" w:cs="Arial" w:eastAsia="Arial" w:hAnsi="Arial"/>
                <w:sz w:val="18"/>
                <w:szCs w:val="18"/>
                <w:color w:val="auto"/>
                <w:vertAlign w:val="superscript"/>
              </w:rPr>
              <w:t>(e)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189"/>
        </w:trPr>
        <w:tc>
          <w:tcPr>
            <w:tcW w:w="686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89"/>
        </w:trPr>
        <w:tc>
          <w:tcPr>
            <w:tcW w:w="6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expense, net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89"/>
        </w:trPr>
        <w:tc>
          <w:tcPr>
            <w:tcW w:w="68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Tax effect of the above items and other income tax related items </w:t>
            </w:r>
            <w:r>
              <w:rPr>
                <w:rFonts w:ascii="Arial" w:cs="Arial" w:eastAsia="Arial" w:hAnsi="Arial"/>
                <w:sz w:val="18"/>
                <w:szCs w:val="18"/>
                <w:color w:val="auto"/>
                <w:vertAlign w:val="superscript"/>
              </w:rPr>
              <w:t>(f)</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(246.0)</w:t>
            </w:r>
          </w:p>
        </w:tc>
      </w:tr>
      <w:tr>
        <w:trPr>
          <w:trHeight w:val="20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earnings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Significant items include the following:</w:t>
      </w:r>
    </w:p>
    <w:p>
      <w:pPr>
        <w:spacing w:after="0" w:line="55" w:lineRule="exact"/>
        <w:rPr>
          <w:sz w:val="20"/>
          <w:szCs w:val="20"/>
          <w:color w:val="auto"/>
        </w:rPr>
      </w:pPr>
    </w:p>
    <w:p>
      <w:pPr>
        <w:ind w:left="660" w:hanging="328"/>
        <w:spacing w:after="0" w:line="258" w:lineRule="auto"/>
        <w:tabs>
          <w:tab w:leader="none" w:pos="653"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the three and six months ended June 30, 2021 includes amortization of the purchase accounting inventory fair value adjustment related to the Combination totaling approximately $477.3 million and $953.7 million, respectively.</w:t>
      </w:r>
    </w:p>
    <w:p>
      <w:pPr>
        <w:spacing w:after="0" w:line="31" w:lineRule="exact"/>
        <w:rPr>
          <w:rFonts w:ascii="Arial" w:cs="Arial" w:eastAsia="Arial" w:hAnsi="Arial"/>
          <w:sz w:val="9"/>
          <w:szCs w:val="9"/>
          <w:color w:val="auto"/>
        </w:rPr>
      </w:pPr>
    </w:p>
    <w:p>
      <w:pPr>
        <w:ind w:left="640" w:hanging="308"/>
        <w:spacing w:after="0"/>
        <w:tabs>
          <w:tab w:leader="none" w:pos="640" w:val="left"/>
        </w:tabs>
        <w:numPr>
          <w:ilvl w:val="0"/>
          <w:numId w:val="11"/>
        </w:numPr>
        <w:rPr>
          <w:rFonts w:ascii="Arial" w:cs="Arial" w:eastAsia="Arial" w:hAnsi="Arial"/>
          <w:sz w:val="9"/>
          <w:szCs w:val="9"/>
          <w:color w:val="auto"/>
        </w:rPr>
      </w:pPr>
      <w:r>
        <w:rPr>
          <w:rFonts w:ascii="Arial" w:cs="Arial" w:eastAsia="Arial" w:hAnsi="Arial"/>
          <w:sz w:val="14"/>
          <w:szCs w:val="14"/>
          <w:color w:val="auto"/>
        </w:rPr>
        <w:t>Acquisition related costs consist primarily of transaction costs including legal and consulting fees and integration activities.</w:t>
      </w:r>
    </w:p>
    <w:p>
      <w:pPr>
        <w:spacing w:after="0" w:line="55" w:lineRule="exact"/>
        <w:rPr>
          <w:rFonts w:ascii="Arial" w:cs="Arial" w:eastAsia="Arial" w:hAnsi="Arial"/>
          <w:sz w:val="9"/>
          <w:szCs w:val="9"/>
          <w:color w:val="auto"/>
        </w:rPr>
      </w:pPr>
    </w:p>
    <w:p>
      <w:pPr>
        <w:jc w:val="both"/>
        <w:ind w:left="660" w:hanging="328"/>
        <w:spacing w:after="0" w:line="249" w:lineRule="auto"/>
        <w:tabs>
          <w:tab w:leader="none" w:pos="647"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the three months ended June 30, 2021 charges of approximately $78.7 million are included in cost of sales, approximately $10.2 million are included in R&amp;D, and approximately $165.8 million are included in SG&amp;A. For the six months ended June 30, 2021 charges of approximately $246.5 million are included in cost of sales, approximately $16.6 million are included in R&amp;D, and approximately $307.0 million are included in SG&amp;A.</w:t>
      </w:r>
    </w:p>
    <w:p>
      <w:pPr>
        <w:spacing w:after="0" w:line="38" w:lineRule="exact"/>
        <w:rPr>
          <w:rFonts w:ascii="Arial" w:cs="Arial" w:eastAsia="Arial" w:hAnsi="Arial"/>
          <w:sz w:val="9"/>
          <w:szCs w:val="9"/>
          <w:color w:val="auto"/>
        </w:rPr>
      </w:pPr>
    </w:p>
    <w:p>
      <w:pPr>
        <w:jc w:val="both"/>
        <w:ind w:left="660" w:hanging="328"/>
        <w:spacing w:after="0" w:line="244" w:lineRule="auto"/>
        <w:tabs>
          <w:tab w:leader="none" w:pos="653" w:val="left"/>
        </w:tabs>
        <w:numPr>
          <w:ilvl w:val="0"/>
          <w:numId w:val="11"/>
        </w:numPr>
        <w:rPr>
          <w:rFonts w:ascii="Arial" w:cs="Arial" w:eastAsia="Arial" w:hAnsi="Arial"/>
          <w:sz w:val="9"/>
          <w:szCs w:val="9"/>
          <w:color w:val="auto"/>
        </w:rPr>
      </w:pPr>
      <w:r>
        <w:rPr>
          <w:rFonts w:ascii="Arial" w:cs="Arial" w:eastAsia="Arial" w:hAnsi="Arial"/>
          <w:sz w:val="14"/>
          <w:szCs w:val="14"/>
          <w:color w:val="auto"/>
        </w:rPr>
        <w:t>Costs incurred during the three and six months ended June 30, 2021 includes incremental manufacturing variances and site remediation activities as a result of the activities at the Company’s Morgantown plant of approximately $44.1 million and $89.1 million, respectively. Costs incurred during the three and six months ended June 30, 2020 primarily relate to incremental manufacturing variances and site remediation activities as a result of the activities at the Company’s Morgantown plant of approximately $63.0 million and $121.8 million, respectively. In addition, the three and six months ended June 30, 2020 includes incremental manufacturing variances incurred as a result of the COVID-19 pandemic of approximately $15.0 million and $22.0 million, respectively. Also, the six months ended June 30, 2020 includes $25.0 million related to a special bonus for plant employees as a result of the COVID-19 pandemic.</w:t>
      </w:r>
    </w:p>
    <w:p>
      <w:pPr>
        <w:spacing w:after="0" w:line="43" w:lineRule="exact"/>
        <w:rPr>
          <w:rFonts w:ascii="Arial" w:cs="Arial" w:eastAsia="Arial" w:hAnsi="Arial"/>
          <w:sz w:val="9"/>
          <w:szCs w:val="9"/>
          <w:color w:val="auto"/>
        </w:rPr>
      </w:pPr>
    </w:p>
    <w:p>
      <w:pPr>
        <w:ind w:left="640" w:hanging="308"/>
        <w:spacing w:after="0"/>
        <w:tabs>
          <w:tab w:leader="none" w:pos="640" w:val="left"/>
        </w:tabs>
        <w:numPr>
          <w:ilvl w:val="0"/>
          <w:numId w:val="11"/>
        </w:numPr>
        <w:rPr>
          <w:rFonts w:ascii="Arial" w:cs="Arial" w:eastAsia="Arial" w:hAnsi="Arial"/>
          <w:sz w:val="9"/>
          <w:szCs w:val="9"/>
          <w:color w:val="auto"/>
        </w:rPr>
      </w:pPr>
      <w:r>
        <w:rPr>
          <w:rFonts w:ascii="Arial" w:cs="Arial" w:eastAsia="Arial" w:hAnsi="Arial"/>
          <w:sz w:val="14"/>
          <w:szCs w:val="14"/>
          <w:color w:val="auto"/>
        </w:rPr>
        <w:t>Adjustments primarily relate to non-refundable payments related to development agreements.</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11"/>
        </w:numPr>
        <w:rPr>
          <w:rFonts w:ascii="Arial" w:cs="Arial" w:eastAsia="Arial" w:hAnsi="Arial"/>
          <w:sz w:val="9"/>
          <w:szCs w:val="9"/>
          <w:color w:val="auto"/>
        </w:rPr>
      </w:pPr>
      <w:r>
        <w:rPr>
          <w:rFonts w:ascii="Arial" w:cs="Arial" w:eastAsia="Arial" w:hAnsi="Arial"/>
          <w:sz w:val="14"/>
          <w:szCs w:val="14"/>
          <w:color w:val="auto"/>
        </w:rPr>
        <w:t>Adjusted for changes for uncertain tax positions and for certain impacts of the Combination.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8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24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Below is a reconciliation of U.S. GAAP net (loss) earnings to EBITDA and adjusted EBITDA for the three and six months ended June 30, 2021 compared to the prior year period: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Add adjustments: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contribution attributable to equity method investments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Income tax provision (benefit)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656.4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89"/>
        </w:trPr>
        <w:tc>
          <w:tcPr>
            <w:tcW w:w="610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8"/>
                <w:szCs w:val="18"/>
                <w:color w:val="auto"/>
                <w:vertAlign w:val="superscript"/>
              </w:rPr>
              <w:t>(a)</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r>
      <w:tr>
        <w:trPr>
          <w:trHeight w:val="189"/>
        </w:trPr>
        <w:tc>
          <w:tcPr>
            <w:tcW w:w="610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1,317.1</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2,739.6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830.7</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1,281.8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Add adjustments: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89"/>
        </w:trPr>
        <w:tc>
          <w:tcPr>
            <w:tcW w:w="610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Restructuring, acquisition related and other special items </w:t>
            </w:r>
            <w:r>
              <w:rPr>
                <w:rFonts w:ascii="Arial" w:cs="Arial" w:eastAsia="Arial" w:hAnsi="Arial"/>
                <w:sz w:val="18"/>
                <w:szCs w:val="18"/>
                <w:color w:val="auto"/>
                <w:vertAlign w:val="superscript"/>
              </w:rPr>
              <w:t>(c)</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339.6</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752.5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w:t>
            </w: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1,675.4</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3,312.0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1,629.3</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36"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amortization of premiums and discounts on long-term debt.</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purchase accounting related amortization.</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See items detailed in the Reconciliation of U.S. GAAP Net (Loss) Earnings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4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2021 Currency</w:t>
            </w:r>
          </w:p>
        </w:tc>
        <w:tc>
          <w:tcPr>
            <w:tcW w:w="1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2021 Constant</w:t>
            </w:r>
          </w:p>
        </w:tc>
        <w:tc>
          <w:tcPr>
            <w:tcW w:w="1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76"/>
        </w:trPr>
        <w:tc>
          <w:tcPr>
            <w:tcW w:w="3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center"/>
              <w:ind w:right="360"/>
              <w:spacing w:after="0" w:line="176"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5"/>
                <w:szCs w:val="15"/>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69"/>
        </w:trPr>
        <w:tc>
          <w:tcPr>
            <w:tcW w:w="3460" w:type="dxa"/>
            <w:vAlign w:val="bottom"/>
          </w:tcPr>
          <w:p>
            <w:pPr>
              <w:ind w:left="140"/>
              <w:spacing w:after="0"/>
              <w:rPr>
                <w:sz w:val="20"/>
                <w:szCs w:val="20"/>
                <w:color w:val="auto"/>
              </w:rPr>
            </w:pPr>
            <w:r>
              <w:rPr>
                <w:rFonts w:ascii="Arial" w:cs="Arial" w:eastAsia="Arial" w:hAnsi="Arial"/>
                <w:sz w:val="14"/>
                <w:szCs w:val="14"/>
                <w:color w:val="auto"/>
              </w:rPr>
              <w:t>Net sales</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Developed Markets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2,528.3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rPr>
                <w:sz w:val="20"/>
                <w:szCs w:val="20"/>
                <w:color w:val="auto"/>
              </w:rPr>
            </w:pPr>
            <w:r>
              <w:rPr>
                <w:rFonts w:ascii="Arial" w:cs="Arial" w:eastAsia="Arial" w:hAnsi="Arial"/>
                <w:sz w:val="14"/>
                <w:szCs w:val="14"/>
                <w:color w:val="auto"/>
              </w:rPr>
              <w:t>Greater China</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nm</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549.8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JANZ</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486.1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Emerging Markets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845.7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83"/>
        </w:trPr>
        <w:tc>
          <w:tcPr>
            <w:tcW w:w="3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net sales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4,561.7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2,695.9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4,409.9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(3)</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3"/>
        </w:trPr>
        <w:tc>
          <w:tcPr>
            <w:tcW w:w="3460" w:type="dxa"/>
            <w:vAlign w:val="bottom"/>
          </w:tcPr>
          <w:p>
            <w:pPr>
              <w:ind w:left="220"/>
              <w:spacing w:after="0" w:line="182" w:lineRule="exact"/>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8"/>
                <w:szCs w:val="18"/>
                <w:color w:val="auto"/>
                <w:vertAlign w:val="superscript"/>
              </w:rPr>
              <w:t>(4)</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4,577.8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2,731.2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4,425.2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2021 Currency</w:t>
            </w:r>
          </w:p>
        </w:tc>
        <w:tc>
          <w:tcPr>
            <w:tcW w:w="1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2021 Constant</w:t>
            </w:r>
          </w:p>
        </w:tc>
        <w:tc>
          <w:tcPr>
            <w:tcW w:w="1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75"/>
        </w:trPr>
        <w:tc>
          <w:tcPr>
            <w:tcW w:w="3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center"/>
              <w:ind w:right="360"/>
              <w:spacing w:after="0" w:line="176"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5"/>
                <w:szCs w:val="15"/>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69"/>
        </w:trPr>
        <w:tc>
          <w:tcPr>
            <w:tcW w:w="3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5,212.0</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3,969.1</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5,002.9</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nm</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1,141.9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rPr>
                <w:sz w:val="20"/>
                <w:szCs w:val="20"/>
                <w:color w:val="auto"/>
              </w:rPr>
            </w:pPr>
            <w:r>
              <w:rPr>
                <w:rFonts w:ascii="Arial" w:cs="Arial" w:eastAsia="Arial" w:hAnsi="Arial"/>
                <w:sz w:val="14"/>
                <w:szCs w:val="14"/>
                <w:color w:val="auto"/>
              </w:rPr>
              <w:t>JANZ</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523.4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946.0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1,600.1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183"/>
        </w:trPr>
        <w:tc>
          <w:tcPr>
            <w:tcW w:w="346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8,961.8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5,284.1</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8,690.9</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8"/>
        </w:trPr>
        <w:tc>
          <w:tcPr>
            <w:tcW w:w="346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8"/>
                <w:szCs w:val="18"/>
                <w:color w:val="auto"/>
                <w:vertAlign w:val="superscript"/>
              </w:rPr>
              <w:t>(4)</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9,008.1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5,350.4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8,736.0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36"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Currency impact is shown as unfavorable (favorable).</w:t>
      </w:r>
    </w:p>
    <w:p>
      <w:pPr>
        <w:spacing w:after="0" w:line="43" w:lineRule="exact"/>
        <w:rPr>
          <w:rFonts w:ascii="Arial" w:cs="Arial" w:eastAsia="Arial" w:hAnsi="Arial"/>
          <w:sz w:val="19"/>
          <w:szCs w:val="19"/>
          <w:color w:val="auto"/>
          <w:vertAlign w:val="superscript"/>
        </w:rPr>
      </w:pPr>
    </w:p>
    <w:p>
      <w:pPr>
        <w:ind w:left="660" w:hanging="328"/>
        <w:spacing w:after="0" w:line="211" w:lineRule="auto"/>
        <w:tabs>
          <w:tab w:leader="none" w:pos="65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44" w:lineRule="exact"/>
        <w:rPr>
          <w:rFonts w:ascii="Arial" w:cs="Arial" w:eastAsia="Arial" w:hAnsi="Arial"/>
          <w:sz w:val="19"/>
          <w:szCs w:val="19"/>
          <w:color w:val="auto"/>
          <w:vertAlign w:val="superscript"/>
        </w:rPr>
      </w:pPr>
    </w:p>
    <w:p>
      <w:pPr>
        <w:jc w:val="both"/>
        <w:ind w:left="660" w:hanging="328"/>
        <w:spacing w:after="0" w:line="220" w:lineRule="auto"/>
        <w:tabs>
          <w:tab w:leader="none" w:pos="65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2021, other revenues in Developed Markets, Greater China, JANZ, and Emerging Markets were approximately $12.2 million, $(1.4) million, $0.6 million, and $4.7 million, respectively. For the six months ended June 30, 2021, other revenues in Developed Markets, JANZ, and Emerging Markets were approximately $34.5 million, $1.0 million, and $10.8 million, respectively.</w:t>
      </w:r>
    </w:p>
    <w:p>
      <w:pPr>
        <w:ind w:left="640" w:hanging="308"/>
        <w:spacing w:after="0" w:line="237" w:lineRule="auto"/>
        <w:tabs>
          <w:tab w:leader="none" w:pos="64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Amounts exclude intersegment revenue that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8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3,250.1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1,705.5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6,553.1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3,418.6</w:t>
            </w: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related amortization</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(1,169.8)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(2,424.8)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(704.0)</w:t>
            </w:r>
          </w:p>
        </w:tc>
      </w:tr>
      <w:tr>
        <w:trPr>
          <w:trHeight w:val="189"/>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related items</w:t>
            </w: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w:t>
            </w: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r>
      <w:tr>
        <w:trPr>
          <w:trHeight w:val="189"/>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(0.7)</w:t>
            </w: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(186.1)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(215.7)</w:t>
            </w: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1,900.6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1,248.4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3,691.0</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2,487.2</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57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2,677.2</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1,482.8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5,317.1</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2,863.2</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57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147.7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331.8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270.5</w:t>
            </w: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r>
      <w:tr>
        <w:trPr>
          <w:trHeight w:val="189"/>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(0.4)</w:t>
            </w: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r>
      <w:tr>
        <w:trPr>
          <w:trHeight w:val="189"/>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(42.1)</w:t>
            </w:r>
          </w:p>
        </w:tc>
      </w:tr>
      <w:tr>
        <w:trPr>
          <w:trHeight w:val="20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142.8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304.6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226.7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 as % of 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1,204.8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719.4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2,391.3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1,324.8</w:t>
            </w: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(143.6)</w:t>
            </w:r>
          </w:p>
        </w:tc>
      </w:tr>
      <w:tr>
        <w:trPr>
          <w:trHeight w:val="189"/>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(165.8)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(307.0)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(23.3)</w:t>
            </w: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w:t>
            </w:r>
          </w:p>
        </w:tc>
      </w:tr>
      <w:tr>
        <w:trPr>
          <w:trHeight w:val="189"/>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w:t>
            </w:r>
          </w:p>
        </w:tc>
      </w:tr>
      <w:tr>
        <w:trPr>
          <w:trHeight w:val="20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952.1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555.2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1,889.9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1,119.6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 as % of 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1,612.9</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(205.2)</w:t>
            </w:r>
          </w:p>
        </w:tc>
      </w:tr>
      <w:tr>
        <w:trPr>
          <w:trHeight w:val="182"/>
        </w:trPr>
        <w:tc>
          <w:tcPr>
            <w:tcW w:w="610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1,094.9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2,194.5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1,346.3</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9"/>
        </w:trPr>
        <w:tc>
          <w:tcPr>
            <w:tcW w:w="61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1,582.3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3,122.6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1,516.9</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8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0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167.1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related to clean energy investments</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78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0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interest expense</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180.6</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362.9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1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expense (income), net</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rPr>
              <w:t>32.1</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Clean energy investments pre-tax loss </w:t>
            </w:r>
            <w:r>
              <w:rPr>
                <w:rFonts w:ascii="Arial" w:cs="Arial" w:eastAsia="Arial" w:hAnsi="Arial"/>
                <w:sz w:val="18"/>
                <w:szCs w:val="18"/>
                <w:color w:val="auto"/>
                <w:vertAlign w:val="superscript"/>
              </w:rPr>
              <w:t>(c)</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(34.5)</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Other items</w:t>
            </w:r>
          </w:p>
        </w:tc>
        <w:tc>
          <w:tcPr>
            <w:tcW w:w="78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center"/>
              <w:ind w:left="388"/>
              <w:spacing w:after="0"/>
              <w:rPr>
                <w:sz w:val="20"/>
                <w:szCs w:val="20"/>
                <w:color w:val="auto"/>
              </w:rPr>
            </w:pPr>
            <w:r>
              <w:rPr>
                <w:rFonts w:ascii="Arial" w:cs="Arial" w:eastAsia="Arial" w:hAnsi="Arial"/>
                <w:sz w:val="14"/>
                <w:szCs w:val="14"/>
                <w:color w:val="auto"/>
              </w:rPr>
              <w:t>16.4</w:t>
            </w:r>
          </w:p>
        </w:tc>
      </w:tr>
      <w:tr>
        <w:trPr>
          <w:trHeight w:val="20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(income) expense</w:t>
            </w: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rPr>
              <w:t>14.0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earnings before income taxes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(660.4)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1,633.4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684.7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3,444.5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1,227.2</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1,414.3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704.7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2,784.1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1,277.9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 (benefit)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656.4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 (benefit)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173.7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149.8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(169.2)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233.8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130.4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487.2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660" w:hanging="328"/>
        <w:spacing w:after="0" w:line="220" w:lineRule="auto"/>
        <w:tabs>
          <w:tab w:leader="none" w:pos="653"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44" w:lineRule="exact"/>
        <w:rPr>
          <w:rFonts w:ascii="Arial" w:cs="Arial" w:eastAsia="Arial" w:hAnsi="Arial"/>
          <w:sz w:val="19"/>
          <w:szCs w:val="19"/>
          <w:color w:val="auto"/>
          <w:vertAlign w:val="superscript"/>
        </w:rPr>
      </w:pPr>
    </w:p>
    <w:p>
      <w:pPr>
        <w:ind w:left="660" w:hanging="328"/>
        <w:spacing w:after="0" w:line="211" w:lineRule="auto"/>
        <w:tabs>
          <w:tab w:leader="none" w:pos="653"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44" w:lineRule="exact"/>
        <w:rPr>
          <w:rFonts w:ascii="Arial" w:cs="Arial" w:eastAsia="Arial" w:hAnsi="Arial"/>
          <w:sz w:val="19"/>
          <w:szCs w:val="19"/>
          <w:color w:val="auto"/>
          <w:vertAlign w:val="superscript"/>
        </w:rPr>
      </w:pPr>
    </w:p>
    <w:p>
      <w:pPr>
        <w:ind w:left="660" w:hanging="328"/>
        <w:spacing w:after="0" w:line="211" w:lineRule="auto"/>
        <w:tabs>
          <w:tab w:leader="none" w:pos="64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exclusion of activity related to Mylan's clean energy investments, the activities of which qualify for income tax credits under section 45 of the U.S. Internal Revenue Code of 1986, as amended.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2021 GAAP Net Cash Provided by Operating Activities to Free Cash Flow</w:t>
      </w:r>
    </w:p>
    <w:p>
      <w:pPr>
        <w:spacing w:after="0" w:line="13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(Unaudited; in millions)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2021 GAAP Net Cash provided by Operating Activities to Free Cash Flow is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GAAP Net Cash provided by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$2,950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$(650)</w:t>
            </w:r>
          </w:p>
        </w:tc>
      </w:tr>
      <w:tr>
        <w:trPr>
          <w:trHeight w:val="196"/>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$2,400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3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Combined Adjusted EBITDA - Three and six months ended June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6"/>
        </w:trPr>
        <w:tc>
          <w:tcPr>
            <w:tcW w:w="724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Upjohn - U.S. GAAP Income before taxes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1,816.4</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color w:val="auto"/>
              </w:rPr>
              <w:t>Upjohn EBITDA</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1,067.5</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2,083.3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adjustments</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Upjohn Adjusted EBITDA</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1,975.5</w:t>
            </w:r>
          </w:p>
        </w:tc>
        <w:tc>
          <w:tcPr>
            <w:tcW w:w="0" w:type="dxa"/>
            <w:vAlign w:val="bottom"/>
          </w:tcPr>
          <w:p>
            <w:pPr>
              <w:spacing w:after="0"/>
              <w:rPr>
                <w:sz w:val="1"/>
                <w:szCs w:val="1"/>
                <w:color w:val="auto"/>
              </w:rPr>
            </w:pPr>
          </w:p>
        </w:tc>
      </w:tr>
      <w:tr>
        <w:trPr>
          <w:trHeight w:val="18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Add: Mylan Adjusted EBITDA</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1,629.3</w:t>
            </w:r>
          </w:p>
        </w:tc>
        <w:tc>
          <w:tcPr>
            <w:tcW w:w="0" w:type="dxa"/>
            <w:vAlign w:val="bottom"/>
          </w:tcPr>
          <w:p>
            <w:pPr>
              <w:spacing w:after="0"/>
              <w:rPr>
                <w:sz w:val="1"/>
                <w:szCs w:val="1"/>
                <w:color w:val="auto"/>
              </w:rPr>
            </w:pPr>
          </w:p>
        </w:tc>
      </w:tr>
      <w:tr>
        <w:trPr>
          <w:trHeight w:val="20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Combined Adjusted EBITDA</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1,777.5</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3,604.8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2021-08-09T07:32:39Z</dcterms:created>
  <dcterms:modified xsi:type="dcterms:W3CDTF">2021-08-09T07:32:39Z</dcterms:modified>
</cp:coreProperties>
</file>