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53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539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Malik Rajiv</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440" w:type="dxa"/>
            <w:vAlign w:val="bottom"/>
          </w:tcPr>
          <w:p>
            <w:pPr>
              <w:ind w:left="420"/>
              <w:spacing w:after="0"/>
              <w:rPr>
                <w:sz w:val="20"/>
                <w:szCs w:val="20"/>
                <w:color w:val="auto"/>
              </w:rPr>
            </w:pPr>
            <w:r>
              <w:rPr>
                <w:rFonts w:ascii="Arial" w:cs="Arial" w:eastAsia="Arial" w:hAnsi="Arial"/>
                <w:sz w:val="13"/>
                <w:szCs w:val="13"/>
                <w:color w:val="auto"/>
              </w:rPr>
              <w:t>(First)</w:t>
            </w:r>
          </w:p>
        </w:tc>
        <w:tc>
          <w:tcPr>
            <w:tcW w:w="1380" w:type="dxa"/>
            <w:vAlign w:val="bottom"/>
          </w:tcPr>
          <w:p>
            <w:pPr>
              <w:ind w:left="2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1000 MYLAN BOULEVARD</w:t>
            </w:r>
          </w:p>
        </w:tc>
        <w:tc>
          <w:tcPr>
            <w:tcW w:w="138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r>
      <w:tr>
        <w:trPr>
          <w:trHeight w:val="25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3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15317</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440" w:type="dxa"/>
            <w:vAlign w:val="bottom"/>
          </w:tcPr>
          <w:p>
            <w:pPr>
              <w:ind w:left="420"/>
              <w:spacing w:after="0"/>
              <w:rPr>
                <w:sz w:val="20"/>
                <w:szCs w:val="20"/>
                <w:color w:val="auto"/>
              </w:rPr>
            </w:pPr>
            <w:r>
              <w:rPr>
                <w:rFonts w:ascii="Arial" w:cs="Arial" w:eastAsia="Arial" w:hAnsi="Arial"/>
                <w:sz w:val="13"/>
                <w:szCs w:val="13"/>
                <w:color w:val="auto"/>
              </w:rPr>
              <w:t>(State)</w:t>
            </w:r>
          </w:p>
        </w:tc>
        <w:tc>
          <w:tcPr>
            <w:tcW w:w="1380" w:type="dxa"/>
            <w:vAlign w:val="bottom"/>
          </w:tcPr>
          <w:p>
            <w:pPr>
              <w:ind w:left="2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Viatris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VTRS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9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8"/>
        </w:trPr>
        <w:tc>
          <w:tcPr>
            <w:tcW w:w="9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04/02/2024</w:t>
            </w:r>
          </w:p>
        </w:tc>
        <w:tc>
          <w:tcPr>
            <w:tcW w:w="2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18,845</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04/02/2024</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18,845</w:t>
            </w:r>
          </w:p>
        </w:tc>
        <w:tc>
          <w:tcPr>
            <w:tcW w:w="30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18,845</w:t>
            </w:r>
          </w:p>
        </w:tc>
        <w:tc>
          <w:tcPr>
            <w:tcW w:w="72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8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previously disclosed on October 20, 2023, the reporting person informed Viatris Inc. ("Viatris") of his intention to retire from his executive role with Viatris effective as of April 1, 2024 and agreed to remain a member of Viatris' Board of Directors. As a non-employee director, the reporting person is eligible to participate in Viatris' non-employee director compensation program. Represents restricted stock units (RSUs) granted for such service, consistent with the grants provided to Viatris' other non-employee directors.</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These RSUs will vest on March 4, 2025.</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04/04/2024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11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2024-04-04T17:03:50Z</dcterms:created>
  <dcterms:modified xsi:type="dcterms:W3CDTF">2024-04-04T17:03:50Z</dcterms:modified>
</cp:coreProperties>
</file>