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503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5032375"/>
                    </a:xfrm>
                    <a:prstGeom prst="rect">
                      <a:avLst/>
                    </a:prstGeom>
                    <a:noFill/>
                  </pic:spPr>
                </pic:pic>
              </a:graphicData>
            </a:graphic>
          </wp:anchor>
        </w:drawing>
      </w:r>
    </w:p>
    <w:p>
      <w:pPr>
        <w:spacing w:after="0" w:line="1056"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 Goff Corinne</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04/15/2026</w:t>
      </w:r>
    </w:p>
    <w:p>
      <w:pPr>
        <w:spacing w:after="0" w:line="20" w:lineRule="exact"/>
        <w:rPr>
          <w:sz w:val="24"/>
          <w:szCs w:val="24"/>
          <w:color w:val="auto"/>
        </w:rPr>
      </w:pPr>
      <w:r>
        <w:rPr>
          <w:sz w:val="24"/>
          <w:szCs w:val="24"/>
          <w:color w:val="auto"/>
        </w:rPr>
        <w:br w:type="column"/>
      </w:r>
    </w:p>
    <w:p>
      <w:pPr>
        <w:ind w:left="4" w:right="780" w:hanging="4"/>
        <w:spacing w:after="0" w:line="265"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6"/>
          <w:szCs w:val="16"/>
          <w:color w:val="0000FF"/>
        </w:rPr>
        <w:t>Chief Commercial Officer</w:t>
      </w:r>
    </w:p>
    <w:p>
      <w:pPr>
        <w:spacing w:after="0" w:line="322" w:lineRule="exact"/>
        <w:rPr>
          <w:sz w:val="24"/>
          <w:szCs w:val="24"/>
          <w:color w:val="auto"/>
        </w:rPr>
      </w:pPr>
    </w:p>
    <w:p>
      <w:pPr>
        <w:sectPr>
          <w:pgSz w:w="11900" w:h="16838" w:orient="portrait"/>
          <w:cols w:equalWidth="0" w:num="3">
            <w:col w:w="3180" w:space="720"/>
            <w:col w:w="3116" w:space="720"/>
            <w:col w:w="3344"/>
          </w:cols>
          <w:pgMar w:left="460" w:top="212" w:right="359" w:bottom="1440" w:gutter="0" w:footer="0" w:header="0"/>
          <w:type w:val="continuous"/>
        </w:sectPr>
      </w:pP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tcBorders>
              <w:top w:val="single" w:sz="8" w:color="2C2C2C"/>
            </w:tcBorders>
            <w:gridSpan w:val="6"/>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continue"/>
          </w:tcPr>
          <w:p>
            <w:pPr>
              <w:spacing w:after="0"/>
              <w:rPr>
                <w:sz w:val="3"/>
                <w:szCs w:val="3"/>
                <w:color w:val="auto"/>
              </w:rPr>
            </w:pPr>
          </w:p>
        </w:tc>
        <w:tc>
          <w:tcPr>
            <w:tcW w:w="3620" w:type="dxa"/>
            <w:vAlign w:val="bottom"/>
            <w:gridSpan w:val="6"/>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3380" w:type="dxa"/>
            <w:vAlign w:val="bottom"/>
            <w:tcBorders>
              <w:bottom w:val="single" w:sz="8" w:color="2C2C2C"/>
            </w:tcBorders>
            <w:gridSpan w:val="6"/>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04/15/2026</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9"/>
              </w:rPr>
              <w:t>39,344</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jc w:val="center"/>
              <w:ind w:left="7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122,558</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04/15/2026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17,450</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13.86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6"/>
                <w:szCs w:val="16"/>
                <w:color w:val="0000FF"/>
              </w:rPr>
              <w:t>105,108</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04/15/2026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3,644</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6"/>
                <w:szCs w:val="16"/>
                <w:color w:val="0000FF"/>
              </w:rPr>
              <w:t>108,752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04/15/2026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1,617</w:t>
            </w:r>
            <w:r>
              <w:rPr>
                <w:rFonts w:ascii="Times New Roman" w:cs="Times New Roman" w:eastAsia="Times New Roman" w:hAnsi="Times New Roman"/>
                <w:sz w:val="20"/>
                <w:szCs w:val="20"/>
                <w:color w:val="008000"/>
                <w:w w:val="93"/>
                <w:vertAlign w:val="superscript"/>
              </w:rPr>
              <w:t>(3)</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13.86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6"/>
                <w:szCs w:val="16"/>
                <w:color w:val="0000FF"/>
              </w:rPr>
              <w:t>107,135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380" w:type="dxa"/>
            <w:vAlign w:val="bottom"/>
            <w:gridSpan w:val="14"/>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2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color w:val="0000FF"/>
              </w:rPr>
              <w:t>39,344</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vMerge w:val="restart"/>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04/15/2026</w:t>
            </w: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920" w:type="dxa"/>
            <w:vAlign w:val="bottom"/>
            <w:vMerge w:val="restart"/>
          </w:tcPr>
          <w:p>
            <w:pPr>
              <w:jc w:val="right"/>
              <w:ind w:right="243"/>
              <w:spacing w:after="0" w:line="134" w:lineRule="exact"/>
              <w:rPr>
                <w:sz w:val="20"/>
                <w:szCs w:val="20"/>
                <w:color w:val="auto"/>
              </w:rPr>
            </w:pPr>
            <w:r>
              <w:rPr>
                <w:rFonts w:ascii="Times New Roman" w:cs="Times New Roman" w:eastAsia="Times New Roman" w:hAnsi="Times New Roman"/>
                <w:sz w:val="12"/>
                <w:szCs w:val="12"/>
                <w:color w:val="0000FF"/>
              </w:rPr>
              <w:t>39,344</w:t>
            </w: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restart"/>
          </w:tcPr>
          <w:p>
            <w:pPr>
              <w:ind w:left="26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vMerge w:val="restart"/>
          </w:tcPr>
          <w:p>
            <w:pPr>
              <w:ind w:left="400"/>
              <w:spacing w:after="0" w:line="134"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color w:val="0000FF"/>
              </w:rPr>
              <w:t>3,643.8335</w:t>
            </w:r>
            <w:r>
              <w:rPr>
                <w:rFonts w:ascii="Times New Roman" w:cs="Times New Roman" w:eastAsia="Times New Roman" w:hAnsi="Times New Roman"/>
                <w:sz w:val="20"/>
                <w:szCs w:val="20"/>
                <w:color w:val="008000"/>
                <w:vertAlign w:val="superscript"/>
              </w:rPr>
              <w:t>(5)</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7"/>
              </w:rPr>
              <w:t>3,643.8335</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2"/>
                <w:szCs w:val="12"/>
                <w:color w:val="0000FF"/>
              </w:rPr>
              <w:t>04/15/2026</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60" w:type="dxa"/>
            <w:vAlign w:val="bottom"/>
          </w:tcPr>
          <w:p>
            <w:pPr>
              <w:ind w:left="26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ind w:left="400"/>
              <w:spacing w:after="0" w:line="135"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1"/>
                <w:szCs w:val="11"/>
                <w:color w:val="auto"/>
              </w:rPr>
            </w:pPr>
          </w:p>
        </w:tc>
        <w:tc>
          <w:tcPr>
            <w:tcW w:w="62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-1849120</wp:posOffset>
            </wp:positionV>
            <wp:extent cx="27940" cy="1854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42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April 18, 2024.</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5" w:lineRule="exact"/>
        <w:rPr>
          <w:rFonts w:ascii="Times New Roman" w:cs="Times New Roman" w:eastAsia="Times New Roman" w:hAnsi="Times New Roman"/>
          <w:sz w:val="12"/>
          <w:szCs w:val="12"/>
          <w:color w:val="008000"/>
        </w:rPr>
      </w:pPr>
    </w:p>
    <w:p>
      <w:pPr>
        <w:ind w:left="40" w:right="40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April 18, 2024.</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39,344 of the RSUs granted on April 18, 2024 vested on each of April 15, 2025 and April 15, 2026.</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April 18, 2024 and vest on the same schedule as the underlying RSUs.</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04/16/2026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176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-18415</wp:posOffset>
            </wp:positionV>
            <wp:extent cx="4394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9420" cy="762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-80645</wp:posOffset>
            </wp:positionV>
            <wp:extent cx="459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091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2026-04-16T17:02:11Z</dcterms:created>
  <dcterms:modified xsi:type="dcterms:W3CDTF">2026-04-16T17:02:11Z</dcterms:modified>
</cp:coreProperties>
</file>