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VIATRIS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92556V106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92556V106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71,733,857.00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76,382,158.00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76,382,158.00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VIATRIS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1000 Mylan Boulevard CANONSBURG PA 15317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60"/>
        <w:spacing w:after="0"/>
        <w:rPr>
          <w:sz w:val="20"/>
          <w:szCs w:val="20"/>
          <w:color w:val="auto"/>
        </w:rPr>
      </w:pPr>
      <w:r>
        <w:rPr>
          <w:rFonts w:ascii="Times New Roman" w:cs="Times New Roman" w:eastAsia="Times New Roman" w:hAnsi="Times New Roman"/>
          <w:sz w:val="22"/>
          <w:szCs w:val="22"/>
          <w:color w:val="auto"/>
        </w:rPr>
        <w:t>92556V106</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76382158</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6.6 %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71733857</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76382158</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VIATRIS INC.. No one person's interest in the common stock of VIATRIS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2025-10-17T17:29:06Z</dcterms:created>
  <dcterms:modified xsi:type="dcterms:W3CDTF">2025-10-17T17:29:06Z</dcterms:modified>
</cp:coreProperties>
</file>