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6"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-221615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jc w:val="center"/>
              <w:ind w:right="36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0"/>
                <w:szCs w:val="20"/>
                <w:color w:val="auto"/>
              </w:rPr>
            </w:pPr>
          </w:p>
        </w:tc>
        <w:tc>
          <w:tcPr>
            <w:tcW w:w="1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61"/>
              <w:spacing w:after="0" w:line="136"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-591820</wp:posOffset>
            </wp:positionV>
            <wp:extent cx="56515" cy="605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155"/>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-591820</wp:posOffset>
            </wp:positionV>
            <wp:extent cx="5651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15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-1741170</wp:posOffset>
            </wp:positionH>
            <wp:positionV relativeFrom="paragraph">
              <wp:posOffset>23495</wp:posOffset>
            </wp:positionV>
            <wp:extent cx="7000875" cy="6343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63436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20" w:space="60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Ni Xiangyang (Sean)</w:t>
        </w:r>
      </w:hyperlink>
    </w:p>
    <w:p>
      <w:pPr>
        <w:spacing w:after="0" w:line="28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03/02/2023</w:t>
      </w:r>
    </w:p>
    <w:p>
      <w:pPr>
        <w:spacing w:after="0" w:line="20" w:lineRule="exact"/>
        <w:rPr>
          <w:sz w:val="24"/>
          <w:szCs w:val="24"/>
          <w:color w:val="auto"/>
        </w:rPr>
      </w:pPr>
      <w:r>
        <w:rPr>
          <w:sz w:val="24"/>
          <w:szCs w:val="24"/>
          <w:color w:val="auto"/>
        </w:rPr>
        <w:br w:type="column"/>
      </w:r>
    </w:p>
    <w:p>
      <w:pPr>
        <w:ind w:left="-3" w:right="780" w:firstLine="3"/>
        <w:spacing w:after="0" w:line="264" w:lineRule="auto"/>
        <w:tabs>
          <w:tab w:leader="none" w:pos="132"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6"/>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09"/>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President, Greater China</w:t>
      </w:r>
    </w:p>
    <w:p>
      <w:pPr>
        <w:spacing w:after="0" w:line="321" w:lineRule="exact"/>
        <w:rPr>
          <w:sz w:val="24"/>
          <w:szCs w:val="24"/>
          <w:color w:val="auto"/>
        </w:rPr>
      </w:pPr>
    </w:p>
    <w:p>
      <w:pPr>
        <w:sectPr>
          <w:pgSz w:w="11900" w:h="16838" w:orient="portrait"/>
          <w:cols w:equalWidth="0" w:num="3">
            <w:col w:w="3180" w:space="720"/>
            <w:col w:w="3123" w:space="720"/>
            <w:col w:w="3337"/>
          </w:cols>
          <w:pgMar w:left="460" w:top="212" w:right="359" w:bottom="0" w:gutter="0" w:footer="0" w:header="0"/>
          <w:type w:val="continuous"/>
        </w:sectPr>
      </w:pP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7"/>
            <w:vMerge w:val="restart"/>
          </w:tcPr>
          <w:p>
            <w:pPr>
              <w:jc w:val="center"/>
              <w:ind w:right="236"/>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vMerge w:val="restart"/>
          </w:tcPr>
          <w:p>
            <w:pPr>
              <w:jc w:val="right"/>
              <w:ind w:right="839"/>
              <w:spacing w:after="0"/>
              <w:rPr>
                <w:sz w:val="20"/>
                <w:szCs w:val="20"/>
                <w:color w:val="auto"/>
              </w:rPr>
            </w:pPr>
            <w:r>
              <w:rPr>
                <w:rFonts w:ascii="Times New Roman" w:cs="Times New Roman" w:eastAsia="Times New Roman" w:hAnsi="Times New Roman"/>
                <w:sz w:val="16"/>
                <w:szCs w:val="16"/>
                <w:color w:val="0000FF"/>
                <w:w w:val="78"/>
              </w:rPr>
              <w:t>PA</w:t>
            </w: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7"/>
            <w:vMerge w:val="continue"/>
          </w:tcPr>
          <w:p>
            <w:pPr>
              <w:spacing w:after="0"/>
              <w:rPr>
                <w:sz w:val="3"/>
                <w:szCs w:val="3"/>
                <w:color w:val="auto"/>
              </w:rPr>
            </w:pPr>
          </w:p>
        </w:tc>
        <w:tc>
          <w:tcPr>
            <w:tcW w:w="362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0000FF"/>
              </w:rPr>
              <w:t>X</w:t>
            </w: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7"/>
                <w:szCs w:val="7"/>
                <w:color w:val="auto"/>
              </w:rPr>
            </w:pPr>
          </w:p>
        </w:tc>
        <w:tc>
          <w:tcPr>
            <w:tcW w:w="1080" w:type="dxa"/>
            <w:vAlign w:val="bottom"/>
            <w:vMerge w:val="restart"/>
          </w:tcPr>
          <w:p>
            <w:pPr>
              <w:jc w:val="right"/>
              <w:ind w:right="659"/>
              <w:spacing w:after="0"/>
              <w:rPr>
                <w:sz w:val="20"/>
                <w:szCs w:val="20"/>
                <w:color w:val="auto"/>
              </w:rPr>
            </w:pPr>
            <w:r>
              <w:rPr>
                <w:rFonts w:ascii="Arial" w:cs="Arial" w:eastAsia="Arial" w:hAnsi="Arial"/>
                <w:sz w:val="12"/>
                <w:szCs w:val="12"/>
                <w:color w:val="auto"/>
                <w:w w:val="94"/>
              </w:rPr>
              <w:t>(State)</w:t>
            </w:r>
          </w:p>
        </w:tc>
        <w:tc>
          <w:tcPr>
            <w:tcW w:w="108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300" w:type="dxa"/>
            <w:vAlign w:val="bottom"/>
            <w:tcBorders>
              <w:bottom w:val="single" w:sz="8" w:color="2C2C2C"/>
            </w:tcBorders>
            <w:gridSpan w:val="8"/>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5"/>
          </w:tcPr>
          <w:p>
            <w:pPr>
              <w:jc w:val="center"/>
              <w:ind w:left="551"/>
              <w:spacing w:after="0"/>
              <w:rPr>
                <w:sz w:val="20"/>
                <w:szCs w:val="20"/>
                <w:color w:val="auto"/>
              </w:rPr>
            </w:pPr>
            <w:r>
              <w:rPr>
                <w:rFonts w:ascii="Arial" w:cs="Arial" w:eastAsia="Arial" w:hAnsi="Arial"/>
                <w:sz w:val="11"/>
                <w:szCs w:val="11"/>
                <w:b w:val="1"/>
                <w:bCs w:val="1"/>
                <w:color w:val="auto"/>
                <w:w w:val="99"/>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3.</w:t>
            </w:r>
          </w:p>
        </w:tc>
        <w:tc>
          <w:tcPr>
            <w:tcW w:w="600" w:type="dxa"/>
            <w:vAlign w:val="bottom"/>
          </w:tcPr>
          <w:p>
            <w:pPr>
              <w:spacing w:after="0"/>
              <w:rPr>
                <w:sz w:val="13"/>
                <w:szCs w:val="13"/>
                <w:color w:val="auto"/>
              </w:rPr>
            </w:pPr>
          </w:p>
        </w:tc>
        <w:tc>
          <w:tcPr>
            <w:tcW w:w="21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w w:val="92"/>
              </w:rPr>
              <w:t>Date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60" w:type="dxa"/>
            <w:vAlign w:val="bottom"/>
            <w:gridSpan w:val="2"/>
          </w:tcPr>
          <w:p>
            <w:pPr>
              <w:jc w:val="right"/>
              <w:ind w:right="16"/>
              <w:spacing w:after="0" w:line="122" w:lineRule="exact"/>
              <w:rPr>
                <w:sz w:val="20"/>
                <w:szCs w:val="20"/>
                <w:color w:val="auto"/>
              </w:rPr>
            </w:pPr>
            <w:r>
              <w:rPr>
                <w:rFonts w:ascii="Arial" w:cs="Arial" w:eastAsia="Arial" w:hAnsi="Arial"/>
                <w:sz w:val="11"/>
                <w:szCs w:val="11"/>
                <w:b w:val="1"/>
                <w:bCs w:val="1"/>
                <w:color w:val="auto"/>
              </w:rPr>
              <w:t>Of (D) (Instr. 3, 4 and 5)</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0" w:type="dxa"/>
            <w:vAlign w:val="bottom"/>
            <w:gridSpan w:val="5"/>
          </w:tcPr>
          <w:p>
            <w:pPr>
              <w:ind w:left="840"/>
              <w:spacing w:after="0" w:line="122"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81"/>
              </w:rPr>
              <w:t>8)</w:t>
            </w: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1800" w:type="dxa"/>
            <w:vAlign w:val="bottom"/>
            <w:gridSpan w:val="5"/>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center"/>
              <w:ind w:right="404"/>
              <w:spacing w:after="0"/>
              <w:rPr>
                <w:sz w:val="20"/>
                <w:szCs w:val="20"/>
                <w:color w:val="auto"/>
              </w:rPr>
            </w:pPr>
            <w:r>
              <w:rPr>
                <w:rFonts w:ascii="Times New Roman" w:cs="Times New Roman" w:eastAsia="Times New Roman" w:hAnsi="Times New Roman"/>
                <w:sz w:val="12"/>
                <w:szCs w:val="12"/>
                <w:color w:val="0000FF"/>
                <w:w w:val="93"/>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7,195</w:t>
            </w:r>
          </w:p>
        </w:tc>
        <w:tc>
          <w:tcPr>
            <w:tcW w:w="5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Pr>
          <w:p>
            <w:pPr>
              <w:spacing w:after="0"/>
              <w:rPr>
                <w:sz w:val="21"/>
                <w:szCs w:val="21"/>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44,252</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03/02/2023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12"/>
                <w:szCs w:val="12"/>
                <w:color w:val="0000FF"/>
                <w:w w:val="93"/>
              </w:rPr>
              <w:t>M</w:t>
            </w:r>
          </w:p>
        </w:tc>
        <w:tc>
          <w:tcPr>
            <w:tcW w:w="820" w:type="dxa"/>
            <w:vAlign w:val="bottom"/>
            <w:tcBorders>
              <w:bottom w:val="single" w:sz="8" w:color="2C2C2C"/>
            </w:tcBorders>
          </w:tcPr>
          <w:p>
            <w:pPr>
              <w:jc w:val="center"/>
              <w:spacing w:after="0" w:line="292" w:lineRule="exact"/>
              <w:rPr>
                <w:sz w:val="20"/>
                <w:szCs w:val="20"/>
                <w:color w:val="auto"/>
              </w:rPr>
            </w:pPr>
            <w:r>
              <w:rPr>
                <w:rFonts w:ascii="Times New Roman" w:cs="Times New Roman" w:eastAsia="Times New Roman" w:hAnsi="Times New Roman"/>
                <w:sz w:val="31"/>
                <w:szCs w:val="31"/>
                <w:color w:val="0000FF"/>
                <w:w w:val="84"/>
                <w:vertAlign w:val="subscript"/>
              </w:rPr>
              <w:t>570</w:t>
            </w:r>
            <w:r>
              <w:rPr>
                <w:rFonts w:ascii="Times New Roman" w:cs="Times New Roman" w:eastAsia="Times New Roman" w:hAnsi="Times New Roman"/>
                <w:sz w:val="10"/>
                <w:szCs w:val="10"/>
                <w:color w:val="008000"/>
                <w:w w:val="84"/>
              </w:rPr>
              <w:t>(1)</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44,822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03/03/2023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12"/>
                <w:szCs w:val="12"/>
                <w:color w:val="0000FF"/>
                <w:w w:val="89"/>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3,093</w:t>
            </w:r>
            <w:r>
              <w:rPr>
                <w:rFonts w:ascii="Times New Roman" w:cs="Times New Roman" w:eastAsia="Times New Roman" w:hAnsi="Times New Roman"/>
                <w:sz w:val="20"/>
                <w:szCs w:val="20"/>
                <w:color w:val="008000"/>
                <w:w w:val="93"/>
                <w:vertAlign w:val="superscript"/>
              </w:rPr>
              <w:t>(2)</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11.1798</w:t>
            </w:r>
            <w:r>
              <w:rPr>
                <w:rFonts w:ascii="Times New Roman" w:cs="Times New Roman" w:eastAsia="Times New Roman" w:hAnsi="Times New Roman"/>
                <w:sz w:val="20"/>
                <w:szCs w:val="20"/>
                <w:color w:val="008000"/>
                <w:w w:val="94"/>
                <w:vertAlign w:val="superscript"/>
              </w:rPr>
              <w:t>(3)</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41,729</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1800" w:type="dxa"/>
            <w:vAlign w:val="bottom"/>
            <w:gridSpan w:val="5"/>
          </w:tcPr>
          <w:p>
            <w:pPr>
              <w:ind w:left="940"/>
              <w:spacing w:after="0"/>
              <w:rPr>
                <w:sz w:val="20"/>
                <w:szCs w:val="20"/>
                <w:color w:val="auto"/>
              </w:rPr>
            </w:pPr>
            <w:r>
              <w:rPr>
                <w:rFonts w:ascii="Times New Roman" w:cs="Times New Roman" w:eastAsia="Times New Roman" w:hAnsi="Times New Roman"/>
                <w:sz w:val="16"/>
                <w:szCs w:val="16"/>
                <w:color w:val="0000FF"/>
              </w:rPr>
              <w:t>03/04/2023</w:t>
            </w: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center"/>
              <w:ind w:right="404"/>
              <w:spacing w:after="0"/>
              <w:rPr>
                <w:sz w:val="20"/>
                <w:szCs w:val="20"/>
                <w:color w:val="auto"/>
              </w:rPr>
            </w:pPr>
            <w:r>
              <w:rPr>
                <w:rFonts w:ascii="Times New Roman" w:cs="Times New Roman" w:eastAsia="Times New Roman" w:hAnsi="Times New Roman"/>
                <w:sz w:val="12"/>
                <w:szCs w:val="12"/>
                <w:color w:val="0000FF"/>
                <w:w w:val="93"/>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7,563</w:t>
            </w:r>
          </w:p>
        </w:tc>
        <w:tc>
          <w:tcPr>
            <w:tcW w:w="5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Pr>
          <w:p>
            <w:pPr>
              <w:spacing w:after="0"/>
              <w:rPr>
                <w:sz w:val="21"/>
                <w:szCs w:val="21"/>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49,292</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03/04/2023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12"/>
                <w:szCs w:val="12"/>
                <w:color w:val="0000FF"/>
                <w:w w:val="93"/>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0"/>
              </w:rPr>
              <w:t>272</w:t>
            </w:r>
            <w:r>
              <w:rPr>
                <w:rFonts w:ascii="Times New Roman" w:cs="Times New Roman" w:eastAsia="Times New Roman" w:hAnsi="Times New Roman"/>
                <w:sz w:val="20"/>
                <w:szCs w:val="20"/>
                <w:color w:val="008000"/>
                <w:w w:val="90"/>
                <w:vertAlign w:val="superscript"/>
              </w:rPr>
              <w:t>(4)</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49,564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40"/>
              <w:spacing w:after="0"/>
              <w:rPr>
                <w:sz w:val="20"/>
                <w:szCs w:val="20"/>
                <w:color w:val="auto"/>
              </w:rPr>
            </w:pPr>
            <w:r>
              <w:rPr>
                <w:rFonts w:ascii="Times New Roman" w:cs="Times New Roman" w:eastAsia="Times New Roman" w:hAnsi="Times New Roman"/>
                <w:sz w:val="16"/>
                <w:szCs w:val="16"/>
                <w:color w:val="0000FF"/>
              </w:rPr>
              <w:t>03/06/2023</w:t>
            </w: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404"/>
              <w:spacing w:after="0"/>
              <w:rPr>
                <w:sz w:val="20"/>
                <w:szCs w:val="20"/>
                <w:color w:val="auto"/>
              </w:rPr>
            </w:pPr>
            <w:r>
              <w:rPr>
                <w:rFonts w:ascii="Times New Roman" w:cs="Times New Roman" w:eastAsia="Times New Roman" w:hAnsi="Times New Roman"/>
                <w:sz w:val="12"/>
                <w:szCs w:val="12"/>
                <w:color w:val="0000FF"/>
                <w:w w:val="89"/>
              </w:rPr>
              <w:t>S</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3,148</w:t>
            </w:r>
            <w:r>
              <w:rPr>
                <w:rFonts w:ascii="Times New Roman" w:cs="Times New Roman" w:eastAsia="Times New Roman" w:hAnsi="Times New Roman"/>
                <w:sz w:val="20"/>
                <w:szCs w:val="20"/>
                <w:color w:val="008000"/>
                <w:w w:val="93"/>
                <w:vertAlign w:val="superscript"/>
              </w:rPr>
              <w:t>(5)</w:t>
            </w:r>
          </w:p>
        </w:tc>
        <w:tc>
          <w:tcPr>
            <w:tcW w:w="5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11.0835</w:t>
            </w:r>
            <w:r>
              <w:rPr>
                <w:rFonts w:ascii="Times New Roman" w:cs="Times New Roman" w:eastAsia="Times New Roman" w:hAnsi="Times New Roman"/>
                <w:sz w:val="20"/>
                <w:szCs w:val="20"/>
                <w:color w:val="008000"/>
                <w:w w:val="94"/>
                <w:vertAlign w:val="superscript"/>
              </w:rPr>
              <w:t>(6)</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46,416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38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4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6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080" w:type="dxa"/>
            <w:vAlign w:val="bottom"/>
          </w:tcPr>
          <w:p>
            <w:pPr>
              <w:jc w:val="right"/>
              <w:ind w:right="659"/>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4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160" w:type="dxa"/>
            <w:vAlign w:val="bottom"/>
          </w:tcPr>
          <w:p>
            <w:pPr>
              <w:spacing w:after="0"/>
              <w:rPr>
                <w:sz w:val="10"/>
                <w:szCs w:val="10"/>
                <w:color w:val="auto"/>
              </w:rPr>
            </w:pPr>
          </w:p>
        </w:tc>
        <w:tc>
          <w:tcPr>
            <w:tcW w:w="14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4 and 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vMerge w:val="restart"/>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2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ind w:left="240"/>
              <w:spacing w:after="0" w:line="122"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160" w:type="dxa"/>
            <w:vAlign w:val="bottom"/>
          </w:tcPr>
          <w:p>
            <w:pPr>
              <w:spacing w:after="0"/>
              <w:rPr>
                <w:sz w:val="12"/>
                <w:szCs w:val="12"/>
                <w:color w:val="auto"/>
              </w:rPr>
            </w:pPr>
          </w:p>
        </w:tc>
        <w:tc>
          <w:tcPr>
            <w:tcW w:w="14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Exercisable  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center"/>
              <w:ind w:left="144"/>
              <w:spacing w:after="0"/>
              <w:rPr>
                <w:sz w:val="20"/>
                <w:szCs w:val="20"/>
                <w:color w:val="auto"/>
              </w:rPr>
            </w:pPr>
            <w:r>
              <w:rPr>
                <w:rFonts w:ascii="Times New Roman" w:cs="Times New Roman" w:eastAsia="Times New Roman" w:hAnsi="Times New Roman"/>
                <w:sz w:val="10"/>
                <w:szCs w:val="10"/>
                <w:color w:val="008000"/>
              </w:rPr>
              <w:t>(7)</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7,195</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03/02/2023</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center"/>
              <w:ind w:right="359"/>
              <w:spacing w:after="0" w:line="134"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5"/>
                <w:szCs w:val="5"/>
                <w:color w:val="auto"/>
              </w:rPr>
            </w:pPr>
          </w:p>
        </w:tc>
        <w:tc>
          <w:tcPr>
            <w:tcW w:w="560" w:type="dxa"/>
            <w:vAlign w:val="bottom"/>
            <w:vMerge w:val="restart"/>
          </w:tcPr>
          <w:p>
            <w:pPr>
              <w:jc w:val="center"/>
              <w:ind w:left="120"/>
              <w:spacing w:after="0" w:line="134" w:lineRule="exact"/>
              <w:rPr>
                <w:sz w:val="20"/>
                <w:szCs w:val="20"/>
                <w:color w:val="auto"/>
              </w:rPr>
            </w:pPr>
            <w:r>
              <w:rPr>
                <w:rFonts w:ascii="Times New Roman" w:cs="Times New Roman" w:eastAsia="Times New Roman" w:hAnsi="Times New Roman"/>
                <w:sz w:val="12"/>
                <w:szCs w:val="12"/>
                <w:color w:val="0000FF"/>
                <w:w w:val="96"/>
              </w:rPr>
              <w:t>7,195</w:t>
            </w: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7,195</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569.0806</w:t>
            </w:r>
            <w:r>
              <w:rPr>
                <w:rFonts w:ascii="Times New Roman" w:cs="Times New Roman" w:eastAsia="Times New Roman" w:hAnsi="Times New Roman"/>
                <w:sz w:val="20"/>
                <w:szCs w:val="20"/>
                <w:color w:val="008000"/>
                <w:w w:val="95"/>
                <w:vertAlign w:val="superscript"/>
              </w:rPr>
              <w:t>(8)</w:t>
            </w:r>
          </w:p>
        </w:tc>
        <w:tc>
          <w:tcPr>
            <w:tcW w:w="600" w:type="dxa"/>
            <w:vAlign w:val="bottom"/>
            <w:vMerge w:val="restart"/>
          </w:tcPr>
          <w:p>
            <w:pPr>
              <w:jc w:val="center"/>
              <w:ind w:left="144"/>
              <w:spacing w:after="0"/>
              <w:rPr>
                <w:sz w:val="20"/>
                <w:szCs w:val="20"/>
                <w:color w:val="auto"/>
              </w:rPr>
            </w:pPr>
            <w:r>
              <w:rPr>
                <w:rFonts w:ascii="Times New Roman" w:cs="Times New Roman" w:eastAsia="Times New Roman" w:hAnsi="Times New Roman"/>
                <w:sz w:val="10"/>
                <w:szCs w:val="10"/>
                <w:color w:val="008000"/>
              </w:rPr>
              <w:t>(9)</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rPr>
              <w:t>(9)</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569.0806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9"/>
              </w:rPr>
              <w:t>569</w:t>
            </w:r>
            <w:r>
              <w:rPr>
                <w:rFonts w:ascii="Times New Roman" w:cs="Times New Roman" w:eastAsia="Times New Roman" w:hAnsi="Times New Roman"/>
                <w:sz w:val="20"/>
                <w:szCs w:val="20"/>
                <w:color w:val="008000"/>
                <w:w w:val="89"/>
                <w:vertAlign w:val="superscript"/>
              </w:rPr>
              <w:t>(8)</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24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8"/>
              </w:rPr>
              <w:t>03/02/2023</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359"/>
              <w:spacing w:after="0" w:line="135"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continue"/>
          </w:tcPr>
          <w:p>
            <w:pPr>
              <w:spacing w:after="0"/>
              <w:rPr>
                <w:sz w:val="11"/>
                <w:szCs w:val="11"/>
                <w:color w:val="auto"/>
              </w:rPr>
            </w:pPr>
          </w:p>
        </w:tc>
        <w:tc>
          <w:tcPr>
            <w:tcW w:w="6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jc w:val="right"/>
              <w:ind w:right="16"/>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center"/>
              <w:ind w:left="144"/>
              <w:spacing w:after="0"/>
              <w:rPr>
                <w:sz w:val="20"/>
                <w:szCs w:val="20"/>
                <w:color w:val="auto"/>
              </w:rPr>
            </w:pPr>
            <w:r>
              <w:rPr>
                <w:rFonts w:ascii="Times New Roman" w:cs="Times New Roman" w:eastAsia="Times New Roman" w:hAnsi="Times New Roman"/>
                <w:sz w:val="10"/>
                <w:szCs w:val="10"/>
                <w:color w:val="008000"/>
                <w:w w:val="95"/>
              </w:rPr>
              <w:t>(10)</w:t>
            </w:r>
          </w:p>
        </w:tc>
        <w:tc>
          <w:tcPr>
            <w:tcW w:w="820" w:type="dxa"/>
            <w:vAlign w:val="bottom"/>
            <w:vMerge w:val="restart"/>
          </w:tcPr>
          <w:p>
            <w:pPr>
              <w:jc w:val="center"/>
              <w:ind w:left="139"/>
              <w:spacing w:after="0"/>
              <w:rPr>
                <w:sz w:val="20"/>
                <w:szCs w:val="20"/>
                <w:color w:val="auto"/>
              </w:rPr>
            </w:pPr>
            <w:r>
              <w:rPr>
                <w:rFonts w:ascii="Times New Roman" w:cs="Times New Roman" w:eastAsia="Times New Roman" w:hAnsi="Times New Roman"/>
                <w:sz w:val="10"/>
                <w:szCs w:val="10"/>
                <w:color w:val="008000"/>
              </w:rPr>
              <w:t>(10)</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40,881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03/03/2023</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center"/>
              <w:ind w:right="379"/>
              <w:spacing w:after="0" w:line="134" w:lineRule="exact"/>
              <w:rPr>
                <w:sz w:val="20"/>
                <w:szCs w:val="20"/>
                <w:color w:val="auto"/>
              </w:rPr>
            </w:pPr>
            <w:r>
              <w:rPr>
                <w:rFonts w:ascii="Times New Roman" w:cs="Times New Roman" w:eastAsia="Times New Roman" w:hAnsi="Times New Roman"/>
                <w:sz w:val="12"/>
                <w:szCs w:val="12"/>
                <w:color w:val="0000FF"/>
                <w:w w:val="91"/>
              </w:rPr>
              <w:t>A</w:t>
            </w:r>
          </w:p>
        </w:tc>
        <w:tc>
          <w:tcPr>
            <w:tcW w:w="46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40,881</w:t>
            </w: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40,881</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center"/>
              <w:ind w:left="144"/>
              <w:spacing w:after="0"/>
              <w:rPr>
                <w:sz w:val="20"/>
                <w:szCs w:val="20"/>
                <w:color w:val="auto"/>
              </w:rPr>
            </w:pPr>
            <w:r>
              <w:rPr>
                <w:rFonts w:ascii="Times New Roman" w:cs="Times New Roman" w:eastAsia="Times New Roman" w:hAnsi="Times New Roman"/>
                <w:sz w:val="10"/>
                <w:szCs w:val="10"/>
                <w:color w:val="008000"/>
                <w:w w:val="95"/>
              </w:rPr>
              <w:t>(11)</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(11)</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7,563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restart"/>
          </w:tcPr>
          <w:p>
            <w:pPr>
              <w:ind w:left="24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03/04/2023</w:t>
            </w: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3"/>
            <w:vMerge w:val="restart"/>
          </w:tcPr>
          <w:p>
            <w:pPr>
              <w:jc w:val="center"/>
              <w:ind w:right="359"/>
              <w:spacing w:after="0" w:line="134"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5"/>
                <w:szCs w:val="5"/>
                <w:color w:val="auto"/>
              </w:rPr>
            </w:pPr>
          </w:p>
        </w:tc>
        <w:tc>
          <w:tcPr>
            <w:tcW w:w="560" w:type="dxa"/>
            <w:vAlign w:val="bottom"/>
            <w:vMerge w:val="restart"/>
          </w:tcPr>
          <w:p>
            <w:pPr>
              <w:jc w:val="center"/>
              <w:ind w:left="120"/>
              <w:spacing w:after="0" w:line="134" w:lineRule="exact"/>
              <w:rPr>
                <w:sz w:val="20"/>
                <w:szCs w:val="20"/>
                <w:color w:val="auto"/>
              </w:rPr>
            </w:pPr>
            <w:r>
              <w:rPr>
                <w:rFonts w:ascii="Times New Roman" w:cs="Times New Roman" w:eastAsia="Times New Roman" w:hAnsi="Times New Roman"/>
                <w:sz w:val="12"/>
                <w:szCs w:val="12"/>
                <w:color w:val="0000FF"/>
                <w:w w:val="96"/>
              </w:rPr>
              <w:t>7,563</w:t>
            </w: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15,128</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2"/>
              </w:rPr>
              <w:t>271.6651</w:t>
            </w:r>
            <w:r>
              <w:rPr>
                <w:rFonts w:ascii="Times New Roman" w:cs="Times New Roman" w:eastAsia="Times New Roman" w:hAnsi="Times New Roman"/>
                <w:sz w:val="20"/>
                <w:szCs w:val="20"/>
                <w:color w:val="008000"/>
                <w:w w:val="92"/>
                <w:vertAlign w:val="superscript"/>
              </w:rPr>
              <w:t>(12)</w:t>
            </w:r>
          </w:p>
        </w:tc>
        <w:tc>
          <w:tcPr>
            <w:tcW w:w="600" w:type="dxa"/>
            <w:vAlign w:val="bottom"/>
            <w:vMerge w:val="restart"/>
          </w:tcPr>
          <w:p>
            <w:pPr>
              <w:jc w:val="center"/>
              <w:ind w:left="144"/>
              <w:spacing w:after="0"/>
              <w:rPr>
                <w:sz w:val="20"/>
                <w:szCs w:val="20"/>
                <w:color w:val="auto"/>
              </w:rPr>
            </w:pPr>
            <w:r>
              <w:rPr>
                <w:rFonts w:ascii="Times New Roman" w:cs="Times New Roman" w:eastAsia="Times New Roman" w:hAnsi="Times New Roman"/>
                <w:sz w:val="10"/>
                <w:szCs w:val="10"/>
                <w:color w:val="008000"/>
                <w:w w:val="95"/>
              </w:rPr>
              <w:t>(13)</w:t>
            </w:r>
          </w:p>
        </w:tc>
        <w:tc>
          <w:tcPr>
            <w:tcW w:w="820" w:type="dxa"/>
            <w:vAlign w:val="bottom"/>
            <w:vMerge w:val="restart"/>
          </w:tcPr>
          <w:p>
            <w:pPr>
              <w:jc w:val="center"/>
              <w:ind w:left="139"/>
              <w:spacing w:after="0"/>
              <w:rPr>
                <w:sz w:val="20"/>
                <w:szCs w:val="20"/>
                <w:color w:val="auto"/>
              </w:rPr>
            </w:pPr>
            <w:r>
              <w:rPr>
                <w:rFonts w:ascii="Times New Roman" w:cs="Times New Roman" w:eastAsia="Times New Roman" w:hAnsi="Times New Roman"/>
                <w:sz w:val="10"/>
                <w:szCs w:val="10"/>
                <w:color w:val="008000"/>
              </w:rPr>
              <w:t>(13)</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8"/>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271.6651</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4"/>
                <w:szCs w:val="24"/>
                <w:color w:val="0000FF"/>
                <w:w w:val="88"/>
                <w:vertAlign w:val="subscript"/>
              </w:rPr>
              <w:t>544</w:t>
            </w:r>
            <w:r>
              <w:rPr>
                <w:rFonts w:ascii="Times New Roman" w:cs="Times New Roman" w:eastAsia="Times New Roman" w:hAnsi="Times New Roman"/>
                <w:sz w:val="10"/>
                <w:szCs w:val="10"/>
                <w:color w:val="008000"/>
                <w:w w:val="88"/>
              </w:rPr>
              <w:t>(12)</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60" w:type="dxa"/>
            <w:vAlign w:val="bottom"/>
            <w:gridSpan w:val="2"/>
          </w:tcPr>
          <w:p>
            <w:pPr>
              <w:ind w:left="80"/>
              <w:spacing w:after="0" w:line="123"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8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color w:val="0000FF"/>
                <w:w w:val="98"/>
              </w:rPr>
              <w:t>03/04/2023</w:t>
            </w: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3"/>
          </w:tcPr>
          <w:p>
            <w:pPr>
              <w:jc w:val="center"/>
              <w:ind w:right="359"/>
              <w:spacing w:after="0" w:line="123" w:lineRule="exact"/>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continue"/>
          </w:tcPr>
          <w:p>
            <w:pPr>
              <w:spacing w:after="0"/>
              <w:rPr>
                <w:sz w:val="10"/>
                <w:szCs w:val="10"/>
                <w:color w:val="auto"/>
              </w:rPr>
            </w:pPr>
          </w:p>
        </w:tc>
        <w:tc>
          <w:tcPr>
            <w:tcW w:w="620" w:type="dxa"/>
            <w:vAlign w:val="bottom"/>
          </w:tcPr>
          <w:p>
            <w:pPr>
              <w:ind w:left="320"/>
              <w:spacing w:after="0" w:line="123"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jc w:val="right"/>
              <w:ind w:right="16"/>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-2765425</wp:posOffset>
            </wp:positionV>
            <wp:extent cx="27940" cy="2770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277050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9 pursuant to the terms of the restricted stock unit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to satisfy the tax liability associated with the vesting and settlement of the RSUs granted on March 2, 2021 and the related dividend equivalent units (DEUs).</w:t>
      </w:r>
    </w:p>
    <w:p>
      <w:pPr>
        <w:spacing w:after="0" w:line="44" w:lineRule="exact"/>
        <w:rPr>
          <w:rFonts w:ascii="Times New Roman" w:cs="Times New Roman" w:eastAsia="Times New Roman" w:hAnsi="Times New Roman"/>
          <w:sz w:val="12"/>
          <w:szCs w:val="12"/>
          <w:color w:val="008000"/>
        </w:rPr>
      </w:pPr>
    </w:p>
    <w:p>
      <w:pPr>
        <w:ind w:left="40" w:right="30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price of the reporting person's disposition of 3,093 shares of common stock in transactions ranging from $11.16 to $11.18.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to satisfy the tax liability associated with the vesting and settlement of the RSUs granted on March 4, 2022 and the related DEUs.</w:t>
      </w:r>
    </w:p>
    <w:p>
      <w:pPr>
        <w:spacing w:after="0" w:line="44" w:lineRule="exact"/>
        <w:rPr>
          <w:rFonts w:ascii="Times New Roman" w:cs="Times New Roman" w:eastAsia="Times New Roman" w:hAnsi="Times New Roman"/>
          <w:sz w:val="12"/>
          <w:szCs w:val="12"/>
          <w:color w:val="008000"/>
        </w:rPr>
      </w:pPr>
    </w:p>
    <w:p>
      <w:pPr>
        <w:jc w:val="both"/>
        <w:ind w:left="40" w:right="28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weighted average price of the reporting person's disposition of 3,148 shares of common stock in transactions ranging from $10.995 to $11.14.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9" w:lineRule="exact"/>
        <w:rPr>
          <w:rFonts w:ascii="Times New Roman" w:cs="Times New Roman" w:eastAsia="Times New Roman" w:hAnsi="Times New Roman"/>
          <w:sz w:val="12"/>
          <w:szCs w:val="12"/>
          <w:color w:val="008000"/>
        </w:rPr>
      </w:pPr>
    </w:p>
    <w:p>
      <w:pPr>
        <w:ind w:left="40" w:right="14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7,195 of the RSUs granted on March 2, 2021 vested on each of March 2, 2022 and March 2, 2023 and 7,195 will vest on March 2, 2024.</w:t>
      </w:r>
    </w:p>
    <w:p>
      <w:pPr>
        <w:spacing w:after="0" w:line="8" w:lineRule="exact"/>
        <w:rPr>
          <w:rFonts w:ascii="Times New Roman" w:cs="Times New Roman" w:eastAsia="Times New Roman" w:hAnsi="Times New Roman"/>
          <w:sz w:val="12"/>
          <w:szCs w:val="12"/>
          <w:color w:val="008000"/>
        </w:rPr>
      </w:pPr>
    </w:p>
    <w:p>
      <w:pPr>
        <w:ind w:left="40" w:right="18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 RSUs vest in three equal annual installments beginning on March 3, 2024.</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7,563 of the RSUs granted on March 4, 2022 vested on March 4, 2023 and 7,564 will vest on each of March 4, 2024 and March 4, 2025.</w:t>
      </w:r>
    </w:p>
    <w:p>
      <w:pPr>
        <w:spacing w:after="0" w:line="44" w:lineRule="exact"/>
        <w:rPr>
          <w:rFonts w:ascii="Times New Roman" w:cs="Times New Roman" w:eastAsia="Times New Roman" w:hAnsi="Times New Roman"/>
          <w:sz w:val="12"/>
          <w:szCs w:val="12"/>
          <w:color w:val="008000"/>
        </w:rPr>
      </w:pPr>
    </w:p>
    <w:p>
      <w:pPr>
        <w:ind w:left="40" w:right="300" w:hanging="6"/>
        <w:spacing w:after="0" w:line="268" w:lineRule="auto"/>
        <w:tabs>
          <w:tab w:leader="none" w:pos="2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2" w:right="359" w:bottom="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13. Represents DEUs that accrued with respect to the RSUs previously granted on March 4, 2022 and vest on the same schedule as the underlying RSUs.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Kevin Macikowski,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0</wp:posOffset>
            </wp:positionV>
            <wp:extent cx="1315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4381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8150" cy="7620"/>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57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7620"/>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4"/>
          <w:szCs w:val="24"/>
          <w:color w:val="auto"/>
        </w:rPr>
      </w:pPr>
    </w:p>
    <w:p>
      <w:pPr>
        <w:sectPr>
          <w:pgSz w:w="11900" w:h="16838" w:orient="portrait"/>
          <w:cols w:equalWidth="0" w:num="2">
            <w:col w:w="8660" w:space="140"/>
            <w:col w:w="2280"/>
          </w:cols>
          <w:pgMar w:left="460" w:top="212" w:right="359" w:bottom="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38" w:orient="portrait"/>
          <w:cols w:equalWidth="0" w:num="1">
            <w:col w:w="11080"/>
          </w:cols>
          <w:pgMar w:left="460" w:top="212" w:right="359" w:bottom="0" w:gutter="0" w:footer="0" w:header="0"/>
          <w:type w:val="continuous"/>
        </w:sectPr>
      </w:pPr>
    </w:p>
    <w:bookmarkStart w:id="1" w:name="page2"/>
    <w:bookmarkEnd w:id="1"/>
    <w:p>
      <w:pPr>
        <w:jc w:val="both"/>
        <w:ind w:left="6" w:right="2939" w:hanging="6"/>
        <w:spacing w:after="0" w:line="317"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5"/>
      </w:cols>
      <w:pgMar w:left="494"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1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2023-03-06T18:07:23Z</dcterms:created>
  <dcterms:modified xsi:type="dcterms:W3CDTF">2023-03-06T18:07:23Z</dcterms:modified>
</cp:coreProperties>
</file>