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-229235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5244465</wp:posOffset>
            </wp:positionH>
            <wp:positionV relativeFrom="paragraph">
              <wp:posOffset>-581660</wp:posOffset>
            </wp:positionV>
            <wp:extent cx="7620" cy="582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22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-589915</wp:posOffset>
            </wp:positionV>
            <wp:extent cx="7620" cy="59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055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-565785</wp:posOffset>
            </wp:positionV>
            <wp:extent cx="1275080" cy="542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080" cy="5429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38100</wp:posOffset>
            </wp:positionV>
            <wp:extent cx="6973570" cy="1550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3570" cy="1550670"/>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00"/>
            <w:col w:w="842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6"/>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3"/>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COURY ROBERT J</w:t>
              </w:r>
            </w:hyperlink>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ind w:left="60"/>
              <w:spacing w:after="0" w:line="161"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u w:val="single" w:color="auto"/>
                  <w:color w:val="0000EE"/>
                </w:rPr>
                <w:t>Viatris Inc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VTRS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X</w:t>
            </w: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vMerge w:val="restart"/>
          </w:tcPr>
          <w:p>
            <w:pPr>
              <w:ind w:left="240"/>
              <w:spacing w:after="0" w:line="175" w:lineRule="exact"/>
              <w:rPr>
                <w:sz w:val="20"/>
                <w:szCs w:val="20"/>
                <w:color w:val="auto"/>
              </w:rPr>
            </w:pPr>
            <w:r>
              <w:rPr>
                <w:rFonts w:ascii="Times New Roman" w:cs="Times New Roman" w:eastAsia="Times New Roman" w:hAnsi="Times New Roman"/>
                <w:sz w:val="16"/>
                <w:szCs w:val="16"/>
                <w:color w:val="0000FF"/>
              </w:rPr>
              <w:t>X</w:t>
            </w:r>
          </w:p>
        </w:tc>
        <w:tc>
          <w:tcPr>
            <w:tcW w:w="1220" w:type="dxa"/>
            <w:vAlign w:val="bottom"/>
            <w:gridSpan w:val="2"/>
            <w:vMerge w:val="restart"/>
          </w:tcPr>
          <w:p>
            <w:pPr>
              <w:ind w:left="16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4"/>
                <w:szCs w:val="4"/>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(Last)</w:t>
            </w:r>
          </w:p>
        </w:tc>
        <w:tc>
          <w:tcPr>
            <w:tcW w:w="1760" w:type="dxa"/>
            <w:vAlign w:val="bottom"/>
            <w:gridSpan w:val="2"/>
          </w:tcPr>
          <w:p>
            <w:pPr>
              <w:ind w:left="560"/>
              <w:spacing w:after="0"/>
              <w:rPr>
                <w:sz w:val="20"/>
                <w:szCs w:val="20"/>
                <w:color w:val="auto"/>
              </w:rPr>
            </w:pPr>
            <w:r>
              <w:rPr>
                <w:rFonts w:ascii="Arial" w:cs="Arial" w:eastAsia="Arial" w:hAnsi="Arial"/>
                <w:sz w:val="12"/>
                <w:szCs w:val="12"/>
                <w:color w:val="auto"/>
              </w:rPr>
              <w:t>(First)</w:t>
            </w: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0000FF"/>
              </w:rPr>
              <w:t>11/23/2020</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6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0000FF"/>
              </w:rPr>
              <w:t>Executive Chairman</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1"/>
                <w:szCs w:val="11"/>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980" w:type="dxa"/>
            <w:vAlign w:val="bottom"/>
          </w:tcPr>
          <w:p>
            <w:pPr>
              <w:spacing w:after="0"/>
              <w:rPr>
                <w:sz w:val="6"/>
                <w:szCs w:val="6"/>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7"/>
            <w:vMerge w:val="continue"/>
          </w:tcPr>
          <w:p>
            <w:pPr>
              <w:spacing w:after="0"/>
              <w:rPr>
                <w:sz w:val="6"/>
                <w:szCs w:val="6"/>
                <w:color w:val="auto"/>
              </w:rPr>
            </w:pPr>
          </w:p>
        </w:tc>
        <w:tc>
          <w:tcPr>
            <w:tcW w:w="32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80" w:type="dxa"/>
            <w:vAlign w:val="bottom"/>
            <w:gridSpan w:val="5"/>
            <w:vMerge w:val="restart"/>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580" w:type="dxa"/>
            <w:vAlign w:val="bottom"/>
            <w:gridSpan w:val="5"/>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760" w:type="dxa"/>
            <w:vAlign w:val="bottom"/>
            <w:gridSpan w:val="2"/>
            <w:vMerge w:val="restart"/>
          </w:tcPr>
          <w:p>
            <w:pPr>
              <w:ind w:left="560"/>
              <w:spacing w:after="0"/>
              <w:rPr>
                <w:sz w:val="20"/>
                <w:szCs w:val="20"/>
                <w:color w:val="auto"/>
              </w:rPr>
            </w:pPr>
            <w:r>
              <w:rPr>
                <w:rFonts w:ascii="Arial" w:cs="Arial" w:eastAsia="Arial" w:hAnsi="Arial"/>
                <w:sz w:val="12"/>
                <w:szCs w:val="12"/>
                <w:color w:val="auto"/>
              </w:rPr>
              <w:t>(State)</w:t>
            </w: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9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8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gridSpan w:val="2"/>
          </w:tcPr>
          <w:p>
            <w:pPr>
              <w:ind w:left="840"/>
              <w:spacing w:after="0" w:line="121"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ind w:lef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20" w:type="dxa"/>
            <w:vAlign w:val="bottom"/>
            <w:gridSpan w:val="5"/>
          </w:tcPr>
          <w:p>
            <w:pPr>
              <w:ind w:left="84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0"/>
                <w:szCs w:val="10"/>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7"/>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22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6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11/23/2020</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0000FF"/>
              </w:rPr>
              <w:t>A</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1,600,000</w:t>
            </w:r>
          </w:p>
        </w:tc>
        <w:tc>
          <w:tcPr>
            <w:tcW w:w="28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1,600,000</w:t>
            </w:r>
          </w:p>
        </w:tc>
        <w:tc>
          <w:tcPr>
            <w:tcW w:w="66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color w:val="0000FF"/>
              </w:rPr>
              <w:t>1,600,000</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-2404745</wp:posOffset>
            </wp:positionV>
            <wp:extent cx="7036435" cy="2557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255778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20"/>
          <w:szCs w:val="20"/>
          <w:color w:val="008000"/>
          <w:vertAlign w:val="superscript"/>
        </w:rPr>
        <w:t>(1)</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40" w:right="220" w:hanging="4"/>
        <w:spacing w:after="0" w:line="250"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Each performance restricted stock unit ("PRSU") represents the right to receive one share of common stock of Viatris Inc. The PRSUs were granted on November 23, 2020 and are divided into five separate vesting tranches requiring share price appreciation and shareholder returns (including dividends and other distributions) of 25%, 50%, 75%, 100% and 150% from the date of grant through December 30, 2025. In the case of the first three tranches, the PRSUs are subject to a retention requirement through the first anniversary of achieving the shareholder return goal, and in the case of the final two tranches, the PRSUs are subject to a retention requirement through the term of the award. The PRSUs would vest in full upon termination of employment without cause, resignation for good reason, disability or death.</w:t>
      </w:r>
    </w:p>
    <w:p>
      <w:pPr>
        <w:sectPr>
          <w:pgSz w:w="11900" w:h="16838" w:orient="portrait"/>
          <w:cols w:equalWidth="0" w:num="1">
            <w:col w:w="11080"/>
          </w:cols>
          <w:pgMar w:left="460" w:top="213" w:right="35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-5715</wp:posOffset>
            </wp:positionV>
            <wp:extent cx="13385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8580" cy="762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4457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5770" cy="7620"/>
                    </a:xfrm>
                    <a:prstGeom prst="rect">
                      <a:avLst/>
                    </a:prstGeom>
                    <a:noFill/>
                  </pic:spPr>
                </pic:pic>
              </a:graphicData>
            </a:graphic>
          </wp:anchor>
        </w:drawing>
      </w:r>
    </w:p>
    <w:p>
      <w:pPr>
        <w:spacing w:after="0" w:line="29"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622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700" w:space="100"/>
            <w:col w:w="2280"/>
          </w:cols>
          <w:pgMar w:left="460" w:top="213"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3"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7543"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2020-11-25T16:39:29Z</dcterms:created>
  <dcterms:modified xsi:type="dcterms:W3CDTF">2020-11-25T16:39:29Z</dcterms:modified>
</cp:coreProperties>
</file>