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Taddese Menassie</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907</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6,752</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14,997</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29,816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-2322195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one share of common stock of Viatris Inc. ("Viatris"). These RSUs will vest in full on February 28,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These RSUs will vest in full on February 27, 2023.</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right to receive one share of common stock of Viatris. These RSUs will vest in two equal annual installments beginning on November 23, 2022.</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President, Emerging Markets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Kevin Macikowski,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468"/>
        <w:spacing w:after="0" w:line="293" w:lineRule="auto"/>
        <w:rPr>
          <w:sz w:val="20"/>
          <w:szCs w:val="20"/>
          <w:color w:val="auto"/>
        </w:rPr>
      </w:pPr>
      <w:r>
        <w:rPr>
          <w:rFonts w:ascii="Courier New" w:cs="Courier New" w:eastAsia="Courier New" w:hAnsi="Courier New"/>
          <w:sz w:val="20"/>
          <w:szCs w:val="20"/>
          <w:color w:val="auto"/>
        </w:rPr>
        <w:t>The undersigned hereby appoints each of Brian S. Roman, Thomas D. Salus and Kevin D. Macikowski, or any of them signing singly, and with full power of substitution, the undersigned's true and lawful attorney-in-fact to:</w:t>
      </w:r>
    </w:p>
    <w:p>
      <w:pPr>
        <w:spacing w:after="0" w:line="71" w:lineRule="exact"/>
        <w:rPr>
          <w:sz w:val="20"/>
          <w:szCs w:val="20"/>
          <w:color w:val="auto"/>
        </w:rPr>
      </w:pPr>
    </w:p>
    <w:p>
      <w:pPr>
        <w:ind w:left="1180" w:right="61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180" w:right="739" w:hanging="712"/>
        <w:spacing w:after="0" w:line="256"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180" w:right="839" w:hanging="712"/>
        <w:spacing w:after="0" w:line="265"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180" w:right="839" w:hanging="712"/>
        <w:spacing w:after="0" w:line="254"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468"/>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92"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March, 2021.</w:t>
      </w:r>
    </w:p>
    <w:p>
      <w:pPr>
        <w:spacing w:after="0" w:line="1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Menassie Taddese</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Menassie Taddese</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880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2021-03-04T17:32:15Z</dcterms:created>
  <dcterms:modified xsi:type="dcterms:W3CDTF">2021-03-04T17:32:15Z</dcterms:modified>
</cp:coreProperties>
</file>